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FFDEDA" w14:textId="7ADC40E0" w:rsidR="000F40E7" w:rsidRPr="00CF6975" w:rsidRDefault="000F40E7" w:rsidP="00DF5BBF">
      <w:pPr>
        <w:snapToGrid w:val="0"/>
        <w:spacing w:before="120" w:after="0" w:line="240" w:lineRule="auto"/>
        <w:ind w:left="1080" w:hanging="720"/>
        <w:jc w:val="center"/>
        <w:rPr>
          <w:rFonts w:ascii="Calibri" w:hAnsi="Calibri" w:cs="Calibri"/>
          <w:b/>
          <w:bCs/>
          <w:lang w:val="en-US"/>
        </w:rPr>
      </w:pPr>
      <w:r w:rsidRPr="00CF6975">
        <w:rPr>
          <w:rFonts w:ascii="Calibri" w:hAnsi="Calibri" w:cs="Calibri"/>
          <w:b/>
          <w:bCs/>
          <w:lang w:val="en-US"/>
        </w:rPr>
        <w:t>Alternative report to the Committee on the Elimination of Racial Discrimination</w:t>
      </w:r>
    </w:p>
    <w:p w14:paraId="61F7F296" w14:textId="2567B8C4" w:rsidR="000F40E7" w:rsidRPr="00CF6975" w:rsidRDefault="000F40E7" w:rsidP="00DF5BBF">
      <w:pPr>
        <w:snapToGrid w:val="0"/>
        <w:spacing w:before="120" w:after="0" w:line="240" w:lineRule="auto"/>
        <w:ind w:left="1080" w:hanging="720"/>
        <w:jc w:val="center"/>
        <w:rPr>
          <w:rFonts w:ascii="Calibri" w:hAnsi="Calibri" w:cs="Calibri"/>
          <w:b/>
          <w:bCs/>
          <w:lang w:val="en-US"/>
        </w:rPr>
      </w:pPr>
      <w:r w:rsidRPr="00CF6975">
        <w:rPr>
          <w:rFonts w:ascii="Calibri" w:hAnsi="Calibri" w:cs="Calibri"/>
          <w:b/>
          <w:bCs/>
          <w:lang w:val="en-US"/>
        </w:rPr>
        <w:t>Review of the combined 22nd to 26th periodic reports of the Cuban State</w:t>
      </w:r>
    </w:p>
    <w:p w14:paraId="6E8539E7" w14:textId="777516C8" w:rsidR="000F40E7" w:rsidRPr="00CF6975" w:rsidRDefault="000F40E7" w:rsidP="00DF5BBF">
      <w:pPr>
        <w:snapToGrid w:val="0"/>
        <w:spacing w:before="120" w:after="0" w:line="240" w:lineRule="auto"/>
        <w:ind w:left="1080" w:hanging="720"/>
        <w:jc w:val="center"/>
        <w:rPr>
          <w:rFonts w:ascii="Calibri" w:hAnsi="Calibri" w:cs="Calibri"/>
          <w:b/>
          <w:bCs/>
          <w:lang w:val="en-US"/>
        </w:rPr>
      </w:pPr>
      <w:r w:rsidRPr="00CF6975">
        <w:rPr>
          <w:rFonts w:ascii="Calibri" w:hAnsi="Calibri" w:cs="Calibri"/>
          <w:b/>
          <w:bCs/>
          <w:lang w:val="en-US"/>
        </w:rPr>
        <w:t>2026</w:t>
      </w:r>
    </w:p>
    <w:p w14:paraId="055FA287" w14:textId="77777777" w:rsidR="000F40E7" w:rsidRPr="00CF6975" w:rsidRDefault="000F40E7" w:rsidP="00DF5BBF">
      <w:pPr>
        <w:snapToGrid w:val="0"/>
        <w:spacing w:before="120" w:after="0" w:line="240" w:lineRule="auto"/>
        <w:jc w:val="center"/>
        <w:rPr>
          <w:rFonts w:ascii="Calibri" w:hAnsi="Calibri" w:cs="Calibri"/>
          <w:b/>
          <w:bCs/>
          <w:lang w:val="en-US"/>
        </w:rPr>
      </w:pPr>
      <w:r w:rsidRPr="00CF6975">
        <w:rPr>
          <w:rFonts w:ascii="Calibri" w:hAnsi="Calibri" w:cs="Calibri"/>
          <w:b/>
          <w:bCs/>
          <w:lang w:val="en-US"/>
        </w:rPr>
        <w:t>Institute on Race, Equality, and Human Rights</w:t>
      </w:r>
    </w:p>
    <w:p w14:paraId="25BC7A93" w14:textId="1A805906" w:rsidR="001D34BC" w:rsidRPr="00DF5BBF" w:rsidRDefault="001D34BC" w:rsidP="00DF5BBF">
      <w:pPr>
        <w:pStyle w:val="ListParagraph"/>
        <w:numPr>
          <w:ilvl w:val="0"/>
          <w:numId w:val="6"/>
        </w:numPr>
        <w:snapToGrid w:val="0"/>
        <w:spacing w:before="120" w:after="0" w:line="240" w:lineRule="auto"/>
        <w:contextualSpacing w:val="0"/>
        <w:jc w:val="both"/>
        <w:rPr>
          <w:rFonts w:ascii="Calibri" w:hAnsi="Calibri" w:cs="Calibri"/>
          <w:b/>
        </w:rPr>
      </w:pPr>
      <w:r w:rsidRPr="00DF5BBF">
        <w:rPr>
          <w:rFonts w:ascii="Calibri" w:hAnsi="Calibri" w:cs="Calibri"/>
          <w:b/>
        </w:rPr>
        <w:t>Presentation</w:t>
      </w:r>
    </w:p>
    <w:p w14:paraId="5B6404E8" w14:textId="17056C33" w:rsidR="001D34BC" w:rsidRPr="00CF6975" w:rsidRDefault="001D34BC" w:rsidP="00DF5BBF">
      <w:pPr>
        <w:snapToGrid w:val="0"/>
        <w:spacing w:before="120" w:after="0" w:line="240" w:lineRule="auto"/>
        <w:jc w:val="both"/>
        <w:rPr>
          <w:rStyle w:val="fontstyle01"/>
          <w:sz w:val="22"/>
          <w:szCs w:val="22"/>
          <w:lang w:val="en-US"/>
        </w:rPr>
      </w:pPr>
      <w:r w:rsidRPr="00CF6975">
        <w:rPr>
          <w:rStyle w:val="fontstyle01"/>
          <w:sz w:val="22"/>
          <w:szCs w:val="22"/>
          <w:lang w:val="en-US"/>
        </w:rPr>
        <w:t>The International Institute on Race, Equality and Human Rights is an international non-governmental organization that works with partner organizations and activists in Latin America to promote and protect the human rights of marginalized populations, whether because of their national or ethnic origin, sexual orientation, or gender identity. We strengthen grassroots organizations to become political actors and promote structural change in the countries where we work. Our methodology is based on technical training, documentation of human rights violations, and advocacy work at the national and international levels to achieve sustainable structural changes.</w:t>
      </w:r>
    </w:p>
    <w:p w14:paraId="0D411DC1" w14:textId="77777777" w:rsidR="000F40E7" w:rsidRPr="00CF6975" w:rsidRDefault="000F40E7" w:rsidP="00DF5BBF">
      <w:pPr>
        <w:snapToGrid w:val="0"/>
        <w:spacing w:before="120" w:after="0" w:line="240" w:lineRule="auto"/>
        <w:jc w:val="both"/>
        <w:rPr>
          <w:rFonts w:ascii="Calibri" w:hAnsi="Calibri" w:cs="Calibri"/>
          <w:b/>
          <w:lang w:val="en-US"/>
        </w:rPr>
      </w:pPr>
    </w:p>
    <w:p w14:paraId="322DB50A" w14:textId="0C562968" w:rsidR="008C23FA" w:rsidRPr="00DF5BBF" w:rsidRDefault="00680C6B" w:rsidP="00DF5BBF">
      <w:pPr>
        <w:pStyle w:val="ListParagraph"/>
        <w:numPr>
          <w:ilvl w:val="0"/>
          <w:numId w:val="6"/>
        </w:numPr>
        <w:snapToGrid w:val="0"/>
        <w:spacing w:before="120" w:after="0" w:line="240" w:lineRule="auto"/>
        <w:contextualSpacing w:val="0"/>
        <w:jc w:val="both"/>
        <w:rPr>
          <w:rStyle w:val="fontstyle01"/>
          <w:b/>
          <w:color w:val="auto"/>
          <w:sz w:val="22"/>
          <w:szCs w:val="22"/>
        </w:rPr>
      </w:pPr>
      <w:r w:rsidRPr="00DF5BBF">
        <w:rPr>
          <w:rFonts w:ascii="Calibri" w:hAnsi="Calibri" w:cs="Calibri"/>
          <w:b/>
        </w:rPr>
        <w:t>Introduction</w:t>
      </w:r>
    </w:p>
    <w:p w14:paraId="3FF15474" w14:textId="2C93529B" w:rsidR="000F40E7" w:rsidRPr="00CF6975" w:rsidRDefault="000F40E7" w:rsidP="00DF5BBF">
      <w:pPr>
        <w:snapToGrid w:val="0"/>
        <w:spacing w:before="120" w:after="0" w:line="240" w:lineRule="auto"/>
        <w:jc w:val="both"/>
        <w:rPr>
          <w:rStyle w:val="fontstyle01"/>
          <w:sz w:val="22"/>
          <w:szCs w:val="22"/>
          <w:lang w:val="en-US"/>
        </w:rPr>
      </w:pPr>
      <w:r w:rsidRPr="00CF6975">
        <w:rPr>
          <w:rStyle w:val="fontstyle01"/>
          <w:sz w:val="22"/>
          <w:szCs w:val="22"/>
          <w:lang w:val="en-US"/>
        </w:rPr>
        <w:t>The Cuban State submitted to the Committee a unified report covering the 22nd to 26th periodic reports (hereinafter, the "report"), corresponding to the period 2018–2023. This report sets out legislative, administrative and judicial measures allegedly adopted to comply with the Convention.</w:t>
      </w:r>
    </w:p>
    <w:p w14:paraId="3309EF96" w14:textId="2841B112" w:rsidR="001D34BC" w:rsidRPr="00CF6975" w:rsidRDefault="000F40E7" w:rsidP="00DF5BBF">
      <w:pPr>
        <w:snapToGrid w:val="0"/>
        <w:spacing w:before="120" w:after="0" w:line="240" w:lineRule="auto"/>
        <w:jc w:val="both"/>
        <w:rPr>
          <w:rStyle w:val="fontstyle01"/>
          <w:sz w:val="22"/>
          <w:szCs w:val="22"/>
          <w:lang w:val="en-US"/>
        </w:rPr>
      </w:pPr>
      <w:r w:rsidRPr="00CF6975">
        <w:rPr>
          <w:rStyle w:val="fontstyle01"/>
          <w:sz w:val="22"/>
          <w:szCs w:val="22"/>
          <w:lang w:val="en-US"/>
        </w:rPr>
        <w:t>The purpose of this shadow report is to compare official information with empirical data, testimonies, legal analysis and international human rights standards, in order to contribute to a rigorous assessment by the Committee.</w:t>
      </w:r>
    </w:p>
    <w:p w14:paraId="431D4945" w14:textId="77777777" w:rsidR="000F40E7" w:rsidRPr="00CF6975" w:rsidRDefault="000F40E7" w:rsidP="00DF5BBF">
      <w:pPr>
        <w:snapToGrid w:val="0"/>
        <w:spacing w:before="120" w:after="0" w:line="240" w:lineRule="auto"/>
        <w:jc w:val="both"/>
        <w:rPr>
          <w:rStyle w:val="fontstyle01"/>
          <w:sz w:val="22"/>
          <w:szCs w:val="22"/>
          <w:lang w:val="en-US"/>
        </w:rPr>
      </w:pPr>
    </w:p>
    <w:p w14:paraId="02B2F3F5" w14:textId="729A5007" w:rsidR="000F40E7" w:rsidRPr="00DF5BBF" w:rsidRDefault="000F40E7" w:rsidP="00DF5BBF">
      <w:pPr>
        <w:pStyle w:val="ListParagraph"/>
        <w:numPr>
          <w:ilvl w:val="0"/>
          <w:numId w:val="6"/>
        </w:numPr>
        <w:snapToGrid w:val="0"/>
        <w:spacing w:before="120" w:after="0" w:line="240" w:lineRule="auto"/>
        <w:contextualSpacing w:val="0"/>
        <w:jc w:val="both"/>
        <w:rPr>
          <w:rStyle w:val="fontstyle01"/>
          <w:b/>
          <w:sz w:val="22"/>
          <w:szCs w:val="22"/>
        </w:rPr>
      </w:pPr>
      <w:r w:rsidRPr="00DF5BBF">
        <w:rPr>
          <w:rStyle w:val="fontstyle01"/>
          <w:b/>
          <w:sz w:val="22"/>
          <w:szCs w:val="22"/>
        </w:rPr>
        <w:t>Methodology</w:t>
      </w:r>
    </w:p>
    <w:p w14:paraId="2CF8476F" w14:textId="504CCAC5" w:rsidR="000F40E7" w:rsidRPr="00CF6975" w:rsidRDefault="000F40E7" w:rsidP="00DF5BBF">
      <w:pPr>
        <w:snapToGrid w:val="0"/>
        <w:spacing w:before="120" w:after="0" w:line="240" w:lineRule="auto"/>
        <w:jc w:val="both"/>
        <w:rPr>
          <w:rStyle w:val="fontstyle01"/>
          <w:sz w:val="22"/>
          <w:szCs w:val="22"/>
          <w:lang w:val="en-US"/>
        </w:rPr>
      </w:pPr>
      <w:r w:rsidRPr="00CF6975">
        <w:rPr>
          <w:rStyle w:val="fontstyle01"/>
          <w:sz w:val="22"/>
          <w:szCs w:val="22"/>
          <w:lang w:val="en-US"/>
        </w:rPr>
        <w:t xml:space="preserve">The objective of this shadow report is to analyze racial discrimination in Cuba in the period 2018 to 2026 based on international human rights standards and national legislation itself. A methodology based on the analysis of primary and secondary sources was used to prepare this report. Interviews with Cuban Afro-descendant activists were used as primary sources. As secondary sources, national legislation, reports of human rights organizations, academic studies and official statistics were reviewed. Finally, a legal analysis was carried out in which both the State's assertions in its report and the State's practice </w:t>
      </w:r>
      <w:r w:rsidRPr="000007C1">
        <w:rPr>
          <w:rStyle w:val="fontstyle01"/>
          <w:i/>
          <w:iCs/>
          <w:sz w:val="22"/>
          <w:szCs w:val="22"/>
          <w:lang w:val="en-US"/>
        </w:rPr>
        <w:t>vis-à-vis</w:t>
      </w:r>
      <w:r w:rsidRPr="00CF6975">
        <w:rPr>
          <w:rStyle w:val="fontstyle01"/>
          <w:sz w:val="22"/>
          <w:szCs w:val="22"/>
          <w:lang w:val="en-US"/>
        </w:rPr>
        <w:t xml:space="preserve"> the international obligations assumed by Cuba under the Convention were compared.</w:t>
      </w:r>
    </w:p>
    <w:p w14:paraId="2F32FCC1" w14:textId="77777777" w:rsidR="000F40E7" w:rsidRPr="00CF6975" w:rsidRDefault="000F40E7" w:rsidP="00DF5BBF">
      <w:pPr>
        <w:snapToGrid w:val="0"/>
        <w:spacing w:before="120" w:after="0" w:line="240" w:lineRule="auto"/>
        <w:jc w:val="both"/>
        <w:rPr>
          <w:rFonts w:ascii="Calibri" w:hAnsi="Calibri" w:cs="Calibri"/>
          <w:lang w:val="en-US"/>
        </w:rPr>
      </w:pPr>
    </w:p>
    <w:p w14:paraId="3DF84FED" w14:textId="72F2EBB1" w:rsidR="00EC6478" w:rsidRPr="00CF6975" w:rsidRDefault="00A53861" w:rsidP="00DF5BBF">
      <w:pPr>
        <w:pStyle w:val="ListParagraph"/>
        <w:numPr>
          <w:ilvl w:val="0"/>
          <w:numId w:val="6"/>
        </w:numPr>
        <w:snapToGrid w:val="0"/>
        <w:spacing w:before="120" w:after="0" w:line="240" w:lineRule="auto"/>
        <w:contextualSpacing w:val="0"/>
        <w:jc w:val="both"/>
        <w:rPr>
          <w:rStyle w:val="fontstyle01"/>
          <w:b/>
          <w:sz w:val="22"/>
          <w:szCs w:val="22"/>
          <w:lang w:val="en-US"/>
        </w:rPr>
      </w:pPr>
      <w:r w:rsidRPr="00CF6975">
        <w:rPr>
          <w:rStyle w:val="fontstyle01"/>
          <w:b/>
          <w:sz w:val="22"/>
          <w:szCs w:val="22"/>
          <w:lang w:val="en-US"/>
        </w:rPr>
        <w:t>Cuban Historical Context of Racial Discrimination</w:t>
      </w:r>
    </w:p>
    <w:p w14:paraId="23E45468" w14:textId="15583266" w:rsidR="001D0BAE" w:rsidRPr="00CF6975" w:rsidRDefault="001D0BAE" w:rsidP="00DF5BBF">
      <w:pPr>
        <w:snapToGrid w:val="0"/>
        <w:spacing w:before="120" w:after="0" w:line="240" w:lineRule="auto"/>
        <w:jc w:val="both"/>
        <w:rPr>
          <w:rStyle w:val="fontstyle01"/>
          <w:sz w:val="22"/>
          <w:szCs w:val="22"/>
          <w:lang w:val="en-US"/>
        </w:rPr>
      </w:pPr>
      <w:r w:rsidRPr="00CF6975">
        <w:rPr>
          <w:rStyle w:val="fontstyle01"/>
          <w:sz w:val="22"/>
          <w:szCs w:val="22"/>
          <w:lang w:val="en-US"/>
        </w:rPr>
        <w:t>Racial discrimination in Cuba has deep colonial roots, linked to the slave system and the ideology of "blood cleansing". Although the abolition of slavery in 1886 and the formal proclamation of legal equality marked important milestones, they did not eliminate the structural exclusion of the black and mestizo population.</w:t>
      </w:r>
    </w:p>
    <w:p w14:paraId="24F0404A" w14:textId="7E108FCD" w:rsidR="003F070D" w:rsidRPr="00CF6975" w:rsidRDefault="001D0BAE" w:rsidP="00DF5BBF">
      <w:pPr>
        <w:snapToGrid w:val="0"/>
        <w:spacing w:before="120" w:after="0" w:line="240" w:lineRule="auto"/>
        <w:jc w:val="both"/>
        <w:rPr>
          <w:rStyle w:val="fontstyle01"/>
          <w:sz w:val="22"/>
          <w:szCs w:val="22"/>
          <w:lang w:val="en-US"/>
        </w:rPr>
      </w:pPr>
      <w:r w:rsidRPr="00CF6975">
        <w:rPr>
          <w:rStyle w:val="fontstyle01"/>
          <w:sz w:val="22"/>
          <w:szCs w:val="22"/>
          <w:lang w:val="en-US"/>
        </w:rPr>
        <w:lastRenderedPageBreak/>
        <w:t>During the revolutionary stage that began in 1959, the State proclaimed the elimination of racism as a political achievement. However, the issue of race was turned into a political taboo, preventing its critical analysis and the adoption of differentiated policies.</w:t>
      </w:r>
    </w:p>
    <w:p w14:paraId="7505510E" w14:textId="77777777" w:rsidR="00F90E21" w:rsidRPr="00CF6975" w:rsidRDefault="00F90E21" w:rsidP="00DF5BBF">
      <w:pPr>
        <w:snapToGrid w:val="0"/>
        <w:spacing w:before="120" w:after="0" w:line="240" w:lineRule="auto"/>
        <w:jc w:val="both"/>
        <w:rPr>
          <w:rStyle w:val="fontstyle01"/>
          <w:sz w:val="22"/>
          <w:szCs w:val="22"/>
          <w:lang w:val="en-US"/>
        </w:rPr>
      </w:pPr>
    </w:p>
    <w:p w14:paraId="08D6528D" w14:textId="49ACC2D5" w:rsidR="003A244E" w:rsidRPr="00CF6975" w:rsidRDefault="003A244E" w:rsidP="00DF5BBF">
      <w:pPr>
        <w:pStyle w:val="ListParagraph"/>
        <w:numPr>
          <w:ilvl w:val="0"/>
          <w:numId w:val="6"/>
        </w:numPr>
        <w:snapToGrid w:val="0"/>
        <w:spacing w:before="120" w:after="0" w:line="240" w:lineRule="auto"/>
        <w:contextualSpacing w:val="0"/>
        <w:jc w:val="both"/>
        <w:rPr>
          <w:rStyle w:val="fontstyle01"/>
          <w:b/>
          <w:sz w:val="22"/>
          <w:szCs w:val="22"/>
          <w:lang w:val="en-US"/>
        </w:rPr>
      </w:pPr>
      <w:r w:rsidRPr="00CF6975">
        <w:rPr>
          <w:rStyle w:val="fontstyle01"/>
          <w:b/>
          <w:sz w:val="22"/>
          <w:szCs w:val="22"/>
          <w:lang w:val="en-US"/>
        </w:rPr>
        <w:t>Differentiated impact of the humanitarian crisis on the Afro-descendant population</w:t>
      </w:r>
    </w:p>
    <w:p w14:paraId="793F7D0B" w14:textId="22DF4A71" w:rsidR="007D4723" w:rsidRPr="00CF6975" w:rsidRDefault="003A244E" w:rsidP="00DF5BBF">
      <w:pPr>
        <w:snapToGrid w:val="0"/>
        <w:spacing w:before="120" w:after="0" w:line="240" w:lineRule="auto"/>
        <w:jc w:val="both"/>
        <w:rPr>
          <w:rStyle w:val="fontstyle01"/>
          <w:bCs/>
          <w:sz w:val="22"/>
          <w:szCs w:val="22"/>
          <w:lang w:val="en-US"/>
        </w:rPr>
      </w:pPr>
      <w:r w:rsidRPr="00CF6975">
        <w:rPr>
          <w:rStyle w:val="fontstyle01"/>
          <w:bCs/>
          <w:sz w:val="22"/>
          <w:szCs w:val="22"/>
          <w:lang w:val="en-US"/>
        </w:rPr>
        <w:t>The convergence of the economic, health, energy, and migration crises has had a disproportionate impact on the Afro-descendant population, which resides mostly in marginal neighborhoods, has less access to remittances, property, and private enterprises, and faces higher levels of extreme poverty and social exclusion</w:t>
      </w:r>
      <w:r w:rsidR="00320957">
        <w:rPr>
          <w:rStyle w:val="fontstyle01"/>
          <w:bCs/>
          <w:sz w:val="22"/>
          <w:szCs w:val="22"/>
          <w:lang w:val="en-US"/>
        </w:rPr>
        <w:t>.</w:t>
      </w:r>
      <w:r w:rsidR="00303101" w:rsidRPr="00DF5BBF">
        <w:rPr>
          <w:rStyle w:val="FootnoteReference"/>
          <w:rFonts w:ascii="Calibri" w:hAnsi="Calibri" w:cs="Calibri"/>
          <w:bCs/>
          <w:color w:val="000000"/>
        </w:rPr>
        <w:footnoteReference w:id="1"/>
      </w:r>
    </w:p>
    <w:p w14:paraId="1ABA0477" w14:textId="4A87D8D6" w:rsidR="007D4723" w:rsidRPr="00CF6975" w:rsidRDefault="003A244E" w:rsidP="00DF5BBF">
      <w:pPr>
        <w:snapToGrid w:val="0"/>
        <w:spacing w:before="120" w:after="0" w:line="240" w:lineRule="auto"/>
        <w:jc w:val="both"/>
        <w:rPr>
          <w:rStyle w:val="fontstyle01"/>
          <w:sz w:val="22"/>
          <w:szCs w:val="22"/>
          <w:lang w:val="en-US"/>
        </w:rPr>
      </w:pPr>
      <w:r w:rsidRPr="00CF6975">
        <w:rPr>
          <w:rStyle w:val="fontstyle01"/>
          <w:sz w:val="22"/>
          <w:szCs w:val="22"/>
          <w:lang w:val="en-US"/>
        </w:rPr>
        <w:t>There is very little information about the humanitarian crisis of the Cuban people. According to studies carried out in 2019 by the German Institute of Global and Area Studies (GIGA), only 11% of the black population has savings bank accounts and only 3% have travelled outside the island</w:t>
      </w:r>
      <w:r w:rsidR="00320957">
        <w:rPr>
          <w:rStyle w:val="fontstyle01"/>
          <w:sz w:val="22"/>
          <w:szCs w:val="22"/>
          <w:lang w:val="en-US"/>
        </w:rPr>
        <w:t>.</w:t>
      </w:r>
      <w:r w:rsidR="007D4723" w:rsidRPr="00DF5BBF">
        <w:rPr>
          <w:rStyle w:val="FootnoteReference"/>
          <w:rFonts w:ascii="Calibri" w:hAnsi="Calibri" w:cs="Calibri"/>
          <w:color w:val="000000"/>
        </w:rPr>
        <w:footnoteReference w:id="2"/>
      </w:r>
      <w:r w:rsidR="007D4723" w:rsidRPr="00CF6975">
        <w:rPr>
          <w:rStyle w:val="fontstyle01"/>
          <w:sz w:val="22"/>
          <w:szCs w:val="22"/>
          <w:lang w:val="en-US"/>
        </w:rPr>
        <w:t xml:space="preserve"> On the other hand, according to this study, people classified as white captured 76% of the volume of remittances arriving in Cuba, while black and mestizo people only benefited from 29%.</w:t>
      </w:r>
      <w:r w:rsidR="007D4723" w:rsidRPr="00DF5BBF">
        <w:rPr>
          <w:rStyle w:val="FootnoteReference"/>
          <w:rFonts w:ascii="Calibri" w:hAnsi="Calibri" w:cs="Calibri"/>
          <w:color w:val="000000"/>
        </w:rPr>
        <w:footnoteReference w:id="3"/>
      </w:r>
      <w:r w:rsidR="007D4723" w:rsidRPr="00CF6975">
        <w:rPr>
          <w:rStyle w:val="fontstyle01"/>
          <w:sz w:val="22"/>
          <w:szCs w:val="22"/>
          <w:lang w:val="en-US"/>
        </w:rPr>
        <w:t xml:space="preserve"> The survey itself also revealed that 98% of lodging and restaurant services for tourism are owned by whites</w:t>
      </w:r>
      <w:r w:rsidR="00320957">
        <w:rPr>
          <w:rStyle w:val="fontstyle01"/>
          <w:sz w:val="22"/>
          <w:szCs w:val="22"/>
          <w:lang w:val="en-US"/>
        </w:rPr>
        <w:t>.</w:t>
      </w:r>
      <w:r w:rsidR="007D4723" w:rsidRPr="00DF5BBF">
        <w:rPr>
          <w:rStyle w:val="FootnoteReference"/>
          <w:rFonts w:ascii="Calibri" w:hAnsi="Calibri" w:cs="Calibri"/>
          <w:color w:val="000000"/>
        </w:rPr>
        <w:footnoteReference w:id="4"/>
      </w:r>
      <w:r w:rsidR="007D4723" w:rsidRPr="00CF6975">
        <w:rPr>
          <w:rStyle w:val="fontstyle01"/>
          <w:sz w:val="22"/>
          <w:szCs w:val="22"/>
          <w:lang w:val="en-US"/>
        </w:rPr>
        <w:t xml:space="preserve"> </w:t>
      </w:r>
    </w:p>
    <w:p w14:paraId="477DBE67" w14:textId="66842898" w:rsidR="007D4723" w:rsidRPr="00CF6975" w:rsidRDefault="007D4723" w:rsidP="00DF5BBF">
      <w:pPr>
        <w:snapToGrid w:val="0"/>
        <w:spacing w:before="120" w:after="0" w:line="240" w:lineRule="auto"/>
        <w:jc w:val="both"/>
        <w:rPr>
          <w:rStyle w:val="fontstyle01"/>
          <w:sz w:val="22"/>
          <w:szCs w:val="22"/>
          <w:lang w:val="en-US"/>
        </w:rPr>
      </w:pPr>
      <w:r w:rsidRPr="00CF6975">
        <w:rPr>
          <w:rStyle w:val="fontstyle01"/>
          <w:sz w:val="22"/>
          <w:szCs w:val="22"/>
          <w:lang w:val="en-US"/>
        </w:rPr>
        <w:t>Other revealing figures indicate that, in 2019, the United Nations Children's Fund (UNICEF) applied the Survey of Multiple Indicators by Clusters, MICS, to 11,966 Cuban households. The results showed a digital divide between white and black families, the former crediting 4.1% of domestic access to the Internet and 70.7% of possession of mobile lines, while for blacks and mestizos the figures showed 2.4% and 61.1% respectively.</w:t>
      </w:r>
      <w:r w:rsidRPr="00DF5BBF">
        <w:rPr>
          <w:rStyle w:val="FootnoteReference"/>
          <w:rFonts w:ascii="Calibri" w:hAnsi="Calibri" w:cs="Calibri"/>
          <w:color w:val="000000"/>
        </w:rPr>
        <w:footnoteReference w:id="5"/>
      </w:r>
    </w:p>
    <w:p w14:paraId="17D98F3A" w14:textId="226A2D89" w:rsidR="003A244E" w:rsidRPr="00CF6975" w:rsidRDefault="007D4723" w:rsidP="00DF5BBF">
      <w:pPr>
        <w:snapToGrid w:val="0"/>
        <w:spacing w:before="120" w:after="0" w:line="240" w:lineRule="auto"/>
        <w:jc w:val="both"/>
        <w:rPr>
          <w:rStyle w:val="fontstyle01"/>
          <w:sz w:val="22"/>
          <w:szCs w:val="22"/>
          <w:lang w:val="en-US"/>
        </w:rPr>
      </w:pPr>
      <w:r w:rsidRPr="00CF6975">
        <w:rPr>
          <w:rStyle w:val="fontstyle01"/>
          <w:sz w:val="22"/>
          <w:szCs w:val="22"/>
          <w:lang w:val="en-US"/>
        </w:rPr>
        <w:t>A report by the Cuban Observatory of Human Rights in 2024 revealed that of the total number of respondents, 61% said they had problems buying the most essential items to survive and in the case of the Afro-Cuban population the figure stands at 68%.</w:t>
      </w:r>
      <w:r w:rsidR="003A244E" w:rsidRPr="00DF5BBF">
        <w:rPr>
          <w:rStyle w:val="FootnoteReference"/>
          <w:rFonts w:ascii="Calibri" w:hAnsi="Calibri" w:cs="Calibri"/>
          <w:color w:val="000000"/>
        </w:rPr>
        <w:footnoteReference w:id="6"/>
      </w:r>
      <w:r w:rsidR="003A244E" w:rsidRPr="00CF6975">
        <w:rPr>
          <w:rStyle w:val="fontstyle01"/>
          <w:sz w:val="22"/>
          <w:szCs w:val="22"/>
          <w:lang w:val="en-US"/>
        </w:rPr>
        <w:t xml:space="preserve"> </w:t>
      </w:r>
    </w:p>
    <w:p w14:paraId="7BFBA4E1" w14:textId="30ED67F4" w:rsidR="003C59F1" w:rsidRPr="00CF6975" w:rsidRDefault="003A244E" w:rsidP="00DF5BBF">
      <w:pPr>
        <w:snapToGrid w:val="0"/>
        <w:spacing w:before="120" w:after="0" w:line="240" w:lineRule="auto"/>
        <w:jc w:val="both"/>
        <w:rPr>
          <w:rStyle w:val="fontstyle01"/>
          <w:sz w:val="22"/>
          <w:szCs w:val="22"/>
          <w:lang w:val="en-US"/>
        </w:rPr>
      </w:pPr>
      <w:r w:rsidRPr="00CF6975">
        <w:rPr>
          <w:rStyle w:val="fontstyle01"/>
          <w:sz w:val="22"/>
          <w:szCs w:val="22"/>
          <w:lang w:val="en-US"/>
        </w:rPr>
        <w:t>As of January 3, 2026, when Nicolás Maduro Moros was captured in Caracas by U.S. special forces, the humanitarian crisis in Cuba has worsened, among other reasons due to the suspension of oil shipments from Venezuela, which has led the Cuban government to begin the gradual transition to the so-called "option 0"</w:t>
      </w:r>
      <w:r w:rsidR="0088584F">
        <w:rPr>
          <w:rStyle w:val="fontstyle01"/>
          <w:sz w:val="22"/>
          <w:szCs w:val="22"/>
          <w:lang w:val="en-US"/>
        </w:rPr>
        <w:t>,</w:t>
      </w:r>
      <w:r w:rsidRPr="00CF6975">
        <w:rPr>
          <w:rStyle w:val="fontstyle01"/>
          <w:sz w:val="22"/>
          <w:szCs w:val="22"/>
          <w:lang w:val="en-US"/>
        </w:rPr>
        <w:t xml:space="preserve">  which is nothing more than a brutal fuel cut, which means the paralysis of public and private transport, the drastic reduction of electricity generation and the closure of workplaces, schools, recreation </w:t>
      </w:r>
      <w:r w:rsidRPr="00CF6975">
        <w:rPr>
          <w:rStyle w:val="fontstyle01"/>
          <w:sz w:val="22"/>
          <w:szCs w:val="22"/>
          <w:lang w:val="en-US"/>
        </w:rPr>
        <w:lastRenderedPageBreak/>
        <w:t xml:space="preserve">centers, </w:t>
      </w:r>
      <w:r w:rsidR="0088584F">
        <w:rPr>
          <w:rStyle w:val="fontstyle01"/>
          <w:sz w:val="22"/>
          <w:szCs w:val="22"/>
          <w:lang w:val="en-US"/>
        </w:rPr>
        <w:t xml:space="preserve">and </w:t>
      </w:r>
      <w:r w:rsidRPr="00CF6975">
        <w:rPr>
          <w:rStyle w:val="fontstyle01"/>
          <w:sz w:val="22"/>
          <w:szCs w:val="22"/>
          <w:lang w:val="en-US"/>
        </w:rPr>
        <w:t xml:space="preserve">public services. In the midst of this humanitarian crisis, Afro-Cubans bear the brunt of residing in unhealthy slums, outside the protection of the deteriorating primary health care system. Another major impact on the Afro-descendant population has been the emptying of the so-called ration booklet, which has existed in Cuba since 1962. This was a way of guaranteeing food equality regardless of skin color, but when its supply disappeared, the economic gap between whites and blacks and mulattoes deepened, who have much less purchasing power to buy food in the private economy, parallel to the non-existent state supply. </w:t>
      </w:r>
    </w:p>
    <w:p w14:paraId="49C67F75" w14:textId="77777777" w:rsidR="003A244E" w:rsidRPr="00CF6975" w:rsidRDefault="003A244E" w:rsidP="00DF5BBF">
      <w:pPr>
        <w:snapToGrid w:val="0"/>
        <w:spacing w:before="120" w:after="0" w:line="240" w:lineRule="auto"/>
        <w:jc w:val="both"/>
        <w:rPr>
          <w:rStyle w:val="fontstyle01"/>
          <w:b/>
          <w:sz w:val="22"/>
          <w:szCs w:val="22"/>
          <w:lang w:val="en-US"/>
        </w:rPr>
      </w:pPr>
    </w:p>
    <w:p w14:paraId="43E0A71B" w14:textId="4EC22EA6" w:rsidR="00056071" w:rsidRPr="00DF5BBF" w:rsidRDefault="00056071" w:rsidP="00DF5BBF">
      <w:pPr>
        <w:pStyle w:val="ListParagraph"/>
        <w:numPr>
          <w:ilvl w:val="0"/>
          <w:numId w:val="6"/>
        </w:numPr>
        <w:snapToGrid w:val="0"/>
        <w:spacing w:before="120" w:after="0" w:line="240" w:lineRule="auto"/>
        <w:contextualSpacing w:val="0"/>
        <w:jc w:val="both"/>
        <w:rPr>
          <w:rStyle w:val="fontstyle01"/>
          <w:b/>
          <w:sz w:val="22"/>
          <w:szCs w:val="22"/>
        </w:rPr>
      </w:pPr>
      <w:r w:rsidRPr="00DF5BBF">
        <w:rPr>
          <w:rStyle w:val="fontstyle01"/>
          <w:b/>
          <w:sz w:val="22"/>
          <w:szCs w:val="22"/>
        </w:rPr>
        <w:t>Protests of July 11 and 12, 2021</w:t>
      </w:r>
    </w:p>
    <w:p w14:paraId="35762E1D" w14:textId="77777777" w:rsidR="001E1C16" w:rsidRPr="00CF6975" w:rsidRDefault="00056071" w:rsidP="00DF5BBF">
      <w:pPr>
        <w:snapToGrid w:val="0"/>
        <w:spacing w:before="120" w:after="0" w:line="240" w:lineRule="auto"/>
        <w:jc w:val="both"/>
        <w:rPr>
          <w:rStyle w:val="fontstyle01"/>
          <w:bCs/>
          <w:sz w:val="22"/>
          <w:szCs w:val="22"/>
          <w:lang w:val="en-US"/>
        </w:rPr>
      </w:pPr>
      <w:r w:rsidRPr="00CF6975">
        <w:rPr>
          <w:rStyle w:val="fontstyle01"/>
          <w:bCs/>
          <w:sz w:val="22"/>
          <w:szCs w:val="22"/>
          <w:lang w:val="en-US"/>
        </w:rPr>
        <w:t>If we talk about differentiated impacts, the protests that took place between July 11 and 12, 2021 (popularly known as "11J"), represent an example of how the Afro-descendant population faces a situation of vulnerability in Cuba.</w:t>
      </w:r>
    </w:p>
    <w:p w14:paraId="3ED0F10D" w14:textId="390138EF" w:rsidR="001E1C16" w:rsidRPr="00CF6975" w:rsidRDefault="001E1C16" w:rsidP="00DF5BBF">
      <w:pPr>
        <w:snapToGrid w:val="0"/>
        <w:spacing w:before="120" w:after="0" w:line="240" w:lineRule="auto"/>
        <w:jc w:val="both"/>
        <w:rPr>
          <w:rFonts w:ascii="Calibri" w:hAnsi="Calibri" w:cs="Calibri"/>
          <w:lang w:val="en-US"/>
        </w:rPr>
      </w:pPr>
      <w:r w:rsidRPr="00CF6975">
        <w:rPr>
          <w:rStyle w:val="fontstyle01"/>
          <w:bCs/>
          <w:sz w:val="22"/>
          <w:szCs w:val="22"/>
          <w:lang w:val="en-US"/>
        </w:rPr>
        <w:t xml:space="preserve">On the one hand, </w:t>
      </w:r>
      <w:r w:rsidRPr="00CF6975">
        <w:rPr>
          <w:rFonts w:ascii="Calibri" w:hAnsi="Calibri" w:cs="Calibri"/>
          <w:lang w:val="en-US"/>
        </w:rPr>
        <w:t>the IACHR stated that "racial inequality would also have been one of the origins that triggered the social demonstrations of July 11, given that people of African descent have been excluded from different economic and social sectors, and that the prevailing economic model in Cuba would deepen the conditions of inequality to which they have historically been exposed."</w:t>
      </w:r>
      <w:r w:rsidRPr="00DF5BBF">
        <w:rPr>
          <w:rStyle w:val="FootnoteReference"/>
          <w:rFonts w:ascii="Calibri" w:hAnsi="Calibri" w:cs="Calibri"/>
        </w:rPr>
        <w:footnoteReference w:id="7"/>
      </w:r>
    </w:p>
    <w:p w14:paraId="13D24402" w14:textId="2B33C2B6" w:rsidR="00056071" w:rsidRPr="00CF6975" w:rsidRDefault="001E1C16" w:rsidP="00DF5BBF">
      <w:pPr>
        <w:snapToGrid w:val="0"/>
        <w:spacing w:before="120" w:after="0" w:line="240" w:lineRule="auto"/>
        <w:jc w:val="both"/>
        <w:rPr>
          <w:rStyle w:val="fontstyle01"/>
          <w:bCs/>
          <w:sz w:val="22"/>
          <w:szCs w:val="22"/>
          <w:lang w:val="en-US"/>
        </w:rPr>
      </w:pPr>
      <w:r w:rsidRPr="00CF6975">
        <w:rPr>
          <w:rFonts w:ascii="Calibri" w:hAnsi="Calibri" w:cs="Calibri"/>
          <w:lang w:val="en-US"/>
        </w:rPr>
        <w:t>At the same time, it stressed that it had received information indicating that state repression during the "11J" protests had disproportionately affected people of African descent,</w:t>
      </w:r>
      <w:r w:rsidRPr="00DF5BBF">
        <w:rPr>
          <w:rStyle w:val="FootnoteReference"/>
          <w:rFonts w:ascii="Calibri" w:hAnsi="Calibri" w:cs="Calibri"/>
        </w:rPr>
        <w:footnoteReference w:id="8"/>
      </w:r>
      <w:r w:rsidRPr="00CF6975">
        <w:rPr>
          <w:rFonts w:ascii="Calibri" w:hAnsi="Calibri" w:cs="Calibri"/>
          <w:lang w:val="en-US"/>
        </w:rPr>
        <w:t xml:space="preserve"> where </w:t>
      </w:r>
      <w:r w:rsidRPr="00CF6975">
        <w:rPr>
          <w:rFonts w:ascii="Calibri" w:eastAsia="Cambria" w:hAnsi="Calibri" w:cs="Calibri"/>
          <w:lang w:val="en-US"/>
        </w:rPr>
        <w:t xml:space="preserve">law enforcement officials had </w:t>
      </w:r>
      <w:r w:rsidRPr="00CF6975">
        <w:rPr>
          <w:rFonts w:ascii="Calibri" w:hAnsi="Calibri" w:cs="Calibri"/>
          <w:lang w:val="en-US"/>
        </w:rPr>
        <w:t>applied</w:t>
      </w:r>
      <w:r w:rsidRPr="00CF6975">
        <w:rPr>
          <w:rFonts w:ascii="Calibri" w:eastAsia="Cambria" w:hAnsi="Calibri" w:cs="Calibri"/>
          <w:lang w:val="en-US"/>
        </w:rPr>
        <w:t xml:space="preserve"> racial profiling practices and excessive use of force against Afro-Cubans who participated in the social protests</w:t>
      </w:r>
      <w:r w:rsidR="006F3C38">
        <w:rPr>
          <w:rFonts w:ascii="Calibri" w:eastAsia="Cambria" w:hAnsi="Calibri" w:cs="Calibri"/>
          <w:lang w:val="en-US"/>
        </w:rPr>
        <w:t>.</w:t>
      </w:r>
      <w:r w:rsidRPr="00DF5BBF">
        <w:rPr>
          <w:rStyle w:val="FootnoteReference"/>
          <w:rFonts w:ascii="Calibri" w:hAnsi="Calibri" w:cs="Calibri"/>
        </w:rPr>
        <w:footnoteReference w:id="9"/>
      </w:r>
      <w:r w:rsidRPr="00CF6975">
        <w:rPr>
          <w:rFonts w:ascii="Calibri" w:eastAsia="Cambria" w:hAnsi="Calibri" w:cs="Calibri"/>
          <w:lang w:val="en-US"/>
        </w:rPr>
        <w:t xml:space="preserve"> </w:t>
      </w:r>
    </w:p>
    <w:p w14:paraId="41B53F4D" w14:textId="60D88B33" w:rsidR="001E1C16" w:rsidRPr="00CF6975" w:rsidRDefault="001E1C16" w:rsidP="00DF5BBF">
      <w:pPr>
        <w:snapToGrid w:val="0"/>
        <w:spacing w:before="120" w:after="0" w:line="240" w:lineRule="auto"/>
        <w:jc w:val="both"/>
        <w:rPr>
          <w:rStyle w:val="fontstyle01"/>
          <w:bCs/>
          <w:sz w:val="22"/>
          <w:szCs w:val="22"/>
          <w:lang w:val="en-US"/>
        </w:rPr>
      </w:pPr>
      <w:r w:rsidRPr="00CF6975">
        <w:rPr>
          <w:rStyle w:val="fontstyle01"/>
          <w:bCs/>
          <w:sz w:val="22"/>
          <w:szCs w:val="22"/>
          <w:lang w:val="en-US"/>
        </w:rPr>
        <w:t xml:space="preserve">Finally, </w:t>
      </w:r>
      <w:r w:rsidRPr="00CF6975">
        <w:rPr>
          <w:rStyle w:val="fontstyle01"/>
          <w:sz w:val="22"/>
          <w:szCs w:val="22"/>
          <w:lang w:val="en-US"/>
        </w:rPr>
        <w:t>a report by the organization Cubalex revealed that in the criminal proceedings for the events of 11J, Afro-descendants received the most severe sanctions, compared to the sanctions against whites</w:t>
      </w:r>
      <w:r w:rsidR="006F3C38">
        <w:rPr>
          <w:rStyle w:val="fontstyle01"/>
          <w:sz w:val="22"/>
          <w:szCs w:val="22"/>
          <w:lang w:val="en-US"/>
        </w:rPr>
        <w:t>.</w:t>
      </w:r>
      <w:r w:rsidRPr="00DF5BBF">
        <w:rPr>
          <w:rStyle w:val="FootnoteReference"/>
          <w:rFonts w:ascii="Calibri" w:hAnsi="Calibri" w:cs="Calibri"/>
          <w:color w:val="000000"/>
        </w:rPr>
        <w:footnoteReference w:id="10"/>
      </w:r>
      <w:r w:rsidRPr="00CF6975">
        <w:rPr>
          <w:rStyle w:val="fontstyle01"/>
          <w:sz w:val="22"/>
          <w:szCs w:val="22"/>
          <w:lang w:val="en-US"/>
        </w:rPr>
        <w:t xml:space="preserve"> According to this NGO, people of African descent received sanctions with an average duration of 13.02 years, "while </w:t>
      </w:r>
      <w:r w:rsidR="006F3C38">
        <w:rPr>
          <w:rStyle w:val="fontstyle01"/>
          <w:sz w:val="22"/>
          <w:szCs w:val="22"/>
          <w:lang w:val="en-US"/>
        </w:rPr>
        <w:t xml:space="preserve">people </w:t>
      </w:r>
      <w:r w:rsidRPr="00CF6975">
        <w:rPr>
          <w:rStyle w:val="fontstyle01"/>
          <w:sz w:val="22"/>
          <w:szCs w:val="22"/>
          <w:lang w:val="en-US"/>
        </w:rPr>
        <w:t xml:space="preserve">of </w:t>
      </w:r>
      <w:r w:rsidR="006F3C38">
        <w:rPr>
          <w:rStyle w:val="fontstyle01"/>
          <w:sz w:val="22"/>
          <w:szCs w:val="22"/>
          <w:lang w:val="en-US"/>
        </w:rPr>
        <w:t>non-</w:t>
      </w:r>
      <w:r w:rsidRPr="00CF6975">
        <w:rPr>
          <w:rStyle w:val="fontstyle01"/>
          <w:sz w:val="22"/>
          <w:szCs w:val="22"/>
          <w:lang w:val="en-US"/>
        </w:rPr>
        <w:t>African descent, under the same classification, have average sanctions of 12.0 years."</w:t>
      </w:r>
      <w:r w:rsidRPr="00DF5BBF">
        <w:rPr>
          <w:rStyle w:val="FootnoteReference"/>
          <w:rFonts w:ascii="Calibri" w:hAnsi="Calibri" w:cs="Calibri"/>
          <w:color w:val="000000"/>
        </w:rPr>
        <w:footnoteReference w:id="11"/>
      </w:r>
    </w:p>
    <w:p w14:paraId="00B7B0DA" w14:textId="77777777" w:rsidR="00056071" w:rsidRPr="00CF6975" w:rsidRDefault="00056071" w:rsidP="00DF5BBF">
      <w:pPr>
        <w:snapToGrid w:val="0"/>
        <w:spacing w:before="120" w:after="0" w:line="240" w:lineRule="auto"/>
        <w:jc w:val="both"/>
        <w:rPr>
          <w:rStyle w:val="fontstyle01"/>
          <w:b/>
          <w:sz w:val="22"/>
          <w:szCs w:val="22"/>
          <w:lang w:val="en-US"/>
        </w:rPr>
      </w:pPr>
    </w:p>
    <w:p w14:paraId="64BB6F08" w14:textId="0DC46EF0" w:rsidR="00F90E21" w:rsidRPr="00CF6975" w:rsidRDefault="00F90E21" w:rsidP="00DF5BBF">
      <w:pPr>
        <w:pStyle w:val="ListParagraph"/>
        <w:numPr>
          <w:ilvl w:val="0"/>
          <w:numId w:val="6"/>
        </w:numPr>
        <w:snapToGrid w:val="0"/>
        <w:spacing w:before="120" w:after="0" w:line="240" w:lineRule="auto"/>
        <w:contextualSpacing w:val="0"/>
        <w:jc w:val="both"/>
        <w:rPr>
          <w:rStyle w:val="fontstyle01"/>
          <w:b/>
          <w:sz w:val="22"/>
          <w:szCs w:val="22"/>
          <w:lang w:val="en-US"/>
        </w:rPr>
      </w:pPr>
      <w:r w:rsidRPr="00CF6975">
        <w:rPr>
          <w:rStyle w:val="fontstyle01"/>
          <w:b/>
          <w:sz w:val="22"/>
          <w:szCs w:val="22"/>
          <w:lang w:val="en-US"/>
        </w:rPr>
        <w:t xml:space="preserve">Persistence of the structural situation of racial discrimination </w:t>
      </w:r>
    </w:p>
    <w:p w14:paraId="62D807FC" w14:textId="3482622C" w:rsidR="008A4E30" w:rsidRPr="00CF6975" w:rsidRDefault="008A4E30" w:rsidP="00DF5BBF">
      <w:pPr>
        <w:snapToGrid w:val="0"/>
        <w:spacing w:before="120" w:after="0" w:line="240" w:lineRule="auto"/>
        <w:jc w:val="both"/>
        <w:rPr>
          <w:rFonts w:ascii="Calibri" w:hAnsi="Calibri" w:cs="Calibri"/>
          <w:lang w:val="en-US"/>
        </w:rPr>
      </w:pPr>
      <w:r w:rsidRPr="00CF6975">
        <w:rPr>
          <w:rFonts w:ascii="Calibri" w:hAnsi="Calibri" w:cs="Calibri"/>
          <w:lang w:val="en-US"/>
        </w:rPr>
        <w:t xml:space="preserve">In the period under review in this proceeding, the Inter-American Commission on Human Rights (hereinafter, "IACHR") has denounced </w:t>
      </w:r>
      <w:r w:rsidRPr="00CF6975">
        <w:rPr>
          <w:rFonts w:ascii="Calibri" w:eastAsia="Cambria" w:hAnsi="Calibri" w:cs="Calibri"/>
          <w:lang w:val="en-US"/>
        </w:rPr>
        <w:t>that patterns of racial discrimination persist in Cuba and that people of African descent have not ceased to suffer from historical inequalities</w:t>
      </w:r>
      <w:r w:rsidR="00EF165D">
        <w:rPr>
          <w:rFonts w:ascii="Calibri" w:eastAsia="Cambria" w:hAnsi="Calibri" w:cs="Calibri"/>
          <w:lang w:val="en-US"/>
        </w:rPr>
        <w:t>.</w:t>
      </w:r>
      <w:r w:rsidRPr="00DF5BBF">
        <w:rPr>
          <w:rStyle w:val="FootnoteReference"/>
          <w:rFonts w:ascii="Calibri" w:hAnsi="Calibri" w:cs="Calibri"/>
        </w:rPr>
        <w:footnoteReference w:id="12"/>
      </w:r>
      <w:r w:rsidRPr="00CF6975">
        <w:rPr>
          <w:rFonts w:ascii="Calibri" w:eastAsia="Cambria" w:hAnsi="Calibri" w:cs="Calibri"/>
          <w:lang w:val="en-US"/>
        </w:rPr>
        <w:t xml:space="preserve"> Thus, </w:t>
      </w:r>
      <w:r w:rsidR="00EF165D">
        <w:rPr>
          <w:rFonts w:ascii="Calibri" w:eastAsia="Cambria" w:hAnsi="Calibri" w:cs="Calibri"/>
          <w:lang w:val="en-US"/>
        </w:rPr>
        <w:t>it</w:t>
      </w:r>
      <w:r w:rsidRPr="00CF6975">
        <w:rPr>
          <w:rFonts w:ascii="Calibri" w:eastAsia="Cambria" w:hAnsi="Calibri" w:cs="Calibri"/>
          <w:lang w:val="en-US"/>
        </w:rPr>
        <w:t xml:space="preserve"> explained that </w:t>
      </w:r>
      <w:r w:rsidRPr="00CF6975">
        <w:rPr>
          <w:rFonts w:ascii="Calibri" w:eastAsia="Cambria" w:hAnsi="Calibri" w:cs="Calibri"/>
          <w:lang w:val="en-US"/>
        </w:rPr>
        <w:lastRenderedPageBreak/>
        <w:t>structural racism was what generated the denial of the very existence of racism by the State and the absence of public policies to counteract it</w:t>
      </w:r>
      <w:r w:rsidR="00EF165D">
        <w:rPr>
          <w:rFonts w:ascii="Calibri" w:eastAsia="Cambria" w:hAnsi="Calibri" w:cs="Calibri"/>
          <w:lang w:val="en-US"/>
        </w:rPr>
        <w:t>.</w:t>
      </w:r>
      <w:r w:rsidRPr="00DF5BBF">
        <w:rPr>
          <w:rStyle w:val="FootnoteReference"/>
          <w:rFonts w:ascii="Calibri" w:hAnsi="Calibri" w:cs="Calibri"/>
        </w:rPr>
        <w:footnoteReference w:id="13"/>
      </w:r>
      <w:r w:rsidRPr="00CF6975">
        <w:rPr>
          <w:rFonts w:ascii="Calibri" w:eastAsia="Cambria" w:hAnsi="Calibri" w:cs="Calibri"/>
          <w:lang w:val="en-US"/>
        </w:rPr>
        <w:t xml:space="preserve"> </w:t>
      </w:r>
    </w:p>
    <w:p w14:paraId="14B72F6F" w14:textId="77777777" w:rsidR="008A4E30" w:rsidRPr="00CF6975" w:rsidRDefault="008A4E30" w:rsidP="00DF5BBF">
      <w:pPr>
        <w:snapToGrid w:val="0"/>
        <w:spacing w:before="120" w:after="0" w:line="240" w:lineRule="auto"/>
        <w:jc w:val="both"/>
        <w:rPr>
          <w:rFonts w:ascii="Calibri" w:hAnsi="Calibri" w:cs="Calibri"/>
          <w:lang w:val="en-US"/>
        </w:rPr>
      </w:pPr>
      <w:r w:rsidRPr="00CF6975">
        <w:rPr>
          <w:rFonts w:ascii="Calibri" w:hAnsi="Calibri" w:cs="Calibri"/>
          <w:lang w:val="en-US"/>
        </w:rPr>
        <w:t>In its most recent annual report, the IACHR reiterated its concern "regarding the persistence of challenges in the implementation of actions and measures for the elimination of racial and structural discrimination in the country; as well as with respect to the situation of extreme vulnerability to which this ethnic-racial group continues to be exposed."</w:t>
      </w:r>
      <w:r w:rsidRPr="00DF5BBF">
        <w:rPr>
          <w:rStyle w:val="FootnoteReference"/>
          <w:rFonts w:ascii="Calibri" w:hAnsi="Calibri" w:cs="Calibri"/>
        </w:rPr>
        <w:footnoteReference w:id="14"/>
      </w:r>
    </w:p>
    <w:p w14:paraId="24F95926" w14:textId="6F95E57E" w:rsidR="00903B67" w:rsidRPr="00CF6975" w:rsidRDefault="00903B67" w:rsidP="00DF5BBF">
      <w:pPr>
        <w:snapToGrid w:val="0"/>
        <w:spacing w:before="120" w:after="0" w:line="240" w:lineRule="auto"/>
        <w:jc w:val="both"/>
        <w:rPr>
          <w:rFonts w:ascii="Calibri" w:hAnsi="Calibri" w:cs="Calibri"/>
          <w:lang w:val="en-US"/>
        </w:rPr>
      </w:pPr>
      <w:r w:rsidRPr="00CF6975">
        <w:rPr>
          <w:rFonts w:ascii="Calibri" w:hAnsi="Calibri" w:cs="Calibri"/>
          <w:lang w:val="en-US"/>
        </w:rPr>
        <w:t>Even in the face of the existence of evidence and the warnings of this Honorable Committee and organizations such as the IACHR, the State has continued to affirm for years that the Cuban Revolution of 1959 put an end to structural racism. This was reiterated before this Honorable Committee by Rodolfo Reyes Rodríguez, Director General of Multilateral Affairs and International Law of the Ministry of Foreign Affairs of Cuba and Head of the Cuban Delegation at the presentation of Cuba's periodic report in 2018, assuring that "it was the Revolution that definitively eradicated institutionalized racial discrimination and segregation practices that existed in the country before 1959</w:t>
      </w:r>
      <w:r w:rsidR="00EF165D">
        <w:rPr>
          <w:rFonts w:ascii="Calibri" w:hAnsi="Calibri" w:cs="Calibri"/>
          <w:lang w:val="en-US"/>
        </w:rPr>
        <w:t>.</w:t>
      </w:r>
      <w:r w:rsidRPr="00CF6975">
        <w:rPr>
          <w:rFonts w:ascii="Calibri" w:hAnsi="Calibri" w:cs="Calibri"/>
          <w:lang w:val="en-US"/>
        </w:rPr>
        <w:t>"</w:t>
      </w:r>
      <w:r w:rsidRPr="00DF5BBF">
        <w:rPr>
          <w:rStyle w:val="FootnoteReference"/>
          <w:rFonts w:ascii="Calibri" w:hAnsi="Calibri" w:cs="Calibri"/>
        </w:rPr>
        <w:footnoteReference w:id="15"/>
      </w:r>
      <w:r w:rsidRPr="00CF6975">
        <w:rPr>
          <w:rFonts w:ascii="Calibri" w:hAnsi="Calibri" w:cs="Calibri"/>
          <w:lang w:val="en-US"/>
        </w:rPr>
        <w:t xml:space="preserve"> Recently, he claimed that the Cuban Revolution of 1959 "demolished the structural foundations of racism"</w:t>
      </w:r>
      <w:r w:rsidRPr="00DF5BBF">
        <w:rPr>
          <w:rStyle w:val="FootnoteReference"/>
          <w:rFonts w:ascii="Calibri" w:hAnsi="Calibri" w:cs="Calibri"/>
        </w:rPr>
        <w:footnoteReference w:id="16"/>
      </w:r>
      <w:r w:rsidRPr="00CF6975">
        <w:rPr>
          <w:rFonts w:ascii="Calibri" w:hAnsi="Calibri" w:cs="Calibri"/>
          <w:lang w:val="en-US"/>
        </w:rPr>
        <w:t xml:space="preserve"> and "eliminated forever institutionalized racial discrimination."</w:t>
      </w:r>
      <w:r w:rsidRPr="00DF5BBF">
        <w:rPr>
          <w:rStyle w:val="FootnoteReference"/>
          <w:rFonts w:ascii="Calibri" w:hAnsi="Calibri" w:cs="Calibri"/>
        </w:rPr>
        <w:footnoteReference w:id="17"/>
      </w:r>
    </w:p>
    <w:p w14:paraId="0CDDD329" w14:textId="77777777" w:rsidR="00903B67" w:rsidRPr="00EF165D" w:rsidRDefault="00903B67" w:rsidP="00DF5BBF">
      <w:pPr>
        <w:snapToGrid w:val="0"/>
        <w:spacing w:before="120" w:after="0" w:line="240" w:lineRule="auto"/>
        <w:jc w:val="both"/>
        <w:rPr>
          <w:rFonts w:ascii="Calibri" w:hAnsi="Calibri" w:cs="Calibri"/>
          <w:lang w:val="en-US"/>
        </w:rPr>
      </w:pPr>
      <w:r w:rsidRPr="00CF6975">
        <w:rPr>
          <w:rFonts w:ascii="Calibri" w:hAnsi="Calibri" w:cs="Calibri"/>
          <w:lang w:val="en-US"/>
        </w:rPr>
        <w:t xml:space="preserve">More subtly, in its report to the present review process, the State again speaks of "actions to combat and definitively eliminate </w:t>
      </w:r>
      <w:r w:rsidRPr="00EF165D">
        <w:rPr>
          <w:rFonts w:ascii="Calibri" w:hAnsi="Calibri" w:cs="Calibri"/>
          <w:lang w:val="en-US"/>
        </w:rPr>
        <w:t>the vestiges of racism, racial prejudice and racial discrimination that persist in Cuba"</w:t>
      </w:r>
      <w:r w:rsidRPr="00EF165D">
        <w:rPr>
          <w:rStyle w:val="FootnoteReference"/>
          <w:rFonts w:ascii="Calibri" w:hAnsi="Calibri" w:cs="Calibri"/>
        </w:rPr>
        <w:footnoteReference w:id="18"/>
      </w:r>
      <w:r w:rsidRPr="00EF165D">
        <w:rPr>
          <w:rFonts w:ascii="Calibri" w:hAnsi="Calibri" w:cs="Calibri"/>
          <w:lang w:val="en-US"/>
        </w:rPr>
        <w:t xml:space="preserve"> and of "the will to eliminate the vestiges of racism, racial discrimination and racial prejudice that persist in the country."</w:t>
      </w:r>
      <w:r w:rsidRPr="00EF165D">
        <w:rPr>
          <w:rStyle w:val="FootnoteReference"/>
          <w:rFonts w:ascii="Calibri" w:hAnsi="Calibri" w:cs="Calibri"/>
        </w:rPr>
        <w:footnoteReference w:id="19"/>
      </w:r>
    </w:p>
    <w:p w14:paraId="34FA82E5" w14:textId="2EFD03A3" w:rsidR="00903B67" w:rsidRPr="00CF6975" w:rsidRDefault="00903B67" w:rsidP="00DF5BBF">
      <w:pPr>
        <w:snapToGrid w:val="0"/>
        <w:spacing w:before="120" w:after="0" w:line="240" w:lineRule="auto"/>
        <w:jc w:val="both"/>
        <w:rPr>
          <w:rFonts w:ascii="Calibri" w:hAnsi="Calibri" w:cs="Calibri"/>
          <w:lang w:val="en-US"/>
        </w:rPr>
      </w:pPr>
      <w:r w:rsidRPr="00CF6975">
        <w:rPr>
          <w:rFonts w:ascii="Calibri" w:hAnsi="Calibri" w:cs="Calibri"/>
          <w:lang w:val="en-US"/>
        </w:rPr>
        <w:t>The only exception to this position, which the State has been firmly defending for years, seems to be found in the National Program against Racism and Racial Discrimination, which, after ensuring that, although the historical circumstances that generate barriers for people of African descent have disappeared, the cycles of negative stereotypes that put these people in an initial situation of disadvantage are "systematically" renewed</w:t>
      </w:r>
      <w:r w:rsidR="00EF165D">
        <w:rPr>
          <w:rFonts w:ascii="Calibri" w:hAnsi="Calibri" w:cs="Calibri"/>
          <w:lang w:val="en-US"/>
        </w:rPr>
        <w:t>.</w:t>
      </w:r>
      <w:r w:rsidRPr="00DF5BBF">
        <w:rPr>
          <w:rStyle w:val="FootnoteReference"/>
          <w:rFonts w:ascii="Calibri" w:hAnsi="Calibri" w:cs="Calibri"/>
        </w:rPr>
        <w:footnoteReference w:id="20"/>
      </w:r>
      <w:r w:rsidRPr="00CF6975">
        <w:rPr>
          <w:rFonts w:ascii="Calibri" w:hAnsi="Calibri" w:cs="Calibri"/>
          <w:lang w:val="en-US"/>
        </w:rPr>
        <w:t xml:space="preserve"> </w:t>
      </w:r>
    </w:p>
    <w:p w14:paraId="097C4B1C" w14:textId="6D750B95" w:rsidR="00903B67" w:rsidRPr="00CF6975" w:rsidRDefault="00903B67" w:rsidP="00DF5BBF">
      <w:pPr>
        <w:snapToGrid w:val="0"/>
        <w:spacing w:before="120" w:after="0" w:line="240" w:lineRule="auto"/>
        <w:jc w:val="both"/>
        <w:rPr>
          <w:rFonts w:ascii="Calibri" w:hAnsi="Calibri" w:cs="Calibri"/>
          <w:lang w:val="en-US"/>
        </w:rPr>
      </w:pPr>
      <w:r w:rsidRPr="00CF6975">
        <w:rPr>
          <w:rFonts w:ascii="Calibri" w:hAnsi="Calibri" w:cs="Calibri"/>
          <w:lang w:val="en-US"/>
        </w:rPr>
        <w:lastRenderedPageBreak/>
        <w:t>The conditions of inferiority and exclusion of a group of people that are perpetuated over time, and even for generations, is what defines a situation of structural or systemic discrimination</w:t>
      </w:r>
      <w:r w:rsidR="00EF165D">
        <w:rPr>
          <w:rFonts w:ascii="Calibri" w:hAnsi="Calibri" w:cs="Calibri"/>
          <w:lang w:val="en-US"/>
        </w:rPr>
        <w:t>.</w:t>
      </w:r>
      <w:r w:rsidRPr="00DF5BBF">
        <w:rPr>
          <w:rStyle w:val="FootnoteReference"/>
          <w:rFonts w:ascii="Calibri" w:hAnsi="Calibri" w:cs="Calibri"/>
        </w:rPr>
        <w:footnoteReference w:id="21"/>
      </w:r>
    </w:p>
    <w:p w14:paraId="005A2254" w14:textId="2EF72E1D" w:rsidR="00903B67" w:rsidRPr="00CF6975" w:rsidRDefault="00903B67" w:rsidP="00DF5BBF">
      <w:pPr>
        <w:snapToGrid w:val="0"/>
        <w:spacing w:before="120" w:after="0" w:line="240" w:lineRule="auto"/>
        <w:jc w:val="both"/>
        <w:rPr>
          <w:rFonts w:ascii="Calibri" w:hAnsi="Calibri" w:cs="Calibri"/>
          <w:lang w:val="en-US"/>
        </w:rPr>
      </w:pPr>
      <w:r w:rsidRPr="00CF6975">
        <w:rPr>
          <w:rFonts w:ascii="Calibri" w:hAnsi="Calibri" w:cs="Calibri"/>
          <w:lang w:val="en-US"/>
        </w:rPr>
        <w:t>Let us remember that this Honorable Committee explained that one of the ways in which racism and structural discrimination against Afro-descendants are manifested is in the "limited social recognition" that this population</w:t>
      </w:r>
      <w:r w:rsidRPr="00DF5BBF">
        <w:rPr>
          <w:rStyle w:val="FootnoteReference"/>
          <w:rFonts w:ascii="Calibri" w:hAnsi="Calibri" w:cs="Calibri"/>
        </w:rPr>
        <w:footnoteReference w:id="22"/>
      </w:r>
      <w:r w:rsidR="00EF165D">
        <w:rPr>
          <w:rFonts w:ascii="Calibri" w:hAnsi="Calibri" w:cs="Calibri"/>
          <w:lang w:val="en-US"/>
        </w:rPr>
        <w:t xml:space="preserve"> </w:t>
      </w:r>
      <w:r w:rsidRPr="00CF6975">
        <w:rPr>
          <w:rFonts w:ascii="Calibri" w:hAnsi="Calibri" w:cs="Calibri"/>
          <w:lang w:val="en-US"/>
        </w:rPr>
        <w:t>faces. And, as is well known, the first step in dealing with a situation that presents structural patterns or practices requires the recognition of that situation. Only then will it be possible to carry out a general evaluation of the historical, material, temporal and spatial circumstances surrounding the situation</w:t>
      </w:r>
      <w:r w:rsidR="00EF165D">
        <w:rPr>
          <w:rFonts w:ascii="Calibri" w:hAnsi="Calibri" w:cs="Calibri"/>
          <w:lang w:val="en-US"/>
        </w:rPr>
        <w:t>.</w:t>
      </w:r>
      <w:r w:rsidRPr="00DF5BBF">
        <w:rPr>
          <w:rStyle w:val="FootnoteReference"/>
          <w:rFonts w:ascii="Calibri" w:hAnsi="Calibri" w:cs="Calibri"/>
        </w:rPr>
        <w:footnoteReference w:id="23"/>
      </w:r>
    </w:p>
    <w:p w14:paraId="1CE3A9FD" w14:textId="54A844AF" w:rsidR="00903B67" w:rsidRPr="00CF6975" w:rsidRDefault="00903B67" w:rsidP="00DF5BBF">
      <w:pPr>
        <w:snapToGrid w:val="0"/>
        <w:spacing w:before="120" w:after="0" w:line="240" w:lineRule="auto"/>
        <w:jc w:val="both"/>
        <w:rPr>
          <w:rFonts w:ascii="Calibri" w:hAnsi="Calibri" w:cs="Calibri"/>
          <w:lang w:val="en-US"/>
        </w:rPr>
      </w:pPr>
      <w:r w:rsidRPr="00CF6975">
        <w:rPr>
          <w:rFonts w:ascii="Calibri" w:hAnsi="Calibri" w:cs="Calibri"/>
          <w:lang w:val="en-US"/>
        </w:rPr>
        <w:t xml:space="preserve">Cuba continues to deny this situation and, beyond the creation of the National Program against Racism and Racial Discrimination, which we will </w:t>
      </w:r>
      <w:r w:rsidR="00EF165D" w:rsidRPr="00CF6975">
        <w:rPr>
          <w:rFonts w:ascii="Calibri" w:hAnsi="Calibri" w:cs="Calibri"/>
          <w:lang w:val="en-US"/>
        </w:rPr>
        <w:t>analyze</w:t>
      </w:r>
      <w:r w:rsidRPr="00CF6975">
        <w:rPr>
          <w:rFonts w:ascii="Calibri" w:hAnsi="Calibri" w:cs="Calibri"/>
          <w:lang w:val="en-US"/>
        </w:rPr>
        <w:t xml:space="preserve"> below, continues to rely on legislative amendments to "definitively eliminate the vestiges of racism".</w:t>
      </w:r>
      <w:r w:rsidRPr="00DF5BBF">
        <w:rPr>
          <w:rStyle w:val="FootnoteReference"/>
          <w:rFonts w:ascii="Calibri" w:hAnsi="Calibri" w:cs="Calibri"/>
        </w:rPr>
        <w:footnoteReference w:id="24"/>
      </w:r>
      <w:r w:rsidRPr="00CF6975">
        <w:rPr>
          <w:rFonts w:ascii="Calibri" w:hAnsi="Calibri" w:cs="Calibri"/>
          <w:lang w:val="en-US"/>
        </w:rPr>
        <w:t xml:space="preserve"> In its report to the Committee, the State devotes extensive pages to explaining the legal reforms that, in most cases, although in formal terms they may seem to be in line with international standards, in practice are not enforceable by the Afro-descendant population that suffers discrimination. </w:t>
      </w:r>
    </w:p>
    <w:p w14:paraId="64FD0E99" w14:textId="77777777" w:rsidR="00903B67" w:rsidRPr="00CF6975" w:rsidRDefault="00903B67" w:rsidP="00DF5BBF">
      <w:pPr>
        <w:snapToGrid w:val="0"/>
        <w:spacing w:before="120" w:after="0" w:line="240" w:lineRule="auto"/>
        <w:jc w:val="both"/>
        <w:rPr>
          <w:rFonts w:ascii="Calibri" w:hAnsi="Calibri" w:cs="Calibri"/>
          <w:lang w:val="en-US"/>
        </w:rPr>
      </w:pPr>
      <w:r w:rsidRPr="00CF6975">
        <w:rPr>
          <w:rFonts w:ascii="Calibri" w:hAnsi="Calibri" w:cs="Calibri"/>
          <w:lang w:val="en-US"/>
        </w:rPr>
        <w:t>Without going into the relevance and legality of each of the reforms, it is worth remembering that Fidel Castro himself recognized the ineffectiveness of isolated legal reforms to combat racial discrimination. In September 2000 (more than 25 years ago) in a speech he gave in a church in Harlem, New York, he said: "We believed at the beginning that by establishing the most absolute equality before the law and absolute intolerance against all manifestations of sexual discrimination [...] or racial, [...] would disappear from our society. It took us a long time to discover, I tell you this way, that marginality and with it racial discrimination are not eliminated with one law or with ten laws."</w:t>
      </w:r>
      <w:r w:rsidRPr="00DF5BBF">
        <w:rPr>
          <w:rStyle w:val="FootnoteReference"/>
          <w:rFonts w:ascii="Calibri" w:hAnsi="Calibri" w:cs="Calibri"/>
        </w:rPr>
        <w:footnoteReference w:id="25"/>
      </w:r>
    </w:p>
    <w:p w14:paraId="0C1027EB" w14:textId="72DCC130" w:rsidR="008A4E30" w:rsidRPr="00CF6975" w:rsidRDefault="00903B67" w:rsidP="00DF5BBF">
      <w:pPr>
        <w:snapToGrid w:val="0"/>
        <w:spacing w:before="120" w:after="0" w:line="240" w:lineRule="auto"/>
        <w:jc w:val="both"/>
        <w:rPr>
          <w:rStyle w:val="fontstyle01"/>
          <w:color w:val="auto"/>
          <w:sz w:val="22"/>
          <w:szCs w:val="22"/>
          <w:lang w:val="en-US"/>
        </w:rPr>
      </w:pPr>
      <w:r w:rsidRPr="00CF6975">
        <w:rPr>
          <w:rFonts w:ascii="Calibri" w:hAnsi="Calibri" w:cs="Calibri"/>
          <w:lang w:val="en-US"/>
        </w:rPr>
        <w:t>Finally, the denial of the existence of a structural situation is also based in part on the alleged "deep miscegenation" that the State argues. This situation, as will be analyzed below, directly affects the social recognition of this population.</w:t>
      </w:r>
    </w:p>
    <w:p w14:paraId="31D07DA3" w14:textId="77777777" w:rsidR="008A4E30" w:rsidRPr="00CF6975" w:rsidRDefault="008A4E30" w:rsidP="00DF5BBF">
      <w:pPr>
        <w:snapToGrid w:val="0"/>
        <w:spacing w:before="120" w:after="0" w:line="240" w:lineRule="auto"/>
        <w:jc w:val="both"/>
        <w:rPr>
          <w:rStyle w:val="fontstyle01"/>
          <w:b/>
          <w:sz w:val="22"/>
          <w:szCs w:val="22"/>
          <w:lang w:val="en-US"/>
        </w:rPr>
      </w:pPr>
    </w:p>
    <w:p w14:paraId="2C5F3E3C" w14:textId="30BEFCBB" w:rsidR="00F12382" w:rsidRPr="00CF6975" w:rsidRDefault="00F12382" w:rsidP="00DF5BBF">
      <w:pPr>
        <w:pStyle w:val="ListParagraph"/>
        <w:numPr>
          <w:ilvl w:val="0"/>
          <w:numId w:val="6"/>
        </w:numPr>
        <w:snapToGrid w:val="0"/>
        <w:spacing w:before="120" w:after="0" w:line="240" w:lineRule="auto"/>
        <w:contextualSpacing w:val="0"/>
        <w:jc w:val="both"/>
        <w:rPr>
          <w:rFonts w:ascii="Calibri" w:hAnsi="Calibri" w:cs="Calibri"/>
          <w:b/>
          <w:color w:val="000000"/>
          <w:lang w:val="en-US"/>
        </w:rPr>
      </w:pPr>
      <w:r w:rsidRPr="00CF6975">
        <w:rPr>
          <w:rFonts w:ascii="Calibri" w:hAnsi="Calibri" w:cs="Calibri"/>
          <w:b/>
          <w:bCs/>
          <w:lang w:val="en-US"/>
        </w:rPr>
        <w:t>Ethnic-racial identification of the Cuban population</w:t>
      </w:r>
    </w:p>
    <w:p w14:paraId="65F98F58" w14:textId="77777777" w:rsidR="00F12382" w:rsidRPr="00CF6975" w:rsidRDefault="00F12382" w:rsidP="00DF5BBF">
      <w:pPr>
        <w:snapToGrid w:val="0"/>
        <w:spacing w:before="120" w:after="0" w:line="240" w:lineRule="auto"/>
        <w:jc w:val="both"/>
        <w:rPr>
          <w:rFonts w:ascii="Calibri" w:hAnsi="Calibri" w:cs="Calibri"/>
          <w:lang w:val="en-US"/>
        </w:rPr>
      </w:pPr>
      <w:r w:rsidRPr="00CF6975">
        <w:rPr>
          <w:rFonts w:ascii="Calibri" w:hAnsi="Calibri" w:cs="Calibri"/>
          <w:lang w:val="en-US"/>
        </w:rPr>
        <w:t>In his speech before this Honorable Committee in 2018, the representative of the State referred to the "deep cultural and genetic miscegenation" that justifies for the Cuban State that it is a "uniethnic nation."</w:t>
      </w:r>
      <w:r w:rsidRPr="00DF5BBF">
        <w:rPr>
          <w:rStyle w:val="FootnoteReference"/>
          <w:rFonts w:ascii="Calibri" w:hAnsi="Calibri" w:cs="Calibri"/>
        </w:rPr>
        <w:footnoteReference w:id="26"/>
      </w:r>
      <w:r w:rsidRPr="00CF6975">
        <w:rPr>
          <w:rFonts w:ascii="Calibri" w:hAnsi="Calibri" w:cs="Calibri"/>
          <w:lang w:val="en-US"/>
        </w:rPr>
        <w:t xml:space="preserve"> He then explained that, for this reason, "there are no different ethnic groups or national minorities in the country, nor have they ever been recognized legally, politically or socially. The concept </w:t>
      </w:r>
      <w:r w:rsidRPr="00CF6975">
        <w:rPr>
          <w:rFonts w:ascii="Calibri" w:hAnsi="Calibri" w:cs="Calibri"/>
          <w:lang w:val="en-US"/>
        </w:rPr>
        <w:lastRenderedPageBreak/>
        <w:t>of "Afro-Cuban" or "Afro-descendant" is alien to our reality; as are the concepts of "Hispanic-Cubans" or "Indo-Cubans".</w:t>
      </w:r>
      <w:r w:rsidRPr="00DF5BBF">
        <w:rPr>
          <w:rStyle w:val="FootnoteReference"/>
          <w:rFonts w:ascii="Calibri" w:hAnsi="Calibri" w:cs="Calibri"/>
        </w:rPr>
        <w:footnoteReference w:id="27"/>
      </w:r>
    </w:p>
    <w:p w14:paraId="31FD195B" w14:textId="77777777" w:rsidR="00F12382" w:rsidRPr="00CF6975" w:rsidRDefault="00F12382" w:rsidP="00DF5BBF">
      <w:pPr>
        <w:snapToGrid w:val="0"/>
        <w:spacing w:before="120" w:after="0" w:line="240" w:lineRule="auto"/>
        <w:jc w:val="both"/>
        <w:rPr>
          <w:rFonts w:ascii="Calibri" w:hAnsi="Calibri" w:cs="Calibri"/>
          <w:lang w:val="en-US"/>
        </w:rPr>
      </w:pPr>
      <w:r w:rsidRPr="00CF6975">
        <w:rPr>
          <w:rFonts w:ascii="Calibri" w:hAnsi="Calibri" w:cs="Calibri"/>
          <w:lang w:val="en-US"/>
        </w:rPr>
        <w:t>This position was reiterated in the Cuban Color Program, which is part of the National Program against Racism and Racial Discrimination. He assured that "they do not recognize, at the social level: Hispanic-Cubans, Afro-Cubans, Indo-Cubans, Franco-Cubans, Chinese-Cubans or any other denomination than "Cubans" in individual subjects and in spirituality: "Cuban culture, Cubanness, Cubanness and Cubanness."</w:t>
      </w:r>
      <w:r w:rsidRPr="00DF5BBF">
        <w:rPr>
          <w:rStyle w:val="FootnoteReference"/>
          <w:rFonts w:ascii="Calibri" w:hAnsi="Calibri" w:cs="Calibri"/>
        </w:rPr>
        <w:footnoteReference w:id="28"/>
      </w:r>
    </w:p>
    <w:p w14:paraId="55C29199" w14:textId="29005147" w:rsidR="00F12382" w:rsidRPr="00CF6975" w:rsidRDefault="00F12382" w:rsidP="00DF5BBF">
      <w:pPr>
        <w:snapToGrid w:val="0"/>
        <w:spacing w:before="120" w:after="0" w:line="240" w:lineRule="auto"/>
        <w:jc w:val="both"/>
        <w:rPr>
          <w:rFonts w:ascii="Calibri" w:hAnsi="Calibri" w:cs="Calibri"/>
          <w:lang w:val="en-US"/>
        </w:rPr>
      </w:pPr>
      <w:r w:rsidRPr="00CF6975">
        <w:rPr>
          <w:rFonts w:ascii="Calibri" w:hAnsi="Calibri" w:cs="Calibri"/>
          <w:lang w:val="en-US"/>
        </w:rPr>
        <w:t>Within the framework of this program, as part of Subprogram 4, the State proposed to produce some publications. One of them was called "Conceptualization of Cuban ethnicity" and is "a manual suggested by the direction of the Ministry of Education aimed fundamentally at training organizations."</w:t>
      </w:r>
      <w:r w:rsidRPr="00DF5BBF">
        <w:rPr>
          <w:rStyle w:val="FootnoteReference"/>
          <w:rFonts w:ascii="Calibri" w:hAnsi="Calibri" w:cs="Calibri"/>
        </w:rPr>
        <w:footnoteReference w:id="29"/>
      </w:r>
      <w:r w:rsidRPr="00CF6975">
        <w:rPr>
          <w:rFonts w:ascii="Calibri" w:hAnsi="Calibri" w:cs="Calibri"/>
          <w:lang w:val="en-US"/>
        </w:rPr>
        <w:t xml:space="preserve"> What is striking about this publication is that, although it reiterates the general position of the program on the miscegenation of the Cuban population, it recognizes that "the mestizo between Spaniards, Portuguese or French and black Africans was called mulatto in the colonies of the three </w:t>
      </w:r>
      <w:r w:rsidRPr="00CF6975">
        <w:rPr>
          <w:rFonts w:ascii="Calibri" w:hAnsi="Calibri" w:cs="Calibri"/>
          <w:i/>
          <w:iCs/>
          <w:lang w:val="en-US"/>
        </w:rPr>
        <w:t>powers</w:t>
      </w:r>
      <w:r w:rsidRPr="00CF6975">
        <w:rPr>
          <w:rFonts w:ascii="Calibri" w:hAnsi="Calibri" w:cs="Calibri"/>
          <w:lang w:val="en-US"/>
        </w:rPr>
        <w:t>. This name was due to pejoratively compare this mixture with the mule or mule, which is a hybrid between the horse or mare and the donkey or donkey".</w:t>
      </w:r>
      <w:r w:rsidRPr="00DF5BBF">
        <w:rPr>
          <w:rStyle w:val="FootnoteReference"/>
          <w:rFonts w:ascii="Calibri" w:hAnsi="Calibri" w:cs="Calibri"/>
        </w:rPr>
        <w:footnoteReference w:id="30"/>
      </w:r>
      <w:r w:rsidRPr="00CF6975">
        <w:rPr>
          <w:rFonts w:ascii="Calibri" w:hAnsi="Calibri" w:cs="Calibri"/>
          <w:lang w:val="en-US"/>
        </w:rPr>
        <w:t xml:space="preserve"> Despite this, he continues with the use of the term that he considers pejorative.</w:t>
      </w:r>
    </w:p>
    <w:p w14:paraId="245876BF" w14:textId="4B0E9D1C" w:rsidR="00F12382" w:rsidRPr="00CF6975" w:rsidRDefault="00F12382" w:rsidP="00DF5BBF">
      <w:pPr>
        <w:snapToGrid w:val="0"/>
        <w:spacing w:before="120" w:after="0" w:line="240" w:lineRule="auto"/>
        <w:jc w:val="both"/>
        <w:rPr>
          <w:rFonts w:ascii="Calibri" w:hAnsi="Calibri" w:cs="Calibri"/>
          <w:lang w:val="en-US"/>
        </w:rPr>
      </w:pPr>
      <w:r w:rsidRPr="00CF6975">
        <w:rPr>
          <w:rFonts w:ascii="Calibri" w:hAnsi="Calibri" w:cs="Calibri"/>
          <w:lang w:val="en-US"/>
        </w:rPr>
        <w:t>And he concludes that "there is a wide range of shades in the epidermis of Cubans, but basically three are assumed: white skin, brown or mulatto skin and black skin."</w:t>
      </w:r>
      <w:r w:rsidRPr="00DF5BBF">
        <w:rPr>
          <w:rStyle w:val="FootnoteReference"/>
          <w:rFonts w:ascii="Calibri" w:hAnsi="Calibri" w:cs="Calibri"/>
        </w:rPr>
        <w:footnoteReference w:id="31"/>
      </w:r>
      <w:r w:rsidRPr="00CF6975">
        <w:rPr>
          <w:rFonts w:ascii="Calibri" w:hAnsi="Calibri" w:cs="Calibri"/>
          <w:lang w:val="en-US"/>
        </w:rPr>
        <w:t xml:space="preserve"> This conclusion has a direct correlation in the refusal to modify the methodology used in the 2012 census and that will be repeated in the census that has been postponed</w:t>
      </w:r>
      <w:r w:rsidR="00BC204C">
        <w:rPr>
          <w:rFonts w:ascii="Calibri" w:hAnsi="Calibri" w:cs="Calibri"/>
          <w:lang w:val="en-US"/>
        </w:rPr>
        <w:t>.</w:t>
      </w:r>
      <w:r w:rsidRPr="00DF5BBF">
        <w:rPr>
          <w:rStyle w:val="FootnoteReference"/>
          <w:rFonts w:ascii="Calibri" w:hAnsi="Calibri" w:cs="Calibri"/>
        </w:rPr>
        <w:footnoteReference w:id="32"/>
      </w:r>
    </w:p>
    <w:p w14:paraId="6D806B15" w14:textId="70D040E5" w:rsidR="00F12382" w:rsidRPr="00CF6975" w:rsidRDefault="00F12382" w:rsidP="00DF5BBF">
      <w:pPr>
        <w:snapToGrid w:val="0"/>
        <w:spacing w:before="120" w:after="0" w:line="240" w:lineRule="auto"/>
        <w:jc w:val="both"/>
        <w:rPr>
          <w:rFonts w:ascii="Calibri" w:hAnsi="Calibri" w:cs="Calibri"/>
          <w:lang w:val="en-US"/>
        </w:rPr>
      </w:pPr>
      <w:r w:rsidRPr="00CF6975">
        <w:rPr>
          <w:rFonts w:ascii="Calibri" w:hAnsi="Calibri" w:cs="Calibri"/>
          <w:lang w:val="en-US"/>
        </w:rPr>
        <w:t>In the face of this conception of "racial democracy," the IACHR has long warned that it is important to identify and solve the myth of racial democracy, which consists of "the idea that [...] there is no racism because [...] all races and cultures merged forever in a happy synthesis."</w:t>
      </w:r>
      <w:r w:rsidRPr="00DF5BBF">
        <w:rPr>
          <w:rStyle w:val="FootnoteReference"/>
          <w:rFonts w:ascii="Calibri" w:hAnsi="Calibri" w:cs="Calibri"/>
        </w:rPr>
        <w:footnoteReference w:id="33"/>
      </w:r>
    </w:p>
    <w:p w14:paraId="1E0309B6" w14:textId="77777777" w:rsidR="00F12382" w:rsidRPr="00CF6975" w:rsidRDefault="00F12382" w:rsidP="00DF5BBF">
      <w:pPr>
        <w:snapToGrid w:val="0"/>
        <w:spacing w:before="120" w:after="0" w:line="240" w:lineRule="auto"/>
        <w:jc w:val="both"/>
        <w:rPr>
          <w:rStyle w:val="fontstyle01"/>
          <w:b/>
          <w:sz w:val="22"/>
          <w:szCs w:val="22"/>
          <w:lang w:val="en-US"/>
        </w:rPr>
      </w:pPr>
    </w:p>
    <w:p w14:paraId="77671665" w14:textId="6FB03B20" w:rsidR="00D86B47" w:rsidRPr="00CF6975" w:rsidRDefault="004D0117" w:rsidP="00DF5BBF">
      <w:pPr>
        <w:pStyle w:val="ListParagraph"/>
        <w:numPr>
          <w:ilvl w:val="0"/>
          <w:numId w:val="6"/>
        </w:numPr>
        <w:snapToGrid w:val="0"/>
        <w:spacing w:before="120" w:after="0" w:line="240" w:lineRule="auto"/>
        <w:contextualSpacing w:val="0"/>
        <w:jc w:val="both"/>
        <w:rPr>
          <w:rStyle w:val="fontstyle01"/>
          <w:b/>
          <w:sz w:val="22"/>
          <w:szCs w:val="22"/>
          <w:lang w:val="en-US"/>
        </w:rPr>
      </w:pPr>
      <w:r w:rsidRPr="00CF6975">
        <w:rPr>
          <w:rFonts w:ascii="Calibri" w:hAnsi="Calibri" w:cs="Calibri"/>
          <w:b/>
          <w:bCs/>
          <w:lang w:val="en-US"/>
        </w:rPr>
        <w:t>Ethnic-racial identification in the population census</w:t>
      </w:r>
    </w:p>
    <w:p w14:paraId="7B313A09" w14:textId="54321CB5" w:rsidR="004D0117" w:rsidRPr="00CF6975" w:rsidRDefault="004D0117" w:rsidP="00DF5BBF">
      <w:pPr>
        <w:snapToGrid w:val="0"/>
        <w:spacing w:before="120" w:after="0" w:line="240" w:lineRule="auto"/>
        <w:jc w:val="both"/>
        <w:rPr>
          <w:rStyle w:val="fontstyle01"/>
          <w:sz w:val="22"/>
          <w:szCs w:val="22"/>
          <w:lang w:val="en-US"/>
        </w:rPr>
      </w:pPr>
      <w:r w:rsidRPr="00CF6975">
        <w:rPr>
          <w:rFonts w:ascii="Calibri" w:hAnsi="Calibri" w:cs="Calibri"/>
          <w:lang w:val="en-US"/>
        </w:rPr>
        <w:t xml:space="preserve">In its Concluding Observations on the combined 19th to 21st periodic reports of the Cuban State (hereinafter, "concluding observations"), this Honorable Committee conveyed to the State its concern about the methodology used in the 2012 census, since it did not allow for objective information to be </w:t>
      </w:r>
      <w:r w:rsidRPr="00CF6975">
        <w:rPr>
          <w:rFonts w:ascii="Calibri" w:hAnsi="Calibri" w:cs="Calibri"/>
          <w:lang w:val="en-US"/>
        </w:rPr>
        <w:lastRenderedPageBreak/>
        <w:t>obtained that faithfully reflects the ethnic composition of the population</w:t>
      </w:r>
      <w:r w:rsidR="00BC204C">
        <w:rPr>
          <w:rFonts w:ascii="Calibri" w:hAnsi="Calibri" w:cs="Calibri"/>
          <w:lang w:val="en-US"/>
        </w:rPr>
        <w:t>.</w:t>
      </w:r>
      <w:r w:rsidRPr="00DF5BBF">
        <w:rPr>
          <w:rStyle w:val="FootnoteReference"/>
          <w:rFonts w:ascii="Calibri" w:hAnsi="Calibri" w:cs="Calibri"/>
        </w:rPr>
        <w:footnoteReference w:id="34"/>
      </w:r>
      <w:r w:rsidRPr="00CF6975">
        <w:rPr>
          <w:rFonts w:ascii="Calibri" w:hAnsi="Calibri" w:cs="Calibri"/>
          <w:lang w:val="en-US"/>
        </w:rPr>
        <w:t xml:space="preserve"> In view of the foregoing, it recommended that the State review "the methodology for data collection used in the population and housing censuses, so that this methodology is based on the criterion of self-identification, ensuring that the census questions are formulated in consultation with the Afro-descendant population and can adequately reflect the ethnic composition of the population."</w:t>
      </w:r>
      <w:r w:rsidRPr="00DF5BBF">
        <w:rPr>
          <w:rStyle w:val="FootnoteReference"/>
          <w:rFonts w:ascii="Calibri" w:hAnsi="Calibri" w:cs="Calibri"/>
        </w:rPr>
        <w:footnoteReference w:id="35"/>
      </w:r>
      <w:r w:rsidRPr="00CF6975">
        <w:rPr>
          <w:rFonts w:ascii="Calibri" w:hAnsi="Calibri" w:cs="Calibri"/>
          <w:lang w:val="en-US"/>
        </w:rPr>
        <w:t xml:space="preserve"> The IACHR made a similar statement in 2020."</w:t>
      </w:r>
      <w:r w:rsidRPr="00DF5BBF">
        <w:rPr>
          <w:rStyle w:val="FootnoteReference"/>
          <w:rFonts w:ascii="Calibri" w:hAnsi="Calibri" w:cs="Calibri"/>
        </w:rPr>
        <w:footnoteReference w:id="36"/>
      </w:r>
    </w:p>
    <w:p w14:paraId="6614E933" w14:textId="6EF3E83B" w:rsidR="00AA0925" w:rsidRPr="00CF6975" w:rsidRDefault="00B07CC3" w:rsidP="00DF5BBF">
      <w:pPr>
        <w:snapToGrid w:val="0"/>
        <w:spacing w:before="120" w:after="0" w:line="240" w:lineRule="auto"/>
        <w:jc w:val="both"/>
        <w:rPr>
          <w:rStyle w:val="fontstyle01"/>
          <w:sz w:val="22"/>
          <w:szCs w:val="22"/>
          <w:lang w:val="en-US"/>
        </w:rPr>
      </w:pPr>
      <w:r w:rsidRPr="00CF6975">
        <w:rPr>
          <w:rStyle w:val="fontstyle01"/>
          <w:sz w:val="22"/>
          <w:szCs w:val="22"/>
          <w:lang w:val="en-US"/>
        </w:rPr>
        <w:t>The last Population and Housing Census carried out in Cuba in 2012, showed that 64.1% of the population was white, 26.6% mestizo (mulatto or brown) and 9.3% black, out of a total population of 11,167,325</w:t>
      </w:r>
      <w:r w:rsidR="00BC204C">
        <w:rPr>
          <w:rStyle w:val="fontstyle01"/>
          <w:sz w:val="22"/>
          <w:szCs w:val="22"/>
          <w:lang w:val="en-US"/>
        </w:rPr>
        <w:t>.</w:t>
      </w:r>
      <w:r w:rsidR="000A0C53" w:rsidRPr="00DF5BBF">
        <w:rPr>
          <w:rStyle w:val="FootnoteReference"/>
          <w:rFonts w:ascii="Calibri" w:hAnsi="Calibri" w:cs="Calibri"/>
          <w:color w:val="000000"/>
        </w:rPr>
        <w:footnoteReference w:id="37"/>
      </w:r>
      <w:r w:rsidR="00F12382" w:rsidRPr="00CF6975">
        <w:rPr>
          <w:rStyle w:val="fontstyle01"/>
          <w:sz w:val="22"/>
          <w:szCs w:val="22"/>
          <w:lang w:val="en-US"/>
        </w:rPr>
        <w:t xml:space="preserve"> On the other hand, in the report presented by the Cuban government to the Committee for discussion, corresponding to the period 2018-2026, in paragraph 16, it states that "Cuba has a population of 9,354,454 people. Of these, 66.3% are white, 9.5% black and 24.2% mulattoes."</w:t>
      </w:r>
      <w:r w:rsidR="0009063B" w:rsidRPr="00DF5BBF">
        <w:rPr>
          <w:rStyle w:val="FootnoteReference"/>
          <w:rFonts w:ascii="Calibri" w:hAnsi="Calibri" w:cs="Calibri"/>
          <w:color w:val="000000"/>
        </w:rPr>
        <w:footnoteReference w:id="38"/>
      </w:r>
      <w:r w:rsidR="009172D4" w:rsidRPr="00CF6975">
        <w:rPr>
          <w:rStyle w:val="fontstyle01"/>
          <w:sz w:val="22"/>
          <w:szCs w:val="22"/>
          <w:lang w:val="en-US"/>
        </w:rPr>
        <w:t xml:space="preserve"> </w:t>
      </w:r>
    </w:p>
    <w:p w14:paraId="61CCEF92" w14:textId="77777777" w:rsidR="004D0117" w:rsidRPr="00CF6975" w:rsidRDefault="004D0117" w:rsidP="00DF5BBF">
      <w:pPr>
        <w:snapToGrid w:val="0"/>
        <w:spacing w:before="120" w:after="0" w:line="240" w:lineRule="auto"/>
        <w:jc w:val="both"/>
        <w:rPr>
          <w:rStyle w:val="fontstyle01"/>
          <w:sz w:val="22"/>
          <w:szCs w:val="22"/>
          <w:lang w:val="en-US"/>
        </w:rPr>
      </w:pPr>
      <w:r w:rsidRPr="00CF6975">
        <w:rPr>
          <w:rStyle w:val="fontstyle01"/>
          <w:sz w:val="22"/>
          <w:szCs w:val="22"/>
          <w:lang w:val="en-US"/>
        </w:rPr>
        <w:t>In the first place, it is striking that the "updated" information presented by the State shows a growth in the white population since the 2012 census, of 2.2%; when it is estimated that in the context of the migration crisis that broke out in 2021, around 2,000,000 people, mostly white, would have left the island, since activists point out that Afro populations are the ones with the most barriers to leaving the country.</w:t>
      </w:r>
    </w:p>
    <w:p w14:paraId="7AC1D471" w14:textId="5DAFAED8" w:rsidR="004D0117" w:rsidRPr="00CF6975" w:rsidRDefault="004D0117" w:rsidP="00DF5BBF">
      <w:pPr>
        <w:snapToGrid w:val="0"/>
        <w:spacing w:before="120" w:after="0" w:line="240" w:lineRule="auto"/>
        <w:jc w:val="both"/>
        <w:rPr>
          <w:rFonts w:ascii="Calibri" w:hAnsi="Calibri" w:cs="Calibri"/>
          <w:lang w:val="en-US"/>
        </w:rPr>
      </w:pPr>
      <w:r w:rsidRPr="00CF6975">
        <w:rPr>
          <w:rFonts w:ascii="Calibri" w:hAnsi="Calibri" w:cs="Calibri"/>
          <w:lang w:val="en-US"/>
        </w:rPr>
        <w:t>It is also noted that, despite the recommendation made by this Honorable Committee, the State responded that "in the methodological bases of the Census to be undertaken in 2025, it is determined that for census purposes the population is stratified into three groups (white, black, and mulatto) and that the characteristics refer to the concept commonly understood by the population and do not really reflect races or ethnicities."</w:t>
      </w:r>
      <w:r w:rsidRPr="00DF5BBF">
        <w:rPr>
          <w:rStyle w:val="FootnoteReference"/>
          <w:rFonts w:ascii="Calibri" w:hAnsi="Calibri" w:cs="Calibri"/>
        </w:rPr>
        <w:footnoteReference w:id="39"/>
      </w:r>
    </w:p>
    <w:p w14:paraId="78FFF366" w14:textId="77777777" w:rsidR="004D0117" w:rsidRPr="00CF6975" w:rsidRDefault="004D0117" w:rsidP="00DF5BBF">
      <w:pPr>
        <w:snapToGrid w:val="0"/>
        <w:spacing w:before="120" w:after="0" w:line="240" w:lineRule="auto"/>
        <w:jc w:val="both"/>
        <w:rPr>
          <w:rFonts w:ascii="Calibri" w:hAnsi="Calibri" w:cs="Calibri"/>
          <w:lang w:val="en-US"/>
        </w:rPr>
      </w:pPr>
      <w:r w:rsidRPr="00CF6975">
        <w:rPr>
          <w:rFonts w:ascii="Calibri" w:hAnsi="Calibri" w:cs="Calibri"/>
          <w:lang w:val="en-US"/>
        </w:rPr>
        <w:t xml:space="preserve">Thus, Cuba maintains a racial criterion of self-identification, without including elements of ethnicity in the question. Although there is no single way to ask this question and it is recognized that this type of question can favor identification, since they are categories that are commonly understood by the population, it presents challenges when it comes to defining who is or is not Afro-descendant and, consequently, who are the beneficiaries of the rights and legal frameworks that protect the rights of Afro-descendants. </w:t>
      </w:r>
    </w:p>
    <w:p w14:paraId="0E29961B" w14:textId="77777777" w:rsidR="004D0117" w:rsidRPr="00CF6975" w:rsidRDefault="004D0117" w:rsidP="00DF5BBF">
      <w:pPr>
        <w:snapToGrid w:val="0"/>
        <w:spacing w:before="120" w:after="0" w:line="240" w:lineRule="auto"/>
        <w:jc w:val="both"/>
        <w:rPr>
          <w:rFonts w:ascii="Calibri" w:hAnsi="Calibri" w:cs="Calibri"/>
          <w:lang w:val="en-US"/>
        </w:rPr>
      </w:pPr>
      <w:r w:rsidRPr="00CF6975">
        <w:rPr>
          <w:rFonts w:ascii="Calibri" w:hAnsi="Calibri" w:cs="Calibri"/>
          <w:lang w:val="en-US"/>
        </w:rPr>
        <w:t xml:space="preserve">If we add to the above analysis that the State's position is to ignore the existence of the "Afro-Cuban" or "Afro-descendant", it is noted that the chosen question gives it the framework to sustain this position and avoid properly identifying Afro-descendant persons who are holders of rights. </w:t>
      </w:r>
    </w:p>
    <w:p w14:paraId="11846A75" w14:textId="77777777" w:rsidR="00D71A8B" w:rsidRPr="00CF6975" w:rsidRDefault="004D0117" w:rsidP="00DF5BBF">
      <w:pPr>
        <w:snapToGrid w:val="0"/>
        <w:spacing w:before="120" w:after="0" w:line="240" w:lineRule="auto"/>
        <w:jc w:val="both"/>
        <w:rPr>
          <w:rFonts w:ascii="Calibri" w:hAnsi="Calibri" w:cs="Calibri"/>
          <w:lang w:val="en-US"/>
        </w:rPr>
      </w:pPr>
      <w:r w:rsidRPr="00CF6975">
        <w:rPr>
          <w:rFonts w:ascii="Calibri" w:hAnsi="Calibri" w:cs="Calibri"/>
          <w:lang w:val="en-US"/>
        </w:rPr>
        <w:t xml:space="preserve">Finally, if, as indicated above, the government permanently carries out public awareness campaigns about what should be considered a "uniethnic nation", added to the racial prejudices that the State itself </w:t>
      </w:r>
      <w:r w:rsidRPr="00CF6975">
        <w:rPr>
          <w:rFonts w:ascii="Calibri" w:hAnsi="Calibri" w:cs="Calibri"/>
          <w:lang w:val="en-US"/>
        </w:rPr>
        <w:lastRenderedPageBreak/>
        <w:t>recognizes persist, it is logical to deduce that a portion of the Afro-descendant population seeks to self-identify with intermediate positions that reinforce the idea of "racial miscegenation".</w:t>
      </w:r>
    </w:p>
    <w:p w14:paraId="4B432D08" w14:textId="5F38F01F" w:rsidR="00AA0925" w:rsidRPr="00CF6975" w:rsidRDefault="00D71A8B" w:rsidP="00DF5BBF">
      <w:pPr>
        <w:snapToGrid w:val="0"/>
        <w:spacing w:before="120" w:after="0" w:line="240" w:lineRule="auto"/>
        <w:jc w:val="both"/>
        <w:rPr>
          <w:rStyle w:val="fontstyle01"/>
          <w:color w:val="auto"/>
          <w:sz w:val="22"/>
          <w:szCs w:val="22"/>
          <w:lang w:val="en-US"/>
        </w:rPr>
      </w:pPr>
      <w:r w:rsidRPr="00CF6975">
        <w:rPr>
          <w:rFonts w:ascii="Calibri" w:hAnsi="Calibri" w:cs="Calibri"/>
          <w:lang w:val="en-US"/>
        </w:rPr>
        <w:t>Despite the fact that campaigns aimed at raising awareness of ethnic-racial self-identification in society are also essential in the conduct of data collection activities, which foster confidence in minorities that there is nothing to fear from self-identification</w:t>
      </w:r>
      <w:r w:rsidR="004D0117" w:rsidRPr="00DF5BBF">
        <w:rPr>
          <w:rStyle w:val="FootnoteReference"/>
          <w:rFonts w:ascii="Calibri" w:hAnsi="Calibri" w:cs="Calibri"/>
        </w:rPr>
        <w:footnoteReference w:id="40"/>
      </w:r>
      <w:r w:rsidR="004D0117" w:rsidRPr="00CF6975">
        <w:rPr>
          <w:rFonts w:ascii="Calibri" w:hAnsi="Calibri" w:cs="Calibri"/>
          <w:lang w:val="en-US"/>
        </w:rPr>
        <w:t>, the</w:t>
      </w:r>
      <w:r w:rsidR="0022138F">
        <w:rPr>
          <w:rFonts w:ascii="Calibri" w:hAnsi="Calibri" w:cs="Calibri"/>
          <w:lang w:val="en-US"/>
        </w:rPr>
        <w:t xml:space="preserve"> </w:t>
      </w:r>
      <w:r w:rsidR="004D0117" w:rsidRPr="00CF6975">
        <w:rPr>
          <w:rStyle w:val="eop"/>
          <w:rFonts w:ascii="Calibri" w:eastAsia="Cambria" w:hAnsi="Calibri" w:cs="Calibri"/>
          <w:lang w:val="en-US"/>
        </w:rPr>
        <w:t xml:space="preserve">IACHR repeatedly highlighted </w:t>
      </w:r>
      <w:r w:rsidR="004D0117" w:rsidRPr="00CF6975">
        <w:rPr>
          <w:rFonts w:ascii="Calibri" w:hAnsi="Calibri" w:cs="Calibri"/>
          <w:lang w:val="en-US"/>
        </w:rPr>
        <w:t>the absence of campaigns aimed at raising awareness of ethnic-racial self-identification in society</w:t>
      </w:r>
      <w:r w:rsidR="0022138F">
        <w:rPr>
          <w:rFonts w:ascii="Calibri" w:hAnsi="Calibri" w:cs="Calibri"/>
          <w:lang w:val="en-US"/>
        </w:rPr>
        <w:t>.</w:t>
      </w:r>
      <w:r w:rsidR="004D0117" w:rsidRPr="00DF5BBF">
        <w:rPr>
          <w:rStyle w:val="FootnoteReference"/>
          <w:rFonts w:ascii="Calibri" w:hAnsi="Calibri" w:cs="Calibri"/>
        </w:rPr>
        <w:footnoteReference w:id="41"/>
      </w:r>
      <w:r w:rsidR="004D0117" w:rsidRPr="00CF6975">
        <w:rPr>
          <w:rFonts w:ascii="Calibri" w:hAnsi="Calibri" w:cs="Calibri"/>
          <w:lang w:val="en-US"/>
        </w:rPr>
        <w:t xml:space="preserve"> </w:t>
      </w:r>
    </w:p>
    <w:p w14:paraId="49451393" w14:textId="4B7B86B1" w:rsidR="00B45785" w:rsidRPr="00CF6975" w:rsidRDefault="00B45785" w:rsidP="00DF5BBF">
      <w:pPr>
        <w:snapToGrid w:val="0"/>
        <w:spacing w:before="120" w:after="0" w:line="240" w:lineRule="auto"/>
        <w:jc w:val="both"/>
        <w:rPr>
          <w:rStyle w:val="fontstyle01"/>
          <w:b/>
          <w:sz w:val="22"/>
          <w:szCs w:val="22"/>
          <w:lang w:val="en-US"/>
        </w:rPr>
      </w:pPr>
    </w:p>
    <w:p w14:paraId="4E423932" w14:textId="33083A41" w:rsidR="0075591E" w:rsidRPr="00CF6975" w:rsidRDefault="0075591E" w:rsidP="00DF5BBF">
      <w:pPr>
        <w:pStyle w:val="ListParagraph"/>
        <w:numPr>
          <w:ilvl w:val="0"/>
          <w:numId w:val="6"/>
        </w:numPr>
        <w:snapToGrid w:val="0"/>
        <w:spacing w:before="120" w:after="0" w:line="240" w:lineRule="auto"/>
        <w:contextualSpacing w:val="0"/>
        <w:jc w:val="both"/>
        <w:rPr>
          <w:rStyle w:val="fontstyle01"/>
          <w:b/>
          <w:sz w:val="22"/>
          <w:szCs w:val="22"/>
          <w:lang w:val="en-US"/>
        </w:rPr>
      </w:pPr>
      <w:r w:rsidRPr="00CF6975">
        <w:rPr>
          <w:rStyle w:val="fontstyle01"/>
          <w:b/>
          <w:sz w:val="22"/>
          <w:szCs w:val="22"/>
          <w:lang w:val="en-US"/>
        </w:rPr>
        <w:t>Analysis of the report of the Cuban State to the Committee</w:t>
      </w:r>
    </w:p>
    <w:p w14:paraId="5D991E76" w14:textId="766846BC" w:rsidR="008D1D6B" w:rsidRPr="00CF6975" w:rsidRDefault="00CB04A8" w:rsidP="00DF5BBF">
      <w:pPr>
        <w:snapToGrid w:val="0"/>
        <w:spacing w:before="120" w:after="0" w:line="240" w:lineRule="auto"/>
        <w:jc w:val="both"/>
        <w:rPr>
          <w:rStyle w:val="fontstyle01"/>
          <w:sz w:val="22"/>
          <w:szCs w:val="22"/>
          <w:lang w:val="en-US"/>
        </w:rPr>
      </w:pPr>
      <w:r w:rsidRPr="00CF6975">
        <w:rPr>
          <w:rStyle w:val="fontstyle01"/>
          <w:sz w:val="22"/>
          <w:szCs w:val="22"/>
          <w:lang w:val="en-US"/>
        </w:rPr>
        <w:t xml:space="preserve">The Cuban government's report to the Committee presents the legislative, judicial, and administrative developments, among others, adopted in the period 2018-2023, with the aim of giving effect to the provisions of the Convention. </w:t>
      </w:r>
    </w:p>
    <w:p w14:paraId="686EE02E" w14:textId="07592BD9" w:rsidR="008D1D6B" w:rsidRPr="00CF6975" w:rsidRDefault="00955462" w:rsidP="00DF5BBF">
      <w:pPr>
        <w:snapToGrid w:val="0"/>
        <w:spacing w:before="120" w:after="0" w:line="240" w:lineRule="auto"/>
        <w:jc w:val="both"/>
        <w:rPr>
          <w:rStyle w:val="fontstyle01"/>
          <w:sz w:val="22"/>
          <w:szCs w:val="22"/>
          <w:lang w:val="en-US"/>
        </w:rPr>
      </w:pPr>
      <w:r w:rsidRPr="00CF6975">
        <w:rPr>
          <w:rStyle w:val="fontstyle01"/>
          <w:sz w:val="22"/>
          <w:szCs w:val="22"/>
          <w:lang w:val="en-US"/>
        </w:rPr>
        <w:t>Paragraph 3 contains a statement about consultations with civil society</w:t>
      </w:r>
      <w:r w:rsidR="0022138F">
        <w:rPr>
          <w:rStyle w:val="fontstyle01"/>
          <w:sz w:val="22"/>
          <w:szCs w:val="22"/>
          <w:lang w:val="en-US"/>
        </w:rPr>
        <w:t>;</w:t>
      </w:r>
      <w:r w:rsidRPr="00CF6975">
        <w:rPr>
          <w:rStyle w:val="fontstyle01"/>
          <w:sz w:val="22"/>
          <w:szCs w:val="22"/>
          <w:lang w:val="en-US"/>
        </w:rPr>
        <w:t xml:space="preserve"> we must clarify that the report refers to civil society organized and controlled by the government itself and at no time took into account the opinion of independent groups of people of African descent. </w:t>
      </w:r>
      <w:r w:rsidR="005B7B8B" w:rsidRPr="00CF6975">
        <w:rPr>
          <w:rFonts w:ascii="Calibri" w:hAnsi="Calibri" w:cs="Calibri"/>
          <w:lang w:val="en-US"/>
        </w:rPr>
        <w:t>The IACHR noted that in a 2024 hearing, participating organizations denounced the lack of spaces to participate and build a social and political agenda that leads the State to adopt public practices that give them the possibility of occupying a place in society to advocate for the respect of their rights</w:t>
      </w:r>
      <w:r w:rsidR="0022138F">
        <w:rPr>
          <w:rFonts w:ascii="Calibri" w:hAnsi="Calibri" w:cs="Calibri"/>
          <w:lang w:val="en-US"/>
        </w:rPr>
        <w:t>.</w:t>
      </w:r>
      <w:r w:rsidR="005B7B8B" w:rsidRPr="00DF5BBF">
        <w:rPr>
          <w:rStyle w:val="FootnoteReference"/>
          <w:rFonts w:ascii="Calibri" w:hAnsi="Calibri" w:cs="Calibri"/>
        </w:rPr>
        <w:footnoteReference w:id="42"/>
      </w:r>
      <w:r w:rsidR="005B7B8B" w:rsidRPr="00CF6975">
        <w:rPr>
          <w:rFonts w:ascii="Calibri" w:hAnsi="Calibri" w:cs="Calibri"/>
          <w:lang w:val="en-US"/>
        </w:rPr>
        <w:t xml:space="preserve">  </w:t>
      </w:r>
      <w:r w:rsidR="005B7B8B" w:rsidRPr="00CF6975">
        <w:rPr>
          <w:rStyle w:val="fontstyle01"/>
          <w:sz w:val="22"/>
          <w:szCs w:val="22"/>
          <w:lang w:val="en-US"/>
        </w:rPr>
        <w:t>This is in breach of the Committee's concluding observation 39, which requested the State party to intensify its efforts to establish constructive cooperation with civil society organizations working for the protection of human rights, "in particular the fight against racial discrimination".</w:t>
      </w:r>
      <w:r w:rsidR="005D3968" w:rsidRPr="00DF5BBF">
        <w:rPr>
          <w:rStyle w:val="FootnoteReference"/>
          <w:rFonts w:ascii="Calibri" w:hAnsi="Calibri" w:cs="Calibri"/>
          <w:color w:val="000000"/>
        </w:rPr>
        <w:footnoteReference w:id="43"/>
      </w:r>
    </w:p>
    <w:p w14:paraId="009B43DE" w14:textId="34490646" w:rsidR="00056F34" w:rsidRPr="00CF6975" w:rsidRDefault="00670C0A" w:rsidP="00DF5BBF">
      <w:pPr>
        <w:snapToGrid w:val="0"/>
        <w:spacing w:before="120" w:after="0" w:line="240" w:lineRule="auto"/>
        <w:jc w:val="both"/>
        <w:rPr>
          <w:rStyle w:val="fontstyle01"/>
          <w:sz w:val="22"/>
          <w:szCs w:val="22"/>
          <w:lang w:val="en-US"/>
        </w:rPr>
      </w:pPr>
      <w:r w:rsidRPr="00CF6975">
        <w:rPr>
          <w:rStyle w:val="fontstyle01"/>
          <w:sz w:val="22"/>
          <w:szCs w:val="22"/>
          <w:lang w:val="en-US"/>
        </w:rPr>
        <w:t>Paragraphs 10, 11 and 12 show the adoption and implementation, in November 2019, of the National Program against Racism and Racial Discrimination, which represented more of an expression of wishes than a real and effective strategy. The failure of the Program against Racism has not been in its drafting and formulation, but in the lack of funding and economic resources, which prevent the Program from becoming an effective instrument for eliminating racial discrimination in Cuba.</w:t>
      </w:r>
    </w:p>
    <w:p w14:paraId="4C3AD05D" w14:textId="55FCF0A3" w:rsidR="00955462" w:rsidRPr="0022138F" w:rsidRDefault="00955462" w:rsidP="00DF5BBF">
      <w:pPr>
        <w:snapToGrid w:val="0"/>
        <w:spacing w:before="120" w:after="0" w:line="240" w:lineRule="auto"/>
        <w:jc w:val="both"/>
        <w:rPr>
          <w:rStyle w:val="fontstyle01"/>
          <w:sz w:val="22"/>
          <w:szCs w:val="22"/>
        </w:rPr>
      </w:pPr>
      <w:r w:rsidRPr="00CF6975">
        <w:rPr>
          <w:rStyle w:val="fontstyle01"/>
          <w:sz w:val="22"/>
          <w:szCs w:val="22"/>
          <w:lang w:val="en-US"/>
        </w:rPr>
        <w:t>With regard to the Program, it is worth noting that</w:t>
      </w:r>
      <w:r w:rsidRPr="00CF6975">
        <w:rPr>
          <w:rFonts w:ascii="Calibri" w:hAnsi="Calibri" w:cs="Calibri"/>
          <w:lang w:val="en-US"/>
        </w:rPr>
        <w:t xml:space="preserve"> the IACHR noted that it did not take into account the participation of independent civil society organizations interested in the field, while it was prepared on the basis of an incomplete diagnosis, especially with regard to the living conditions and employability of persons of African descent</w:t>
      </w:r>
      <w:r w:rsidR="0022138F">
        <w:rPr>
          <w:rFonts w:ascii="Calibri" w:hAnsi="Calibri" w:cs="Calibri"/>
          <w:lang w:val="en-US"/>
        </w:rPr>
        <w:t>.</w:t>
      </w:r>
      <w:r w:rsidRPr="00DF5BBF">
        <w:rPr>
          <w:rStyle w:val="FootnoteReference"/>
          <w:rFonts w:ascii="Calibri" w:hAnsi="Calibri" w:cs="Calibri"/>
        </w:rPr>
        <w:footnoteReference w:id="44"/>
      </w:r>
      <w:r w:rsidRPr="00CF6975">
        <w:rPr>
          <w:rFonts w:ascii="Calibri" w:hAnsi="Calibri" w:cs="Calibri"/>
          <w:lang w:val="en-US"/>
        </w:rPr>
        <w:t xml:space="preserve"> In 2023, this organization called for the effective participation</w:t>
      </w:r>
      <w:r w:rsidRPr="00CF6975">
        <w:rPr>
          <w:rStyle w:val="eop"/>
          <w:rFonts w:ascii="Calibri" w:eastAsia="Cambria" w:hAnsi="Calibri" w:cs="Calibri"/>
          <w:lang w:val="en-US"/>
        </w:rPr>
        <w:t xml:space="preserve"> of civil society in the program to be ensured, without discrimination based on ideological traits</w:t>
      </w:r>
      <w:r w:rsidR="0022138F">
        <w:rPr>
          <w:rStyle w:val="eop"/>
          <w:rFonts w:ascii="Calibri" w:eastAsia="Cambria" w:hAnsi="Calibri" w:cs="Calibri"/>
          <w:lang w:val="en-US"/>
        </w:rPr>
        <w:t>.</w:t>
      </w:r>
      <w:r w:rsidRPr="00DF5BBF">
        <w:rPr>
          <w:rStyle w:val="FootnoteReference"/>
          <w:rFonts w:ascii="Calibri" w:eastAsia="Cambria" w:hAnsi="Calibri" w:cs="Calibri"/>
        </w:rPr>
        <w:footnoteReference w:id="45"/>
      </w:r>
    </w:p>
    <w:p w14:paraId="5F87587D" w14:textId="657392D6" w:rsidR="008D1D6B" w:rsidRPr="00CF6975" w:rsidRDefault="006E03D4" w:rsidP="00DF5BBF">
      <w:pPr>
        <w:snapToGrid w:val="0"/>
        <w:spacing w:before="120" w:after="0" w:line="240" w:lineRule="auto"/>
        <w:jc w:val="both"/>
        <w:rPr>
          <w:rStyle w:val="fontstyle01"/>
          <w:sz w:val="22"/>
          <w:szCs w:val="22"/>
          <w:lang w:val="en-US"/>
        </w:rPr>
      </w:pPr>
      <w:r w:rsidRPr="00CF6975">
        <w:rPr>
          <w:rStyle w:val="fontstyle01"/>
          <w:sz w:val="22"/>
          <w:szCs w:val="22"/>
          <w:lang w:val="en-US"/>
        </w:rPr>
        <w:t xml:space="preserve">With regard to paragraphs 13, 14 and 15 of the report, paragraph 14 refers to the commitment of the Cuban government to implement the recommendations that were made to it on racial matters during its </w:t>
      </w:r>
      <w:r w:rsidRPr="00CF6975">
        <w:rPr>
          <w:rStyle w:val="fontstyle01"/>
          <w:sz w:val="22"/>
          <w:szCs w:val="22"/>
          <w:lang w:val="en-US"/>
        </w:rPr>
        <w:lastRenderedPageBreak/>
        <w:t>submission to the fourth cycle of the Universal Periodic Review of the Human Rights Council; although the report does not refer to what these recommendations were on the subject of race. However, the main recommendation made in the interactive dialogue for the fourth cycle of the Universal Periodic Review was to conclude the process of ratification of the main international covenants, including the International Covenant on Civil and Political Rights, the International Covenant on Economic, Social and Cultural Rights, its Optional Protocols and other instruments,</w:t>
      </w:r>
      <w:r w:rsidR="009E08C5" w:rsidRPr="00DF5BBF">
        <w:rPr>
          <w:rStyle w:val="FootnoteReference"/>
          <w:rFonts w:ascii="Calibri" w:hAnsi="Calibri" w:cs="Calibri"/>
          <w:color w:val="000000"/>
        </w:rPr>
        <w:footnoteReference w:id="46"/>
      </w:r>
      <w:r w:rsidR="00955462" w:rsidRPr="00CF6975">
        <w:rPr>
          <w:rStyle w:val="fontstyle01"/>
          <w:sz w:val="22"/>
          <w:szCs w:val="22"/>
          <w:lang w:val="en-US"/>
        </w:rPr>
        <w:t xml:space="preserve"> and this has not been implemented so far. </w:t>
      </w:r>
    </w:p>
    <w:p w14:paraId="665AA021" w14:textId="0F6C2451" w:rsidR="00AF415C" w:rsidRPr="00CF6975" w:rsidRDefault="00AF415C" w:rsidP="00DF5BBF">
      <w:pPr>
        <w:snapToGrid w:val="0"/>
        <w:spacing w:before="120" w:after="0" w:line="240" w:lineRule="auto"/>
        <w:jc w:val="both"/>
        <w:rPr>
          <w:rStyle w:val="fontstyle01"/>
          <w:sz w:val="22"/>
          <w:szCs w:val="22"/>
          <w:lang w:val="en-US"/>
        </w:rPr>
      </w:pPr>
      <w:r w:rsidRPr="00CF6975">
        <w:rPr>
          <w:rStyle w:val="fontstyle01"/>
          <w:sz w:val="22"/>
          <w:szCs w:val="22"/>
          <w:lang w:val="en-US"/>
        </w:rPr>
        <w:t>Paragraph 16 referring to Cuban demographic information taking into account skin color has already been analyzed above.</w:t>
      </w:r>
    </w:p>
    <w:p w14:paraId="3DBE0CCC" w14:textId="6D747E9F" w:rsidR="00EA7FEF" w:rsidRPr="00CF6975" w:rsidRDefault="00321EE5" w:rsidP="00DF5BBF">
      <w:pPr>
        <w:snapToGrid w:val="0"/>
        <w:spacing w:before="120" w:after="0" w:line="240" w:lineRule="auto"/>
        <w:jc w:val="both"/>
        <w:rPr>
          <w:rStyle w:val="fontstyle01"/>
          <w:sz w:val="22"/>
          <w:szCs w:val="22"/>
          <w:lang w:val="en-US"/>
        </w:rPr>
      </w:pPr>
      <w:r w:rsidRPr="00CF6975">
        <w:rPr>
          <w:rStyle w:val="fontstyle01"/>
          <w:sz w:val="22"/>
          <w:szCs w:val="22"/>
          <w:lang w:val="en-US"/>
        </w:rPr>
        <w:t xml:space="preserve">Paragraphs 17, 18 and 19 transcribe articles of the Cuban Constitution of 2019. Unfortunately, despite the principle of constitutional supremacy in force in the Cuban legal system, there are still legal bodies in Cuba that discriminate on the basis of the place of territorial origin of Cuban citizens. We refer to Decree Law 217/1997 "Migratory Regulations for the City of Havana" which limits freedom of movement within the island and the right to choose one's place of residence. This legal body essentially prohibits residence in the most important municipalities of the Cuban capital, for those citizens of the rest of the country, unless a complex procedure is carried out before the capital's housing offices, so that this entity, if it understands it, can grant the residence permit in Havana. In fact, turning citizens residing in the provinces into second-class citizens without access to the main sources of employment and services in Cuba, where the largest and best hospitals, cultural, sports and recreational centers are concentrated. The measure was specifically designed to stop the internal migration of the inhabitants of the eastern provinces, mostly Afro-descendants, pejoratively known as "Palestinians". Worse still, this text has served as the legal basis for mass deportations of undocumented </w:t>
      </w:r>
      <w:r w:rsidR="0022138F">
        <w:rPr>
          <w:rStyle w:val="fontstyle01"/>
          <w:sz w:val="22"/>
          <w:szCs w:val="22"/>
          <w:lang w:val="en-US"/>
        </w:rPr>
        <w:t>Cubans from the eastern part of the island</w:t>
      </w:r>
      <w:r w:rsidRPr="00CF6975">
        <w:rPr>
          <w:rStyle w:val="fontstyle01"/>
          <w:sz w:val="22"/>
          <w:szCs w:val="22"/>
          <w:lang w:val="en-US"/>
        </w:rPr>
        <w:t xml:space="preserve"> in the so-called "deportation trains to </w:t>
      </w:r>
      <w:r w:rsidR="0022138F">
        <w:rPr>
          <w:rStyle w:val="fontstyle01"/>
          <w:sz w:val="22"/>
          <w:szCs w:val="22"/>
          <w:lang w:val="en-US"/>
        </w:rPr>
        <w:t>the East</w:t>
      </w:r>
      <w:r w:rsidRPr="00CF6975">
        <w:rPr>
          <w:rStyle w:val="fontstyle01"/>
          <w:sz w:val="22"/>
          <w:szCs w:val="22"/>
          <w:lang w:val="en-US"/>
        </w:rPr>
        <w:t>," carried out by the police after raids or the selective application of internal deportation to human rights activists and independent journalists. Nor does the wording of the new constitution and complementary laws conform to the Committee's recommendation on the reports of the Cuban State 19th to 21st, in terms of contemplating acts of direct and indirect discrimination</w:t>
      </w:r>
      <w:r w:rsidR="00CA3808" w:rsidRPr="00DF5BBF">
        <w:rPr>
          <w:rStyle w:val="FootnoteReference"/>
          <w:rFonts w:ascii="Calibri" w:hAnsi="Calibri" w:cs="Calibri"/>
          <w:color w:val="000000"/>
        </w:rPr>
        <w:footnoteReference w:id="47"/>
      </w:r>
      <w:r w:rsidR="0086269D" w:rsidRPr="00CF6975">
        <w:rPr>
          <w:rStyle w:val="fontstyle01"/>
          <w:sz w:val="22"/>
          <w:szCs w:val="22"/>
          <w:lang w:val="en-US"/>
        </w:rPr>
        <w:t xml:space="preserve">. </w:t>
      </w:r>
    </w:p>
    <w:p w14:paraId="33814067" w14:textId="1AEFBB44" w:rsidR="005B7B8B" w:rsidRPr="00CF6975" w:rsidRDefault="004B1091" w:rsidP="00DF5BBF">
      <w:pPr>
        <w:snapToGrid w:val="0"/>
        <w:spacing w:before="120" w:after="0" w:line="240" w:lineRule="auto"/>
        <w:jc w:val="both"/>
        <w:rPr>
          <w:rStyle w:val="fontstyle01"/>
          <w:sz w:val="22"/>
          <w:szCs w:val="22"/>
          <w:lang w:val="en-US"/>
        </w:rPr>
      </w:pPr>
      <w:r w:rsidRPr="00CF6975">
        <w:rPr>
          <w:rStyle w:val="fontstyle01"/>
          <w:sz w:val="22"/>
          <w:szCs w:val="22"/>
          <w:lang w:val="en-US"/>
        </w:rPr>
        <w:t xml:space="preserve">Paragraphs 22 to 27 of the report refer to compliance with article 2 of the Convention. Paragraph 23 refers to the formulation of Chapter VIII, Title XIV, Book Two of the Criminal Code, Law 151/22, on the crime against the right to equality. It is striking that this crime has never been applied since the enactment of the new penal code in 2022 </w:t>
      </w:r>
      <w:r w:rsidR="00CA0FDC" w:rsidRPr="00CF6975">
        <w:rPr>
          <w:rStyle w:val="fontstyle01"/>
          <w:sz w:val="22"/>
          <w:szCs w:val="22"/>
          <w:lang w:val="en-US"/>
        </w:rPr>
        <w:t>and</w:t>
      </w:r>
      <w:r w:rsidRPr="00CF6975">
        <w:rPr>
          <w:rStyle w:val="fontstyle01"/>
          <w:sz w:val="22"/>
          <w:szCs w:val="22"/>
          <w:lang w:val="en-US"/>
        </w:rPr>
        <w:t xml:space="preserve"> as has been demonstrated throughout this document, it is not due to lack of discrimination, but rather that the Afro-descendant population for various reasons does not file complaints for this crime. </w:t>
      </w:r>
    </w:p>
    <w:p w14:paraId="4EF47E90" w14:textId="0633A1D7" w:rsidR="00B36DF8" w:rsidRPr="00CF6975" w:rsidRDefault="0005732B" w:rsidP="00DF5BBF">
      <w:pPr>
        <w:snapToGrid w:val="0"/>
        <w:spacing w:before="120" w:after="0" w:line="240" w:lineRule="auto"/>
        <w:jc w:val="both"/>
        <w:rPr>
          <w:rFonts w:ascii="Calibri" w:hAnsi="Calibri" w:cs="Calibri"/>
          <w:highlight w:val="yellow"/>
          <w:lang w:val="en-US"/>
        </w:rPr>
      </w:pPr>
      <w:r w:rsidRPr="00CF6975">
        <w:rPr>
          <w:rStyle w:val="fontstyle01"/>
          <w:sz w:val="22"/>
          <w:szCs w:val="22"/>
          <w:lang w:val="en-US"/>
        </w:rPr>
        <w:t xml:space="preserve">For example, the actions of police officers are biased by racial prejudice or racial profiling, as this phenomenon is also called. </w:t>
      </w:r>
      <w:r w:rsidR="00B36DF8" w:rsidRPr="00CF6975">
        <w:rPr>
          <w:rFonts w:ascii="Calibri" w:hAnsi="Calibri" w:cs="Calibri"/>
          <w:lang w:val="en-US"/>
        </w:rPr>
        <w:t>Civil society organizations informed the IACHR that racially profiled violence and structural discrimination are persistent problems in Cuba, especially within the justice system and the actions of the police forces, with people of African descent being more likely to be perceived as dangerous and criminal.</w:t>
      </w:r>
      <w:r w:rsidR="00B36DF8" w:rsidRPr="00DF5BBF">
        <w:rPr>
          <w:rStyle w:val="FootnoteReference"/>
          <w:rFonts w:ascii="Calibri" w:hAnsi="Calibri" w:cs="Calibri"/>
        </w:rPr>
        <w:footnoteReference w:id="48"/>
      </w:r>
      <w:r w:rsidR="00B36DF8" w:rsidRPr="00CF6975">
        <w:rPr>
          <w:rFonts w:ascii="Calibri" w:hAnsi="Calibri" w:cs="Calibri"/>
          <w:lang w:val="en-US"/>
        </w:rPr>
        <w:t xml:space="preserve"> </w:t>
      </w:r>
    </w:p>
    <w:p w14:paraId="3EFDBCC9" w14:textId="421E73EF" w:rsidR="0099221F" w:rsidRPr="00CF6975" w:rsidRDefault="005D7924" w:rsidP="00DF5BBF">
      <w:pPr>
        <w:snapToGrid w:val="0"/>
        <w:spacing w:before="120" w:after="0" w:line="240" w:lineRule="auto"/>
        <w:jc w:val="both"/>
        <w:rPr>
          <w:rStyle w:val="fontstyle01"/>
          <w:sz w:val="22"/>
          <w:szCs w:val="22"/>
          <w:lang w:val="en-US"/>
        </w:rPr>
      </w:pPr>
      <w:r w:rsidRPr="00CF6975">
        <w:rPr>
          <w:rStyle w:val="fontstyle01"/>
          <w:sz w:val="22"/>
          <w:szCs w:val="22"/>
          <w:lang w:val="en-US"/>
        </w:rPr>
        <w:lastRenderedPageBreak/>
        <w:t>The only legal precedent of the application of this crime against the right to equality occurred in 2017, in the validity of the previous penal code, and the process was closed with an administrative fine of 500 pesos, so that the complaint did not reach the courts. Never has a police officer who has murdered an Afro-descendant in Cuba been tried or punished by courts, so the Penal Code becomes a dead letter, when State agents are responsible for deaths and injuries to the Afro-descendant population.</w:t>
      </w:r>
    </w:p>
    <w:p w14:paraId="13CB0DBB" w14:textId="77777777" w:rsidR="00985389" w:rsidRPr="00CF6975" w:rsidRDefault="002B7A4E" w:rsidP="00DF5BBF">
      <w:pPr>
        <w:snapToGrid w:val="0"/>
        <w:spacing w:before="120" w:after="0" w:line="240" w:lineRule="auto"/>
        <w:jc w:val="both"/>
        <w:rPr>
          <w:rStyle w:val="fontstyle01"/>
          <w:sz w:val="22"/>
          <w:szCs w:val="22"/>
          <w:lang w:val="en-US"/>
        </w:rPr>
      </w:pPr>
      <w:r w:rsidRPr="00CF6975">
        <w:rPr>
          <w:rStyle w:val="fontstyle01"/>
          <w:sz w:val="22"/>
          <w:szCs w:val="22"/>
          <w:lang w:val="en-US"/>
        </w:rPr>
        <w:t>Paragraphs 28 to 45 of the State's report relate to compliance with article 3 of the Convention. Paragraphs 38, 39 and 40 of this report deal with Cuban medical collaboration in different countries, including Africa. This collaboration is not free, on the contrary, Cuban health personnel, with a notable presence of the Afro-descendant population, work in conditions of semi-slavery in these countries, even with illegal practices of the Cuban authorities such as retention of passports, restrictions on mobility, social contacts, and even prohibitions on entering into affective couples. Cuban health workers due to economic shortages accept being sent to high-risk places.</w:t>
      </w:r>
    </w:p>
    <w:p w14:paraId="27403A38" w14:textId="1D17FD2E" w:rsidR="00A954AF" w:rsidRPr="00CF6975" w:rsidRDefault="00985389" w:rsidP="00DF5BBF">
      <w:pPr>
        <w:snapToGrid w:val="0"/>
        <w:spacing w:before="120" w:after="0" w:line="240" w:lineRule="auto"/>
        <w:jc w:val="both"/>
        <w:rPr>
          <w:rStyle w:val="fontstyle01"/>
          <w:sz w:val="22"/>
          <w:szCs w:val="22"/>
          <w:lang w:val="en-US"/>
        </w:rPr>
      </w:pPr>
      <w:r w:rsidRPr="00CF6975">
        <w:rPr>
          <w:rStyle w:val="fontstyle01"/>
          <w:sz w:val="22"/>
          <w:szCs w:val="22"/>
          <w:lang w:val="en-US"/>
        </w:rPr>
        <w:t>Paragraphs 46 to 50 of the report relate to article 4 of the Convention. Paragraph 49 of the report states that Act No. 54/85 "Associations Act" regulates the exercise of the constitutionally recognized right of association for all citizens. It also states that in July 2025 a new Law on Associative Forms will be approved. This new associative law was not approved in 2025 and until February 2026, it has not been approved either, so Law 54/85 remains in force, which grants the Registry of Associations of the Ministry of Justice, the power to admit or not the legalization of associative entities. All organizations aimed at seeking protection and rights for people of African descent have been systematically rejected from registration by the Registry of Associations.</w:t>
      </w:r>
    </w:p>
    <w:p w14:paraId="66064FF5" w14:textId="357ABA52" w:rsidR="00FD283E" w:rsidRPr="00CF6975" w:rsidRDefault="00D65923" w:rsidP="00DF5BBF">
      <w:pPr>
        <w:snapToGrid w:val="0"/>
        <w:spacing w:before="120" w:after="0" w:line="240" w:lineRule="auto"/>
        <w:jc w:val="both"/>
        <w:rPr>
          <w:rStyle w:val="fontstyle01"/>
          <w:sz w:val="22"/>
          <w:szCs w:val="22"/>
          <w:lang w:val="en-US"/>
        </w:rPr>
      </w:pPr>
      <w:r w:rsidRPr="00CF6975">
        <w:rPr>
          <w:rStyle w:val="fontstyle01"/>
          <w:sz w:val="22"/>
          <w:szCs w:val="22"/>
          <w:lang w:val="en-US"/>
        </w:rPr>
        <w:t>Paragraphs 51 to 175 of the report elaborate on article 5 of the Convention. Paragraph 85 sets out the right of citizens to enter, stay, transit and leave the national territory, change their domicile or residence, without any limitations other than those established by law. In addition to the aforementioned Decree Law 217/1997 "Migratory Regulations for the City of Havana" which limits freedom of movement within the island and the right to choose one's place of residence, by preventing voluntary residence in the capital for the rest of Cubans, there are many legally segregated zones for Cubans known as "frozen zones"</w:t>
      </w:r>
      <w:r w:rsidR="00985389" w:rsidRPr="00DF5BBF">
        <w:rPr>
          <w:rStyle w:val="FootnoteReference"/>
          <w:rFonts w:ascii="Calibri" w:hAnsi="Calibri" w:cs="Calibri"/>
          <w:color w:val="000000"/>
        </w:rPr>
        <w:footnoteReference w:id="49"/>
      </w:r>
      <w:r w:rsidR="00985389" w:rsidRPr="00CF6975">
        <w:rPr>
          <w:rStyle w:val="fontstyle01"/>
          <w:sz w:val="22"/>
          <w:szCs w:val="22"/>
          <w:lang w:val="en-US"/>
        </w:rPr>
        <w:t xml:space="preserve">. These frozen areas have the best urban infrastructure in the capital, such as street gas, police security, regular waste collection, electrical circuits protected from blackouts, well-paved roads. The country's ruling white elite resides in all of them and any Afro-descendant who wanders through them, without special permission, will be arrested and taken to the nearest police unit to determine their stay in prohibited places. </w:t>
      </w:r>
    </w:p>
    <w:p w14:paraId="0D39F71C" w14:textId="4C69F736" w:rsidR="00C622A6" w:rsidRPr="00CF6975" w:rsidRDefault="001D46E1" w:rsidP="00DF5BBF">
      <w:pPr>
        <w:snapToGrid w:val="0"/>
        <w:spacing w:before="120" w:after="0" w:line="240" w:lineRule="auto"/>
        <w:jc w:val="both"/>
        <w:rPr>
          <w:rStyle w:val="fontstyle01"/>
          <w:sz w:val="22"/>
          <w:szCs w:val="22"/>
          <w:lang w:val="en-US"/>
        </w:rPr>
      </w:pPr>
      <w:r w:rsidRPr="00CF6975">
        <w:rPr>
          <w:rStyle w:val="fontstyle01"/>
          <w:sz w:val="22"/>
          <w:szCs w:val="22"/>
          <w:lang w:val="en-US"/>
        </w:rPr>
        <w:t xml:space="preserve">Paragraph 86 of the report, the Cuban State recognizes the right of every person to travel and leave any country, including his own. Despite this, the new Penal Code, Law 151/2022, in articles 282 and 283 maintains the crimes of illegal entry and exit from the national territory respectively. </w:t>
      </w:r>
      <w:r w:rsidR="00CA0FDC" w:rsidRPr="00CF6975">
        <w:rPr>
          <w:rStyle w:val="fontstyle01"/>
          <w:sz w:val="22"/>
          <w:szCs w:val="22"/>
          <w:lang w:val="en-US"/>
        </w:rPr>
        <w:t>Thus,</w:t>
      </w:r>
      <w:r w:rsidRPr="00CF6975">
        <w:rPr>
          <w:rStyle w:val="fontstyle01"/>
          <w:sz w:val="22"/>
          <w:szCs w:val="22"/>
          <w:lang w:val="en-US"/>
        </w:rPr>
        <w:t xml:space="preserve"> ignoring the recommendations of the Committee in the previous appearance of the Cuban government. The Cuban authorities also reserve the right to decide who enters or leaves Cuba, through the euphemism of the so-called "regulated persons", Law 171/2024 "On Migration" and its regulations</w:t>
      </w:r>
      <w:r w:rsidR="00CA623F" w:rsidRPr="00DF5BBF">
        <w:rPr>
          <w:rStyle w:val="FootnoteReference"/>
          <w:rFonts w:ascii="Calibri" w:hAnsi="Calibri" w:cs="Calibri"/>
          <w:color w:val="000000"/>
        </w:rPr>
        <w:footnoteReference w:id="50"/>
      </w:r>
      <w:r w:rsidR="00985389" w:rsidRPr="00CF6975">
        <w:rPr>
          <w:rStyle w:val="fontstyle01"/>
          <w:sz w:val="22"/>
          <w:szCs w:val="22"/>
          <w:lang w:val="en-US"/>
        </w:rPr>
        <w:t xml:space="preserve">. </w:t>
      </w:r>
    </w:p>
    <w:p w14:paraId="03C993EA" w14:textId="55E01D0E" w:rsidR="00E349F0" w:rsidRPr="00CF6975" w:rsidRDefault="00773A0E" w:rsidP="00DF5BBF">
      <w:pPr>
        <w:snapToGrid w:val="0"/>
        <w:spacing w:before="120" w:after="0" w:line="240" w:lineRule="auto"/>
        <w:jc w:val="both"/>
        <w:rPr>
          <w:rStyle w:val="fontstyle01"/>
          <w:sz w:val="22"/>
          <w:szCs w:val="22"/>
          <w:lang w:val="en-US"/>
        </w:rPr>
      </w:pPr>
      <w:r w:rsidRPr="00CF6975">
        <w:rPr>
          <w:rStyle w:val="fontstyle01"/>
          <w:sz w:val="22"/>
          <w:szCs w:val="22"/>
          <w:lang w:val="en-US"/>
        </w:rPr>
        <w:lastRenderedPageBreak/>
        <w:t xml:space="preserve">Paragraphs 103 to 113 of the report address the religious question in Cuba without ignoring its reality. Religious practices in Cuba are tightly controlled by government officials, like all civil society in a totalitarian state. With the exception of the Catholic Church, which has a special status because the Vatican is a sovereign state subject to public international law, all other religious congregations and fraternal institutions, in order to function, must be registered in the Registry of Associations of the Ministry of Justice, which fully controls their activity, under the direction of the Office of Attention to Religious Affairs of the Communist Party of Cuba. </w:t>
      </w:r>
      <w:r w:rsidR="0022138F">
        <w:rPr>
          <w:rStyle w:val="fontstyle01"/>
          <w:sz w:val="22"/>
          <w:szCs w:val="22"/>
          <w:lang w:val="en-US"/>
        </w:rPr>
        <w:t>A</w:t>
      </w:r>
      <w:r w:rsidRPr="00CF6975">
        <w:rPr>
          <w:rStyle w:val="fontstyle01"/>
          <w:sz w:val="22"/>
          <w:szCs w:val="22"/>
          <w:lang w:val="en-US"/>
        </w:rPr>
        <w:t xml:space="preserve"> sort of ministry of religions. Important religious leaders, especially of Afro-Cuban religions, such as Loreto Hernández García, have been detained or expelled from the country. Loreto, an Afro-descendant, was arrested in 2021 for political reasons, although the government only recognizes common causes</w:t>
      </w:r>
      <w:r w:rsidR="0022138F">
        <w:rPr>
          <w:rStyle w:val="fontstyle01"/>
          <w:sz w:val="22"/>
          <w:szCs w:val="22"/>
          <w:lang w:val="en-US"/>
        </w:rPr>
        <w:t>.</w:t>
      </w:r>
      <w:r w:rsidR="00E16FEC" w:rsidRPr="00DF5BBF">
        <w:rPr>
          <w:rStyle w:val="FootnoteReference"/>
          <w:rFonts w:ascii="Calibri" w:hAnsi="Calibri" w:cs="Calibri"/>
          <w:color w:val="000000"/>
        </w:rPr>
        <w:footnoteReference w:id="51"/>
      </w:r>
      <w:r w:rsidR="00F92E40" w:rsidRPr="00CF6975">
        <w:rPr>
          <w:rStyle w:val="fontstyle01"/>
          <w:sz w:val="22"/>
          <w:szCs w:val="22"/>
          <w:lang w:val="en-US"/>
        </w:rPr>
        <w:t xml:space="preserve"> There are also two letters of the year in the Yoruba religion in Cuba: the group of official babalaos and that of independent babalaos excluded by the Law of Associations. Even in syncretic religions of African origin, "they give absolute preference in the treatment and positioning of people with white complexions who arrive at their homes... we can also point out that most of the people in the official representative positions of the different religious organizations such as the Yoruba Cultural Association, the Spiritist Societies, or the Abakuá Secret Society have white complexions".</w:t>
      </w:r>
      <w:r w:rsidR="00FA3429" w:rsidRPr="00DF5BBF">
        <w:rPr>
          <w:rStyle w:val="FootnoteReference"/>
          <w:rFonts w:ascii="Calibri" w:hAnsi="Calibri" w:cs="Calibri"/>
          <w:color w:val="000000"/>
        </w:rPr>
        <w:footnoteReference w:id="52"/>
      </w:r>
      <w:r w:rsidR="00C9639E" w:rsidRPr="00CF6975">
        <w:rPr>
          <w:rStyle w:val="fontstyle01"/>
          <w:sz w:val="22"/>
          <w:szCs w:val="22"/>
          <w:lang w:val="en-US"/>
        </w:rPr>
        <w:t xml:space="preserve"> </w:t>
      </w:r>
    </w:p>
    <w:p w14:paraId="09D5EBCD" w14:textId="7F9A78E4" w:rsidR="00884F9D" w:rsidRPr="00CF6975" w:rsidRDefault="009451B7" w:rsidP="00DF5BBF">
      <w:pPr>
        <w:snapToGrid w:val="0"/>
        <w:spacing w:before="120" w:after="0" w:line="240" w:lineRule="auto"/>
        <w:jc w:val="both"/>
        <w:rPr>
          <w:rStyle w:val="fontstyle01"/>
          <w:sz w:val="22"/>
          <w:szCs w:val="22"/>
          <w:lang w:val="en-US"/>
        </w:rPr>
      </w:pPr>
      <w:r w:rsidRPr="00CF6975">
        <w:rPr>
          <w:rStyle w:val="fontstyle01"/>
          <w:sz w:val="22"/>
          <w:szCs w:val="22"/>
          <w:lang w:val="en-US"/>
        </w:rPr>
        <w:t>Paragraphs 114 to 117 of the report express the constitutional protection of the rights of assembly, demonstration and association for lawful and peaceful purposes, as well as the right to freedom of thought, conscience, expression and freedom of the press in accordance with the law and the purposes of society. Afro-descendants also bear the brunt of the lack of freedom of expression, so they must silence their legitimate demands or take to the streets, as they did on 11J.</w:t>
      </w:r>
    </w:p>
    <w:p w14:paraId="063C7623" w14:textId="7697A08B" w:rsidR="007D4723" w:rsidRPr="00CF6975" w:rsidRDefault="005E4FDD" w:rsidP="00DF5BBF">
      <w:pPr>
        <w:snapToGrid w:val="0"/>
        <w:spacing w:before="120" w:after="0" w:line="240" w:lineRule="auto"/>
        <w:jc w:val="both"/>
        <w:rPr>
          <w:rStyle w:val="fontstyle01"/>
          <w:sz w:val="22"/>
          <w:szCs w:val="22"/>
          <w:lang w:val="en-US"/>
        </w:rPr>
      </w:pPr>
      <w:r w:rsidRPr="00CF6975">
        <w:rPr>
          <w:rStyle w:val="fontstyle01"/>
          <w:sz w:val="22"/>
          <w:szCs w:val="22"/>
          <w:lang w:val="en-US"/>
        </w:rPr>
        <w:t xml:space="preserve">Labor-related benefits are listed in paragraphs 129 to 141 of the report. On this issue, the IACHR </w:t>
      </w:r>
      <w:r w:rsidR="006D2D45" w:rsidRPr="00CF6975">
        <w:rPr>
          <w:rFonts w:ascii="Calibri" w:hAnsi="Calibri" w:cs="Calibri"/>
          <w:lang w:val="en-US"/>
        </w:rPr>
        <w:t>recognized the underrepresentation of the Afro-Cuban community in the island's labor and economic world, especially in mixed investment sectors associated with tourism</w:t>
      </w:r>
      <w:r w:rsidR="0022138F">
        <w:rPr>
          <w:rFonts w:ascii="Calibri" w:hAnsi="Calibri" w:cs="Calibri"/>
          <w:lang w:val="en-US"/>
        </w:rPr>
        <w:t>,</w:t>
      </w:r>
      <w:r w:rsidR="006D2D45" w:rsidRPr="00DF5BBF">
        <w:rPr>
          <w:rStyle w:val="FootnoteReference"/>
          <w:rFonts w:ascii="Calibri" w:hAnsi="Calibri" w:cs="Calibri"/>
        </w:rPr>
        <w:footnoteReference w:id="53"/>
      </w:r>
      <w:r w:rsidR="006D2D45" w:rsidRPr="00CF6975">
        <w:rPr>
          <w:rFonts w:ascii="Calibri" w:hAnsi="Calibri" w:cs="Calibri"/>
          <w:lang w:val="en-US"/>
        </w:rPr>
        <w:t xml:space="preserve"> as they would have fewer opportunities to access decent and paid jobs, reflecting greater participation in marginal occupations of the economy, with lower levels of wages and persecution for joining unions or independent</w:t>
      </w:r>
      <w:r w:rsidR="006D2D45" w:rsidRPr="00DF5BBF">
        <w:rPr>
          <w:rStyle w:val="FootnoteReference"/>
          <w:rFonts w:ascii="Calibri" w:hAnsi="Calibri" w:cs="Calibri"/>
        </w:rPr>
        <w:footnoteReference w:id="54"/>
      </w:r>
      <w:r w:rsidR="0022138F">
        <w:rPr>
          <w:rFonts w:ascii="Calibri" w:hAnsi="Calibri" w:cs="Calibri"/>
          <w:lang w:val="en-US"/>
        </w:rPr>
        <w:t xml:space="preserve"> </w:t>
      </w:r>
      <w:r w:rsidR="006D2D45" w:rsidRPr="00CF6975">
        <w:rPr>
          <w:rFonts w:ascii="Calibri" w:hAnsi="Calibri" w:cs="Calibri"/>
          <w:lang w:val="en-US"/>
        </w:rPr>
        <w:t>groups. Also in the labor context, the absence of official data disaggregated by ethnic-racial origin continues to be a challenge that accentuates the invisibility of this population group and the impossibility of carrying out progressive and effective affirmative actions that manage to generate structural changes that improve the guarantee of their rights</w:t>
      </w:r>
      <w:r w:rsidR="0022138F">
        <w:rPr>
          <w:rFonts w:ascii="Calibri" w:hAnsi="Calibri" w:cs="Calibri"/>
          <w:lang w:val="en-US"/>
        </w:rPr>
        <w:t>.</w:t>
      </w:r>
      <w:r w:rsidR="006D2D45" w:rsidRPr="00DF5BBF">
        <w:rPr>
          <w:rStyle w:val="FootnoteReference"/>
          <w:rFonts w:ascii="Calibri" w:hAnsi="Calibri" w:cs="Calibri"/>
        </w:rPr>
        <w:footnoteReference w:id="55"/>
      </w:r>
    </w:p>
    <w:p w14:paraId="68843B7D" w14:textId="31F6E989" w:rsidR="001866BA" w:rsidRPr="00CF6975" w:rsidRDefault="003A2C15" w:rsidP="00DF5BBF">
      <w:pPr>
        <w:snapToGrid w:val="0"/>
        <w:spacing w:before="120" w:after="0" w:line="240" w:lineRule="auto"/>
        <w:jc w:val="both"/>
        <w:rPr>
          <w:rStyle w:val="fontstyle01"/>
          <w:sz w:val="22"/>
          <w:szCs w:val="22"/>
          <w:lang w:val="en-US"/>
        </w:rPr>
      </w:pPr>
      <w:r w:rsidRPr="00CF6975">
        <w:rPr>
          <w:rStyle w:val="fontstyle01"/>
          <w:sz w:val="22"/>
          <w:szCs w:val="22"/>
          <w:lang w:val="en-US"/>
        </w:rPr>
        <w:t xml:space="preserve">Paragraphs 142 to 146 refer to labor achievements and the right to freedom of association, in accordance with article 5, paragraph e, paragraph II of the Convention, on the right of workers to form trade unions or to join. In Cuba there are only vertical government unions. Workers who have attempted to form unions independent of the state have been repressed and arrested. </w:t>
      </w:r>
    </w:p>
    <w:p w14:paraId="33EB28AA" w14:textId="77777777" w:rsidR="00893E9D" w:rsidRPr="00CF6975" w:rsidRDefault="00171DC6" w:rsidP="00DF5BBF">
      <w:pPr>
        <w:snapToGrid w:val="0"/>
        <w:spacing w:before="120" w:after="0" w:line="240" w:lineRule="auto"/>
        <w:jc w:val="both"/>
        <w:rPr>
          <w:rStyle w:val="fontstyle01"/>
          <w:sz w:val="22"/>
          <w:szCs w:val="22"/>
          <w:lang w:val="en-US"/>
        </w:rPr>
      </w:pPr>
      <w:r w:rsidRPr="00CF6975">
        <w:rPr>
          <w:rStyle w:val="fontstyle01"/>
          <w:sz w:val="22"/>
          <w:szCs w:val="22"/>
          <w:lang w:val="en-US"/>
        </w:rPr>
        <w:t xml:space="preserve">Paragraphs 147 to 150 of the report address the housing situation that is truly critical, especially for Afro-descendants who are the majority in the shelters or transit communities, where they have lived for more </w:t>
      </w:r>
      <w:r w:rsidRPr="00CF6975">
        <w:rPr>
          <w:rStyle w:val="fontstyle01"/>
          <w:sz w:val="22"/>
          <w:szCs w:val="22"/>
          <w:lang w:val="en-US"/>
        </w:rPr>
        <w:lastRenderedPageBreak/>
        <w:t xml:space="preserve">than 20 years, waiting for housing assignments that will not occur, because the housing construction plans are totally paralyzed.  while the construction of luxurious hotels for tourists continues. These shelters are nourished by the victims of cyclones or the frequent collapse of houses. </w:t>
      </w:r>
    </w:p>
    <w:p w14:paraId="5F83DE11" w14:textId="77777777" w:rsidR="003A791C" w:rsidRPr="00CF6975" w:rsidRDefault="004F5634" w:rsidP="00DF5BBF">
      <w:pPr>
        <w:snapToGrid w:val="0"/>
        <w:spacing w:before="120" w:after="0" w:line="240" w:lineRule="auto"/>
        <w:jc w:val="both"/>
        <w:rPr>
          <w:rStyle w:val="fontstyle01"/>
          <w:sz w:val="22"/>
          <w:szCs w:val="22"/>
          <w:lang w:val="en-US"/>
        </w:rPr>
      </w:pPr>
      <w:r w:rsidRPr="00CF6975">
        <w:rPr>
          <w:rStyle w:val="fontstyle01"/>
          <w:sz w:val="22"/>
          <w:szCs w:val="22"/>
          <w:lang w:val="en-US"/>
        </w:rPr>
        <w:t>Paragraphs 151 to 175 of the report deal with achievements in health, education, culture and racial equality. The main social achievements of the Cuban government have been concentrated in these spheres, although the figures are made up. The current situation is far from the figures described and many of the social advances achieved due to the humanitarian crisis in Cuba have been lost. Infant mortality reached "9.9 per thousand live births" in 2025, compared to 7.1 in 2024.</w:t>
      </w:r>
      <w:r w:rsidR="00B25F94" w:rsidRPr="00DF5BBF">
        <w:rPr>
          <w:rStyle w:val="FootnoteReference"/>
          <w:rFonts w:ascii="Calibri" w:hAnsi="Calibri" w:cs="Calibri"/>
          <w:color w:val="000000"/>
        </w:rPr>
        <w:footnoteReference w:id="56"/>
      </w:r>
      <w:r w:rsidR="00EE57CC" w:rsidRPr="00CF6975">
        <w:rPr>
          <w:rStyle w:val="fontstyle01"/>
          <w:sz w:val="22"/>
          <w:szCs w:val="22"/>
          <w:lang w:val="en-US"/>
        </w:rPr>
        <w:t xml:space="preserve"> There are no statistics on the ethnic makeup of this health indicator, but the residence of Afro-descendants in vulnerable communities with deficient primary health services is more affected by this population.</w:t>
      </w:r>
    </w:p>
    <w:p w14:paraId="70D085F5" w14:textId="2066AF80" w:rsidR="00A1484A" w:rsidRPr="00CA0FDC" w:rsidRDefault="00A1484A" w:rsidP="00DF5BBF">
      <w:pPr>
        <w:snapToGrid w:val="0"/>
        <w:spacing w:before="120" w:after="0" w:line="240" w:lineRule="auto"/>
        <w:jc w:val="both"/>
        <w:rPr>
          <w:rFonts w:ascii="Calibri" w:hAnsi="Calibri" w:cs="Calibri"/>
          <w:lang w:val="en-US"/>
        </w:rPr>
      </w:pPr>
      <w:r w:rsidRPr="00CF6975">
        <w:rPr>
          <w:rFonts w:ascii="Calibri" w:hAnsi="Calibri" w:cs="Calibri"/>
          <w:lang w:val="en-US"/>
        </w:rPr>
        <w:t>On these issues, the IACHR has reiterated</w:t>
      </w:r>
      <w:r w:rsidRPr="00DF5BBF">
        <w:rPr>
          <w:rStyle w:val="FootnoteReference"/>
          <w:rFonts w:ascii="Calibri" w:hAnsi="Calibri" w:cs="Calibri"/>
        </w:rPr>
        <w:footnoteReference w:id="57"/>
      </w:r>
      <w:r w:rsidRPr="00CF6975">
        <w:rPr>
          <w:rFonts w:ascii="Calibri" w:hAnsi="Calibri" w:cs="Calibri"/>
          <w:lang w:val="en-US"/>
        </w:rPr>
        <w:t xml:space="preserve"> the special impact on the economic, social, cultural, and environmental rights of Afro-Cubans, particularly in the areas of health, housing, unemployment, and access to sanitation and drinking water</w:t>
      </w:r>
      <w:r w:rsidR="00CA0FDC">
        <w:rPr>
          <w:rFonts w:ascii="Calibri" w:hAnsi="Calibri" w:cs="Calibri"/>
          <w:lang w:val="en-US"/>
        </w:rPr>
        <w:t>.</w:t>
      </w:r>
      <w:r w:rsidRPr="00DF5BBF">
        <w:rPr>
          <w:rStyle w:val="FootnoteReference"/>
          <w:rFonts w:ascii="Calibri" w:hAnsi="Calibri" w:cs="Calibri"/>
        </w:rPr>
        <w:footnoteReference w:id="58"/>
      </w:r>
      <w:r w:rsidRPr="00CF6975">
        <w:rPr>
          <w:rFonts w:ascii="Calibri" w:hAnsi="Calibri" w:cs="Calibri"/>
          <w:lang w:val="en-US"/>
        </w:rPr>
        <w:t xml:space="preserve"> On this point, he highlighted information from civil society organizations</w:t>
      </w:r>
      <w:r w:rsidRPr="00DF5BBF">
        <w:rPr>
          <w:rStyle w:val="FootnoteReference"/>
          <w:rFonts w:ascii="Calibri" w:hAnsi="Calibri" w:cs="Calibri"/>
        </w:rPr>
        <w:footnoteReference w:id="59"/>
      </w:r>
      <w:r w:rsidRPr="00CF6975">
        <w:rPr>
          <w:rFonts w:ascii="Calibri" w:hAnsi="Calibri" w:cs="Calibri"/>
          <w:lang w:val="en-US"/>
        </w:rPr>
        <w:t xml:space="preserve"> that explained that poverty and extreme poverty mainly affect people of African descent, who live in a precarious situation, in unhealthy areas, with low wages, without receiving remittances and little schooling</w:t>
      </w:r>
      <w:r w:rsidR="00CA0FDC">
        <w:rPr>
          <w:rFonts w:ascii="Calibri" w:hAnsi="Calibri" w:cs="Calibri"/>
          <w:lang w:val="en-US"/>
        </w:rPr>
        <w:t>.</w:t>
      </w:r>
      <w:r w:rsidRPr="00DF5BBF">
        <w:rPr>
          <w:rStyle w:val="FootnoteReference"/>
          <w:rFonts w:ascii="Calibri" w:hAnsi="Calibri" w:cs="Calibri"/>
        </w:rPr>
        <w:footnoteReference w:id="60"/>
      </w:r>
      <w:r w:rsidRPr="00CF6975">
        <w:rPr>
          <w:rFonts w:ascii="Calibri" w:hAnsi="Calibri" w:cs="Calibri"/>
          <w:lang w:val="en-US"/>
        </w:rPr>
        <w:t xml:space="preserve"> </w:t>
      </w:r>
    </w:p>
    <w:p w14:paraId="74A4C96E" w14:textId="64958217" w:rsidR="00A1484A" w:rsidRPr="00CF6975" w:rsidRDefault="00A1484A" w:rsidP="00DF5BBF">
      <w:pPr>
        <w:snapToGrid w:val="0"/>
        <w:spacing w:before="120" w:after="0" w:line="240" w:lineRule="auto"/>
        <w:jc w:val="both"/>
        <w:rPr>
          <w:rStyle w:val="fontstyle01"/>
          <w:sz w:val="22"/>
          <w:szCs w:val="22"/>
          <w:lang w:val="en-US"/>
        </w:rPr>
      </w:pPr>
      <w:r w:rsidRPr="00CA0FDC">
        <w:rPr>
          <w:rFonts w:ascii="Calibri" w:hAnsi="Calibri" w:cs="Calibri"/>
          <w:lang w:val="en-US"/>
        </w:rPr>
        <w:t>Finally, the IACHR expressed its concern over testimonies collected that described the existence of racial discrimination in schools, in which boys and girls would be punished for the use of Afro hair</w:t>
      </w:r>
      <w:r w:rsidR="00CA0FDC">
        <w:rPr>
          <w:rFonts w:ascii="Calibri" w:hAnsi="Calibri" w:cs="Calibri"/>
          <w:lang w:val="en-US"/>
        </w:rPr>
        <w:t>.</w:t>
      </w:r>
      <w:r w:rsidRPr="00CA0FDC">
        <w:rPr>
          <w:rStyle w:val="FootnoteReference"/>
          <w:rFonts w:ascii="Calibri" w:hAnsi="Calibri" w:cs="Calibri"/>
        </w:rPr>
        <w:footnoteReference w:id="61"/>
      </w:r>
    </w:p>
    <w:p w14:paraId="60EB29FC" w14:textId="416BAFD6" w:rsidR="00062019" w:rsidRPr="00CF6975" w:rsidRDefault="00C83647" w:rsidP="00DF5BBF">
      <w:pPr>
        <w:snapToGrid w:val="0"/>
        <w:spacing w:before="120" w:after="0" w:line="240" w:lineRule="auto"/>
        <w:jc w:val="both"/>
        <w:rPr>
          <w:rStyle w:val="fontstyle01"/>
          <w:sz w:val="22"/>
          <w:szCs w:val="22"/>
          <w:lang w:val="en-US"/>
        </w:rPr>
      </w:pPr>
      <w:r w:rsidRPr="00CF6975">
        <w:rPr>
          <w:rStyle w:val="fontstyle01"/>
          <w:sz w:val="22"/>
          <w:szCs w:val="22"/>
          <w:lang w:val="en-US"/>
        </w:rPr>
        <w:t xml:space="preserve">Paragraphs 176 to 181 of the report analyze aspects of judicial activity and complaints to the population processed by the Attorney General's Office in the period between 2018 and 2023. The statistics offered are not confirmed by independent sources and it is striking that no complaint was successful for racial discrimination. In judicial practice, it is common to have defendants held in pre-trial detention, with more than three years of waiting for the oral trial to be held, and nothing happens. </w:t>
      </w:r>
    </w:p>
    <w:p w14:paraId="38B69365" w14:textId="6242319D" w:rsidR="005B0479" w:rsidRPr="00CF6975" w:rsidRDefault="00A1484A" w:rsidP="00DF5BBF">
      <w:pPr>
        <w:snapToGrid w:val="0"/>
        <w:spacing w:before="120" w:after="0" w:line="240" w:lineRule="auto"/>
        <w:jc w:val="both"/>
        <w:rPr>
          <w:rStyle w:val="fontstyle01"/>
          <w:sz w:val="22"/>
          <w:szCs w:val="22"/>
          <w:lang w:val="en-US"/>
        </w:rPr>
      </w:pPr>
      <w:r w:rsidRPr="00CF6975">
        <w:rPr>
          <w:rStyle w:val="fontstyle01"/>
          <w:sz w:val="22"/>
          <w:szCs w:val="22"/>
          <w:lang w:val="en-US"/>
        </w:rPr>
        <w:t>Paragraphs 182 to 202 address a wide range of topics on benefit and social impact programs. Regarding access to the internet, it should be noted that this has been very restricted by the measures adopted by the state monopoly ETECSA by limiting the recharge to 360 pesos per month for citizens, leaving the option of recharges from abroad for the white population with relatives in the United States.</w:t>
      </w:r>
    </w:p>
    <w:p w14:paraId="4F416447" w14:textId="05DF1FE1" w:rsidR="003F44A2" w:rsidRPr="00CF6975" w:rsidRDefault="00385837" w:rsidP="00DF5BBF">
      <w:pPr>
        <w:snapToGrid w:val="0"/>
        <w:spacing w:before="120" w:after="0" w:line="240" w:lineRule="auto"/>
        <w:jc w:val="both"/>
        <w:rPr>
          <w:rStyle w:val="fontstyle01"/>
          <w:sz w:val="22"/>
          <w:szCs w:val="22"/>
          <w:lang w:val="en-US"/>
        </w:rPr>
      </w:pPr>
      <w:r w:rsidRPr="00CF6975">
        <w:rPr>
          <w:rStyle w:val="fontstyle01"/>
          <w:sz w:val="22"/>
          <w:szCs w:val="22"/>
          <w:lang w:val="en-US"/>
        </w:rPr>
        <w:t>The report sets out the responses to the Committee's recommendations in paragraphs 203 to 322. The report omits the recommendation in paragraph 7 regarding the provision of information on cases of direct application of the Convention by its courts</w:t>
      </w:r>
      <w:r w:rsidR="00CA0FDC">
        <w:rPr>
          <w:rStyle w:val="fontstyle01"/>
          <w:sz w:val="22"/>
          <w:szCs w:val="22"/>
          <w:lang w:val="en-US"/>
        </w:rPr>
        <w:t>.</w:t>
      </w:r>
      <w:r w:rsidR="00C61153" w:rsidRPr="00DF5BBF">
        <w:rPr>
          <w:rStyle w:val="FootnoteReference"/>
          <w:rFonts w:ascii="Calibri" w:hAnsi="Calibri" w:cs="Calibri"/>
          <w:color w:val="000000"/>
        </w:rPr>
        <w:footnoteReference w:id="62"/>
      </w:r>
      <w:r w:rsidR="00D97EC3" w:rsidRPr="00CF6975">
        <w:rPr>
          <w:rStyle w:val="fontstyle01"/>
          <w:sz w:val="22"/>
          <w:szCs w:val="22"/>
          <w:lang w:val="en-US"/>
        </w:rPr>
        <w:t xml:space="preserve"> This recommendation of the Committee cannot be complied with by the Cuban Government because article 8 of the Cuban Constitution establishes that "the provisions of the international treaties in force for the Republic of Cuba form part of or are integrated, as appropriate, into the national legal system. The Constitution of the Republic of Cuba takes precedence </w:t>
      </w:r>
      <w:r w:rsidR="00D97EC3" w:rsidRPr="00CF6975">
        <w:rPr>
          <w:rStyle w:val="fontstyle01"/>
          <w:sz w:val="22"/>
          <w:szCs w:val="22"/>
          <w:lang w:val="en-US"/>
        </w:rPr>
        <w:lastRenderedPageBreak/>
        <w:t>over these international treaties."</w:t>
      </w:r>
      <w:r w:rsidR="00E23396" w:rsidRPr="00DF5BBF">
        <w:rPr>
          <w:rStyle w:val="FootnoteReference"/>
          <w:rFonts w:ascii="Calibri" w:hAnsi="Calibri" w:cs="Calibri"/>
          <w:color w:val="000000"/>
        </w:rPr>
        <w:footnoteReference w:id="63"/>
      </w:r>
      <w:r w:rsidR="00D97EC3" w:rsidRPr="00CF6975">
        <w:rPr>
          <w:rStyle w:val="fontstyle01"/>
          <w:sz w:val="22"/>
          <w:szCs w:val="22"/>
          <w:lang w:val="en-US"/>
        </w:rPr>
        <w:t xml:space="preserve"> In other words, all articles of the Convention that are not expressly incorporated into the national legal system may not be invoked by the parties in the Cuban courts as grounds of law and in the event of contradictions. </w:t>
      </w:r>
    </w:p>
    <w:p w14:paraId="1AB0E8CA" w14:textId="6948F4F6" w:rsidR="001542BC" w:rsidRPr="00CF6975" w:rsidRDefault="00B13BC2" w:rsidP="00DF5BBF">
      <w:pPr>
        <w:snapToGrid w:val="0"/>
        <w:spacing w:before="120" w:after="0" w:line="240" w:lineRule="auto"/>
        <w:jc w:val="both"/>
        <w:rPr>
          <w:rFonts w:ascii="Calibri" w:hAnsi="Calibri" w:cs="Calibri"/>
          <w:color w:val="000000"/>
          <w:lang w:val="en-US"/>
        </w:rPr>
      </w:pPr>
      <w:r w:rsidRPr="00CF6975">
        <w:rPr>
          <w:rStyle w:val="fontstyle01"/>
          <w:sz w:val="22"/>
          <w:szCs w:val="22"/>
          <w:lang w:val="en-US"/>
        </w:rPr>
        <w:t xml:space="preserve"> </w:t>
      </w:r>
      <w:r w:rsidR="001542BC" w:rsidRPr="00CF6975">
        <w:rPr>
          <w:rFonts w:ascii="Calibri" w:hAnsi="Calibri" w:cs="Calibri"/>
          <w:color w:val="000000"/>
          <w:lang w:val="en-US"/>
        </w:rPr>
        <w:t>On paragraphs 210 and 211, the issue of census methodology has already been discussed above.</w:t>
      </w:r>
    </w:p>
    <w:p w14:paraId="0E3991EB" w14:textId="77777777" w:rsidR="00A6482A" w:rsidRPr="00CF6975" w:rsidRDefault="003910C4" w:rsidP="00DF5BBF">
      <w:pPr>
        <w:snapToGrid w:val="0"/>
        <w:spacing w:before="120" w:after="0" w:line="240" w:lineRule="auto"/>
        <w:jc w:val="both"/>
        <w:rPr>
          <w:rFonts w:ascii="Calibri" w:hAnsi="Calibri" w:cs="Calibri"/>
          <w:color w:val="000000"/>
          <w:lang w:val="en-US"/>
        </w:rPr>
      </w:pPr>
      <w:r w:rsidRPr="00CF6975">
        <w:rPr>
          <w:rFonts w:ascii="Calibri" w:hAnsi="Calibri" w:cs="Calibri"/>
          <w:color w:val="000000"/>
          <w:lang w:val="en-US"/>
        </w:rPr>
        <w:t>Paragraphs 212 to 248 of the report are intended to attempt to justify the State party's refusal to accept the recommendation contained in paragraphs 11 and 12 of the Committee's observations on the establishment of an independent national human rights institution in Cuba, in accordance with the Paris Principles</w:t>
      </w:r>
      <w:r w:rsidR="000D065F" w:rsidRPr="00DF5BBF">
        <w:rPr>
          <w:rStyle w:val="FootnoteReference"/>
          <w:rFonts w:ascii="Calibri" w:hAnsi="Calibri" w:cs="Calibri"/>
          <w:color w:val="000000"/>
        </w:rPr>
        <w:footnoteReference w:id="64"/>
      </w:r>
      <w:r w:rsidR="00314899" w:rsidRPr="00CF6975">
        <w:rPr>
          <w:rFonts w:ascii="Calibri" w:hAnsi="Calibri" w:cs="Calibri"/>
          <w:color w:val="000000"/>
          <w:lang w:val="en-US"/>
        </w:rPr>
        <w:t xml:space="preserve">. </w:t>
      </w:r>
    </w:p>
    <w:p w14:paraId="67C598F7" w14:textId="519F9F6A" w:rsidR="00A6482A" w:rsidRPr="00CF6975" w:rsidRDefault="00B34D65" w:rsidP="00DF5BBF">
      <w:pPr>
        <w:snapToGrid w:val="0"/>
        <w:spacing w:before="120" w:after="0" w:line="240" w:lineRule="auto"/>
        <w:jc w:val="both"/>
        <w:rPr>
          <w:rFonts w:ascii="Calibri" w:hAnsi="Calibri" w:cs="Calibri"/>
          <w:color w:val="000000"/>
          <w:lang w:val="en-US"/>
        </w:rPr>
      </w:pPr>
      <w:r w:rsidRPr="00CF6975">
        <w:rPr>
          <w:rFonts w:ascii="Calibri" w:hAnsi="Calibri" w:cs="Calibri"/>
          <w:color w:val="000000"/>
          <w:lang w:val="en-US"/>
        </w:rPr>
        <w:t>The Cuban government also attempts to justify the refusal to accept recommendations 13 and 14 of the Committee, which urge the State to adopt effective and timely measures to prevent acts of harassment, harassment, intimidation, threats, disqualification and criminalization against human rights defenders."</w:t>
      </w:r>
      <w:r w:rsidR="007A6FFE" w:rsidRPr="00DF5BBF">
        <w:rPr>
          <w:rStyle w:val="FootnoteReference"/>
          <w:rFonts w:ascii="Calibri" w:hAnsi="Calibri" w:cs="Calibri"/>
          <w:color w:val="000000"/>
        </w:rPr>
        <w:footnoteReference w:id="65"/>
      </w:r>
      <w:r w:rsidR="00314899" w:rsidRPr="00CF6975">
        <w:rPr>
          <w:rFonts w:ascii="Calibri" w:hAnsi="Calibri" w:cs="Calibri"/>
          <w:color w:val="000000"/>
          <w:lang w:val="en-US"/>
        </w:rPr>
        <w:t xml:space="preserve"> </w:t>
      </w:r>
      <w:r w:rsidR="00A6482A" w:rsidRPr="00CF6975">
        <w:rPr>
          <w:rFonts w:ascii="Calibri" w:hAnsi="Calibri" w:cs="Calibri"/>
          <w:lang w:val="en-US"/>
        </w:rPr>
        <w:t>In its follow-up report on the observations, presented by the State in 2020, it recognized to the Committee the difference in the treatment of human rights defenders due to political ideology. In this way, after asserting that human rights defenders are not subject to arbitrary restrictions on their freedoms</w:t>
      </w:r>
      <w:r w:rsidR="00A6482A" w:rsidRPr="00DF5BBF">
        <w:rPr>
          <w:rStyle w:val="FootnoteReference"/>
          <w:rFonts w:ascii="Calibri" w:hAnsi="Calibri" w:cs="Calibri"/>
        </w:rPr>
        <w:footnoteReference w:id="66"/>
      </w:r>
      <w:r w:rsidR="00A6482A" w:rsidRPr="00CF6975">
        <w:rPr>
          <w:rFonts w:ascii="Calibri" w:hAnsi="Calibri" w:cs="Calibri"/>
          <w:lang w:val="en-US"/>
        </w:rPr>
        <w:t>, it immediately clarifies that these "thousands" of defenders are different from those who receive "foreign financing that is given to those whose objective is to try to overthrow the legitimate government that the Cuban people have given themselves"</w:t>
      </w:r>
      <w:r w:rsidR="00A6482A" w:rsidRPr="00DF5BBF">
        <w:rPr>
          <w:rStyle w:val="FootnoteReference"/>
          <w:rFonts w:ascii="Calibri" w:hAnsi="Calibri" w:cs="Calibri"/>
        </w:rPr>
        <w:footnoteReference w:id="67"/>
      </w:r>
      <w:r w:rsidR="00A6482A" w:rsidRPr="00CF6975">
        <w:rPr>
          <w:rFonts w:ascii="Calibri" w:hAnsi="Calibri" w:cs="Calibri"/>
          <w:lang w:val="en-US"/>
        </w:rPr>
        <w:t>. He then clarified that for the Cuban State "people or groups that accept financing from abroad to try to subvert the constitutional order of their country of origin do not deserve to be described as human rights defenders."</w:t>
      </w:r>
      <w:r w:rsidR="00A6482A" w:rsidRPr="00DF5BBF">
        <w:rPr>
          <w:rStyle w:val="FootnoteReference"/>
          <w:rFonts w:ascii="Calibri" w:hAnsi="Calibri" w:cs="Calibri"/>
        </w:rPr>
        <w:footnoteReference w:id="68"/>
      </w:r>
    </w:p>
    <w:p w14:paraId="2D661138" w14:textId="557BEA70" w:rsidR="00A6482A" w:rsidRPr="00CF6975" w:rsidRDefault="00A6482A" w:rsidP="00DF5BBF">
      <w:pPr>
        <w:snapToGrid w:val="0"/>
        <w:spacing w:before="120" w:after="0" w:line="240" w:lineRule="auto"/>
        <w:jc w:val="both"/>
        <w:rPr>
          <w:rFonts w:ascii="Calibri" w:hAnsi="Calibri" w:cs="Calibri"/>
          <w:lang w:val="en-US"/>
        </w:rPr>
      </w:pPr>
      <w:r w:rsidRPr="00CF6975">
        <w:rPr>
          <w:rFonts w:ascii="Calibri" w:hAnsi="Calibri" w:cs="Calibri"/>
          <w:lang w:val="en-US"/>
        </w:rPr>
        <w:t>It is regrettable and even mocking that the State in that same report has used as an example of the rights of human rights defenders the fact that representatives of Cuban civil society "traveled freely and did not suffer any type of reprisal, threat or attack for their work" during the presentation of the national report to this Honorable Committee</w:t>
      </w:r>
      <w:r w:rsidR="00CA0FDC">
        <w:rPr>
          <w:rFonts w:ascii="Calibri" w:hAnsi="Calibri" w:cs="Calibri"/>
          <w:lang w:val="en-US"/>
        </w:rPr>
        <w:t>.</w:t>
      </w:r>
      <w:r w:rsidRPr="00DF5BBF">
        <w:rPr>
          <w:rStyle w:val="FootnoteReference"/>
          <w:rFonts w:ascii="Calibri" w:hAnsi="Calibri" w:cs="Calibri"/>
        </w:rPr>
        <w:footnoteReference w:id="69"/>
      </w:r>
      <w:r w:rsidRPr="00CF6975">
        <w:rPr>
          <w:rFonts w:ascii="Calibri" w:hAnsi="Calibri" w:cs="Calibri"/>
          <w:lang w:val="en-US"/>
        </w:rPr>
        <w:t xml:space="preserve"> It is worth remembering that Race and Equality sent a note addressed to this Honorable Committee on August 13, 2018 warning about the reprisals that Mr. Juan Antonio Madrazo Luna had suffered when he tried to attend the review of Cuba that was to take place that week. Among other threats and warnings, Mr. Juan Antonio Madrazo Luna was prevented from travelling to participate in the review and to be able to provide information to the Committee.</w:t>
      </w:r>
    </w:p>
    <w:p w14:paraId="466AD1E8" w14:textId="77777777" w:rsidR="00A6482A" w:rsidRPr="00CF6975" w:rsidRDefault="00A6482A" w:rsidP="00DF5BBF">
      <w:pPr>
        <w:snapToGrid w:val="0"/>
        <w:spacing w:before="120" w:after="0" w:line="240" w:lineRule="auto"/>
        <w:jc w:val="both"/>
        <w:rPr>
          <w:rFonts w:ascii="Calibri" w:hAnsi="Calibri" w:cs="Calibri"/>
          <w:lang w:val="en-US"/>
        </w:rPr>
      </w:pPr>
      <w:r w:rsidRPr="00CF6975">
        <w:rPr>
          <w:rFonts w:ascii="Calibri" w:hAnsi="Calibri" w:cs="Calibri"/>
          <w:lang w:val="en-US"/>
        </w:rPr>
        <w:lastRenderedPageBreak/>
        <w:t>In its report to the present review process, the State refers to its follow-up report</w:t>
      </w:r>
      <w:r w:rsidRPr="00DF5BBF">
        <w:rPr>
          <w:rStyle w:val="FootnoteReference"/>
          <w:rFonts w:ascii="Calibri" w:hAnsi="Calibri" w:cs="Calibri"/>
        </w:rPr>
        <w:footnoteReference w:id="70"/>
      </w:r>
      <w:r w:rsidRPr="00CF6975">
        <w:rPr>
          <w:rFonts w:ascii="Calibri" w:hAnsi="Calibri" w:cs="Calibri"/>
          <w:lang w:val="en-US"/>
        </w:rPr>
        <w:t xml:space="preserve"> and reiterates that the right to defend human rights is protected "on a non-politicized or non-selective basis,"</w:t>
      </w:r>
      <w:r w:rsidRPr="00DF5BBF">
        <w:rPr>
          <w:rStyle w:val="FootnoteReference"/>
          <w:rFonts w:ascii="Calibri" w:hAnsi="Calibri" w:cs="Calibri"/>
        </w:rPr>
        <w:footnoteReference w:id="71"/>
      </w:r>
      <w:r w:rsidRPr="00CF6975">
        <w:rPr>
          <w:rFonts w:ascii="Calibri" w:hAnsi="Calibri" w:cs="Calibri"/>
          <w:lang w:val="en-US"/>
        </w:rPr>
        <w:t xml:space="preserve"> reaffirming its position regarding the distinction based on political ideology or what the State considers contrary to its interests. </w:t>
      </w:r>
    </w:p>
    <w:p w14:paraId="48ECC236" w14:textId="333A7FF1" w:rsidR="00A6482A" w:rsidRPr="00CF6975" w:rsidRDefault="00A6482A" w:rsidP="00DF5BBF">
      <w:pPr>
        <w:snapToGrid w:val="0"/>
        <w:spacing w:before="120" w:after="0" w:line="240" w:lineRule="auto"/>
        <w:jc w:val="both"/>
        <w:rPr>
          <w:rFonts w:ascii="Calibri" w:hAnsi="Calibri" w:cs="Calibri"/>
          <w:color w:val="000000"/>
          <w:lang w:val="en-US"/>
        </w:rPr>
      </w:pPr>
      <w:r w:rsidRPr="00CF6975">
        <w:rPr>
          <w:rFonts w:ascii="Calibri" w:hAnsi="Calibri" w:cs="Calibri"/>
          <w:lang w:val="en-US"/>
        </w:rPr>
        <w:t>The IACHR has been denouncing for years the repression suffered by Afro-descendant human rights defenders in Cuba</w:t>
      </w:r>
      <w:r w:rsidR="00CA0FDC">
        <w:rPr>
          <w:rFonts w:ascii="Calibri" w:hAnsi="Calibri" w:cs="Calibri"/>
          <w:lang w:val="en-US"/>
        </w:rPr>
        <w:t>.</w:t>
      </w:r>
      <w:r w:rsidRPr="00DF5BBF">
        <w:rPr>
          <w:rStyle w:val="FootnoteReference"/>
          <w:rFonts w:ascii="Calibri" w:hAnsi="Calibri" w:cs="Calibri"/>
        </w:rPr>
        <w:footnoteReference w:id="72"/>
      </w:r>
      <w:r w:rsidRPr="00CF6975">
        <w:rPr>
          <w:rFonts w:ascii="Calibri" w:hAnsi="Calibri" w:cs="Calibri"/>
          <w:lang w:val="en-US"/>
        </w:rPr>
        <w:t xml:space="preserve"> It has recently reported that civil society organizations denounced to it that Afro-descendant human rights defenders are harassed by State security agents when they try to assemble peacefully and suffer arbitrary detentions, without the right to an effective defense, and with greater violence by police forces</w:t>
      </w:r>
      <w:r w:rsidR="00CA0FDC">
        <w:rPr>
          <w:rFonts w:ascii="Calibri" w:hAnsi="Calibri" w:cs="Calibri"/>
          <w:lang w:val="en-US"/>
        </w:rPr>
        <w:t>.</w:t>
      </w:r>
      <w:r w:rsidRPr="00DF5BBF">
        <w:rPr>
          <w:rStyle w:val="FootnoteReference"/>
          <w:rFonts w:ascii="Calibri" w:hAnsi="Calibri" w:cs="Calibri"/>
        </w:rPr>
        <w:footnoteReference w:id="73"/>
      </w:r>
      <w:r w:rsidRPr="00CF6975">
        <w:rPr>
          <w:rFonts w:ascii="Calibri" w:hAnsi="Calibri" w:cs="Calibri"/>
          <w:lang w:val="en-US"/>
        </w:rPr>
        <w:t xml:space="preserve"> Because of the repression, Afro-descendant civil society organizations have announced their dissolution</w:t>
      </w:r>
      <w:r w:rsidR="00CA0FDC">
        <w:rPr>
          <w:rFonts w:ascii="Calibri" w:hAnsi="Calibri" w:cs="Calibri"/>
          <w:lang w:val="en-US"/>
        </w:rPr>
        <w:t>.</w:t>
      </w:r>
      <w:r w:rsidRPr="00DF5BBF">
        <w:rPr>
          <w:rStyle w:val="FootnoteReference"/>
          <w:rFonts w:ascii="Calibri" w:hAnsi="Calibri" w:cs="Calibri"/>
        </w:rPr>
        <w:footnoteReference w:id="74"/>
      </w:r>
      <w:r w:rsidRPr="00CF6975">
        <w:rPr>
          <w:rFonts w:ascii="Calibri" w:hAnsi="Calibri" w:cs="Calibri"/>
          <w:lang w:val="en-US"/>
        </w:rPr>
        <w:t xml:space="preserve"> Afro-Cuban activists have also been dismissed from their jobs in retaliation for speaking out against racial discrimination and human rights violations</w:t>
      </w:r>
      <w:r w:rsidR="00CA0FDC">
        <w:rPr>
          <w:rFonts w:ascii="Calibri" w:hAnsi="Calibri" w:cs="Calibri"/>
          <w:lang w:val="en-US"/>
        </w:rPr>
        <w:t>.</w:t>
      </w:r>
      <w:r w:rsidRPr="00DF5BBF">
        <w:rPr>
          <w:rStyle w:val="FootnoteReference"/>
          <w:rFonts w:ascii="Calibri" w:hAnsi="Calibri" w:cs="Calibri"/>
        </w:rPr>
        <w:footnoteReference w:id="75"/>
      </w:r>
    </w:p>
    <w:p w14:paraId="0FDF3D91" w14:textId="5095BD60" w:rsidR="009A5907" w:rsidRPr="00CF6975" w:rsidRDefault="00291FA3" w:rsidP="00DF5BBF">
      <w:pPr>
        <w:snapToGrid w:val="0"/>
        <w:spacing w:before="120" w:after="0" w:line="240" w:lineRule="auto"/>
        <w:jc w:val="both"/>
        <w:rPr>
          <w:rFonts w:ascii="Calibri" w:hAnsi="Calibri" w:cs="Calibri"/>
          <w:color w:val="000000"/>
          <w:lang w:val="en-US"/>
        </w:rPr>
      </w:pPr>
      <w:r w:rsidRPr="00CF6975">
        <w:rPr>
          <w:rFonts w:ascii="Calibri" w:hAnsi="Calibri" w:cs="Calibri"/>
          <w:color w:val="000000"/>
          <w:lang w:val="en-US"/>
        </w:rPr>
        <w:t>The Committee's recommendation 16 to include in the Constitution "a clear and explicit definition and prohibition of racial discrimination that meets all the requirements and elements contained in article 1, paragraph 1, of the Convention, and that also covers acts of direct and indirect discrimination" remains pending.</w:t>
      </w:r>
      <w:r w:rsidRPr="00DF5BBF">
        <w:rPr>
          <w:rStyle w:val="FootnoteReference"/>
          <w:rFonts w:ascii="Calibri" w:hAnsi="Calibri" w:cs="Calibri"/>
        </w:rPr>
        <w:footnoteReference w:id="76"/>
      </w:r>
      <w:r w:rsidR="00A6482A" w:rsidRPr="00CF6975">
        <w:rPr>
          <w:rFonts w:ascii="Calibri" w:hAnsi="Calibri" w:cs="Calibri"/>
          <w:color w:val="000000"/>
          <w:lang w:val="en-US"/>
        </w:rPr>
        <w:t xml:space="preserve"> </w:t>
      </w:r>
    </w:p>
    <w:p w14:paraId="02498F4A" w14:textId="52B42402" w:rsidR="005E1783" w:rsidRPr="00CF6975" w:rsidRDefault="0006495C" w:rsidP="00DF5BBF">
      <w:pPr>
        <w:snapToGrid w:val="0"/>
        <w:spacing w:before="120" w:after="0" w:line="240" w:lineRule="auto"/>
        <w:jc w:val="both"/>
        <w:rPr>
          <w:rFonts w:ascii="Calibri" w:hAnsi="Calibri" w:cs="Calibri"/>
          <w:lang w:val="en-US"/>
        </w:rPr>
      </w:pPr>
      <w:r w:rsidRPr="00CF6975">
        <w:rPr>
          <w:rFonts w:ascii="Calibri" w:hAnsi="Calibri" w:cs="Calibri"/>
          <w:color w:val="000000"/>
          <w:lang w:val="en-US"/>
        </w:rPr>
        <w:t xml:space="preserve">Paragraphs 249 to 263 of the report refer to the Committee's recommendation 20 regarding </w:t>
      </w:r>
      <w:r w:rsidR="00265F08" w:rsidRPr="00CF6975">
        <w:rPr>
          <w:rFonts w:ascii="Calibri" w:hAnsi="Calibri" w:cs="Calibri"/>
          <w:lang w:val="en-US"/>
        </w:rPr>
        <w:t>"the elaboration of the national plan for the eradication of all forms of racial discrimination, ensuring that it contains clear and specific goals, mechanisms for evaluating its results and provides for the allocation of human resources,  technical and financial necessary for its effective implementation".</w:t>
      </w:r>
      <w:r w:rsidR="004E234B" w:rsidRPr="00DF5BBF">
        <w:rPr>
          <w:rStyle w:val="FootnoteReference"/>
          <w:rFonts w:ascii="Calibri" w:hAnsi="Calibri" w:cs="Calibri"/>
        </w:rPr>
        <w:footnoteReference w:id="77"/>
      </w:r>
      <w:r w:rsidR="00A6482A" w:rsidRPr="00CF6975">
        <w:rPr>
          <w:rFonts w:ascii="Calibri" w:hAnsi="Calibri" w:cs="Calibri"/>
          <w:lang w:val="en-US"/>
        </w:rPr>
        <w:t xml:space="preserve"> Reference has already been made to the National Program against Racism and Racial Discrimination above, and it was noted that the IACHR noted that the participation of independent civil society organizations interested in the field was not taken into account in its preparation, while it was prepared on the basis of an incomplete diagnosis</w:t>
      </w:r>
      <w:r w:rsidR="00CA0FDC">
        <w:rPr>
          <w:rFonts w:ascii="Calibri" w:hAnsi="Calibri" w:cs="Calibri"/>
          <w:lang w:val="en-US"/>
        </w:rPr>
        <w:t>, e</w:t>
      </w:r>
      <w:r w:rsidR="00A6482A" w:rsidRPr="00CF6975">
        <w:rPr>
          <w:rFonts w:ascii="Calibri" w:hAnsi="Calibri" w:cs="Calibri"/>
          <w:lang w:val="en-US"/>
        </w:rPr>
        <w:t>specially in terms of the living conditions and employability of people of African descent</w:t>
      </w:r>
      <w:r w:rsidR="00CA0FDC">
        <w:rPr>
          <w:rFonts w:ascii="Calibri" w:hAnsi="Calibri" w:cs="Calibri"/>
          <w:lang w:val="en-US"/>
        </w:rPr>
        <w:t>.</w:t>
      </w:r>
      <w:r w:rsidR="00A6482A" w:rsidRPr="00DF5BBF">
        <w:rPr>
          <w:rStyle w:val="FootnoteReference"/>
          <w:rFonts w:ascii="Calibri" w:hAnsi="Calibri" w:cs="Calibri"/>
        </w:rPr>
        <w:footnoteReference w:id="78"/>
      </w:r>
    </w:p>
    <w:p w14:paraId="5B0AB26B" w14:textId="2D3E1697" w:rsidR="00742EB4" w:rsidRPr="00CF6975" w:rsidRDefault="009E6583" w:rsidP="00DF5BBF">
      <w:pPr>
        <w:snapToGrid w:val="0"/>
        <w:spacing w:before="120" w:after="0" w:line="240" w:lineRule="auto"/>
        <w:jc w:val="both"/>
        <w:rPr>
          <w:rFonts w:ascii="Calibri" w:hAnsi="Calibri" w:cs="Calibri"/>
          <w:color w:val="000000"/>
          <w:lang w:val="en-US" w:eastAsia="en-GB"/>
        </w:rPr>
      </w:pPr>
      <w:r w:rsidRPr="00CF6975">
        <w:rPr>
          <w:rFonts w:ascii="Calibri" w:hAnsi="Calibri" w:cs="Calibri"/>
          <w:color w:val="000000"/>
          <w:lang w:val="en-US"/>
        </w:rPr>
        <w:t xml:space="preserve">Paragraphs 264 to 268 of the report address the Committee's recommendation 22 on the absence of judicial proceedings and convictions </w:t>
      </w:r>
      <w:r w:rsidR="00742EB4" w:rsidRPr="00CF6975">
        <w:rPr>
          <w:rFonts w:ascii="Calibri" w:hAnsi="Calibri" w:cs="Calibri"/>
          <w:color w:val="000000"/>
          <w:lang w:val="en-US" w:eastAsia="en-GB"/>
        </w:rPr>
        <w:t xml:space="preserve"> for acts relating to racial discrimination and the measures to be taken in this regard, which were not complied with by the Government</w:t>
      </w:r>
      <w:r w:rsidR="00CA0FDC">
        <w:rPr>
          <w:rFonts w:ascii="Calibri" w:hAnsi="Calibri" w:cs="Calibri"/>
          <w:color w:val="000000"/>
          <w:lang w:val="en-US" w:eastAsia="en-GB"/>
        </w:rPr>
        <w:t>.</w:t>
      </w:r>
      <w:r w:rsidR="002606B5" w:rsidRPr="00DF5BBF">
        <w:rPr>
          <w:rStyle w:val="FootnoteReference"/>
          <w:rFonts w:ascii="Calibri" w:hAnsi="Calibri" w:cs="Calibri"/>
          <w:color w:val="000000"/>
          <w:lang w:eastAsia="en-GB"/>
        </w:rPr>
        <w:footnoteReference w:id="79"/>
      </w:r>
    </w:p>
    <w:p w14:paraId="446B96FA" w14:textId="33BA8F0F" w:rsidR="003F44A2" w:rsidRPr="00CF6975" w:rsidRDefault="00A6482A" w:rsidP="00DF5BBF">
      <w:pPr>
        <w:snapToGrid w:val="0"/>
        <w:spacing w:before="120" w:after="0" w:line="240" w:lineRule="auto"/>
        <w:jc w:val="both"/>
        <w:rPr>
          <w:rFonts w:ascii="Calibri" w:hAnsi="Calibri" w:cs="Calibri"/>
          <w:color w:val="000000"/>
          <w:lang w:val="en-US" w:eastAsia="en-GB"/>
        </w:rPr>
      </w:pPr>
      <w:r w:rsidRPr="00CF6975">
        <w:rPr>
          <w:rFonts w:ascii="Calibri" w:hAnsi="Calibri" w:cs="Calibri"/>
          <w:color w:val="000000"/>
          <w:lang w:val="en-US" w:eastAsia="en-GB"/>
        </w:rPr>
        <w:lastRenderedPageBreak/>
        <w:t xml:space="preserve">Paragraphs 269 to 281 deal with the prison population. As can be seen from official statistics, the Afro-descendant population is overrepresented, reflecting the existing cultural gap, without explaining the methodology used to obtain the classification. </w:t>
      </w:r>
    </w:p>
    <w:p w14:paraId="1C482274" w14:textId="7E837498" w:rsidR="007A356F" w:rsidRPr="00CF6975" w:rsidRDefault="002474FD" w:rsidP="00DF5BBF">
      <w:pPr>
        <w:snapToGrid w:val="0"/>
        <w:spacing w:before="120" w:after="0" w:line="240" w:lineRule="auto"/>
        <w:jc w:val="both"/>
        <w:rPr>
          <w:rFonts w:ascii="Calibri" w:hAnsi="Calibri" w:cs="Calibri"/>
          <w:color w:val="000000"/>
          <w:lang w:val="en-US" w:eastAsia="en-GB"/>
        </w:rPr>
      </w:pPr>
      <w:r w:rsidRPr="00CF6975">
        <w:rPr>
          <w:rFonts w:ascii="Calibri" w:hAnsi="Calibri" w:cs="Calibri"/>
          <w:color w:val="000000"/>
          <w:lang w:val="en-US" w:eastAsia="en-GB"/>
        </w:rPr>
        <w:t>Paragraphs 282 to 284 of the repeated report deal with discrimination against women of African descent. Afro-descendant women bear the brunt of racial discrimination, even femicides affect Afro-descendants to a worse extent because they live in conditions of marginalization. The government does not offer statistics on these femicides. According to the Gender Observatory Alas Tensas, in the 48 cases of femicide verified in Cuba during 2025, the intersectional analysis showed an overrepresentation of Afro-descendant women. In 46 cases it was possible to identify skin color, 22 corresponded to Afro-descendant women (45.8%) and 24 to white women (50%), while in two cases (4.2%) this variable could not be determined</w:t>
      </w:r>
      <w:r w:rsidR="00CA0FDC">
        <w:rPr>
          <w:rFonts w:ascii="Calibri" w:hAnsi="Calibri" w:cs="Calibri"/>
          <w:color w:val="000000"/>
          <w:lang w:val="en-US" w:eastAsia="en-GB"/>
        </w:rPr>
        <w:t>.</w:t>
      </w:r>
      <w:r w:rsidR="00121B76" w:rsidRPr="00DF5BBF">
        <w:rPr>
          <w:rStyle w:val="FootnoteReference"/>
          <w:rFonts w:ascii="Calibri" w:hAnsi="Calibri" w:cs="Calibri"/>
          <w:color w:val="000000"/>
          <w:lang w:eastAsia="en-GB"/>
        </w:rPr>
        <w:footnoteReference w:id="80"/>
      </w:r>
      <w:r w:rsidR="007A356F" w:rsidRPr="00CF6975">
        <w:rPr>
          <w:rFonts w:ascii="Calibri" w:hAnsi="Calibri" w:cs="Calibri"/>
          <w:color w:val="000000"/>
          <w:lang w:val="en-US" w:eastAsia="en-GB"/>
        </w:rPr>
        <w:t xml:space="preserve"> </w:t>
      </w:r>
    </w:p>
    <w:p w14:paraId="297FA673" w14:textId="353857B5" w:rsidR="007A356F" w:rsidRPr="00CA0FDC" w:rsidRDefault="007A356F" w:rsidP="00DF5BBF">
      <w:pPr>
        <w:snapToGrid w:val="0"/>
        <w:spacing w:before="120" w:after="0" w:line="240" w:lineRule="auto"/>
        <w:jc w:val="both"/>
        <w:rPr>
          <w:rFonts w:ascii="Calibri" w:hAnsi="Calibri" w:cs="Calibri"/>
          <w:color w:val="000000"/>
          <w:lang w:eastAsia="en-GB"/>
        </w:rPr>
      </w:pPr>
      <w:r w:rsidRPr="00CF6975">
        <w:rPr>
          <w:rFonts w:ascii="Calibri" w:hAnsi="Calibri" w:cs="Calibri"/>
          <w:color w:val="000000"/>
          <w:lang w:val="en-US" w:eastAsia="en-GB"/>
        </w:rPr>
        <w:t>On this issue, the IACHR warned about the absence of public policies and specialized legislation to combat violence against women in the country and of official and updated statistical data on this type of violence</w:t>
      </w:r>
      <w:r w:rsidR="00CA0FDC">
        <w:rPr>
          <w:rFonts w:ascii="Calibri" w:hAnsi="Calibri" w:cs="Calibri"/>
          <w:color w:val="000000"/>
          <w:lang w:val="en-US" w:eastAsia="en-GB"/>
        </w:rPr>
        <w:t>.</w:t>
      </w:r>
      <w:r w:rsidRPr="00DF5BBF">
        <w:rPr>
          <w:rStyle w:val="FootnoteReference"/>
          <w:rFonts w:ascii="Calibri" w:hAnsi="Calibri" w:cs="Calibri"/>
          <w:color w:val="000000"/>
          <w:lang w:eastAsia="en-GB"/>
        </w:rPr>
        <w:footnoteReference w:id="81"/>
      </w:r>
    </w:p>
    <w:p w14:paraId="6E8BD912" w14:textId="2DF5CC80" w:rsidR="002A167C" w:rsidRPr="00CF6975" w:rsidRDefault="005119BD" w:rsidP="00DF5BBF">
      <w:pPr>
        <w:snapToGrid w:val="0"/>
        <w:spacing w:before="120" w:after="0" w:line="240" w:lineRule="auto"/>
        <w:jc w:val="both"/>
        <w:rPr>
          <w:rFonts w:ascii="Calibri" w:hAnsi="Calibri" w:cs="Calibri"/>
          <w:color w:val="000000"/>
          <w:lang w:val="en-US" w:eastAsia="en-GB"/>
        </w:rPr>
      </w:pPr>
      <w:r w:rsidRPr="00CF6975">
        <w:rPr>
          <w:rFonts w:ascii="Calibri" w:hAnsi="Calibri" w:cs="Calibri"/>
          <w:color w:val="000000"/>
          <w:lang w:val="en-US" w:eastAsia="en-GB"/>
        </w:rPr>
        <w:t>A 2024 diagnosis by the Cuba office of the Latin American Faculty of Social Sciences, Flacso Cuba, with black and mulatto women from Havana, reflected that 82.6% are affected by environmental problems in their municipality such as micro-landfills, leaks and noise pollution</w:t>
      </w:r>
      <w:r w:rsidR="00CA0FDC">
        <w:rPr>
          <w:rFonts w:ascii="Calibri" w:hAnsi="Calibri" w:cs="Calibri"/>
          <w:color w:val="000000"/>
          <w:lang w:val="en-US" w:eastAsia="en-GB"/>
        </w:rPr>
        <w:t>.</w:t>
      </w:r>
      <w:r w:rsidR="00D3603C" w:rsidRPr="00DF5BBF">
        <w:rPr>
          <w:rStyle w:val="FootnoteReference"/>
          <w:rFonts w:ascii="Calibri" w:hAnsi="Calibri" w:cs="Calibri"/>
          <w:color w:val="000000"/>
          <w:lang w:eastAsia="en-GB"/>
        </w:rPr>
        <w:footnoteReference w:id="82"/>
      </w:r>
      <w:r w:rsidR="007A356F" w:rsidRPr="00CF6975">
        <w:rPr>
          <w:rFonts w:ascii="Calibri" w:hAnsi="Calibri" w:cs="Calibri"/>
          <w:color w:val="000000"/>
          <w:lang w:val="en-US" w:eastAsia="en-GB"/>
        </w:rPr>
        <w:t xml:space="preserve"> The IACHR also warned that there is a precariousness of economic, social, cultural, and environmental rights, with differentiated impacts on women and older people of African descent</w:t>
      </w:r>
      <w:r w:rsidR="00CA0FDC">
        <w:rPr>
          <w:rFonts w:ascii="Calibri" w:hAnsi="Calibri" w:cs="Calibri"/>
          <w:color w:val="000000"/>
          <w:lang w:val="en-US" w:eastAsia="en-GB"/>
        </w:rPr>
        <w:t>.</w:t>
      </w:r>
      <w:r w:rsidR="007A356F" w:rsidRPr="00DF5BBF">
        <w:rPr>
          <w:rStyle w:val="FootnoteReference"/>
          <w:rFonts w:ascii="Calibri" w:hAnsi="Calibri" w:cs="Calibri"/>
          <w:color w:val="000000"/>
          <w:lang w:eastAsia="en-GB"/>
        </w:rPr>
        <w:footnoteReference w:id="83"/>
      </w:r>
      <w:r w:rsidR="007A356F" w:rsidRPr="00CF6975">
        <w:rPr>
          <w:rFonts w:ascii="Calibri" w:hAnsi="Calibri" w:cs="Calibri"/>
          <w:color w:val="000000"/>
          <w:lang w:val="en-US" w:eastAsia="en-GB"/>
        </w:rPr>
        <w:t xml:space="preserve"> In particular, it highlighted that black and mestizo women with HIV/AIDS and/or tuberculosis would have a much lower life expectancy than the rest of the population, as a result of the intersection of multiple factors of discrimination, while they would continue to be overrepresented in unpaid jobs and report low schooling</w:t>
      </w:r>
      <w:r w:rsidR="00CA0FDC">
        <w:rPr>
          <w:rFonts w:ascii="Calibri" w:hAnsi="Calibri" w:cs="Calibri"/>
          <w:color w:val="000000"/>
          <w:lang w:val="en-US" w:eastAsia="en-GB"/>
        </w:rPr>
        <w:t>.</w:t>
      </w:r>
      <w:r w:rsidR="007A356F" w:rsidRPr="00DF5BBF">
        <w:rPr>
          <w:rStyle w:val="FootnoteReference"/>
          <w:rFonts w:ascii="Calibri" w:hAnsi="Calibri" w:cs="Calibri"/>
          <w:color w:val="000000"/>
          <w:lang w:eastAsia="en-GB"/>
        </w:rPr>
        <w:footnoteReference w:id="84"/>
      </w:r>
    </w:p>
    <w:p w14:paraId="06138918" w14:textId="75F96CA2" w:rsidR="00A04EAA" w:rsidRPr="00CF6975" w:rsidRDefault="00846663" w:rsidP="00DF5BBF">
      <w:pPr>
        <w:snapToGrid w:val="0"/>
        <w:spacing w:before="120" w:after="0" w:line="240" w:lineRule="auto"/>
        <w:jc w:val="both"/>
        <w:rPr>
          <w:rFonts w:ascii="Calibri" w:hAnsi="Calibri" w:cs="Calibri"/>
          <w:color w:val="000000"/>
          <w:lang w:val="en-US" w:eastAsia="en-GB"/>
        </w:rPr>
      </w:pPr>
      <w:r w:rsidRPr="00CF6975">
        <w:rPr>
          <w:rFonts w:ascii="Calibri" w:hAnsi="Calibri" w:cs="Calibri"/>
          <w:color w:val="000000"/>
          <w:lang w:val="en-US" w:eastAsia="en-GB"/>
        </w:rPr>
        <w:t>Paragraphs 285 and 286 deal with the issue of irregular migration of Haitians to Cuban shores in transit to the United States. Failure to comply with the Committee's recommendations to eliminate the offence of illegal entry into the national territory, which remains unchanged in article 282 of the Criminal Code, persists</w:t>
      </w:r>
      <w:r w:rsidR="00CA0FDC">
        <w:rPr>
          <w:rFonts w:ascii="Calibri" w:hAnsi="Calibri" w:cs="Calibri"/>
          <w:color w:val="000000"/>
          <w:lang w:val="en-US" w:eastAsia="en-GB"/>
        </w:rPr>
        <w:t>.</w:t>
      </w:r>
      <w:r w:rsidR="00B82B86" w:rsidRPr="00DF5BBF">
        <w:rPr>
          <w:rStyle w:val="FootnoteReference"/>
          <w:rFonts w:ascii="Calibri" w:hAnsi="Calibri" w:cs="Calibri"/>
          <w:color w:val="000000"/>
          <w:lang w:eastAsia="en-GB"/>
        </w:rPr>
        <w:footnoteReference w:id="85"/>
      </w:r>
    </w:p>
    <w:p w14:paraId="560ABFD0" w14:textId="7CC96B00" w:rsidR="00C961CA" w:rsidRPr="00CF6975" w:rsidRDefault="00CF1458" w:rsidP="00DF5BBF">
      <w:pPr>
        <w:snapToGrid w:val="0"/>
        <w:spacing w:before="120" w:after="0" w:line="240" w:lineRule="auto"/>
        <w:jc w:val="both"/>
        <w:rPr>
          <w:rFonts w:ascii="Calibri" w:hAnsi="Calibri" w:cs="Calibri"/>
          <w:color w:val="000000"/>
          <w:lang w:val="en-US" w:eastAsia="en-GB"/>
        </w:rPr>
      </w:pPr>
      <w:r w:rsidRPr="00CF6975">
        <w:rPr>
          <w:rFonts w:ascii="Calibri" w:hAnsi="Calibri" w:cs="Calibri"/>
          <w:color w:val="000000"/>
          <w:lang w:val="en-US" w:eastAsia="en-GB"/>
        </w:rPr>
        <w:t>Paragraphs 287 to 292 deal with trafficking in persons. The State did not comply with the Committee's recommendation to include "information disaggregated by sex, age, ethnicity and nationality of the victims, and on the number of investigations, convictions and sentences imposed in cases of trafficking in human beings for the purpose of labor or sexual exploitation".</w:t>
      </w:r>
      <w:r w:rsidR="00131CB1" w:rsidRPr="00DF5BBF">
        <w:rPr>
          <w:rStyle w:val="FootnoteReference"/>
          <w:rFonts w:ascii="Calibri" w:hAnsi="Calibri" w:cs="Calibri"/>
          <w:color w:val="000000"/>
          <w:lang w:eastAsia="en-GB"/>
        </w:rPr>
        <w:footnoteReference w:id="86"/>
      </w:r>
      <w:r w:rsidR="00C961CA" w:rsidRPr="00CF6975">
        <w:rPr>
          <w:rFonts w:ascii="Calibri" w:hAnsi="Calibri" w:cs="Calibri"/>
          <w:color w:val="000000"/>
          <w:lang w:val="en-US" w:eastAsia="en-GB"/>
        </w:rPr>
        <w:t xml:space="preserve"> </w:t>
      </w:r>
    </w:p>
    <w:p w14:paraId="6E9B4AAD" w14:textId="77777777" w:rsidR="00C961CA" w:rsidRPr="00CF6975" w:rsidRDefault="00D36B71" w:rsidP="00DF5BBF">
      <w:pPr>
        <w:snapToGrid w:val="0"/>
        <w:spacing w:before="120" w:after="0" w:line="240" w:lineRule="auto"/>
        <w:jc w:val="both"/>
        <w:rPr>
          <w:rFonts w:ascii="Calibri" w:hAnsi="Calibri" w:cs="Calibri"/>
          <w:color w:val="000000"/>
          <w:lang w:val="en-US" w:eastAsia="en-GB"/>
        </w:rPr>
      </w:pPr>
      <w:r w:rsidRPr="00CF6975">
        <w:rPr>
          <w:rFonts w:ascii="Calibri" w:hAnsi="Calibri" w:cs="Calibri"/>
          <w:color w:val="000000"/>
          <w:lang w:val="en-US" w:eastAsia="en-GB"/>
        </w:rPr>
        <w:lastRenderedPageBreak/>
        <w:t>Paragraphs 293 to 301 of the report refer to the Committee's recommendation 32</w:t>
      </w:r>
      <w:r w:rsidR="00A92BA9" w:rsidRPr="00DF5BBF">
        <w:rPr>
          <w:rStyle w:val="FootnoteReference"/>
          <w:rFonts w:ascii="Calibri" w:hAnsi="Calibri" w:cs="Calibri"/>
          <w:color w:val="000000"/>
          <w:lang w:eastAsia="en-GB"/>
        </w:rPr>
        <w:footnoteReference w:id="87"/>
      </w:r>
      <w:r w:rsidR="00B537EA" w:rsidRPr="00CF6975">
        <w:rPr>
          <w:rFonts w:ascii="Calibri" w:hAnsi="Calibri" w:cs="Calibri"/>
          <w:color w:val="000000"/>
          <w:lang w:val="en-US" w:eastAsia="en-GB"/>
        </w:rPr>
        <w:t xml:space="preserve"> regarding the excessive use of force against the Afro-descendant population, the thorough investigation of these events and the compensation of the victims. This issue has already been addressed </w:t>
      </w:r>
      <w:r w:rsidR="00B537EA" w:rsidRPr="00CA0FDC">
        <w:rPr>
          <w:rFonts w:ascii="Calibri" w:hAnsi="Calibri" w:cs="Calibri"/>
          <w:i/>
          <w:iCs/>
          <w:color w:val="000000"/>
          <w:lang w:val="en-US" w:eastAsia="en-GB"/>
        </w:rPr>
        <w:t>ut supra.</w:t>
      </w:r>
    </w:p>
    <w:p w14:paraId="4419B8F5" w14:textId="40B742B1" w:rsidR="00394C28" w:rsidRPr="00CF6975" w:rsidRDefault="006D4AD9" w:rsidP="00DF5BBF">
      <w:pPr>
        <w:snapToGrid w:val="0"/>
        <w:spacing w:before="120" w:after="0" w:line="240" w:lineRule="auto"/>
        <w:jc w:val="both"/>
        <w:rPr>
          <w:rFonts w:ascii="Calibri" w:hAnsi="Calibri" w:cs="Calibri"/>
          <w:color w:val="000000"/>
          <w:lang w:val="en-US" w:eastAsia="en-GB"/>
        </w:rPr>
      </w:pPr>
      <w:r w:rsidRPr="00CF6975">
        <w:rPr>
          <w:rFonts w:ascii="Calibri" w:hAnsi="Calibri" w:cs="Calibri"/>
          <w:color w:val="000000"/>
          <w:lang w:val="en-US" w:eastAsia="en-GB"/>
        </w:rPr>
        <w:t>Paragraphs 302 to 304 of the report address racial stereotyping and the non-ratification of international human rights instruments. The report does not specify the awareness campaigns carried out, in a context where state control over all mass media would allow their effective implementation. The Cuban government's refusal to ratify the main international treaties on human rights persists, alleging "singling out and political manipulation", and there has been no progress in this area.</w:t>
      </w:r>
    </w:p>
    <w:p w14:paraId="46C2D53F" w14:textId="77777777" w:rsidR="001F34E6" w:rsidRPr="00CF6975" w:rsidRDefault="00253309" w:rsidP="00DF5BBF">
      <w:pPr>
        <w:snapToGrid w:val="0"/>
        <w:spacing w:before="120" w:after="0" w:line="240" w:lineRule="auto"/>
        <w:jc w:val="both"/>
        <w:rPr>
          <w:rFonts w:ascii="Calibri" w:hAnsi="Calibri" w:cs="Calibri"/>
          <w:lang w:val="en-US"/>
        </w:rPr>
      </w:pPr>
      <w:r w:rsidRPr="00CF6975">
        <w:rPr>
          <w:rFonts w:ascii="Calibri" w:hAnsi="Calibri" w:cs="Calibri"/>
          <w:lang w:val="en-US"/>
        </w:rPr>
        <w:t xml:space="preserve">Paragraph 319 attempts to respond to recommendation 38 of the Committee, which has not been complied with, since the observations of this Honorable Committee were not published in any of the numerous mass media available to the Cuban Government. </w:t>
      </w:r>
    </w:p>
    <w:p w14:paraId="29D95FDA" w14:textId="4DBF9593" w:rsidR="00DF0C28" w:rsidRPr="00CF6975" w:rsidRDefault="00DF0C28" w:rsidP="00DF5BBF">
      <w:pPr>
        <w:snapToGrid w:val="0"/>
        <w:spacing w:before="120" w:after="0" w:line="240" w:lineRule="auto"/>
        <w:jc w:val="both"/>
        <w:rPr>
          <w:rFonts w:ascii="Calibri" w:hAnsi="Calibri" w:cs="Calibri"/>
          <w:lang w:val="en-US"/>
        </w:rPr>
      </w:pPr>
      <w:r w:rsidRPr="00CF6975">
        <w:rPr>
          <w:rFonts w:ascii="Calibri" w:hAnsi="Calibri" w:cs="Calibri"/>
          <w:lang w:val="en-US"/>
        </w:rPr>
        <w:t>Paragraph 320 of the report seeks to respond to the Committee's recommendation 39 on "constructive cooperation with civil society organizations engaged in the protection of human rights".</w:t>
      </w:r>
      <w:r w:rsidRPr="00DF5BBF">
        <w:rPr>
          <w:rStyle w:val="FootnoteReference"/>
          <w:rFonts w:ascii="Calibri" w:hAnsi="Calibri" w:cs="Calibri"/>
        </w:rPr>
        <w:footnoteReference w:id="88"/>
      </w:r>
      <w:r w:rsidR="001F34E6" w:rsidRPr="00CF6975">
        <w:rPr>
          <w:rFonts w:ascii="Calibri" w:hAnsi="Calibri" w:cs="Calibri"/>
          <w:lang w:val="en-US"/>
        </w:rPr>
        <w:t xml:space="preserve"> This recommendation is also not complied with since the government disqualifies human rights organizations in Cuba, describing their activists as "mercenaries of the empire." The Cuban authorities only recognize as civil society organizations controlled by the totalitarian state apparatus.</w:t>
      </w:r>
    </w:p>
    <w:p w14:paraId="133F07AA" w14:textId="49DA005E" w:rsidR="00B31517" w:rsidRPr="00CF6975" w:rsidRDefault="00B31517" w:rsidP="00DF5BBF">
      <w:pPr>
        <w:snapToGrid w:val="0"/>
        <w:spacing w:before="120" w:after="0" w:line="240" w:lineRule="auto"/>
        <w:jc w:val="both"/>
        <w:rPr>
          <w:rFonts w:ascii="Calibri" w:hAnsi="Calibri" w:cs="Calibri"/>
          <w:lang w:val="en-US"/>
        </w:rPr>
      </w:pPr>
    </w:p>
    <w:p w14:paraId="7415B396" w14:textId="77777777" w:rsidR="00931E8B" w:rsidRPr="00DF5BBF" w:rsidRDefault="005E4FDD" w:rsidP="00DF5BBF">
      <w:pPr>
        <w:snapToGrid w:val="0"/>
        <w:spacing w:before="120" w:after="0" w:line="240" w:lineRule="auto"/>
        <w:jc w:val="both"/>
        <w:rPr>
          <w:rStyle w:val="fontstyle01"/>
          <w:b/>
          <w:sz w:val="22"/>
          <w:szCs w:val="22"/>
        </w:rPr>
      </w:pPr>
      <w:r w:rsidRPr="00DF5BBF">
        <w:rPr>
          <w:rStyle w:val="fontstyle01"/>
          <w:b/>
          <w:sz w:val="22"/>
          <w:szCs w:val="22"/>
        </w:rPr>
        <w:t>Conclusions</w:t>
      </w:r>
    </w:p>
    <w:p w14:paraId="132824D5" w14:textId="21383F01" w:rsidR="001F34E6" w:rsidRPr="00CF6975" w:rsidRDefault="001F34E6" w:rsidP="00DF5BBF">
      <w:pPr>
        <w:pStyle w:val="ListParagraph"/>
        <w:numPr>
          <w:ilvl w:val="0"/>
          <w:numId w:val="7"/>
        </w:numPr>
        <w:snapToGrid w:val="0"/>
        <w:spacing w:before="120" w:after="0" w:line="240" w:lineRule="auto"/>
        <w:contextualSpacing w:val="0"/>
        <w:jc w:val="both"/>
        <w:rPr>
          <w:rFonts w:ascii="Calibri" w:hAnsi="Calibri" w:cs="Calibri"/>
          <w:color w:val="000000"/>
          <w:lang w:val="en-US"/>
        </w:rPr>
      </w:pPr>
      <w:r w:rsidRPr="00CF6975">
        <w:rPr>
          <w:rFonts w:ascii="Calibri" w:hAnsi="Calibri" w:cs="Calibri"/>
          <w:color w:val="000000"/>
          <w:lang w:val="en-US"/>
        </w:rPr>
        <w:t xml:space="preserve">The present report demonstrates that, contrary to the State party's assertions, </w:t>
      </w:r>
      <w:r w:rsidRPr="00CF6975">
        <w:rPr>
          <w:rStyle w:val="Strong"/>
          <w:rFonts w:ascii="Calibri" w:hAnsi="Calibri" w:cs="Calibri"/>
          <w:color w:val="000000"/>
          <w:lang w:val="en-US"/>
        </w:rPr>
        <w:t xml:space="preserve">racial discrimination in Cuba is not a residual phenomenon or limited to individual </w:t>
      </w:r>
      <w:r w:rsidR="00CA0FDC" w:rsidRPr="00CF6975">
        <w:rPr>
          <w:rStyle w:val="Strong"/>
          <w:rFonts w:ascii="Calibri" w:hAnsi="Calibri" w:cs="Calibri"/>
          <w:color w:val="000000"/>
          <w:lang w:val="en-US"/>
        </w:rPr>
        <w:t>prejudices</w:t>
      </w:r>
      <w:r w:rsidR="00CA0FDC" w:rsidRPr="00CF6975">
        <w:rPr>
          <w:rFonts w:ascii="Calibri" w:hAnsi="Calibri" w:cs="Calibri"/>
          <w:color w:val="000000"/>
          <w:lang w:val="en-US"/>
        </w:rPr>
        <w:t xml:space="preserve"> but</w:t>
      </w:r>
      <w:r w:rsidRPr="00CF6975">
        <w:rPr>
          <w:rFonts w:ascii="Calibri" w:hAnsi="Calibri" w:cs="Calibri"/>
          <w:color w:val="000000"/>
          <w:lang w:val="en-US"/>
        </w:rPr>
        <w:t xml:space="preserve"> responds to </w:t>
      </w:r>
      <w:r w:rsidRPr="00CF6975">
        <w:rPr>
          <w:rStyle w:val="Strong"/>
          <w:rFonts w:ascii="Calibri" w:hAnsi="Calibri" w:cs="Calibri"/>
          <w:color w:val="000000"/>
          <w:lang w:val="en-US"/>
        </w:rPr>
        <w:t xml:space="preserve">structural and systemic patterns </w:t>
      </w:r>
      <w:r w:rsidRPr="00CF6975">
        <w:rPr>
          <w:rFonts w:ascii="Calibri" w:hAnsi="Calibri" w:cs="Calibri"/>
          <w:color w:val="000000"/>
          <w:lang w:val="en-US"/>
        </w:rPr>
        <w:t>that persistently and disproportionately affect the Afro-descendant population.</w:t>
      </w:r>
    </w:p>
    <w:p w14:paraId="5E33DA2B" w14:textId="77777777" w:rsidR="001F34E6" w:rsidRPr="00CF6975" w:rsidRDefault="001F34E6" w:rsidP="00DF5BBF">
      <w:pPr>
        <w:pStyle w:val="ListParagraph"/>
        <w:numPr>
          <w:ilvl w:val="0"/>
          <w:numId w:val="7"/>
        </w:numPr>
        <w:snapToGrid w:val="0"/>
        <w:spacing w:before="120" w:after="0" w:line="240" w:lineRule="auto"/>
        <w:contextualSpacing w:val="0"/>
        <w:jc w:val="both"/>
        <w:rPr>
          <w:rFonts w:ascii="Calibri" w:hAnsi="Calibri" w:cs="Calibri"/>
          <w:color w:val="000000"/>
          <w:lang w:val="en-US"/>
        </w:rPr>
      </w:pPr>
      <w:r w:rsidRPr="00CF6975">
        <w:rPr>
          <w:rFonts w:ascii="Calibri" w:hAnsi="Calibri" w:cs="Calibri"/>
          <w:color w:val="000000"/>
          <w:lang w:val="en-US"/>
        </w:rPr>
        <w:t xml:space="preserve">The analysis of the regulatory framework, state practice and available empirical information allows us to conclude that </w:t>
      </w:r>
      <w:r w:rsidRPr="00CF6975">
        <w:rPr>
          <w:rStyle w:val="Strong"/>
          <w:rFonts w:ascii="Calibri" w:hAnsi="Calibri" w:cs="Calibri"/>
          <w:color w:val="000000"/>
          <w:lang w:val="en-US"/>
        </w:rPr>
        <w:t xml:space="preserve">the official denial of structural racism </w:t>
      </w:r>
      <w:r w:rsidRPr="00CF6975">
        <w:rPr>
          <w:rFonts w:ascii="Calibri" w:hAnsi="Calibri" w:cs="Calibri"/>
          <w:color w:val="000000"/>
          <w:lang w:val="en-US"/>
        </w:rPr>
        <w:t>constitutes one of the main obstacles to its eradication, as it prevents the recognition of existing inequalities and the adoption of differentiated and effective public policies.</w:t>
      </w:r>
    </w:p>
    <w:p w14:paraId="29E0C4AA" w14:textId="77777777" w:rsidR="001F34E6" w:rsidRPr="00CF6975" w:rsidRDefault="001F34E6" w:rsidP="00DF5BBF">
      <w:pPr>
        <w:pStyle w:val="ListParagraph"/>
        <w:numPr>
          <w:ilvl w:val="0"/>
          <w:numId w:val="7"/>
        </w:numPr>
        <w:snapToGrid w:val="0"/>
        <w:spacing w:before="120" w:after="0" w:line="240" w:lineRule="auto"/>
        <w:contextualSpacing w:val="0"/>
        <w:jc w:val="both"/>
        <w:rPr>
          <w:rFonts w:ascii="Calibri" w:hAnsi="Calibri" w:cs="Calibri"/>
          <w:color w:val="000000"/>
          <w:lang w:val="en-US"/>
        </w:rPr>
      </w:pPr>
      <w:r w:rsidRPr="00CF6975">
        <w:rPr>
          <w:rFonts w:ascii="Calibri" w:hAnsi="Calibri" w:cs="Calibri"/>
          <w:color w:val="000000"/>
          <w:lang w:val="en-US"/>
        </w:rPr>
        <w:t xml:space="preserve">The </w:t>
      </w:r>
      <w:r w:rsidRPr="00CF6975">
        <w:rPr>
          <w:rStyle w:val="Strong"/>
          <w:rFonts w:ascii="Calibri" w:hAnsi="Calibri" w:cs="Calibri"/>
          <w:color w:val="000000"/>
          <w:lang w:val="en-US"/>
        </w:rPr>
        <w:t xml:space="preserve">multidimensional humanitarian crisis </w:t>
      </w:r>
      <w:r w:rsidRPr="00CF6975">
        <w:rPr>
          <w:rFonts w:ascii="Calibri" w:hAnsi="Calibri" w:cs="Calibri"/>
          <w:color w:val="000000"/>
          <w:lang w:val="en-US"/>
        </w:rPr>
        <w:t xml:space="preserve">that the country is going through – economic, food, energy, health and migration – has had a </w:t>
      </w:r>
      <w:r w:rsidRPr="00CF6975">
        <w:rPr>
          <w:rStyle w:val="Strong"/>
          <w:rFonts w:ascii="Calibri" w:hAnsi="Calibri" w:cs="Calibri"/>
          <w:color w:val="000000"/>
          <w:lang w:val="en-US"/>
        </w:rPr>
        <w:t>racially differentiated impact</w:t>
      </w:r>
      <w:r w:rsidRPr="00CF6975">
        <w:rPr>
          <w:rFonts w:ascii="Calibri" w:hAnsi="Calibri" w:cs="Calibri"/>
          <w:color w:val="000000"/>
          <w:lang w:val="en-US"/>
        </w:rPr>
        <w:t>, deepening historical gaps in poverty, access to basic services, housing, employment and economic opportunities, without the State having adopted special measures aimed at protecting the Afro-descendant population.</w:t>
      </w:r>
    </w:p>
    <w:p w14:paraId="55A2181C" w14:textId="24AD5D4B" w:rsidR="001F34E6" w:rsidRPr="00CF6975" w:rsidRDefault="001F34E6" w:rsidP="00DF5BBF">
      <w:pPr>
        <w:pStyle w:val="ListParagraph"/>
        <w:numPr>
          <w:ilvl w:val="0"/>
          <w:numId w:val="7"/>
        </w:numPr>
        <w:snapToGrid w:val="0"/>
        <w:spacing w:before="120" w:after="0" w:line="240" w:lineRule="auto"/>
        <w:contextualSpacing w:val="0"/>
        <w:jc w:val="both"/>
        <w:rPr>
          <w:rFonts w:ascii="Calibri" w:hAnsi="Calibri" w:cs="Calibri"/>
          <w:color w:val="000000"/>
          <w:lang w:val="en-US"/>
        </w:rPr>
      </w:pPr>
      <w:r w:rsidRPr="00CF6975">
        <w:rPr>
          <w:rFonts w:ascii="Calibri" w:hAnsi="Calibri" w:cs="Calibri"/>
          <w:color w:val="000000"/>
          <w:lang w:val="en-US"/>
        </w:rPr>
        <w:t xml:space="preserve">The report documents </w:t>
      </w:r>
      <w:r w:rsidRPr="00CF6975">
        <w:rPr>
          <w:rStyle w:val="Strong"/>
          <w:rFonts w:ascii="Calibri" w:hAnsi="Calibri" w:cs="Calibri"/>
          <w:color w:val="000000"/>
          <w:lang w:val="en-US"/>
        </w:rPr>
        <w:t xml:space="preserve">repeated patterns of institutional violence, racial profiling, and excessive use of force </w:t>
      </w:r>
      <w:r w:rsidRPr="00CF6975">
        <w:rPr>
          <w:rFonts w:ascii="Calibri" w:hAnsi="Calibri" w:cs="Calibri"/>
          <w:color w:val="000000"/>
          <w:lang w:val="en-US"/>
        </w:rPr>
        <w:t xml:space="preserve">by state agents, as well as the imposition of harsher criminal sanctions on people of African descent, particularly in the context of the social protests of July 2021, in a scenario marked by </w:t>
      </w:r>
      <w:r w:rsidRPr="00CF6975">
        <w:rPr>
          <w:rStyle w:val="Strong"/>
          <w:rFonts w:ascii="Calibri" w:hAnsi="Calibri" w:cs="Calibri"/>
          <w:color w:val="000000"/>
          <w:lang w:val="en-US"/>
        </w:rPr>
        <w:t>impunity and the absence of effective accountability mechanisms</w:t>
      </w:r>
      <w:r w:rsidRPr="00CF6975">
        <w:rPr>
          <w:rFonts w:ascii="Calibri" w:hAnsi="Calibri" w:cs="Calibri"/>
          <w:color w:val="000000"/>
          <w:lang w:val="en-US"/>
        </w:rPr>
        <w:t>.</w:t>
      </w:r>
    </w:p>
    <w:p w14:paraId="3E5FB841" w14:textId="77777777" w:rsidR="001F34E6" w:rsidRPr="00CF6975" w:rsidRDefault="001F34E6" w:rsidP="00DF5BBF">
      <w:pPr>
        <w:pStyle w:val="ListParagraph"/>
        <w:numPr>
          <w:ilvl w:val="0"/>
          <w:numId w:val="7"/>
        </w:numPr>
        <w:snapToGrid w:val="0"/>
        <w:spacing w:before="120" w:after="0" w:line="240" w:lineRule="auto"/>
        <w:contextualSpacing w:val="0"/>
        <w:jc w:val="both"/>
        <w:rPr>
          <w:rFonts w:ascii="Calibri" w:eastAsia="Times New Roman" w:hAnsi="Calibri" w:cs="Calibri"/>
          <w:color w:val="000000"/>
          <w:lang w:val="en-US"/>
        </w:rPr>
      </w:pPr>
      <w:r w:rsidRPr="00CF6975">
        <w:rPr>
          <w:rFonts w:ascii="Calibri" w:eastAsia="Times New Roman" w:hAnsi="Calibri" w:cs="Calibri"/>
          <w:color w:val="000000"/>
          <w:lang w:val="en-US"/>
        </w:rPr>
        <w:lastRenderedPageBreak/>
        <w:t xml:space="preserve">The report shows the </w:t>
      </w:r>
      <w:r w:rsidRPr="00CF6975">
        <w:rPr>
          <w:rFonts w:ascii="Calibri" w:eastAsia="Times New Roman" w:hAnsi="Calibri" w:cs="Calibri"/>
          <w:b/>
          <w:bCs/>
          <w:color w:val="000000"/>
          <w:lang w:val="en-US"/>
        </w:rPr>
        <w:t>systematic absence of official data disaggregated by ethnic-racial origin</w:t>
      </w:r>
      <w:r w:rsidRPr="00CF6975">
        <w:rPr>
          <w:rFonts w:ascii="Calibri" w:eastAsia="Times New Roman" w:hAnsi="Calibri" w:cs="Calibri"/>
          <w:color w:val="000000"/>
          <w:lang w:val="en-US"/>
        </w:rPr>
        <w:t>, as well as persistent deficiencies in the census methodology, which contributes to the statistical invisibility of the Afro-descendant population and makes it difficult to evaluate the impact of public policies.</w:t>
      </w:r>
    </w:p>
    <w:p w14:paraId="5685EDCB" w14:textId="4000B5F8" w:rsidR="001F34E6" w:rsidRPr="00CF6975" w:rsidRDefault="001F34E6" w:rsidP="00DF5BBF">
      <w:pPr>
        <w:pStyle w:val="NormalWeb"/>
        <w:numPr>
          <w:ilvl w:val="0"/>
          <w:numId w:val="7"/>
        </w:numPr>
        <w:snapToGrid w:val="0"/>
        <w:spacing w:before="120" w:beforeAutospacing="0" w:after="0" w:afterAutospacing="0"/>
        <w:jc w:val="both"/>
        <w:rPr>
          <w:rFonts w:ascii="Calibri" w:hAnsi="Calibri" w:cs="Calibri"/>
          <w:color w:val="000000"/>
          <w:sz w:val="22"/>
          <w:szCs w:val="22"/>
        </w:rPr>
      </w:pPr>
      <w:r w:rsidRPr="00DF5BBF">
        <w:rPr>
          <w:rFonts w:ascii="Calibri" w:hAnsi="Calibri" w:cs="Calibri"/>
          <w:color w:val="000000"/>
          <w:sz w:val="22"/>
          <w:szCs w:val="22"/>
        </w:rPr>
        <w:t xml:space="preserve">It also concludes that </w:t>
      </w:r>
      <w:r w:rsidRPr="00DF5BBF">
        <w:rPr>
          <w:rStyle w:val="Strong"/>
          <w:rFonts w:ascii="Calibri" w:hAnsi="Calibri" w:cs="Calibri"/>
          <w:color w:val="000000"/>
          <w:sz w:val="22"/>
          <w:szCs w:val="22"/>
        </w:rPr>
        <w:t xml:space="preserve">independent Afro-descendant civil society organizations and human rights defenders </w:t>
      </w:r>
      <w:r w:rsidRPr="00DF5BBF">
        <w:rPr>
          <w:rFonts w:ascii="Calibri" w:hAnsi="Calibri" w:cs="Calibri"/>
          <w:color w:val="000000"/>
          <w:sz w:val="22"/>
          <w:szCs w:val="22"/>
        </w:rPr>
        <w:t>face arbitrary restrictions, denial of legal recognition, harassment, and reprisals, which limits their participation in the design, monitoring, and evaluation of anti-discrimination policies.</w:t>
      </w:r>
    </w:p>
    <w:p w14:paraId="25F76C6B" w14:textId="128BA908" w:rsidR="001F34E6" w:rsidRPr="00CF6975" w:rsidRDefault="001F34E6" w:rsidP="00DF5BBF">
      <w:pPr>
        <w:pStyle w:val="NormalWeb"/>
        <w:numPr>
          <w:ilvl w:val="0"/>
          <w:numId w:val="7"/>
        </w:numPr>
        <w:snapToGrid w:val="0"/>
        <w:spacing w:before="120" w:beforeAutospacing="0" w:after="0" w:afterAutospacing="0"/>
        <w:jc w:val="both"/>
        <w:rPr>
          <w:rFonts w:ascii="Calibri" w:hAnsi="Calibri" w:cs="Calibri"/>
          <w:color w:val="000000"/>
          <w:sz w:val="22"/>
          <w:szCs w:val="22"/>
        </w:rPr>
      </w:pPr>
      <w:r w:rsidRPr="00DF5BBF">
        <w:rPr>
          <w:rFonts w:ascii="Calibri" w:hAnsi="Calibri" w:cs="Calibri"/>
          <w:color w:val="000000"/>
          <w:sz w:val="22"/>
          <w:szCs w:val="22"/>
        </w:rPr>
        <w:t xml:space="preserve">Finally, the report notes the </w:t>
      </w:r>
      <w:r w:rsidRPr="00DF5BBF">
        <w:rPr>
          <w:rStyle w:val="Strong"/>
          <w:rFonts w:ascii="Calibri" w:hAnsi="Calibri" w:cs="Calibri"/>
          <w:color w:val="000000"/>
          <w:sz w:val="22"/>
          <w:szCs w:val="22"/>
        </w:rPr>
        <w:t>repeated failure to comply with recommendations previously made by this Honorable Committee</w:t>
      </w:r>
      <w:r w:rsidRPr="00DF5BBF">
        <w:rPr>
          <w:rFonts w:ascii="Calibri" w:hAnsi="Calibri" w:cs="Calibri"/>
          <w:color w:val="000000"/>
          <w:sz w:val="22"/>
          <w:szCs w:val="22"/>
        </w:rPr>
        <w:t>, as well as the lack of substantive progress in the ratification of fundamental international instruments and in the acceptance of international protection mechanisms.</w:t>
      </w:r>
    </w:p>
    <w:p w14:paraId="169543EC" w14:textId="77777777" w:rsidR="00DF5BBF" w:rsidRPr="00CF6975" w:rsidRDefault="00DF5BBF" w:rsidP="00DF5BBF">
      <w:pPr>
        <w:pStyle w:val="NormalWeb"/>
        <w:snapToGrid w:val="0"/>
        <w:spacing w:before="120" w:beforeAutospacing="0" w:after="0" w:afterAutospacing="0"/>
        <w:ind w:left="400"/>
        <w:jc w:val="both"/>
        <w:rPr>
          <w:rStyle w:val="fontstyle01"/>
          <w:sz w:val="22"/>
          <w:szCs w:val="22"/>
        </w:rPr>
      </w:pPr>
    </w:p>
    <w:p w14:paraId="369C4B44" w14:textId="77777777" w:rsidR="00341015" w:rsidRPr="00CF6975" w:rsidRDefault="00341015" w:rsidP="00DF5BBF">
      <w:pPr>
        <w:snapToGrid w:val="0"/>
        <w:spacing w:before="120" w:after="0" w:line="240" w:lineRule="auto"/>
        <w:jc w:val="both"/>
        <w:rPr>
          <w:rStyle w:val="fontstyle01"/>
          <w:b/>
          <w:sz w:val="22"/>
          <w:szCs w:val="22"/>
          <w:lang w:val="en-US"/>
        </w:rPr>
      </w:pPr>
      <w:r w:rsidRPr="00CF6975">
        <w:rPr>
          <w:rStyle w:val="fontstyle01"/>
          <w:b/>
          <w:sz w:val="22"/>
          <w:szCs w:val="22"/>
          <w:lang w:val="en-US"/>
        </w:rPr>
        <w:t>Recommendations to the Committee:</w:t>
      </w:r>
    </w:p>
    <w:p w14:paraId="5D51A399" w14:textId="31EF58E5" w:rsidR="00BF5663" w:rsidRPr="00CF6975" w:rsidRDefault="00DF5BBF" w:rsidP="00DF5BBF">
      <w:pPr>
        <w:snapToGrid w:val="0"/>
        <w:spacing w:before="120" w:after="0" w:line="240" w:lineRule="auto"/>
        <w:jc w:val="both"/>
        <w:rPr>
          <w:rFonts w:ascii="Calibri" w:hAnsi="Calibri" w:cs="Calibri"/>
          <w:lang w:val="en-US"/>
        </w:rPr>
      </w:pPr>
      <w:r w:rsidRPr="00CF6975">
        <w:rPr>
          <w:rFonts w:ascii="Calibri" w:hAnsi="Calibri" w:cs="Calibri"/>
          <w:lang w:val="en-US"/>
        </w:rPr>
        <w:t>In view of the foregoing, we respectfully request this Honorable Committee to make the following recommendations to the Cuban State:</w:t>
      </w:r>
    </w:p>
    <w:p w14:paraId="56761243" w14:textId="55D3BF77" w:rsidR="00DF5BBF" w:rsidRPr="00CF6975" w:rsidRDefault="00DF5BBF" w:rsidP="00DF5BBF">
      <w:pPr>
        <w:pStyle w:val="ListParagraph"/>
        <w:numPr>
          <w:ilvl w:val="0"/>
          <w:numId w:val="9"/>
        </w:numPr>
        <w:snapToGrid w:val="0"/>
        <w:spacing w:before="120" w:after="0" w:line="240" w:lineRule="auto"/>
        <w:contextualSpacing w:val="0"/>
        <w:jc w:val="both"/>
        <w:rPr>
          <w:rFonts w:ascii="Calibri" w:eastAsia="Times New Roman" w:hAnsi="Calibri" w:cs="Calibri"/>
          <w:color w:val="000000"/>
          <w:lang w:val="en-US"/>
        </w:rPr>
      </w:pPr>
      <w:r w:rsidRPr="00CF6975">
        <w:rPr>
          <w:rFonts w:ascii="Calibri" w:eastAsia="Times New Roman" w:hAnsi="Calibri" w:cs="Calibri"/>
          <w:b/>
          <w:bCs/>
          <w:color w:val="000000"/>
          <w:lang w:val="en-US"/>
        </w:rPr>
        <w:t>Call upon the State party to explicitly recognize the existence of structural racial discrimination</w:t>
      </w:r>
      <w:r w:rsidRPr="00CF6975">
        <w:rPr>
          <w:rFonts w:ascii="Calibri" w:eastAsia="Times New Roman" w:hAnsi="Calibri" w:cs="Calibri"/>
          <w:color w:val="000000"/>
          <w:lang w:val="en-US"/>
        </w:rPr>
        <w:t xml:space="preserve"> in Cuba as an indispensable prelude to the adoption of effective measures to eradicate the structural situation.</w:t>
      </w:r>
    </w:p>
    <w:p w14:paraId="561B89F6" w14:textId="77777777" w:rsidR="00DF5BBF" w:rsidRPr="00CF6975" w:rsidRDefault="00DF5BBF" w:rsidP="00DF5BBF">
      <w:pPr>
        <w:pStyle w:val="ListParagraph"/>
        <w:numPr>
          <w:ilvl w:val="0"/>
          <w:numId w:val="9"/>
        </w:numPr>
        <w:snapToGrid w:val="0"/>
        <w:spacing w:before="120" w:after="0" w:line="240" w:lineRule="auto"/>
        <w:contextualSpacing w:val="0"/>
        <w:jc w:val="both"/>
        <w:rPr>
          <w:rFonts w:ascii="Calibri" w:eastAsia="Times New Roman" w:hAnsi="Calibri" w:cs="Calibri"/>
          <w:color w:val="000000"/>
          <w:lang w:val="en-US"/>
        </w:rPr>
      </w:pPr>
      <w:r w:rsidRPr="00CF6975">
        <w:rPr>
          <w:rFonts w:ascii="Calibri" w:eastAsia="Times New Roman" w:hAnsi="Calibri" w:cs="Calibri"/>
          <w:b/>
          <w:bCs/>
          <w:color w:val="000000"/>
          <w:lang w:val="en-US"/>
        </w:rPr>
        <w:t>Insist on the reform of the domestic regulatory framework</w:t>
      </w:r>
      <w:r w:rsidRPr="00CF6975">
        <w:rPr>
          <w:rFonts w:ascii="Calibri" w:eastAsia="Times New Roman" w:hAnsi="Calibri" w:cs="Calibri"/>
          <w:color w:val="000000"/>
          <w:lang w:val="en-US"/>
        </w:rPr>
        <w:t xml:space="preserve"> in order to incorporate a definition of racial discrimination that is fully compatible with article 1 of the Convention, including forms of direct, indirect and intersectional discrimination.</w:t>
      </w:r>
    </w:p>
    <w:p w14:paraId="6BA705B0" w14:textId="77777777" w:rsidR="00DF5BBF" w:rsidRPr="00CF6975" w:rsidRDefault="00DF5BBF" w:rsidP="00DF5BBF">
      <w:pPr>
        <w:pStyle w:val="ListParagraph"/>
        <w:numPr>
          <w:ilvl w:val="0"/>
          <w:numId w:val="9"/>
        </w:numPr>
        <w:snapToGrid w:val="0"/>
        <w:spacing w:before="120" w:after="0" w:line="240" w:lineRule="auto"/>
        <w:contextualSpacing w:val="0"/>
        <w:jc w:val="both"/>
        <w:rPr>
          <w:rFonts w:ascii="Calibri" w:eastAsia="Times New Roman" w:hAnsi="Calibri" w:cs="Calibri"/>
          <w:color w:val="000000"/>
          <w:lang w:val="en-US"/>
        </w:rPr>
      </w:pPr>
      <w:r w:rsidRPr="00CF6975">
        <w:rPr>
          <w:rFonts w:ascii="Calibri" w:eastAsia="Times New Roman" w:hAnsi="Calibri" w:cs="Calibri"/>
          <w:b/>
          <w:bCs/>
          <w:color w:val="000000"/>
          <w:lang w:val="en-US"/>
        </w:rPr>
        <w:t>Request from the State detailed and verifiable information</w:t>
      </w:r>
      <w:r w:rsidRPr="00CF6975">
        <w:rPr>
          <w:rFonts w:ascii="Calibri" w:eastAsia="Times New Roman" w:hAnsi="Calibri" w:cs="Calibri"/>
          <w:color w:val="000000"/>
          <w:lang w:val="en-US"/>
        </w:rPr>
        <w:t xml:space="preserve"> on allegations of excessive use of force, racial profiling, and deaths of people of African descent at the hands of State agents, as well as on investigations, sanctions, and reparations adopted.</w:t>
      </w:r>
    </w:p>
    <w:p w14:paraId="2260A71F" w14:textId="5102F155" w:rsidR="00DF5BBF" w:rsidRPr="00CF6975" w:rsidRDefault="00DF5BBF" w:rsidP="00DF5BBF">
      <w:pPr>
        <w:pStyle w:val="NormalWeb"/>
        <w:numPr>
          <w:ilvl w:val="0"/>
          <w:numId w:val="9"/>
        </w:numPr>
        <w:snapToGrid w:val="0"/>
        <w:spacing w:before="120" w:beforeAutospacing="0" w:after="0" w:afterAutospacing="0"/>
        <w:jc w:val="both"/>
        <w:rPr>
          <w:rFonts w:ascii="Calibri" w:hAnsi="Calibri" w:cs="Calibri"/>
          <w:color w:val="000000"/>
          <w:sz w:val="22"/>
          <w:szCs w:val="22"/>
        </w:rPr>
      </w:pPr>
      <w:r w:rsidRPr="00DF5BBF">
        <w:rPr>
          <w:rStyle w:val="Strong"/>
          <w:rFonts w:ascii="Calibri" w:hAnsi="Calibri" w:cs="Calibri"/>
          <w:color w:val="000000"/>
          <w:sz w:val="22"/>
          <w:szCs w:val="22"/>
        </w:rPr>
        <w:t>Reiterate its recommendation to review the census methodology</w:t>
      </w:r>
      <w:r w:rsidRPr="00DF5BBF">
        <w:rPr>
          <w:rFonts w:ascii="Calibri" w:hAnsi="Calibri" w:cs="Calibri"/>
          <w:color w:val="000000"/>
          <w:sz w:val="22"/>
          <w:szCs w:val="22"/>
        </w:rPr>
        <w:t>, guaranteeing the principle of ethnic-racial self-identification, consultation with Afro-descendant communities, and the production of disaggregated public data.</w:t>
      </w:r>
    </w:p>
    <w:p w14:paraId="70F80B4D" w14:textId="10D07059" w:rsidR="00DF5BBF" w:rsidRPr="00CF6975" w:rsidRDefault="00DF5BBF" w:rsidP="00DF5BBF">
      <w:pPr>
        <w:pStyle w:val="NormalWeb"/>
        <w:numPr>
          <w:ilvl w:val="0"/>
          <w:numId w:val="9"/>
        </w:numPr>
        <w:snapToGrid w:val="0"/>
        <w:spacing w:before="120" w:beforeAutospacing="0" w:after="0" w:afterAutospacing="0"/>
        <w:jc w:val="both"/>
        <w:rPr>
          <w:rFonts w:ascii="Calibri" w:hAnsi="Calibri" w:cs="Calibri"/>
          <w:color w:val="000000"/>
          <w:sz w:val="22"/>
          <w:szCs w:val="22"/>
        </w:rPr>
      </w:pPr>
      <w:r w:rsidRPr="00DF5BBF">
        <w:rPr>
          <w:rStyle w:val="Strong"/>
          <w:rFonts w:ascii="Calibri" w:hAnsi="Calibri" w:cs="Calibri"/>
          <w:color w:val="000000"/>
          <w:sz w:val="22"/>
          <w:szCs w:val="22"/>
        </w:rPr>
        <w:t>Express its concern about the restrictions on the right of association</w:t>
      </w:r>
      <w:r w:rsidRPr="00DF5BBF">
        <w:rPr>
          <w:rFonts w:ascii="Calibri" w:hAnsi="Calibri" w:cs="Calibri"/>
          <w:color w:val="000000"/>
          <w:sz w:val="22"/>
          <w:szCs w:val="22"/>
        </w:rPr>
        <w:t>, asking the State to guarantee the free and safe operation of independent organizations of Afro-descendant civil society and the protection of human rights defenders.</w:t>
      </w:r>
    </w:p>
    <w:p w14:paraId="76D68E44" w14:textId="23349885" w:rsidR="00DF5BBF" w:rsidRPr="00CF6975" w:rsidRDefault="00DF5BBF" w:rsidP="00DF5BBF">
      <w:pPr>
        <w:pStyle w:val="NormalWeb"/>
        <w:numPr>
          <w:ilvl w:val="0"/>
          <w:numId w:val="9"/>
        </w:numPr>
        <w:snapToGrid w:val="0"/>
        <w:spacing w:before="120" w:beforeAutospacing="0" w:after="0" w:afterAutospacing="0"/>
        <w:jc w:val="both"/>
        <w:rPr>
          <w:rFonts w:ascii="Calibri" w:hAnsi="Calibri" w:cs="Calibri"/>
          <w:color w:val="000000"/>
          <w:sz w:val="22"/>
          <w:szCs w:val="22"/>
        </w:rPr>
      </w:pPr>
      <w:r w:rsidRPr="00DF5BBF">
        <w:rPr>
          <w:rStyle w:val="Strong"/>
          <w:rFonts w:ascii="Calibri" w:hAnsi="Calibri" w:cs="Calibri"/>
          <w:color w:val="000000"/>
          <w:sz w:val="22"/>
          <w:szCs w:val="22"/>
        </w:rPr>
        <w:t>Request the State party to provide specific information on the implementation and results of the National Program against Racism and Racial Discrimination</w:t>
      </w:r>
      <w:r w:rsidRPr="00DF5BBF">
        <w:rPr>
          <w:rFonts w:ascii="Calibri" w:hAnsi="Calibri" w:cs="Calibri"/>
          <w:color w:val="000000"/>
          <w:sz w:val="22"/>
          <w:szCs w:val="22"/>
        </w:rPr>
        <w:t>, including allocated resources, impact indicators and evaluation mechanisms.</w:t>
      </w:r>
    </w:p>
    <w:p w14:paraId="1B3CE9E3" w14:textId="77777777" w:rsidR="00DF5BBF" w:rsidRPr="00CF6975" w:rsidRDefault="00DF5BBF" w:rsidP="00DF5BBF">
      <w:pPr>
        <w:pStyle w:val="NormalWeb"/>
        <w:numPr>
          <w:ilvl w:val="0"/>
          <w:numId w:val="9"/>
        </w:numPr>
        <w:snapToGrid w:val="0"/>
        <w:spacing w:before="120" w:beforeAutospacing="0" w:after="0" w:afterAutospacing="0"/>
        <w:jc w:val="both"/>
        <w:rPr>
          <w:rFonts w:ascii="Calibri" w:hAnsi="Calibri" w:cs="Calibri"/>
          <w:color w:val="000000"/>
          <w:sz w:val="22"/>
          <w:szCs w:val="22"/>
        </w:rPr>
      </w:pPr>
      <w:r w:rsidRPr="00DF5BBF">
        <w:rPr>
          <w:rStyle w:val="Strong"/>
          <w:rFonts w:ascii="Calibri" w:hAnsi="Calibri" w:cs="Calibri"/>
          <w:color w:val="000000"/>
          <w:sz w:val="22"/>
          <w:szCs w:val="22"/>
        </w:rPr>
        <w:t xml:space="preserve">Reiterate the recommendation to ratify the main outstanding international human rights treaties </w:t>
      </w:r>
      <w:r w:rsidRPr="00DF5BBF">
        <w:rPr>
          <w:rFonts w:ascii="Calibri" w:hAnsi="Calibri" w:cs="Calibri"/>
          <w:color w:val="000000"/>
          <w:sz w:val="22"/>
          <w:szCs w:val="22"/>
        </w:rPr>
        <w:t>and to accept the competence of the Committee under article 14 of the Convention, in order to strengthen the international protection of victims of racial discrimination.</w:t>
      </w:r>
    </w:p>
    <w:p w14:paraId="2EC24465" w14:textId="3CEFB6E5" w:rsidR="00DF5BBF" w:rsidRPr="00CF6975" w:rsidRDefault="00DF5BBF" w:rsidP="00DF5BBF">
      <w:pPr>
        <w:pStyle w:val="NormalWeb"/>
        <w:numPr>
          <w:ilvl w:val="0"/>
          <w:numId w:val="9"/>
        </w:numPr>
        <w:snapToGrid w:val="0"/>
        <w:spacing w:before="120" w:beforeAutospacing="0" w:after="0" w:afterAutospacing="0"/>
        <w:jc w:val="both"/>
        <w:rPr>
          <w:rFonts w:ascii="Calibri" w:hAnsi="Calibri" w:cs="Calibri"/>
          <w:color w:val="000000"/>
          <w:sz w:val="22"/>
          <w:szCs w:val="22"/>
        </w:rPr>
      </w:pPr>
      <w:r w:rsidRPr="00DF5BBF">
        <w:rPr>
          <w:rFonts w:ascii="Calibri" w:hAnsi="Calibri" w:cs="Calibri"/>
          <w:b/>
          <w:bCs/>
          <w:sz w:val="22"/>
          <w:szCs w:val="22"/>
        </w:rPr>
        <w:lastRenderedPageBreak/>
        <w:t>Request the State party to ensure a safe environment for defenders and organizations of African descent</w:t>
      </w:r>
      <w:r w:rsidRPr="00DF5BBF">
        <w:rPr>
          <w:rFonts w:ascii="Calibri" w:hAnsi="Calibri" w:cs="Calibri"/>
          <w:sz w:val="22"/>
          <w:szCs w:val="22"/>
        </w:rPr>
        <w:t>, allowing them to function independently without intimidation, stigmatization, criminalization or reprisals against individuals or organizations that collaborate with this Committee.</w:t>
      </w:r>
    </w:p>
    <w:p w14:paraId="0E2ABD3C" w14:textId="77777777" w:rsidR="00DF5BBF" w:rsidRPr="00CF6975" w:rsidRDefault="00DF5BBF" w:rsidP="00DF5BBF">
      <w:pPr>
        <w:snapToGrid w:val="0"/>
        <w:spacing w:before="120" w:after="0" w:line="240" w:lineRule="auto"/>
        <w:jc w:val="both"/>
        <w:rPr>
          <w:rFonts w:ascii="Calibri" w:hAnsi="Calibri" w:cs="Calibri"/>
          <w:lang w:val="en-US"/>
        </w:rPr>
      </w:pPr>
      <w:r w:rsidRPr="00CF6975">
        <w:rPr>
          <w:rFonts w:ascii="Calibri" w:hAnsi="Calibri" w:cs="Calibri"/>
          <w:lang w:val="en-US"/>
        </w:rPr>
        <w:br w:type="page"/>
      </w:r>
    </w:p>
    <w:p w14:paraId="712F0693" w14:textId="62E27D69" w:rsidR="00132E53" w:rsidRPr="00CF6975" w:rsidRDefault="00DF5BBF" w:rsidP="00DF5BBF">
      <w:pPr>
        <w:snapToGrid w:val="0"/>
        <w:spacing w:before="120" w:after="0" w:line="240" w:lineRule="auto"/>
        <w:jc w:val="both"/>
        <w:rPr>
          <w:rStyle w:val="fontstyle01"/>
          <w:b/>
          <w:sz w:val="22"/>
          <w:szCs w:val="22"/>
          <w:lang w:val="en-US"/>
        </w:rPr>
      </w:pPr>
      <w:r w:rsidRPr="00CF6975">
        <w:rPr>
          <w:rStyle w:val="fontstyle01"/>
          <w:b/>
          <w:sz w:val="22"/>
          <w:szCs w:val="22"/>
          <w:lang w:val="en-US"/>
        </w:rPr>
        <w:lastRenderedPageBreak/>
        <w:t>Annex I. Testimony</w:t>
      </w:r>
    </w:p>
    <w:p w14:paraId="341C39BA" w14:textId="77777777" w:rsidR="00797481" w:rsidRPr="00CF6975" w:rsidRDefault="00797481" w:rsidP="00DF5BBF">
      <w:pPr>
        <w:snapToGrid w:val="0"/>
        <w:spacing w:before="120" w:after="0" w:line="240" w:lineRule="auto"/>
        <w:jc w:val="both"/>
        <w:rPr>
          <w:rFonts w:ascii="Calibri" w:hAnsi="Calibri" w:cs="Calibri"/>
          <w:i/>
          <w:lang w:val="en-US"/>
        </w:rPr>
      </w:pPr>
      <w:r w:rsidRPr="00CF6975">
        <w:rPr>
          <w:rFonts w:ascii="Calibri" w:hAnsi="Calibri" w:cs="Calibri"/>
          <w:lang w:val="en-US"/>
        </w:rPr>
        <w:t xml:space="preserve">Testimony of Manuel Cuesta Morúa. Activist for racial integration. 63 years old. President of the Council for the Transition to Democracy in Cuba: </w:t>
      </w:r>
      <w:r w:rsidRPr="00CF6975">
        <w:rPr>
          <w:rFonts w:ascii="Calibri" w:hAnsi="Calibri" w:cs="Calibri"/>
          <w:i/>
          <w:lang w:val="en-US"/>
        </w:rPr>
        <w:t>Racism has only grown in Cuba.  It emerged much more clearly, in the mid-90s of the last century, when new private ventures began, such as rental houses, restaurants, etc. "Job offered" posters appeared for young, white, educated people, excluding blacks. Posters also appeared in some hotels. That marked a starting point. Then there was a rhetorical correction of the ads, because no one sells themselves as racist, even if they are.</w:t>
      </w:r>
    </w:p>
    <w:p w14:paraId="39DF65DE" w14:textId="4A1CCE6C" w:rsidR="00797481" w:rsidRPr="00CF6975" w:rsidRDefault="00797481" w:rsidP="00DF5BBF">
      <w:pPr>
        <w:snapToGrid w:val="0"/>
        <w:spacing w:before="120" w:after="0" w:line="240" w:lineRule="auto"/>
        <w:jc w:val="both"/>
        <w:rPr>
          <w:rFonts w:ascii="Calibri" w:hAnsi="Calibri" w:cs="Calibri"/>
          <w:i/>
          <w:lang w:val="en-US"/>
        </w:rPr>
      </w:pPr>
      <w:r w:rsidRPr="00CF6975">
        <w:rPr>
          <w:rFonts w:ascii="Calibri" w:hAnsi="Calibri" w:cs="Calibri"/>
          <w:i/>
          <w:lang w:val="en-US"/>
        </w:rPr>
        <w:t xml:space="preserve">One of the things that contributed to the resurface of racism was the scheme that the Cuban government found for survival in remittances as a way to collect foreign currency. This generated this structural racism that we are seeing much more strongly. Obviously, those who sent remittances were the families that left between the 50s and 70s, basically white. Thus begins an original accumulation of capital in the revolutionary stage for white people. This opens up structural racism in the country, which can be seen in the urban geography of the city. Good areas are areas sparsely populated with houses where white people live. The poor areas, the bad areas, are the most densely populated areas that are in the belt of the city and that live rather south of the capital. The largest number of Afro-descendants live </w:t>
      </w:r>
      <w:r w:rsidR="00CA0FDC" w:rsidRPr="00CF6975">
        <w:rPr>
          <w:rFonts w:ascii="Calibri" w:hAnsi="Calibri" w:cs="Calibri"/>
          <w:i/>
          <w:lang w:val="en-US"/>
        </w:rPr>
        <w:t>there,</w:t>
      </w:r>
      <w:r w:rsidRPr="00CF6975">
        <w:rPr>
          <w:rFonts w:ascii="Calibri" w:hAnsi="Calibri" w:cs="Calibri"/>
          <w:i/>
          <w:lang w:val="en-US"/>
        </w:rPr>
        <w:t xml:space="preserve"> and most are poor.</w:t>
      </w:r>
    </w:p>
    <w:p w14:paraId="4A53D28F" w14:textId="100D1A05" w:rsidR="00797481" w:rsidRPr="00CF6975" w:rsidRDefault="00797481" w:rsidP="00DF5BBF">
      <w:pPr>
        <w:snapToGrid w:val="0"/>
        <w:spacing w:before="120" w:after="0" w:line="240" w:lineRule="auto"/>
        <w:jc w:val="both"/>
        <w:rPr>
          <w:rFonts w:ascii="Calibri" w:hAnsi="Calibri" w:cs="Calibri"/>
          <w:i/>
          <w:lang w:val="en-US"/>
        </w:rPr>
      </w:pPr>
      <w:r w:rsidRPr="00CF6975">
        <w:rPr>
          <w:rFonts w:ascii="Calibri" w:hAnsi="Calibri" w:cs="Calibri"/>
          <w:i/>
          <w:lang w:val="en-US"/>
        </w:rPr>
        <w:t xml:space="preserve">There is a structural racism that is accumulating and that generates a racism that is not institutionalized by </w:t>
      </w:r>
      <w:r w:rsidR="00CA0FDC" w:rsidRPr="00CF6975">
        <w:rPr>
          <w:rFonts w:ascii="Calibri" w:hAnsi="Calibri" w:cs="Calibri"/>
          <w:i/>
          <w:lang w:val="en-US"/>
        </w:rPr>
        <w:t>laws but</w:t>
      </w:r>
      <w:r w:rsidRPr="00CF6975">
        <w:rPr>
          <w:rFonts w:ascii="Calibri" w:hAnsi="Calibri" w:cs="Calibri"/>
          <w:i/>
          <w:lang w:val="en-US"/>
        </w:rPr>
        <w:t xml:space="preserve"> institutionalized by sociological reality. In my student days, racism was rather masked. There was a sense of equality, progress, and racial mobility that appeared to be a model of equality among all, under a totalitarian regime that did not distinguish basically between whites and blacks, but between those subordinate to the state and people who were insubordinate to the state. A phenomenon was generated from the politics that at that time the Afro-descendant communities had to feel grateful to the Revolution because they had supposedly been emancipated.  Here is another form of racism, a racism with a Spanish colonial base, which states that the emancipated have to thank the master. The relationship that is then established between the Afro-descendant community and the sector that controls and dominates power is a relationship of master and servant. The concept of gratitude that comes from Catholicism is installed as a political link between Afro-descendants. </w:t>
      </w:r>
      <w:r w:rsidR="00CA0FDC" w:rsidRPr="00CF6975">
        <w:rPr>
          <w:rFonts w:ascii="Calibri" w:hAnsi="Calibri" w:cs="Calibri"/>
          <w:i/>
          <w:lang w:val="en-US"/>
        </w:rPr>
        <w:t>So,</w:t>
      </w:r>
      <w:r w:rsidRPr="00CF6975">
        <w:rPr>
          <w:rFonts w:ascii="Calibri" w:hAnsi="Calibri" w:cs="Calibri"/>
          <w:i/>
          <w:lang w:val="en-US"/>
        </w:rPr>
        <w:t xml:space="preserve"> the Afro-descendants are the ones who live the worst and at the same time they are the ones who have to be grateful for having been emancipated. This racism is also reflected in political institutions, the Afro-descendants who are in political power are the showcases that the regime needs to show, but none of them makes the main decisions in the country. This once again reproduces the racist scheme in the country.</w:t>
      </w:r>
    </w:p>
    <w:p w14:paraId="0CC19AC8" w14:textId="77777777" w:rsidR="00797481" w:rsidRPr="00CF6975" w:rsidRDefault="00797481" w:rsidP="00DF5BBF">
      <w:pPr>
        <w:snapToGrid w:val="0"/>
        <w:spacing w:before="120" w:after="0" w:line="240" w:lineRule="auto"/>
        <w:jc w:val="both"/>
        <w:rPr>
          <w:rFonts w:ascii="Calibri" w:hAnsi="Calibri" w:cs="Calibri"/>
          <w:i/>
          <w:lang w:val="en-US"/>
        </w:rPr>
      </w:pPr>
      <w:r w:rsidRPr="00CF6975">
        <w:rPr>
          <w:rFonts w:ascii="Calibri" w:hAnsi="Calibri" w:cs="Calibri"/>
          <w:i/>
          <w:lang w:val="en-US"/>
        </w:rPr>
        <w:t xml:space="preserve">Now let's remember that we live in a society that is not hypocritical, but euphemistic. There is a kind of cordial racism at the grassroots level, at the level of language, that allows all racist white people to say, "My best friend is black, even if he doesn't marry my sister."  Cordiality reaches the limit or border of entering the family. The only way to overcome racism in society comes from cultural and religious integration, and that goes through intimacy, through racial miscegenation, which is fundamental to overcoming the racist bases on which they originated. What we are seeing is that definitive picture in which racism works at the institutional level, not at the level of laws, I do not confuse institution with law, although the law is an institution. I mean by institutions, based on the majority links that are established in relationships and broad segments of the population and that are reproduced and repeated, that is also institution. There is also a level of racism immersed in the language, in the urban geography of the country, </w:t>
      </w:r>
      <w:r w:rsidRPr="00CF6975">
        <w:rPr>
          <w:rFonts w:ascii="Calibri" w:hAnsi="Calibri" w:cs="Calibri"/>
          <w:i/>
          <w:lang w:val="en-US"/>
        </w:rPr>
        <w:lastRenderedPageBreak/>
        <w:t>and of course in the reproduction that is established in elite families. Around 50,000 families are the ones that boast the greatest amount of wealth possible in relative terms in Cuba. Of those 50,000 families, not even 1% are Afro-descendant families. Racism is explicit there.</w:t>
      </w:r>
    </w:p>
    <w:p w14:paraId="7A5BB488" w14:textId="77777777" w:rsidR="00797481" w:rsidRPr="00CF6975" w:rsidRDefault="00797481" w:rsidP="00DF5BBF">
      <w:pPr>
        <w:snapToGrid w:val="0"/>
        <w:spacing w:before="120" w:after="0" w:line="240" w:lineRule="auto"/>
        <w:jc w:val="both"/>
        <w:rPr>
          <w:rFonts w:ascii="Calibri" w:hAnsi="Calibri" w:cs="Calibri"/>
          <w:i/>
          <w:lang w:val="en-US"/>
        </w:rPr>
      </w:pPr>
      <w:r w:rsidRPr="00CF6975">
        <w:rPr>
          <w:rFonts w:ascii="Calibri" w:hAnsi="Calibri" w:cs="Calibri"/>
          <w:i/>
          <w:lang w:val="en-US"/>
        </w:rPr>
        <w:t>It is a serious problem from which getting out is going to take a lot of work, but it must be faced with courage, honesty, and seriousness, not by sweeping racism under the carpet but by talking about it at length, confronting society in a mature way, with an inclusive language, because my particular vision is precisely that of integration. Not that of exploiting identity to assert the dignity of Afro-descendants, but that of seeking integration from the starting point that we are all Cubans and must seek the best possible social relationship.</w:t>
      </w:r>
    </w:p>
    <w:p w14:paraId="2B29C95B" w14:textId="245C0FF0" w:rsidR="00797481" w:rsidRPr="00DF5BBF" w:rsidRDefault="00A24228" w:rsidP="00DF5BBF">
      <w:pPr>
        <w:snapToGrid w:val="0"/>
        <w:spacing w:before="120" w:after="0" w:line="240" w:lineRule="auto"/>
        <w:jc w:val="both"/>
        <w:rPr>
          <w:rStyle w:val="fontstyle01"/>
          <w:sz w:val="22"/>
          <w:szCs w:val="22"/>
        </w:rPr>
      </w:pPr>
      <w:r w:rsidRPr="00DF5BBF">
        <w:rPr>
          <w:rStyle w:val="fontstyle01"/>
          <w:sz w:val="22"/>
          <w:szCs w:val="22"/>
        </w:rPr>
        <w:t>End.</w:t>
      </w:r>
    </w:p>
    <w:sectPr w:rsidR="00797481" w:rsidRPr="00DF5BBF" w:rsidSect="000F40E7">
      <w:headerReference w:type="default" r:id="rId8"/>
      <w:pgSz w:w="12240" w:h="15840"/>
      <w:pgMar w:top="1440" w:right="1440" w:bottom="1440" w:left="144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A9E4FF" w14:textId="77777777" w:rsidR="0093037D" w:rsidRDefault="0093037D" w:rsidP="00510E27">
      <w:pPr>
        <w:spacing w:after="0" w:line="240" w:lineRule="auto"/>
      </w:pPr>
      <w:r>
        <w:separator/>
      </w:r>
    </w:p>
  </w:endnote>
  <w:endnote w:type="continuationSeparator" w:id="0">
    <w:p w14:paraId="62206C62" w14:textId="77777777" w:rsidR="0093037D" w:rsidRDefault="0093037D" w:rsidP="00510E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Bold">
    <w:altName w:val="Times New Roman"/>
    <w:panose1 w:val="020B0604020202020204"/>
    <w:charset w:val="00"/>
    <w:family w:val="roman"/>
    <w:notTrueType/>
    <w:pitch w:val="default"/>
  </w:font>
  <w:font w:name="BellMT">
    <w:altName w:val="Times New Roman"/>
    <w:panose1 w:val="020B0604020202020204"/>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BA7D9D" w14:textId="77777777" w:rsidR="0093037D" w:rsidRDefault="0093037D" w:rsidP="00510E27">
      <w:pPr>
        <w:spacing w:after="0" w:line="240" w:lineRule="auto"/>
      </w:pPr>
      <w:r>
        <w:separator/>
      </w:r>
    </w:p>
  </w:footnote>
  <w:footnote w:type="continuationSeparator" w:id="0">
    <w:p w14:paraId="0E1D05B5" w14:textId="77777777" w:rsidR="0093037D" w:rsidRDefault="0093037D" w:rsidP="00510E27">
      <w:pPr>
        <w:spacing w:after="0" w:line="240" w:lineRule="auto"/>
      </w:pPr>
      <w:r>
        <w:continuationSeparator/>
      </w:r>
    </w:p>
  </w:footnote>
  <w:footnote w:id="1">
    <w:p w14:paraId="454D8363" w14:textId="39C6F0B5" w:rsidR="00303101" w:rsidRPr="00CF6975" w:rsidRDefault="00303101" w:rsidP="00DF5BBF">
      <w:pPr>
        <w:pStyle w:val="FootnoteText"/>
        <w:jc w:val="both"/>
        <w:rPr>
          <w:rFonts w:ascii="Calibri" w:hAnsi="Calibri" w:cs="Calibri"/>
          <w:sz w:val="18"/>
          <w:szCs w:val="18"/>
          <w:lang w:val="en-US"/>
        </w:rPr>
      </w:pPr>
      <w:r w:rsidRPr="00DF5BBF">
        <w:rPr>
          <w:rStyle w:val="FootnoteReference"/>
          <w:rFonts w:ascii="Calibri" w:hAnsi="Calibri" w:cs="Calibri"/>
          <w:sz w:val="18"/>
          <w:szCs w:val="18"/>
        </w:rPr>
        <w:footnoteRef/>
      </w:r>
      <w:r w:rsidRPr="00CF6975">
        <w:rPr>
          <w:rFonts w:ascii="Calibri" w:hAnsi="Calibri" w:cs="Calibri"/>
          <w:sz w:val="18"/>
          <w:szCs w:val="18"/>
          <w:lang w:val="en-US"/>
        </w:rPr>
        <w:t xml:space="preserve"> Race and Equality, In Cuba, extreme poverty mainly affects people of African descent on the island. October 29, 2024. Available in: </w:t>
      </w:r>
      <w:hyperlink r:id="rId1" w:anchor=":~:text=de%20la%20Isla-,En%20Cuba%2C%20la%20pobreza%20extrema%20afecta%20principalmente%20a,personas%20afrodescendientes%20de%20la%20Isla&amp;text=Cifras%20de%20un%20informe%20del,de%20desigualdad%20en%20este%20país" w:history="1">
        <w:r w:rsidRPr="00CF6975">
          <w:rPr>
            <w:rStyle w:val="Hyperlink"/>
            <w:rFonts w:ascii="Calibri" w:hAnsi="Calibri" w:cs="Calibri"/>
            <w:sz w:val="18"/>
            <w:szCs w:val="18"/>
            <w:lang w:val="en-US"/>
          </w:rPr>
          <w:t>https://raceandequality.org/es/resources/en-cuba-la-pobreza-extrema-afecta-principalmente-a-las-personas-afrodescendientes-de-la-isla/#:~:text=de%20la%20Isla-,En%20Cuba%2C%20la%20pobreza%20extrema%20afecta%20principalmente%20a,personas%20afrodescendientes%20de%20la%20Isla&amp;text=Cifras%20de%20un%20informe%20del,de%20desigualdad%20en%20este%20país</w:t>
        </w:r>
      </w:hyperlink>
      <w:r w:rsidRPr="00CF6975">
        <w:rPr>
          <w:rFonts w:ascii="Calibri" w:hAnsi="Calibri" w:cs="Calibri"/>
          <w:sz w:val="18"/>
          <w:szCs w:val="18"/>
          <w:lang w:val="en-US"/>
        </w:rPr>
        <w:t xml:space="preserve">. </w:t>
      </w:r>
    </w:p>
  </w:footnote>
  <w:footnote w:id="2">
    <w:p w14:paraId="5A9F22D9" w14:textId="3DEE9F68" w:rsidR="007D4723" w:rsidRPr="00DF5BBF" w:rsidRDefault="007D4723" w:rsidP="00DF5BBF">
      <w:pPr>
        <w:pStyle w:val="FootnoteText"/>
        <w:jc w:val="both"/>
        <w:rPr>
          <w:rFonts w:ascii="Calibri" w:hAnsi="Calibri" w:cs="Calibri"/>
          <w:sz w:val="18"/>
          <w:szCs w:val="18"/>
        </w:rPr>
      </w:pPr>
      <w:r w:rsidRPr="00DF5BBF">
        <w:rPr>
          <w:rStyle w:val="FootnoteReference"/>
          <w:rFonts w:ascii="Calibri" w:hAnsi="Calibri" w:cs="Calibri"/>
          <w:sz w:val="18"/>
          <w:szCs w:val="18"/>
        </w:rPr>
        <w:footnoteRef/>
      </w:r>
      <w:r w:rsidRPr="00CF6975">
        <w:rPr>
          <w:rFonts w:ascii="Calibri" w:hAnsi="Calibri" w:cs="Calibri"/>
          <w:sz w:val="18"/>
          <w:szCs w:val="18"/>
          <w:lang w:val="en-US"/>
        </w:rPr>
        <w:t xml:space="preserve"> Connectas. Journalistic platform for the Americas. Article: Justice does not reach blacks on the island. </w:t>
      </w:r>
      <w:r w:rsidRPr="00DF5BBF">
        <w:rPr>
          <w:rFonts w:ascii="Calibri" w:hAnsi="Calibri" w:cs="Calibri"/>
          <w:sz w:val="18"/>
          <w:szCs w:val="18"/>
        </w:rPr>
        <w:t xml:space="preserve">María Matienzo. </w:t>
      </w:r>
      <w:hyperlink r:id="rId2" w:history="1">
        <w:r w:rsidRPr="00DF5BBF">
          <w:rPr>
            <w:rStyle w:val="Hyperlink"/>
            <w:rFonts w:ascii="Calibri" w:hAnsi="Calibri" w:cs="Calibri"/>
            <w:sz w:val="18"/>
            <w:szCs w:val="18"/>
          </w:rPr>
          <w:t>https://www.connectas.org</w:t>
        </w:r>
      </w:hyperlink>
      <w:r w:rsidRPr="00DF5BBF">
        <w:rPr>
          <w:rFonts w:ascii="Calibri" w:hAnsi="Calibri" w:cs="Calibri"/>
          <w:sz w:val="18"/>
          <w:szCs w:val="18"/>
        </w:rPr>
        <w:t xml:space="preserve"> </w:t>
      </w:r>
    </w:p>
  </w:footnote>
  <w:footnote w:id="3">
    <w:p w14:paraId="6138FCE1" w14:textId="77777777" w:rsidR="007D4723" w:rsidRPr="00DF5BBF" w:rsidRDefault="007D4723" w:rsidP="00DF5BBF">
      <w:pPr>
        <w:pStyle w:val="FootnoteText"/>
        <w:jc w:val="both"/>
        <w:rPr>
          <w:rFonts w:ascii="Calibri" w:hAnsi="Calibri" w:cs="Calibri"/>
          <w:sz w:val="18"/>
          <w:szCs w:val="18"/>
        </w:rPr>
      </w:pPr>
      <w:r w:rsidRPr="00DF5BBF">
        <w:rPr>
          <w:rStyle w:val="FootnoteReference"/>
          <w:rFonts w:ascii="Calibri" w:hAnsi="Calibri" w:cs="Calibri"/>
          <w:sz w:val="18"/>
          <w:szCs w:val="18"/>
        </w:rPr>
        <w:footnoteRef/>
      </w:r>
      <w:r w:rsidRPr="00DF5BBF">
        <w:rPr>
          <w:rFonts w:ascii="Calibri" w:hAnsi="Calibri" w:cs="Calibri"/>
          <w:sz w:val="18"/>
          <w:szCs w:val="18"/>
        </w:rPr>
        <w:t xml:space="preserve"> Aponte Bulletin No 83. PDF.</w:t>
      </w:r>
    </w:p>
  </w:footnote>
  <w:footnote w:id="4">
    <w:p w14:paraId="624A25BE" w14:textId="59D45762" w:rsidR="007D4723" w:rsidRPr="00CF6975" w:rsidRDefault="007D4723" w:rsidP="00DF5BBF">
      <w:pPr>
        <w:pStyle w:val="FootnoteText"/>
        <w:jc w:val="both"/>
        <w:rPr>
          <w:rFonts w:ascii="Calibri" w:hAnsi="Calibri" w:cs="Calibri"/>
          <w:sz w:val="18"/>
          <w:szCs w:val="18"/>
          <w:lang w:val="en-US"/>
        </w:rPr>
      </w:pPr>
      <w:r w:rsidRPr="00DF5BBF">
        <w:rPr>
          <w:rStyle w:val="FootnoteReference"/>
          <w:rFonts w:ascii="Calibri" w:hAnsi="Calibri" w:cs="Calibri"/>
          <w:sz w:val="18"/>
          <w:szCs w:val="18"/>
        </w:rPr>
        <w:footnoteRef/>
      </w:r>
      <w:r w:rsidRPr="00CF6975">
        <w:rPr>
          <w:rFonts w:ascii="Calibri" w:hAnsi="Calibri" w:cs="Calibri"/>
          <w:sz w:val="18"/>
          <w:szCs w:val="18"/>
          <w:lang w:val="en-US"/>
        </w:rPr>
        <w:t xml:space="preserve"> Connectas. Journalistic platform for the Americas. Article: Justice does not reach blacks on the island. María Matienzo. </w:t>
      </w:r>
      <w:hyperlink r:id="rId3" w:history="1">
        <w:r w:rsidRPr="00CF6975">
          <w:rPr>
            <w:rStyle w:val="Hyperlink"/>
            <w:rFonts w:ascii="Calibri" w:hAnsi="Calibri" w:cs="Calibri"/>
            <w:sz w:val="18"/>
            <w:szCs w:val="18"/>
            <w:lang w:val="en-US"/>
          </w:rPr>
          <w:t>https://www.connectas.org</w:t>
        </w:r>
      </w:hyperlink>
    </w:p>
  </w:footnote>
  <w:footnote w:id="5">
    <w:p w14:paraId="5196DA57" w14:textId="55E798E2" w:rsidR="007D4723" w:rsidRPr="00CF6975" w:rsidRDefault="007D4723" w:rsidP="00DF5BBF">
      <w:pPr>
        <w:pStyle w:val="FootnoteText"/>
        <w:jc w:val="both"/>
        <w:rPr>
          <w:rFonts w:ascii="Calibri" w:hAnsi="Calibri" w:cs="Calibri"/>
          <w:sz w:val="18"/>
          <w:szCs w:val="18"/>
          <w:lang w:val="en-US"/>
        </w:rPr>
      </w:pPr>
      <w:r w:rsidRPr="00DF5BBF">
        <w:rPr>
          <w:rStyle w:val="FootnoteReference"/>
          <w:rFonts w:ascii="Calibri" w:hAnsi="Calibri" w:cs="Calibri"/>
          <w:sz w:val="18"/>
          <w:szCs w:val="18"/>
        </w:rPr>
        <w:footnoteRef/>
      </w:r>
      <w:r w:rsidRPr="00CF6975">
        <w:rPr>
          <w:rFonts w:ascii="Calibri" w:hAnsi="Calibri" w:cs="Calibri"/>
          <w:sz w:val="18"/>
          <w:szCs w:val="18"/>
          <w:lang w:val="en-US"/>
        </w:rPr>
        <w:t xml:space="preserve"> Connectas. Journalistic platform for the Americas. Article: Justice does not reach blacks on the island. María Matienzo. </w:t>
      </w:r>
      <w:hyperlink r:id="rId4" w:history="1">
        <w:r w:rsidRPr="00CF6975">
          <w:rPr>
            <w:rStyle w:val="Hyperlink"/>
            <w:rFonts w:ascii="Calibri" w:hAnsi="Calibri" w:cs="Calibri"/>
            <w:sz w:val="18"/>
            <w:szCs w:val="18"/>
            <w:lang w:val="en-US"/>
          </w:rPr>
          <w:t>https://www.connectas.org</w:t>
        </w:r>
      </w:hyperlink>
    </w:p>
  </w:footnote>
  <w:footnote w:id="6">
    <w:p w14:paraId="2937721F" w14:textId="600F8E1F" w:rsidR="003A244E" w:rsidRPr="00CF6975" w:rsidRDefault="003A244E" w:rsidP="00DF5BBF">
      <w:pPr>
        <w:pStyle w:val="FootnoteText"/>
        <w:jc w:val="both"/>
        <w:rPr>
          <w:rFonts w:ascii="Calibri" w:hAnsi="Calibri" w:cs="Calibri"/>
          <w:sz w:val="18"/>
          <w:szCs w:val="18"/>
          <w:lang w:val="en-US"/>
        </w:rPr>
      </w:pPr>
      <w:r w:rsidRPr="00DF5BBF">
        <w:rPr>
          <w:rStyle w:val="FootnoteReference"/>
          <w:rFonts w:ascii="Calibri" w:hAnsi="Calibri" w:cs="Calibri"/>
          <w:sz w:val="18"/>
          <w:szCs w:val="18"/>
        </w:rPr>
        <w:footnoteRef/>
      </w:r>
      <w:r w:rsidRPr="00CF6975">
        <w:rPr>
          <w:rFonts w:ascii="Calibri" w:hAnsi="Calibri" w:cs="Calibri"/>
          <w:sz w:val="18"/>
          <w:szCs w:val="18"/>
          <w:lang w:val="en-US"/>
        </w:rPr>
        <w:t xml:space="preserve"> Cuban Observatory of Human Rights, The State of Social Rights in Cuba. Available in: </w:t>
      </w:r>
      <w:hyperlink r:id="rId5" w:history="1">
        <w:r w:rsidR="00303101" w:rsidRPr="00CF6975">
          <w:rPr>
            <w:rStyle w:val="Hyperlink"/>
            <w:rFonts w:ascii="Calibri" w:hAnsi="Calibri" w:cs="Calibri"/>
            <w:sz w:val="18"/>
            <w:szCs w:val="18"/>
            <w:lang w:val="en-US"/>
          </w:rPr>
          <w:t>https://derechossocialescuba.com/el-estado-de-los-derechos-sociales-en-cuba-informe-6-2023/</w:t>
        </w:r>
      </w:hyperlink>
      <w:r w:rsidR="00303101" w:rsidRPr="00CF6975">
        <w:rPr>
          <w:rFonts w:ascii="Calibri" w:hAnsi="Calibri" w:cs="Calibri"/>
          <w:sz w:val="18"/>
          <w:szCs w:val="18"/>
          <w:lang w:val="en-US"/>
        </w:rPr>
        <w:t xml:space="preserve"> </w:t>
      </w:r>
    </w:p>
  </w:footnote>
  <w:footnote w:id="7">
    <w:p w14:paraId="046B9EFF" w14:textId="77777777" w:rsidR="001E1C16" w:rsidRPr="00CF6975" w:rsidRDefault="001E1C16" w:rsidP="00DF5BBF">
      <w:pPr>
        <w:pStyle w:val="FootnoteText"/>
        <w:jc w:val="both"/>
        <w:rPr>
          <w:rFonts w:ascii="Calibri" w:hAnsi="Calibri" w:cs="Calibri"/>
          <w:sz w:val="18"/>
          <w:szCs w:val="18"/>
          <w:lang w:val="en-US"/>
        </w:rPr>
      </w:pPr>
      <w:r w:rsidRPr="00DF5BBF">
        <w:rPr>
          <w:rStyle w:val="FootnoteReference"/>
          <w:rFonts w:ascii="Calibri" w:hAnsi="Calibri" w:cs="Calibri"/>
          <w:sz w:val="18"/>
          <w:szCs w:val="18"/>
        </w:rPr>
        <w:footnoteRef/>
      </w:r>
      <w:r w:rsidRPr="00CF6975">
        <w:rPr>
          <w:rFonts w:ascii="Calibri" w:hAnsi="Calibri" w:cs="Calibri"/>
          <w:sz w:val="18"/>
          <w:szCs w:val="18"/>
          <w:lang w:val="en-US"/>
        </w:rPr>
        <w:t xml:space="preserve"> IACHR, Annual Report 2022, Chapter IV B Cuba, para. 161.</w:t>
      </w:r>
    </w:p>
  </w:footnote>
  <w:footnote w:id="8">
    <w:p w14:paraId="2FBF5C67" w14:textId="77777777" w:rsidR="001E1C16" w:rsidRPr="00CF6975" w:rsidRDefault="001E1C16" w:rsidP="00DF5BBF">
      <w:pPr>
        <w:pStyle w:val="FootnoteText"/>
        <w:jc w:val="both"/>
        <w:rPr>
          <w:rFonts w:ascii="Calibri" w:hAnsi="Calibri" w:cs="Calibri"/>
          <w:sz w:val="18"/>
          <w:szCs w:val="18"/>
          <w:lang w:val="en-US"/>
        </w:rPr>
      </w:pPr>
      <w:r w:rsidRPr="00DF5BBF">
        <w:rPr>
          <w:rStyle w:val="FootnoteReference"/>
          <w:rFonts w:ascii="Calibri" w:hAnsi="Calibri" w:cs="Calibri"/>
          <w:sz w:val="18"/>
          <w:szCs w:val="18"/>
        </w:rPr>
        <w:footnoteRef/>
      </w:r>
      <w:r w:rsidRPr="00CF6975">
        <w:rPr>
          <w:rFonts w:ascii="Calibri" w:hAnsi="Calibri" w:cs="Calibri"/>
          <w:sz w:val="18"/>
          <w:szCs w:val="18"/>
          <w:lang w:val="en-US"/>
        </w:rPr>
        <w:t xml:space="preserve"> IACHR, Annual Report 2024, Chapter IV B Cuba, para. 133.</w:t>
      </w:r>
    </w:p>
  </w:footnote>
  <w:footnote w:id="9">
    <w:p w14:paraId="5B48A4FF" w14:textId="77777777" w:rsidR="001E1C16" w:rsidRPr="00CF6975" w:rsidRDefault="001E1C16" w:rsidP="00DF5BBF">
      <w:pPr>
        <w:pStyle w:val="FootnoteText"/>
        <w:jc w:val="both"/>
        <w:rPr>
          <w:rFonts w:ascii="Calibri" w:hAnsi="Calibri" w:cs="Calibri"/>
          <w:sz w:val="18"/>
          <w:szCs w:val="18"/>
          <w:lang w:val="en-US"/>
        </w:rPr>
      </w:pPr>
      <w:r w:rsidRPr="00DF5BBF">
        <w:rPr>
          <w:rStyle w:val="FootnoteReference"/>
          <w:rFonts w:ascii="Calibri" w:hAnsi="Calibri" w:cs="Calibri"/>
          <w:sz w:val="18"/>
          <w:szCs w:val="18"/>
        </w:rPr>
        <w:footnoteRef/>
      </w:r>
      <w:r w:rsidRPr="00CF6975">
        <w:rPr>
          <w:rFonts w:ascii="Calibri" w:hAnsi="Calibri" w:cs="Calibri"/>
          <w:sz w:val="18"/>
          <w:szCs w:val="18"/>
          <w:lang w:val="en-US"/>
        </w:rPr>
        <w:t xml:space="preserve"> IACHR, Annual Report 2022, Chapter IV B Cuba, para. 161.</w:t>
      </w:r>
    </w:p>
  </w:footnote>
  <w:footnote w:id="10">
    <w:p w14:paraId="2642E967" w14:textId="045DBAD3" w:rsidR="001E1C16" w:rsidRPr="00CF6975" w:rsidRDefault="001E1C16" w:rsidP="00DF5BBF">
      <w:pPr>
        <w:pStyle w:val="FootnoteText"/>
        <w:jc w:val="both"/>
        <w:rPr>
          <w:rFonts w:ascii="Calibri" w:hAnsi="Calibri" w:cs="Calibri"/>
          <w:sz w:val="18"/>
          <w:szCs w:val="18"/>
          <w:lang w:val="en-US"/>
        </w:rPr>
      </w:pPr>
      <w:r w:rsidRPr="00DF5BBF">
        <w:rPr>
          <w:rStyle w:val="FootnoteReference"/>
          <w:rFonts w:ascii="Calibri" w:hAnsi="Calibri" w:cs="Calibri"/>
          <w:sz w:val="18"/>
          <w:szCs w:val="18"/>
        </w:rPr>
        <w:footnoteRef/>
      </w:r>
      <w:r w:rsidRPr="00CF6975">
        <w:rPr>
          <w:rFonts w:ascii="Calibri" w:hAnsi="Calibri" w:cs="Calibri"/>
          <w:sz w:val="18"/>
          <w:szCs w:val="18"/>
          <w:lang w:val="en-US"/>
        </w:rPr>
        <w:t xml:space="preserve"> Cubalex, 11J: Analysis of racial bias in sentences for sedition in Cuba. Available in: </w:t>
      </w:r>
      <w:hyperlink r:id="rId6" w:history="1">
        <w:r w:rsidRPr="00CF6975">
          <w:rPr>
            <w:rStyle w:val="Hyperlink"/>
            <w:rFonts w:ascii="Calibri" w:hAnsi="Calibri" w:cs="Calibri"/>
            <w:sz w:val="18"/>
            <w:szCs w:val="18"/>
            <w:lang w:val="en-US"/>
          </w:rPr>
          <w:t>https://cubalex.org/2024/09/05/11j-analisis-del-sesgo-racial-en-las-sentencias-por-sedicion-en-cuba/</w:t>
        </w:r>
      </w:hyperlink>
      <w:r w:rsidRPr="00CF6975">
        <w:rPr>
          <w:rFonts w:ascii="Calibri" w:hAnsi="Calibri" w:cs="Calibri"/>
          <w:sz w:val="18"/>
          <w:szCs w:val="18"/>
          <w:lang w:val="en-US"/>
        </w:rPr>
        <w:t xml:space="preserve"> </w:t>
      </w:r>
    </w:p>
  </w:footnote>
  <w:footnote w:id="11">
    <w:p w14:paraId="00397D6B" w14:textId="67CF992C" w:rsidR="001E1C16" w:rsidRPr="00CF6975" w:rsidRDefault="001E1C16" w:rsidP="00DF5BBF">
      <w:pPr>
        <w:pStyle w:val="FootnoteText"/>
        <w:jc w:val="both"/>
        <w:rPr>
          <w:rFonts w:ascii="Calibri" w:hAnsi="Calibri" w:cs="Calibri"/>
          <w:sz w:val="18"/>
          <w:szCs w:val="18"/>
          <w:lang w:val="en-US"/>
        </w:rPr>
      </w:pPr>
      <w:r w:rsidRPr="00DF5BBF">
        <w:rPr>
          <w:rStyle w:val="FootnoteReference"/>
          <w:rFonts w:ascii="Calibri" w:hAnsi="Calibri" w:cs="Calibri"/>
          <w:sz w:val="18"/>
          <w:szCs w:val="18"/>
        </w:rPr>
        <w:footnoteRef/>
      </w:r>
      <w:r w:rsidRPr="00CF6975">
        <w:rPr>
          <w:rFonts w:ascii="Calibri" w:hAnsi="Calibri" w:cs="Calibri"/>
          <w:sz w:val="18"/>
          <w:szCs w:val="18"/>
          <w:lang w:val="en-US"/>
        </w:rPr>
        <w:t xml:space="preserve"> Cubalex, 11J: Analysis of racial bias in sentences for sedition in Cuba. Available in: </w:t>
      </w:r>
      <w:hyperlink r:id="rId7" w:history="1">
        <w:r w:rsidRPr="00CF6975">
          <w:rPr>
            <w:rStyle w:val="Hyperlink"/>
            <w:rFonts w:ascii="Calibri" w:hAnsi="Calibri" w:cs="Calibri"/>
            <w:sz w:val="18"/>
            <w:szCs w:val="18"/>
            <w:lang w:val="en-US"/>
          </w:rPr>
          <w:t>https://cubalex.org/2024/09/05/11j-analisis-del-sesgo-racial-en-las-sentencias-por-sedicion-en-cuba/</w:t>
        </w:r>
      </w:hyperlink>
    </w:p>
  </w:footnote>
  <w:footnote w:id="12">
    <w:p w14:paraId="386B9DF0" w14:textId="77777777" w:rsidR="008A4E30" w:rsidRPr="00CF6975" w:rsidRDefault="008A4E30" w:rsidP="00DF5BBF">
      <w:pPr>
        <w:pStyle w:val="FootnoteText"/>
        <w:jc w:val="both"/>
        <w:rPr>
          <w:rFonts w:ascii="Calibri" w:hAnsi="Calibri" w:cs="Calibri"/>
          <w:sz w:val="18"/>
          <w:szCs w:val="18"/>
          <w:lang w:val="en-US"/>
        </w:rPr>
      </w:pPr>
      <w:r w:rsidRPr="00DF5BBF">
        <w:rPr>
          <w:rStyle w:val="FootnoteReference"/>
          <w:rFonts w:ascii="Calibri" w:hAnsi="Calibri" w:cs="Calibri"/>
          <w:sz w:val="18"/>
          <w:szCs w:val="18"/>
        </w:rPr>
        <w:footnoteRef/>
      </w:r>
      <w:r w:rsidRPr="00CF6975">
        <w:rPr>
          <w:rFonts w:ascii="Calibri" w:hAnsi="Calibri" w:cs="Calibri"/>
          <w:sz w:val="18"/>
          <w:szCs w:val="18"/>
          <w:lang w:val="en-US"/>
        </w:rPr>
        <w:t xml:space="preserve"> IACHR, Annual Report 2022, Chapter IV B Cuba, para. 160. See also, IACHR, Annual Report 2021, Chapter IV B Cuba, para. 116; and IACHR, Labor and Trade Union Rights in Cuba, para. 181.</w:t>
      </w:r>
    </w:p>
  </w:footnote>
  <w:footnote w:id="13">
    <w:p w14:paraId="1396D84E" w14:textId="77777777" w:rsidR="008A4E30" w:rsidRPr="00CF6975" w:rsidRDefault="008A4E30" w:rsidP="00DF5BBF">
      <w:pPr>
        <w:pStyle w:val="FootnoteText"/>
        <w:jc w:val="both"/>
        <w:rPr>
          <w:rFonts w:ascii="Calibri" w:hAnsi="Calibri" w:cs="Calibri"/>
          <w:sz w:val="18"/>
          <w:szCs w:val="18"/>
          <w:lang w:val="en-US"/>
        </w:rPr>
      </w:pPr>
      <w:r w:rsidRPr="00DF5BBF">
        <w:rPr>
          <w:rStyle w:val="FootnoteReference"/>
          <w:rFonts w:ascii="Calibri" w:hAnsi="Calibri" w:cs="Calibri"/>
          <w:sz w:val="18"/>
          <w:szCs w:val="18"/>
        </w:rPr>
        <w:footnoteRef/>
      </w:r>
      <w:r w:rsidRPr="00CF6975">
        <w:rPr>
          <w:rFonts w:ascii="Calibri" w:hAnsi="Calibri" w:cs="Calibri"/>
          <w:sz w:val="18"/>
          <w:szCs w:val="18"/>
          <w:lang w:val="en-US"/>
        </w:rPr>
        <w:t xml:space="preserve"> IACHR, Annual Report 2022, Chapter IV B Cuba, para. 160. See also, IACHR, Situation of Human Rights in Cuba, 2020, para. 293.</w:t>
      </w:r>
    </w:p>
  </w:footnote>
  <w:footnote w:id="14">
    <w:p w14:paraId="1CF4F331" w14:textId="77777777" w:rsidR="008A4E30" w:rsidRPr="00CF6975" w:rsidRDefault="008A4E30" w:rsidP="00DF5BBF">
      <w:pPr>
        <w:pStyle w:val="FootnoteText"/>
        <w:jc w:val="both"/>
        <w:rPr>
          <w:rFonts w:ascii="Calibri" w:hAnsi="Calibri" w:cs="Calibri"/>
          <w:sz w:val="18"/>
          <w:szCs w:val="18"/>
          <w:lang w:val="en-US"/>
        </w:rPr>
      </w:pPr>
      <w:r w:rsidRPr="00DF5BBF">
        <w:rPr>
          <w:rStyle w:val="FootnoteReference"/>
          <w:rFonts w:ascii="Calibri" w:hAnsi="Calibri" w:cs="Calibri"/>
          <w:sz w:val="18"/>
          <w:szCs w:val="18"/>
        </w:rPr>
        <w:footnoteRef/>
      </w:r>
      <w:r w:rsidRPr="00CF6975">
        <w:rPr>
          <w:rFonts w:ascii="Calibri" w:hAnsi="Calibri" w:cs="Calibri"/>
          <w:sz w:val="18"/>
          <w:szCs w:val="18"/>
          <w:lang w:val="en-US"/>
        </w:rPr>
        <w:t xml:space="preserve"> IACHR, Annual Report 2024, Chapter IV B Cuba, para. 131.</w:t>
      </w:r>
    </w:p>
  </w:footnote>
  <w:footnote w:id="15">
    <w:p w14:paraId="5B18D6F3" w14:textId="77777777" w:rsidR="00903B67" w:rsidRPr="00CF6975" w:rsidRDefault="00903B67" w:rsidP="00DF5BBF">
      <w:pPr>
        <w:pStyle w:val="FootnoteText"/>
        <w:jc w:val="both"/>
        <w:rPr>
          <w:rFonts w:ascii="Calibri" w:hAnsi="Calibri" w:cs="Calibri"/>
          <w:sz w:val="18"/>
          <w:szCs w:val="18"/>
          <w:lang w:val="en-US"/>
        </w:rPr>
      </w:pPr>
      <w:r w:rsidRPr="00DF5BBF">
        <w:rPr>
          <w:rStyle w:val="FootnoteReference"/>
          <w:rFonts w:ascii="Calibri" w:hAnsi="Calibri" w:cs="Calibri"/>
          <w:sz w:val="18"/>
          <w:szCs w:val="18"/>
        </w:rPr>
        <w:footnoteRef/>
      </w:r>
      <w:r w:rsidRPr="00CF6975">
        <w:rPr>
          <w:rFonts w:ascii="Calibri" w:hAnsi="Calibri" w:cs="Calibri"/>
          <w:sz w:val="18"/>
          <w:szCs w:val="18"/>
          <w:lang w:val="en-US"/>
        </w:rPr>
        <w:t xml:space="preserve"> Speech by Rodolfo Reyes Rodríguez, Director General of Multilateral Affairs and International Law of the Ministry of Foreign Affairs of Cuba and Head of the Cuban Delegation at the presentation of Cuba's periodic report to the Committee on the Elimination of Racial Discrimination. Geneva, Switzerland, August 15, 2018</w:t>
      </w:r>
    </w:p>
  </w:footnote>
  <w:footnote w:id="16">
    <w:p w14:paraId="62FB1B97" w14:textId="77777777" w:rsidR="00903B67" w:rsidRPr="00CF6975" w:rsidRDefault="00903B67" w:rsidP="00DF5BBF">
      <w:pPr>
        <w:pStyle w:val="FootnoteText"/>
        <w:jc w:val="both"/>
        <w:rPr>
          <w:rFonts w:ascii="Calibri" w:hAnsi="Calibri" w:cs="Calibri"/>
          <w:sz w:val="18"/>
          <w:szCs w:val="18"/>
          <w:lang w:val="en-US"/>
        </w:rPr>
      </w:pPr>
      <w:r w:rsidRPr="00DF5BBF">
        <w:rPr>
          <w:rStyle w:val="FootnoteReference"/>
          <w:rFonts w:ascii="Calibri" w:hAnsi="Calibri" w:cs="Calibri"/>
          <w:sz w:val="18"/>
          <w:szCs w:val="18"/>
        </w:rPr>
        <w:footnoteRef/>
      </w:r>
      <w:r w:rsidRPr="00CF6975">
        <w:rPr>
          <w:rFonts w:ascii="Calibri" w:hAnsi="Calibri" w:cs="Calibri"/>
          <w:sz w:val="18"/>
          <w:szCs w:val="18"/>
          <w:lang w:val="en-US"/>
        </w:rPr>
        <w:t xml:space="preserve"> See, for example, intervention by Greisy Cordero Suárez, Third Secretary of the Human Rights Council of the Permanent Mission of Cuba, to the United Nations Office at Geneva, held during the third session of the III Forum of People of African Descent, Geneva, between April 16 and 19, 2024. Available in: </w:t>
      </w:r>
      <w:hyperlink r:id="rId8" w:history="1">
        <w:r w:rsidRPr="00CF6975">
          <w:rPr>
            <w:rStyle w:val="Hyperlink"/>
            <w:rFonts w:ascii="Calibri" w:hAnsi="Calibri" w:cs="Calibri"/>
            <w:sz w:val="18"/>
            <w:szCs w:val="18"/>
            <w:lang w:val="en-US"/>
          </w:rPr>
          <w:t>https://alastensas.com/multimedias/mision-cubana-en-ginebra-la-revolucion-cubana-elimino-para-siempre-la-discriminacion-racial/</w:t>
        </w:r>
      </w:hyperlink>
      <w:r w:rsidRPr="00CF6975">
        <w:rPr>
          <w:rFonts w:ascii="Calibri" w:hAnsi="Calibri" w:cs="Calibri"/>
          <w:sz w:val="18"/>
          <w:szCs w:val="18"/>
          <w:lang w:val="en-US"/>
        </w:rPr>
        <w:t xml:space="preserve"> </w:t>
      </w:r>
    </w:p>
  </w:footnote>
  <w:footnote w:id="17">
    <w:p w14:paraId="565E5E99" w14:textId="77777777" w:rsidR="00903B67" w:rsidRPr="00CF6975" w:rsidRDefault="00903B67" w:rsidP="00DF5BBF">
      <w:pPr>
        <w:pStyle w:val="FootnoteText"/>
        <w:jc w:val="both"/>
        <w:rPr>
          <w:rFonts w:ascii="Calibri" w:hAnsi="Calibri" w:cs="Calibri"/>
          <w:sz w:val="18"/>
          <w:szCs w:val="18"/>
          <w:lang w:val="en-US"/>
        </w:rPr>
      </w:pPr>
      <w:r w:rsidRPr="00DF5BBF">
        <w:rPr>
          <w:rStyle w:val="FootnoteReference"/>
          <w:rFonts w:ascii="Calibri" w:hAnsi="Calibri" w:cs="Calibri"/>
          <w:sz w:val="18"/>
          <w:szCs w:val="18"/>
        </w:rPr>
        <w:footnoteRef/>
      </w:r>
      <w:r w:rsidRPr="00CF6975">
        <w:rPr>
          <w:rFonts w:ascii="Calibri" w:hAnsi="Calibri" w:cs="Calibri"/>
          <w:sz w:val="18"/>
          <w:szCs w:val="18"/>
          <w:lang w:val="en-US"/>
        </w:rPr>
        <w:t xml:space="preserve"> See, for example, intervention by Greisy Cordero Suárez, Third Secretary of the Human Rights Council of the Permanent Mission of Cuba, to the United Nations Office at Geneva, held during the third session of the III Forum of People of African Descent, Geneva, between April 16 and 19, 2024. Available in: </w:t>
      </w:r>
      <w:hyperlink r:id="rId9" w:history="1">
        <w:r w:rsidRPr="00CF6975">
          <w:rPr>
            <w:rStyle w:val="Hyperlink"/>
            <w:rFonts w:ascii="Calibri" w:hAnsi="Calibri" w:cs="Calibri"/>
            <w:sz w:val="18"/>
            <w:szCs w:val="18"/>
            <w:lang w:val="en-US"/>
          </w:rPr>
          <w:t>https://alastensas.com/multimedias/mision-cubana-en-ginebra-la-revolucion-cubana-elimino-para-siempre-la-discriminacion-racial/</w:t>
        </w:r>
      </w:hyperlink>
      <w:r w:rsidRPr="00CF6975">
        <w:rPr>
          <w:rFonts w:ascii="Calibri" w:hAnsi="Calibri" w:cs="Calibri"/>
          <w:sz w:val="18"/>
          <w:szCs w:val="18"/>
          <w:lang w:val="en-US"/>
        </w:rPr>
        <w:t xml:space="preserve"> </w:t>
      </w:r>
    </w:p>
  </w:footnote>
  <w:footnote w:id="18">
    <w:p w14:paraId="7D5FFF40" w14:textId="77777777" w:rsidR="00903B67" w:rsidRPr="00CF6975" w:rsidRDefault="00903B67" w:rsidP="00DF5BBF">
      <w:pPr>
        <w:pStyle w:val="FootnoteText"/>
        <w:jc w:val="both"/>
        <w:rPr>
          <w:rFonts w:ascii="Calibri" w:hAnsi="Calibri" w:cs="Calibri"/>
          <w:sz w:val="18"/>
          <w:szCs w:val="18"/>
          <w:lang w:val="en-US"/>
        </w:rPr>
      </w:pPr>
      <w:r w:rsidRPr="00DF5BBF">
        <w:rPr>
          <w:rStyle w:val="FootnoteReference"/>
          <w:rFonts w:ascii="Calibri" w:hAnsi="Calibri" w:cs="Calibri"/>
          <w:sz w:val="18"/>
          <w:szCs w:val="18"/>
        </w:rPr>
        <w:footnoteRef/>
      </w:r>
      <w:r w:rsidRPr="00CF6975">
        <w:rPr>
          <w:rFonts w:ascii="Calibri" w:hAnsi="Calibri" w:cs="Calibri"/>
          <w:sz w:val="18"/>
          <w:szCs w:val="18"/>
          <w:lang w:val="en-US"/>
        </w:rPr>
        <w:t xml:space="preserve"> CERD, Combined 22nd to 26th Periodic Reports that Cuba was due to submit in 2023 under Article 9 of the Convention. CERD/C/CUB/22-26. February 17, 2025, para. 212(a). (bold outside the original)</w:t>
      </w:r>
    </w:p>
  </w:footnote>
  <w:footnote w:id="19">
    <w:p w14:paraId="66D03B20" w14:textId="77777777" w:rsidR="00903B67" w:rsidRPr="00CF6975" w:rsidRDefault="00903B67" w:rsidP="00DF5BBF">
      <w:pPr>
        <w:pStyle w:val="FootnoteText"/>
        <w:jc w:val="both"/>
        <w:rPr>
          <w:rFonts w:ascii="Calibri" w:hAnsi="Calibri" w:cs="Calibri"/>
          <w:sz w:val="18"/>
          <w:szCs w:val="18"/>
          <w:lang w:val="en-US"/>
        </w:rPr>
      </w:pPr>
      <w:r w:rsidRPr="00DF5BBF">
        <w:rPr>
          <w:rStyle w:val="FootnoteReference"/>
          <w:rFonts w:ascii="Calibri" w:hAnsi="Calibri" w:cs="Calibri"/>
          <w:sz w:val="18"/>
          <w:szCs w:val="18"/>
        </w:rPr>
        <w:footnoteRef/>
      </w:r>
      <w:r w:rsidRPr="00CF6975">
        <w:rPr>
          <w:rFonts w:ascii="Calibri" w:hAnsi="Calibri" w:cs="Calibri"/>
          <w:sz w:val="18"/>
          <w:szCs w:val="18"/>
          <w:lang w:val="en-US"/>
        </w:rPr>
        <w:t xml:space="preserve"> CERD, Combined 22nd to 26th Periodic Reports that Cuba was due to submit in 2023 under Article 9 of the Convention. CERD/C/CUB/22-26. February 17, 2025, para. 316. (bold outside the original)</w:t>
      </w:r>
    </w:p>
  </w:footnote>
  <w:footnote w:id="20">
    <w:p w14:paraId="5D7924A6" w14:textId="32020FBC" w:rsidR="00903B67" w:rsidRPr="00CF6975" w:rsidRDefault="00903B67" w:rsidP="00DF5BBF">
      <w:pPr>
        <w:pStyle w:val="FootnoteText"/>
        <w:jc w:val="both"/>
        <w:rPr>
          <w:rFonts w:ascii="Calibri" w:hAnsi="Calibri" w:cs="Calibri"/>
          <w:sz w:val="18"/>
          <w:szCs w:val="18"/>
          <w:lang w:val="en-US"/>
        </w:rPr>
      </w:pPr>
      <w:r w:rsidRPr="00DF5BBF">
        <w:rPr>
          <w:rStyle w:val="FootnoteReference"/>
          <w:rFonts w:ascii="Calibri" w:hAnsi="Calibri" w:cs="Calibri"/>
          <w:sz w:val="18"/>
          <w:szCs w:val="18"/>
        </w:rPr>
        <w:footnoteRef/>
      </w:r>
      <w:r w:rsidRPr="00CF6975">
        <w:rPr>
          <w:rFonts w:ascii="Calibri" w:hAnsi="Calibri" w:cs="Calibri"/>
          <w:sz w:val="18"/>
          <w:szCs w:val="18"/>
          <w:lang w:val="en-US"/>
        </w:rPr>
        <w:t xml:space="preserve"> National Program against Racism and Racial Discrimination, p. 2. Available in: </w:t>
      </w:r>
      <w:hyperlink r:id="rId10" w:history="1">
        <w:r w:rsidRPr="00CF6975">
          <w:rPr>
            <w:rStyle w:val="Hyperlink"/>
            <w:rFonts w:ascii="Calibri" w:hAnsi="Calibri" w:cs="Calibri"/>
            <w:sz w:val="18"/>
            <w:szCs w:val="18"/>
            <w:lang w:val="en-US"/>
          </w:rPr>
          <w:t>https://www.ics.gob.cu/wp-content/uploads/2024/02/programa-nacional-contra-el-racismo-y-la-discriminacion-racial-pdf-final.pdf</w:t>
        </w:r>
      </w:hyperlink>
      <w:r w:rsidRPr="00CF6975">
        <w:rPr>
          <w:rFonts w:ascii="Calibri" w:hAnsi="Calibri" w:cs="Calibri"/>
          <w:sz w:val="18"/>
          <w:szCs w:val="18"/>
          <w:lang w:val="en-US"/>
        </w:rPr>
        <w:t xml:space="preserve"> </w:t>
      </w:r>
    </w:p>
  </w:footnote>
  <w:footnote w:id="21">
    <w:p w14:paraId="0B7FCEF9" w14:textId="77777777" w:rsidR="00903B67" w:rsidRPr="00CF6975" w:rsidRDefault="00903B67" w:rsidP="00DF5BBF">
      <w:pPr>
        <w:pStyle w:val="FootnoteText"/>
        <w:jc w:val="both"/>
        <w:rPr>
          <w:rFonts w:ascii="Calibri" w:hAnsi="Calibri" w:cs="Calibri"/>
          <w:sz w:val="18"/>
          <w:szCs w:val="18"/>
          <w:lang w:val="en-US"/>
        </w:rPr>
      </w:pPr>
      <w:r w:rsidRPr="00DF5BBF">
        <w:rPr>
          <w:rStyle w:val="FootnoteReference"/>
          <w:rFonts w:ascii="Calibri" w:hAnsi="Calibri" w:cs="Calibri"/>
          <w:sz w:val="18"/>
          <w:szCs w:val="18"/>
        </w:rPr>
        <w:footnoteRef/>
      </w:r>
      <w:r w:rsidRPr="00CF6975">
        <w:rPr>
          <w:rFonts w:ascii="Calibri" w:hAnsi="Calibri" w:cs="Calibri"/>
          <w:sz w:val="18"/>
          <w:szCs w:val="18"/>
          <w:lang w:val="en-US"/>
        </w:rPr>
        <w:t xml:space="preserve"> IACHR, Police Violence Against Afro-Descendants in the United States, para. 48.</w:t>
      </w:r>
    </w:p>
  </w:footnote>
  <w:footnote w:id="22">
    <w:p w14:paraId="4133D1B1" w14:textId="77777777" w:rsidR="00903B67" w:rsidRPr="00CF6975" w:rsidRDefault="00903B67" w:rsidP="00DF5BBF">
      <w:pPr>
        <w:pStyle w:val="FootnoteText"/>
        <w:jc w:val="both"/>
        <w:rPr>
          <w:rFonts w:ascii="Calibri" w:hAnsi="Calibri" w:cs="Calibri"/>
          <w:sz w:val="18"/>
          <w:szCs w:val="18"/>
          <w:lang w:val="en-US"/>
        </w:rPr>
      </w:pPr>
      <w:r w:rsidRPr="00DF5BBF">
        <w:rPr>
          <w:rStyle w:val="FootnoteReference"/>
          <w:rFonts w:ascii="Calibri" w:hAnsi="Calibri" w:cs="Calibri"/>
          <w:sz w:val="18"/>
          <w:szCs w:val="18"/>
        </w:rPr>
        <w:footnoteRef/>
      </w:r>
      <w:r w:rsidRPr="00CF6975">
        <w:rPr>
          <w:rFonts w:ascii="Calibri" w:hAnsi="Calibri" w:cs="Calibri"/>
          <w:sz w:val="18"/>
          <w:szCs w:val="18"/>
          <w:lang w:val="en-US"/>
        </w:rPr>
        <w:t xml:space="preserve"> CERD. General recommendation No. 34 adopted by the Committee on Racial discrimination against people of African descent. CERD/C/GC/34. October 3, 2011, para. 6.</w:t>
      </w:r>
    </w:p>
  </w:footnote>
  <w:footnote w:id="23">
    <w:p w14:paraId="7C0045B8" w14:textId="77777777" w:rsidR="00903B67" w:rsidRPr="00CF6975" w:rsidRDefault="00903B67" w:rsidP="00DF5BBF">
      <w:pPr>
        <w:pStyle w:val="FootnoteText"/>
        <w:jc w:val="both"/>
        <w:rPr>
          <w:rFonts w:ascii="Calibri" w:hAnsi="Calibri" w:cs="Calibri"/>
          <w:sz w:val="18"/>
          <w:szCs w:val="18"/>
          <w:lang w:val="en-US"/>
        </w:rPr>
      </w:pPr>
      <w:r w:rsidRPr="00DF5BBF">
        <w:rPr>
          <w:rStyle w:val="FootnoteReference"/>
          <w:rFonts w:ascii="Calibri" w:hAnsi="Calibri" w:cs="Calibri"/>
          <w:sz w:val="18"/>
          <w:szCs w:val="18"/>
        </w:rPr>
        <w:footnoteRef/>
      </w:r>
      <w:r w:rsidRPr="00CF6975">
        <w:rPr>
          <w:rFonts w:ascii="Calibri" w:hAnsi="Calibri" w:cs="Calibri"/>
          <w:sz w:val="18"/>
          <w:szCs w:val="18"/>
          <w:lang w:val="en-US"/>
        </w:rPr>
        <w:t xml:space="preserve"> IACHR, Police Violence Against Afro-Descendants in the United States, para. 48.</w:t>
      </w:r>
    </w:p>
  </w:footnote>
  <w:footnote w:id="24">
    <w:p w14:paraId="317F9C8E" w14:textId="77777777" w:rsidR="00903B67" w:rsidRPr="00CF6975" w:rsidRDefault="00903B67" w:rsidP="00DF5BBF">
      <w:pPr>
        <w:pStyle w:val="FootnoteText"/>
        <w:jc w:val="both"/>
        <w:rPr>
          <w:rFonts w:ascii="Calibri" w:hAnsi="Calibri" w:cs="Calibri"/>
          <w:sz w:val="18"/>
          <w:szCs w:val="18"/>
          <w:lang w:val="en-US"/>
        </w:rPr>
      </w:pPr>
      <w:r w:rsidRPr="00DF5BBF">
        <w:rPr>
          <w:rStyle w:val="FootnoteReference"/>
          <w:rFonts w:ascii="Calibri" w:hAnsi="Calibri" w:cs="Calibri"/>
          <w:sz w:val="18"/>
          <w:szCs w:val="18"/>
        </w:rPr>
        <w:footnoteRef/>
      </w:r>
      <w:r w:rsidRPr="00CF6975">
        <w:rPr>
          <w:rFonts w:ascii="Calibri" w:hAnsi="Calibri" w:cs="Calibri"/>
          <w:sz w:val="18"/>
          <w:szCs w:val="18"/>
          <w:lang w:val="en-US"/>
        </w:rPr>
        <w:t xml:space="preserve"> CERD, Combined 22nd to 26th Periodic Reports that Cuba was due to submit in 2023 under Article 9 of the Convention. CERD/C/CUB/22-26. February 17, 2025, para. 212(a). (bold outside the original)</w:t>
      </w:r>
    </w:p>
  </w:footnote>
  <w:footnote w:id="25">
    <w:p w14:paraId="07A5BF0B" w14:textId="77777777" w:rsidR="00903B67" w:rsidRPr="00CF6975" w:rsidRDefault="00903B67" w:rsidP="00DF5BBF">
      <w:pPr>
        <w:pStyle w:val="FootnoteText"/>
        <w:jc w:val="both"/>
        <w:rPr>
          <w:rFonts w:ascii="Calibri" w:hAnsi="Calibri" w:cs="Calibri"/>
          <w:sz w:val="18"/>
          <w:szCs w:val="18"/>
          <w:lang w:val="en-US"/>
        </w:rPr>
      </w:pPr>
      <w:r w:rsidRPr="00DF5BBF">
        <w:rPr>
          <w:rStyle w:val="FootnoteReference"/>
          <w:rFonts w:ascii="Calibri" w:hAnsi="Calibri" w:cs="Calibri"/>
          <w:sz w:val="18"/>
          <w:szCs w:val="18"/>
        </w:rPr>
        <w:footnoteRef/>
      </w:r>
      <w:r w:rsidRPr="00CF6975">
        <w:rPr>
          <w:rFonts w:ascii="Calibri" w:hAnsi="Calibri" w:cs="Calibri"/>
          <w:sz w:val="18"/>
          <w:szCs w:val="18"/>
          <w:lang w:val="en-US"/>
        </w:rPr>
        <w:t xml:space="preserve"> Cuban Color Program, Video: main results of the work 2019-2023. Available in: </w:t>
      </w:r>
      <w:hyperlink r:id="rId11" w:history="1">
        <w:r w:rsidRPr="00CF6975">
          <w:rPr>
            <w:rStyle w:val="Hyperlink"/>
            <w:rFonts w:ascii="Calibri" w:hAnsi="Calibri" w:cs="Calibri"/>
            <w:sz w:val="18"/>
            <w:szCs w:val="18"/>
            <w:lang w:val="en-US"/>
          </w:rPr>
          <w:t>https://www.programacolorcubano.cult.cu/biblioteca/video/5</w:t>
        </w:r>
      </w:hyperlink>
      <w:r w:rsidRPr="00CF6975">
        <w:rPr>
          <w:rFonts w:ascii="Calibri" w:hAnsi="Calibri" w:cs="Calibri"/>
          <w:sz w:val="18"/>
          <w:szCs w:val="18"/>
          <w:lang w:val="en-US"/>
        </w:rPr>
        <w:t xml:space="preserve"> </w:t>
      </w:r>
    </w:p>
  </w:footnote>
  <w:footnote w:id="26">
    <w:p w14:paraId="00568449" w14:textId="77777777" w:rsidR="00F12382" w:rsidRPr="00CF6975" w:rsidRDefault="00F12382" w:rsidP="00DF5BBF">
      <w:pPr>
        <w:pStyle w:val="FootnoteText"/>
        <w:jc w:val="both"/>
        <w:rPr>
          <w:rFonts w:ascii="Calibri" w:hAnsi="Calibri" w:cs="Calibri"/>
          <w:sz w:val="18"/>
          <w:szCs w:val="18"/>
          <w:lang w:val="en-US"/>
        </w:rPr>
      </w:pPr>
      <w:r w:rsidRPr="00DF5BBF">
        <w:rPr>
          <w:rStyle w:val="FootnoteReference"/>
          <w:rFonts w:ascii="Calibri" w:hAnsi="Calibri" w:cs="Calibri"/>
          <w:sz w:val="18"/>
          <w:szCs w:val="18"/>
        </w:rPr>
        <w:footnoteRef/>
      </w:r>
      <w:r w:rsidRPr="00CF6975">
        <w:rPr>
          <w:rFonts w:ascii="Calibri" w:hAnsi="Calibri" w:cs="Calibri"/>
          <w:sz w:val="18"/>
          <w:szCs w:val="18"/>
          <w:lang w:val="en-US"/>
        </w:rPr>
        <w:t xml:space="preserve"> Speech by Rodolfo Reyes Rodríguez, Director General of Multilateral Affairs and International Law of the Ministry of Foreign Affairs of Cuba and Head of the Cuban Delegation at the presentation of Cuba's periodic report to the Committee on the Elimination of Racial Discrimination. Geneva, Switzerland, August 15, 2018</w:t>
      </w:r>
    </w:p>
  </w:footnote>
  <w:footnote w:id="27">
    <w:p w14:paraId="121D9800" w14:textId="77777777" w:rsidR="00F12382" w:rsidRPr="00CF6975" w:rsidRDefault="00F12382" w:rsidP="00DF5BBF">
      <w:pPr>
        <w:pStyle w:val="FootnoteText"/>
        <w:jc w:val="both"/>
        <w:rPr>
          <w:rFonts w:ascii="Calibri" w:hAnsi="Calibri" w:cs="Calibri"/>
          <w:sz w:val="18"/>
          <w:szCs w:val="18"/>
          <w:lang w:val="en-US"/>
        </w:rPr>
      </w:pPr>
      <w:r w:rsidRPr="00DF5BBF">
        <w:rPr>
          <w:rStyle w:val="FootnoteReference"/>
          <w:rFonts w:ascii="Calibri" w:hAnsi="Calibri" w:cs="Calibri"/>
          <w:sz w:val="18"/>
          <w:szCs w:val="18"/>
        </w:rPr>
        <w:footnoteRef/>
      </w:r>
      <w:r w:rsidRPr="00CF6975">
        <w:rPr>
          <w:rFonts w:ascii="Calibri" w:hAnsi="Calibri" w:cs="Calibri"/>
          <w:sz w:val="18"/>
          <w:szCs w:val="18"/>
          <w:lang w:val="en-US"/>
        </w:rPr>
        <w:t xml:space="preserve"> Speech by Rodolfo Reyes Rodríguez, Director General of Multilateral Affairs and International Law of the Ministry of Foreign Affairs of Cuba and Head of the Cuban Delegation at the presentation of Cuba's periodic report to the Committee on the Elimination of Racial Discrimination. Geneva, Switzerland, August 15, 2018</w:t>
      </w:r>
    </w:p>
  </w:footnote>
  <w:footnote w:id="28">
    <w:p w14:paraId="145CE350" w14:textId="77777777" w:rsidR="00F12382" w:rsidRPr="00CF6975" w:rsidRDefault="00F12382" w:rsidP="00DF5BBF">
      <w:pPr>
        <w:pStyle w:val="FootnoteText"/>
        <w:jc w:val="both"/>
        <w:rPr>
          <w:rFonts w:ascii="Calibri" w:hAnsi="Calibri" w:cs="Calibri"/>
          <w:sz w:val="18"/>
          <w:szCs w:val="18"/>
          <w:lang w:val="en-US"/>
        </w:rPr>
      </w:pPr>
      <w:r w:rsidRPr="00DF5BBF">
        <w:rPr>
          <w:rStyle w:val="FootnoteReference"/>
          <w:rFonts w:ascii="Calibri" w:hAnsi="Calibri" w:cs="Calibri"/>
          <w:sz w:val="18"/>
          <w:szCs w:val="18"/>
        </w:rPr>
        <w:footnoteRef/>
      </w:r>
      <w:r w:rsidRPr="00CF6975">
        <w:rPr>
          <w:rFonts w:ascii="Calibri" w:hAnsi="Calibri" w:cs="Calibri"/>
          <w:sz w:val="18"/>
          <w:szCs w:val="18"/>
          <w:lang w:val="en-US"/>
        </w:rPr>
        <w:t xml:space="preserve"> Cuban Color Program, Cuba: ethnicity, genetics and skin colors. Available in:  </w:t>
      </w:r>
      <w:hyperlink r:id="rId12" w:history="1">
        <w:r w:rsidRPr="00CF6975">
          <w:rPr>
            <w:rStyle w:val="Hyperlink"/>
            <w:rFonts w:ascii="Calibri" w:hAnsi="Calibri" w:cs="Calibri"/>
            <w:sz w:val="18"/>
            <w:szCs w:val="18"/>
            <w:lang w:val="en-US"/>
          </w:rPr>
          <w:t>https://www.programacolorcubano.cult.cu/centro/cuba</w:t>
        </w:r>
      </w:hyperlink>
      <w:r w:rsidRPr="00CF6975">
        <w:rPr>
          <w:rFonts w:ascii="Calibri" w:hAnsi="Calibri" w:cs="Calibri"/>
          <w:sz w:val="18"/>
          <w:szCs w:val="18"/>
          <w:lang w:val="en-US"/>
        </w:rPr>
        <w:t xml:space="preserve"> </w:t>
      </w:r>
    </w:p>
  </w:footnote>
  <w:footnote w:id="29">
    <w:p w14:paraId="4A893575" w14:textId="77777777" w:rsidR="00F12382" w:rsidRPr="00CF6975" w:rsidRDefault="00F12382" w:rsidP="00DF5BBF">
      <w:pPr>
        <w:pStyle w:val="FootnoteText"/>
        <w:jc w:val="both"/>
        <w:rPr>
          <w:rFonts w:ascii="Calibri" w:hAnsi="Calibri" w:cs="Calibri"/>
          <w:sz w:val="18"/>
          <w:szCs w:val="18"/>
          <w:lang w:val="en-US"/>
        </w:rPr>
      </w:pPr>
      <w:r w:rsidRPr="00DF5BBF">
        <w:rPr>
          <w:rStyle w:val="FootnoteReference"/>
          <w:rFonts w:ascii="Calibri" w:hAnsi="Calibri" w:cs="Calibri"/>
          <w:sz w:val="18"/>
          <w:szCs w:val="18"/>
        </w:rPr>
        <w:footnoteRef/>
      </w:r>
      <w:r w:rsidRPr="00CF6975">
        <w:rPr>
          <w:rFonts w:ascii="Calibri" w:hAnsi="Calibri" w:cs="Calibri"/>
          <w:sz w:val="18"/>
          <w:szCs w:val="18"/>
          <w:lang w:val="en-US"/>
        </w:rPr>
        <w:t xml:space="preserve"> Cuban Color Program, First Memories 2019-2023, p. 20. Available in: </w:t>
      </w:r>
      <w:hyperlink r:id="rId13" w:history="1">
        <w:r w:rsidRPr="00CF6975">
          <w:rPr>
            <w:rStyle w:val="Hyperlink"/>
            <w:rFonts w:ascii="Calibri" w:hAnsi="Calibri" w:cs="Calibri"/>
            <w:sz w:val="18"/>
            <w:szCs w:val="18"/>
            <w:lang w:val="en-US"/>
          </w:rPr>
          <w:t>https://www.programacolorcubano.cult.cu/biblioteca/pdf/6</w:t>
        </w:r>
      </w:hyperlink>
      <w:r w:rsidRPr="00CF6975">
        <w:rPr>
          <w:rFonts w:ascii="Calibri" w:hAnsi="Calibri" w:cs="Calibri"/>
          <w:sz w:val="18"/>
          <w:szCs w:val="18"/>
          <w:lang w:val="en-US"/>
        </w:rPr>
        <w:t xml:space="preserve"> </w:t>
      </w:r>
    </w:p>
  </w:footnote>
  <w:footnote w:id="30">
    <w:p w14:paraId="0CD49AC9" w14:textId="77777777" w:rsidR="00F12382" w:rsidRPr="00CF6975" w:rsidRDefault="00F12382" w:rsidP="00DF5BBF">
      <w:pPr>
        <w:pStyle w:val="FootnoteText"/>
        <w:jc w:val="both"/>
        <w:rPr>
          <w:rFonts w:ascii="Calibri" w:hAnsi="Calibri" w:cs="Calibri"/>
          <w:sz w:val="18"/>
          <w:szCs w:val="18"/>
          <w:lang w:val="en-US"/>
        </w:rPr>
      </w:pPr>
      <w:r w:rsidRPr="00DF5BBF">
        <w:rPr>
          <w:rStyle w:val="FootnoteReference"/>
          <w:rFonts w:ascii="Calibri" w:hAnsi="Calibri" w:cs="Calibri"/>
          <w:sz w:val="18"/>
          <w:szCs w:val="18"/>
        </w:rPr>
        <w:footnoteRef/>
      </w:r>
      <w:r w:rsidRPr="00CF6975">
        <w:rPr>
          <w:rFonts w:ascii="Calibri" w:hAnsi="Calibri" w:cs="Calibri"/>
          <w:sz w:val="18"/>
          <w:szCs w:val="18"/>
          <w:lang w:val="en-US"/>
        </w:rPr>
        <w:t xml:space="preserve"> Conceptualization of Cuban Ethnicity, p. 18. Available in: </w:t>
      </w:r>
      <w:hyperlink r:id="rId14" w:history="1">
        <w:r w:rsidRPr="00CF6975">
          <w:rPr>
            <w:rStyle w:val="Hyperlink"/>
            <w:rFonts w:ascii="Calibri" w:hAnsi="Calibri" w:cs="Calibri"/>
            <w:sz w:val="18"/>
            <w:szCs w:val="18"/>
            <w:lang w:val="en-US"/>
          </w:rPr>
          <w:t>https://www.programacolorcubano.cult.cu/biblioteca/pdf/7</w:t>
        </w:r>
      </w:hyperlink>
      <w:r w:rsidRPr="00CF6975">
        <w:rPr>
          <w:rFonts w:ascii="Calibri" w:hAnsi="Calibri" w:cs="Calibri"/>
          <w:sz w:val="18"/>
          <w:szCs w:val="18"/>
          <w:lang w:val="en-US"/>
        </w:rPr>
        <w:t xml:space="preserve"> </w:t>
      </w:r>
    </w:p>
  </w:footnote>
  <w:footnote w:id="31">
    <w:p w14:paraId="5342CF6F" w14:textId="77777777" w:rsidR="00F12382" w:rsidRPr="00CF6975" w:rsidRDefault="00F12382" w:rsidP="00DF5BBF">
      <w:pPr>
        <w:pStyle w:val="FootnoteText"/>
        <w:jc w:val="both"/>
        <w:rPr>
          <w:rFonts w:ascii="Calibri" w:hAnsi="Calibri" w:cs="Calibri"/>
          <w:sz w:val="18"/>
          <w:szCs w:val="18"/>
          <w:lang w:val="en-US"/>
        </w:rPr>
      </w:pPr>
      <w:r w:rsidRPr="00DF5BBF">
        <w:rPr>
          <w:rStyle w:val="FootnoteReference"/>
          <w:rFonts w:ascii="Calibri" w:hAnsi="Calibri" w:cs="Calibri"/>
          <w:sz w:val="18"/>
          <w:szCs w:val="18"/>
        </w:rPr>
        <w:footnoteRef/>
      </w:r>
      <w:r w:rsidRPr="00CF6975">
        <w:rPr>
          <w:rFonts w:ascii="Calibri" w:hAnsi="Calibri" w:cs="Calibri"/>
          <w:sz w:val="18"/>
          <w:szCs w:val="18"/>
          <w:lang w:val="en-US"/>
        </w:rPr>
        <w:t xml:space="preserve"> Conceptualization of Cuban Ethnicity, p. 33. Available in: </w:t>
      </w:r>
      <w:hyperlink r:id="rId15" w:history="1">
        <w:r w:rsidRPr="00CF6975">
          <w:rPr>
            <w:rStyle w:val="Hyperlink"/>
            <w:rFonts w:ascii="Calibri" w:hAnsi="Calibri" w:cs="Calibri"/>
            <w:sz w:val="18"/>
            <w:szCs w:val="18"/>
            <w:lang w:val="en-US"/>
          </w:rPr>
          <w:t>https://www.programacolorcubano.cult.cu/biblioteca/pdf/7</w:t>
        </w:r>
      </w:hyperlink>
    </w:p>
  </w:footnote>
  <w:footnote w:id="32">
    <w:p w14:paraId="451CBAED" w14:textId="77777777" w:rsidR="00F12382" w:rsidRPr="00CF6975" w:rsidRDefault="00F12382" w:rsidP="00DF5BBF">
      <w:pPr>
        <w:pStyle w:val="FootnoteText"/>
        <w:jc w:val="both"/>
        <w:rPr>
          <w:rFonts w:ascii="Calibri" w:hAnsi="Calibri" w:cs="Calibri"/>
          <w:sz w:val="18"/>
          <w:szCs w:val="18"/>
          <w:lang w:val="en-US"/>
        </w:rPr>
      </w:pPr>
      <w:r w:rsidRPr="00DF5BBF">
        <w:rPr>
          <w:rStyle w:val="FootnoteReference"/>
          <w:rFonts w:ascii="Calibri" w:hAnsi="Calibri" w:cs="Calibri"/>
          <w:sz w:val="18"/>
          <w:szCs w:val="18"/>
        </w:rPr>
        <w:footnoteRef/>
      </w:r>
      <w:r w:rsidRPr="00CF6975">
        <w:rPr>
          <w:rFonts w:ascii="Calibri" w:hAnsi="Calibri" w:cs="Calibri"/>
          <w:sz w:val="18"/>
          <w:szCs w:val="18"/>
          <w:lang w:val="en-US"/>
        </w:rPr>
        <w:t xml:space="preserve"> CERD, Combined 22nd to 26th Periodic Reports that Cuba was due to submit in 2023 under Article 9 of the Convention. CERD/C/CUB/22-26. February 17, 2025, para. 211.</w:t>
      </w:r>
    </w:p>
  </w:footnote>
  <w:footnote w:id="33">
    <w:p w14:paraId="7A3BFB9F" w14:textId="77777777" w:rsidR="00F12382" w:rsidRPr="00CF6975" w:rsidRDefault="00F12382" w:rsidP="00DF5BBF">
      <w:pPr>
        <w:pStyle w:val="FootnoteText"/>
        <w:jc w:val="both"/>
        <w:rPr>
          <w:rFonts w:ascii="Calibri" w:hAnsi="Calibri" w:cs="Calibri"/>
          <w:sz w:val="18"/>
          <w:szCs w:val="18"/>
          <w:lang w:val="en-US"/>
        </w:rPr>
      </w:pPr>
      <w:r w:rsidRPr="00DF5BBF">
        <w:rPr>
          <w:rStyle w:val="FootnoteReference"/>
          <w:rFonts w:ascii="Calibri" w:hAnsi="Calibri" w:cs="Calibri"/>
          <w:sz w:val="18"/>
          <w:szCs w:val="18"/>
        </w:rPr>
        <w:footnoteRef/>
      </w:r>
      <w:r w:rsidRPr="00CF6975">
        <w:rPr>
          <w:rFonts w:ascii="Calibri" w:hAnsi="Calibri" w:cs="Calibri"/>
          <w:sz w:val="18"/>
          <w:szCs w:val="18"/>
          <w:lang w:val="en-US"/>
        </w:rPr>
        <w:t xml:space="preserve"> IACHR, The Situation of Persons of African Descent in the Americas, para. 25.</w:t>
      </w:r>
    </w:p>
  </w:footnote>
  <w:footnote w:id="34">
    <w:p w14:paraId="68A1EB84" w14:textId="77777777" w:rsidR="004D0117" w:rsidRPr="00CF6975" w:rsidRDefault="004D0117" w:rsidP="00DF5BBF">
      <w:pPr>
        <w:pStyle w:val="FootnoteText"/>
        <w:jc w:val="both"/>
        <w:rPr>
          <w:rFonts w:ascii="Calibri" w:hAnsi="Calibri" w:cs="Calibri"/>
          <w:sz w:val="18"/>
          <w:szCs w:val="18"/>
          <w:lang w:val="en-US"/>
        </w:rPr>
      </w:pPr>
      <w:r w:rsidRPr="00DF5BBF">
        <w:rPr>
          <w:rStyle w:val="FootnoteReference"/>
          <w:rFonts w:ascii="Calibri" w:hAnsi="Calibri" w:cs="Calibri"/>
          <w:sz w:val="18"/>
          <w:szCs w:val="18"/>
        </w:rPr>
        <w:footnoteRef/>
      </w:r>
      <w:r w:rsidRPr="00CF6975">
        <w:rPr>
          <w:rFonts w:ascii="Calibri" w:hAnsi="Calibri" w:cs="Calibri"/>
          <w:sz w:val="18"/>
          <w:szCs w:val="18"/>
          <w:lang w:val="en-US"/>
        </w:rPr>
        <w:t xml:space="preserve"> CERD, Concluding Observations on the Combined 19th to 21st Periodic Reports of the Cuban State. CERD/C/CUB/CO/19-21. September 20, 2018, para. 9.</w:t>
      </w:r>
    </w:p>
  </w:footnote>
  <w:footnote w:id="35">
    <w:p w14:paraId="26D503DE" w14:textId="77777777" w:rsidR="004D0117" w:rsidRPr="00CF6975" w:rsidRDefault="004D0117" w:rsidP="00DF5BBF">
      <w:pPr>
        <w:pStyle w:val="FootnoteText"/>
        <w:jc w:val="both"/>
        <w:rPr>
          <w:rFonts w:ascii="Calibri" w:hAnsi="Calibri" w:cs="Calibri"/>
          <w:sz w:val="18"/>
          <w:szCs w:val="18"/>
          <w:lang w:val="en-US"/>
        </w:rPr>
      </w:pPr>
      <w:r w:rsidRPr="00DF5BBF">
        <w:rPr>
          <w:rStyle w:val="FootnoteReference"/>
          <w:rFonts w:ascii="Calibri" w:hAnsi="Calibri" w:cs="Calibri"/>
          <w:sz w:val="18"/>
          <w:szCs w:val="18"/>
        </w:rPr>
        <w:footnoteRef/>
      </w:r>
      <w:r w:rsidRPr="00CF6975">
        <w:rPr>
          <w:rFonts w:ascii="Calibri" w:hAnsi="Calibri" w:cs="Calibri"/>
          <w:sz w:val="18"/>
          <w:szCs w:val="18"/>
          <w:lang w:val="en-US"/>
        </w:rPr>
        <w:t xml:space="preserve"> CERD, Concluding Observations on the Combined 19th to 21st Periodic Reports of the Cuban State. CERD/C/CUB/CO/19-21. September 20, 2018, para. 10.</w:t>
      </w:r>
    </w:p>
  </w:footnote>
  <w:footnote w:id="36">
    <w:p w14:paraId="5502181D" w14:textId="77777777" w:rsidR="004D0117" w:rsidRPr="00CF6975" w:rsidRDefault="004D0117" w:rsidP="00DF5BBF">
      <w:pPr>
        <w:pStyle w:val="FootnoteText"/>
        <w:jc w:val="both"/>
        <w:rPr>
          <w:rFonts w:ascii="Calibri" w:hAnsi="Calibri" w:cs="Calibri"/>
          <w:sz w:val="18"/>
          <w:szCs w:val="18"/>
          <w:lang w:val="en-US"/>
        </w:rPr>
      </w:pPr>
      <w:r w:rsidRPr="00DF5BBF">
        <w:rPr>
          <w:rStyle w:val="FootnoteReference"/>
          <w:rFonts w:ascii="Calibri" w:hAnsi="Calibri" w:cs="Calibri"/>
          <w:sz w:val="18"/>
          <w:szCs w:val="18"/>
        </w:rPr>
        <w:footnoteRef/>
      </w:r>
      <w:r w:rsidRPr="00CF6975">
        <w:rPr>
          <w:rFonts w:ascii="Calibri" w:hAnsi="Calibri" w:cs="Calibri"/>
          <w:sz w:val="18"/>
          <w:szCs w:val="18"/>
          <w:lang w:val="en-US"/>
        </w:rPr>
        <w:t xml:space="preserve"> IACHR, 2020 Annual Report, Chapter IV B Cuba, para. 114.</w:t>
      </w:r>
    </w:p>
  </w:footnote>
  <w:footnote w:id="37">
    <w:p w14:paraId="4A6237C9" w14:textId="77777777" w:rsidR="000A0C53" w:rsidRPr="00CF6975" w:rsidRDefault="000A0C53" w:rsidP="00DF5BBF">
      <w:pPr>
        <w:pStyle w:val="FootnoteText"/>
        <w:jc w:val="both"/>
        <w:rPr>
          <w:rFonts w:ascii="Calibri" w:hAnsi="Calibri" w:cs="Calibri"/>
          <w:sz w:val="18"/>
          <w:szCs w:val="18"/>
          <w:lang w:val="en-US"/>
        </w:rPr>
      </w:pPr>
      <w:r w:rsidRPr="00DF5BBF">
        <w:rPr>
          <w:rStyle w:val="FootnoteReference"/>
          <w:rFonts w:ascii="Calibri" w:hAnsi="Calibri" w:cs="Calibri"/>
          <w:sz w:val="18"/>
          <w:szCs w:val="18"/>
        </w:rPr>
        <w:footnoteRef/>
      </w:r>
      <w:r w:rsidRPr="00CF6975">
        <w:rPr>
          <w:rFonts w:ascii="Calibri" w:hAnsi="Calibri" w:cs="Calibri"/>
          <w:sz w:val="18"/>
          <w:szCs w:val="18"/>
          <w:lang w:val="en-US"/>
        </w:rPr>
        <w:t xml:space="preserve"> Cuban Revolution vs. Racism. Collective of authors of the Executive Coordinating Group of the National Commission. National Programme against Racism and Racial Discrimination. PDF. Cuban Book Institute. </w:t>
      </w:r>
      <w:hyperlink r:id="rId16" w:history="1">
        <w:r w:rsidR="0036722C" w:rsidRPr="00CF6975">
          <w:rPr>
            <w:rStyle w:val="Hyperlink"/>
            <w:rFonts w:ascii="Calibri" w:hAnsi="Calibri" w:cs="Calibri"/>
            <w:sz w:val="18"/>
            <w:szCs w:val="18"/>
            <w:lang w:val="en-US"/>
          </w:rPr>
          <w:t>www.nuevomilenio.cult.cu</w:t>
        </w:r>
      </w:hyperlink>
      <w:r w:rsidR="0036722C" w:rsidRPr="00CF6975">
        <w:rPr>
          <w:rFonts w:ascii="Calibri" w:hAnsi="Calibri" w:cs="Calibri"/>
          <w:sz w:val="18"/>
          <w:szCs w:val="18"/>
          <w:lang w:val="en-US"/>
        </w:rPr>
        <w:t xml:space="preserve"> </w:t>
      </w:r>
    </w:p>
  </w:footnote>
  <w:footnote w:id="38">
    <w:p w14:paraId="28C355CA" w14:textId="0D0419E1" w:rsidR="0009063B" w:rsidRPr="00CF6975" w:rsidRDefault="0009063B" w:rsidP="00DF5BBF">
      <w:pPr>
        <w:pStyle w:val="FootnoteText"/>
        <w:jc w:val="both"/>
        <w:rPr>
          <w:rFonts w:ascii="Calibri" w:hAnsi="Calibri" w:cs="Calibri"/>
          <w:sz w:val="18"/>
          <w:szCs w:val="18"/>
          <w:lang w:val="en-US"/>
        </w:rPr>
      </w:pPr>
      <w:r w:rsidRPr="00DF5BBF">
        <w:rPr>
          <w:rStyle w:val="FootnoteReference"/>
          <w:rFonts w:ascii="Calibri" w:hAnsi="Calibri" w:cs="Calibri"/>
          <w:sz w:val="18"/>
          <w:szCs w:val="18"/>
        </w:rPr>
        <w:footnoteRef/>
      </w:r>
      <w:r w:rsidRPr="00CF6975">
        <w:rPr>
          <w:rFonts w:ascii="Calibri" w:hAnsi="Calibri" w:cs="Calibri"/>
          <w:sz w:val="18"/>
          <w:szCs w:val="18"/>
          <w:lang w:val="en-US"/>
        </w:rPr>
        <w:t xml:space="preserve"> CERD, Combined 22nd to 26th Periodic Reports that Cuba was due to submit in 2023 under Article 9 of the Convention. CERD/C/CUB/22-26. February 17, 2025.</w:t>
      </w:r>
    </w:p>
  </w:footnote>
  <w:footnote w:id="39">
    <w:p w14:paraId="4ADB9191" w14:textId="77777777" w:rsidR="004D0117" w:rsidRPr="00CF6975" w:rsidRDefault="004D0117" w:rsidP="00DF5BBF">
      <w:pPr>
        <w:pStyle w:val="FootnoteText"/>
        <w:jc w:val="both"/>
        <w:rPr>
          <w:rFonts w:ascii="Calibri" w:hAnsi="Calibri" w:cs="Calibri"/>
          <w:sz w:val="18"/>
          <w:szCs w:val="18"/>
          <w:lang w:val="en-US"/>
        </w:rPr>
      </w:pPr>
      <w:r w:rsidRPr="00DF5BBF">
        <w:rPr>
          <w:rStyle w:val="FootnoteReference"/>
          <w:rFonts w:ascii="Calibri" w:hAnsi="Calibri" w:cs="Calibri"/>
          <w:sz w:val="18"/>
          <w:szCs w:val="18"/>
        </w:rPr>
        <w:footnoteRef/>
      </w:r>
      <w:r w:rsidRPr="00CF6975">
        <w:rPr>
          <w:rFonts w:ascii="Calibri" w:hAnsi="Calibri" w:cs="Calibri"/>
          <w:sz w:val="18"/>
          <w:szCs w:val="18"/>
          <w:lang w:val="en-US"/>
        </w:rPr>
        <w:t xml:space="preserve"> CERD, Combined 22nd to 26th Periodic Reports that Cuba was due to submit in 2023 under Article 9 of the Convention. CERD/C/CUB/22-26. February 17, 2025, para. 211.</w:t>
      </w:r>
    </w:p>
  </w:footnote>
  <w:footnote w:id="40">
    <w:p w14:paraId="646C342D" w14:textId="77777777" w:rsidR="004D0117" w:rsidRPr="00CF6975" w:rsidRDefault="004D0117" w:rsidP="00DF5BBF">
      <w:pPr>
        <w:pStyle w:val="FootnoteText"/>
        <w:jc w:val="both"/>
        <w:rPr>
          <w:rFonts w:ascii="Calibri" w:hAnsi="Calibri" w:cs="Calibri"/>
          <w:sz w:val="18"/>
          <w:szCs w:val="18"/>
          <w:lang w:val="en-US"/>
        </w:rPr>
      </w:pPr>
      <w:r w:rsidRPr="00DF5BBF">
        <w:rPr>
          <w:rStyle w:val="FootnoteReference"/>
          <w:rFonts w:ascii="Calibri" w:hAnsi="Calibri" w:cs="Calibri"/>
          <w:sz w:val="18"/>
          <w:szCs w:val="18"/>
        </w:rPr>
        <w:footnoteRef/>
      </w:r>
      <w:r w:rsidRPr="00CF6975">
        <w:rPr>
          <w:rFonts w:ascii="Calibri" w:hAnsi="Calibri" w:cs="Calibri"/>
          <w:sz w:val="18"/>
          <w:szCs w:val="18"/>
          <w:lang w:val="en-US"/>
        </w:rPr>
        <w:t xml:space="preserve"> Special Rapporteur on contemporary forms of racism, racial discrimination, xenophobia and related intolerance. A/70/335. August 20, 2015, para. 58.</w:t>
      </w:r>
    </w:p>
  </w:footnote>
  <w:footnote w:id="41">
    <w:p w14:paraId="261A8DA6" w14:textId="77777777" w:rsidR="004D0117" w:rsidRPr="00CF6975" w:rsidRDefault="004D0117" w:rsidP="00DF5BBF">
      <w:pPr>
        <w:pStyle w:val="FootnoteText"/>
        <w:jc w:val="both"/>
        <w:rPr>
          <w:rFonts w:ascii="Calibri" w:hAnsi="Calibri" w:cs="Calibri"/>
          <w:sz w:val="18"/>
          <w:szCs w:val="18"/>
          <w:lang w:val="en-US"/>
        </w:rPr>
      </w:pPr>
      <w:r w:rsidRPr="00DF5BBF">
        <w:rPr>
          <w:rStyle w:val="FootnoteReference"/>
          <w:rFonts w:ascii="Calibri" w:hAnsi="Calibri" w:cs="Calibri"/>
          <w:sz w:val="18"/>
          <w:szCs w:val="18"/>
        </w:rPr>
        <w:footnoteRef/>
      </w:r>
      <w:r w:rsidRPr="00CF6975">
        <w:rPr>
          <w:rFonts w:ascii="Calibri" w:hAnsi="Calibri" w:cs="Calibri"/>
          <w:sz w:val="18"/>
          <w:szCs w:val="18"/>
          <w:lang w:val="en-US"/>
        </w:rPr>
        <w:t xml:space="preserve"> IACHR, Annual Report 2021, Chapter IV B Cuba, para. 116. See also, IACHR, Situation of Human Rights in Cuba, 2020, para. 293.</w:t>
      </w:r>
    </w:p>
  </w:footnote>
  <w:footnote w:id="42">
    <w:p w14:paraId="34A87A13" w14:textId="77777777" w:rsidR="005B7B8B" w:rsidRPr="00CF6975" w:rsidRDefault="005B7B8B" w:rsidP="00DF5BBF">
      <w:pPr>
        <w:pStyle w:val="FootnoteText"/>
        <w:jc w:val="both"/>
        <w:rPr>
          <w:rFonts w:ascii="Calibri" w:hAnsi="Calibri" w:cs="Calibri"/>
          <w:sz w:val="18"/>
          <w:szCs w:val="18"/>
          <w:lang w:val="en-US"/>
        </w:rPr>
      </w:pPr>
      <w:r w:rsidRPr="00DF5BBF">
        <w:rPr>
          <w:rStyle w:val="FootnoteReference"/>
          <w:rFonts w:ascii="Calibri" w:hAnsi="Calibri" w:cs="Calibri"/>
          <w:sz w:val="18"/>
          <w:szCs w:val="18"/>
        </w:rPr>
        <w:footnoteRef/>
      </w:r>
      <w:r w:rsidRPr="00CF6975">
        <w:rPr>
          <w:rFonts w:ascii="Calibri" w:hAnsi="Calibri" w:cs="Calibri"/>
          <w:sz w:val="18"/>
          <w:szCs w:val="18"/>
          <w:lang w:val="en-US"/>
        </w:rPr>
        <w:t xml:space="preserve"> IACHR, Annual Report 2024, Chapter IV B Cuba, para. 134.</w:t>
      </w:r>
    </w:p>
  </w:footnote>
  <w:footnote w:id="43">
    <w:p w14:paraId="2DFF3EB7" w14:textId="0A93AEA8" w:rsidR="005D3968" w:rsidRPr="00CF6975" w:rsidRDefault="005D3968" w:rsidP="00DF5BBF">
      <w:pPr>
        <w:pStyle w:val="FootnoteText"/>
        <w:jc w:val="both"/>
        <w:rPr>
          <w:rFonts w:ascii="Calibri" w:hAnsi="Calibri" w:cs="Calibri"/>
          <w:sz w:val="18"/>
          <w:szCs w:val="18"/>
          <w:lang w:val="en-US"/>
        </w:rPr>
      </w:pPr>
      <w:r w:rsidRPr="00DF5BBF">
        <w:rPr>
          <w:rStyle w:val="FootnoteReference"/>
          <w:rFonts w:ascii="Calibri" w:hAnsi="Calibri" w:cs="Calibri"/>
          <w:sz w:val="18"/>
          <w:szCs w:val="18"/>
        </w:rPr>
        <w:footnoteRef/>
      </w:r>
      <w:r w:rsidRPr="00CF6975">
        <w:rPr>
          <w:rFonts w:ascii="Calibri" w:hAnsi="Calibri" w:cs="Calibri"/>
          <w:sz w:val="18"/>
          <w:szCs w:val="18"/>
          <w:lang w:val="en-US"/>
        </w:rPr>
        <w:t xml:space="preserve"> CERD, Concluding Observations on the Combined 19th to 21st Periodic Reports of the Cuban State. CERD/C/CUB/CO/19-21. September 20, 2018, para. 39.</w:t>
      </w:r>
    </w:p>
  </w:footnote>
  <w:footnote w:id="44">
    <w:p w14:paraId="4BDA9E3B" w14:textId="77777777" w:rsidR="00955462" w:rsidRPr="00CF6975" w:rsidRDefault="00955462" w:rsidP="00DF5BBF">
      <w:pPr>
        <w:pStyle w:val="FootnoteText"/>
        <w:jc w:val="both"/>
        <w:rPr>
          <w:rFonts w:ascii="Calibri" w:hAnsi="Calibri" w:cs="Calibri"/>
          <w:sz w:val="18"/>
          <w:szCs w:val="18"/>
          <w:lang w:val="en-US"/>
        </w:rPr>
      </w:pPr>
      <w:r w:rsidRPr="00DF5BBF">
        <w:rPr>
          <w:rStyle w:val="FootnoteReference"/>
          <w:rFonts w:ascii="Calibri" w:hAnsi="Calibri" w:cs="Calibri"/>
          <w:sz w:val="18"/>
          <w:szCs w:val="18"/>
        </w:rPr>
        <w:footnoteRef/>
      </w:r>
      <w:r w:rsidRPr="00CF6975">
        <w:rPr>
          <w:rFonts w:ascii="Calibri" w:hAnsi="Calibri" w:cs="Calibri"/>
          <w:sz w:val="18"/>
          <w:szCs w:val="18"/>
          <w:lang w:val="en-US"/>
        </w:rPr>
        <w:t xml:space="preserve"> IACHR, Labor and Trade Union Rights in Cuba, para. 182.</w:t>
      </w:r>
    </w:p>
  </w:footnote>
  <w:footnote w:id="45">
    <w:p w14:paraId="1CF515C7" w14:textId="77777777" w:rsidR="00955462" w:rsidRPr="00CF6975" w:rsidRDefault="00955462" w:rsidP="00DF5BBF">
      <w:pPr>
        <w:pStyle w:val="FootnoteText"/>
        <w:jc w:val="both"/>
        <w:rPr>
          <w:rFonts w:ascii="Calibri" w:hAnsi="Calibri" w:cs="Calibri"/>
          <w:sz w:val="18"/>
          <w:szCs w:val="18"/>
          <w:lang w:val="en-US"/>
        </w:rPr>
      </w:pPr>
      <w:r w:rsidRPr="00DF5BBF">
        <w:rPr>
          <w:rStyle w:val="FootnoteReference"/>
          <w:rFonts w:ascii="Calibri" w:hAnsi="Calibri" w:cs="Calibri"/>
          <w:sz w:val="18"/>
          <w:szCs w:val="18"/>
        </w:rPr>
        <w:footnoteRef/>
      </w:r>
      <w:r w:rsidRPr="00CF6975">
        <w:rPr>
          <w:rFonts w:ascii="Calibri" w:hAnsi="Calibri" w:cs="Calibri"/>
          <w:sz w:val="18"/>
          <w:szCs w:val="18"/>
          <w:lang w:val="en-US"/>
        </w:rPr>
        <w:t xml:space="preserve"> IACHR, Annual Report 2023, Chapter IV B Cuba, para. 130.</w:t>
      </w:r>
    </w:p>
  </w:footnote>
  <w:footnote w:id="46">
    <w:p w14:paraId="3415C773" w14:textId="77777777" w:rsidR="009E08C5" w:rsidRPr="00CF6975" w:rsidRDefault="009E08C5" w:rsidP="00DF5BBF">
      <w:pPr>
        <w:pStyle w:val="FootnoteText"/>
        <w:jc w:val="both"/>
        <w:rPr>
          <w:rFonts w:ascii="Calibri" w:hAnsi="Calibri" w:cs="Calibri"/>
          <w:sz w:val="18"/>
          <w:szCs w:val="18"/>
          <w:lang w:val="en-US"/>
        </w:rPr>
      </w:pPr>
      <w:r w:rsidRPr="00DF5BBF">
        <w:rPr>
          <w:rStyle w:val="FootnoteReference"/>
          <w:rFonts w:ascii="Calibri" w:hAnsi="Calibri" w:cs="Calibri"/>
          <w:sz w:val="18"/>
          <w:szCs w:val="18"/>
        </w:rPr>
        <w:footnoteRef/>
      </w:r>
      <w:r w:rsidRPr="00CF6975">
        <w:rPr>
          <w:rFonts w:ascii="Calibri" w:hAnsi="Calibri" w:cs="Calibri"/>
          <w:sz w:val="18"/>
          <w:szCs w:val="18"/>
          <w:lang w:val="en-US"/>
        </w:rPr>
        <w:t xml:space="preserve"> Report of the Working Group on the Universal Periodic Review. Cuba. PDF. A/HRC/39/16, 11 July 2018.</w:t>
      </w:r>
    </w:p>
  </w:footnote>
  <w:footnote w:id="47">
    <w:p w14:paraId="42915FDE" w14:textId="7558CCB5" w:rsidR="00CA3808" w:rsidRPr="00CF6975" w:rsidRDefault="00CA3808" w:rsidP="00DF5BBF">
      <w:pPr>
        <w:pStyle w:val="FootnoteText"/>
        <w:jc w:val="both"/>
        <w:rPr>
          <w:rFonts w:ascii="Calibri" w:hAnsi="Calibri" w:cs="Calibri"/>
          <w:sz w:val="18"/>
          <w:szCs w:val="18"/>
          <w:lang w:val="en-US"/>
        </w:rPr>
      </w:pPr>
      <w:r w:rsidRPr="00DF5BBF">
        <w:rPr>
          <w:rStyle w:val="FootnoteReference"/>
          <w:rFonts w:ascii="Calibri" w:hAnsi="Calibri" w:cs="Calibri"/>
          <w:sz w:val="18"/>
          <w:szCs w:val="18"/>
        </w:rPr>
        <w:footnoteRef/>
      </w:r>
      <w:r w:rsidR="00393CEB" w:rsidRPr="00CF6975">
        <w:rPr>
          <w:rFonts w:ascii="Calibri" w:hAnsi="Calibri" w:cs="Calibri"/>
          <w:sz w:val="18"/>
          <w:szCs w:val="18"/>
          <w:lang w:val="en-US"/>
        </w:rPr>
        <w:t xml:space="preserve"> CERD, Concluding Observations on the Combined 19th to 21st Periodic Reports of the Cuban State. CERD/C/CUB/CO/19-21. September 20, 2018.</w:t>
      </w:r>
    </w:p>
  </w:footnote>
  <w:footnote w:id="48">
    <w:p w14:paraId="16F36AAA" w14:textId="77777777" w:rsidR="00B36DF8" w:rsidRPr="00CF6975" w:rsidRDefault="00B36DF8" w:rsidP="00DF5BBF">
      <w:pPr>
        <w:pStyle w:val="FootnoteText"/>
        <w:jc w:val="both"/>
        <w:rPr>
          <w:rFonts w:ascii="Calibri" w:hAnsi="Calibri" w:cs="Calibri"/>
          <w:sz w:val="18"/>
          <w:szCs w:val="18"/>
          <w:lang w:val="en-US"/>
        </w:rPr>
      </w:pPr>
      <w:r w:rsidRPr="00DF5BBF">
        <w:rPr>
          <w:rStyle w:val="FootnoteReference"/>
          <w:rFonts w:ascii="Calibri" w:hAnsi="Calibri" w:cs="Calibri"/>
          <w:sz w:val="18"/>
          <w:szCs w:val="18"/>
        </w:rPr>
        <w:footnoteRef/>
      </w:r>
      <w:r w:rsidRPr="00CF6975">
        <w:rPr>
          <w:rFonts w:ascii="Calibri" w:hAnsi="Calibri" w:cs="Calibri"/>
          <w:sz w:val="18"/>
          <w:szCs w:val="18"/>
          <w:lang w:val="en-US"/>
        </w:rPr>
        <w:t xml:space="preserve"> IACHR, Annual Report 2024, Chapter IV B Cuba, para. 133. See also, IACHR, Situation of Human Rights in Cuba, 2020, para. 300.</w:t>
      </w:r>
    </w:p>
  </w:footnote>
  <w:footnote w:id="49">
    <w:p w14:paraId="404AAD50" w14:textId="6B3027F4" w:rsidR="00985389" w:rsidRPr="00CF6975" w:rsidRDefault="00985389" w:rsidP="00DF5BBF">
      <w:pPr>
        <w:pStyle w:val="FootnoteText"/>
        <w:jc w:val="both"/>
        <w:rPr>
          <w:rFonts w:ascii="Calibri" w:hAnsi="Calibri" w:cs="Calibri"/>
          <w:sz w:val="18"/>
          <w:szCs w:val="18"/>
          <w:lang w:val="en-US"/>
        </w:rPr>
      </w:pPr>
      <w:r w:rsidRPr="00DF5BBF">
        <w:rPr>
          <w:rStyle w:val="FootnoteReference"/>
          <w:rFonts w:ascii="Calibri" w:hAnsi="Calibri" w:cs="Calibri"/>
          <w:sz w:val="18"/>
          <w:szCs w:val="18"/>
        </w:rPr>
        <w:footnoteRef/>
      </w:r>
      <w:r w:rsidRPr="00CF6975">
        <w:rPr>
          <w:rFonts w:ascii="Calibri" w:hAnsi="Calibri" w:cs="Calibri"/>
          <w:sz w:val="18"/>
          <w:szCs w:val="18"/>
          <w:lang w:val="en-US"/>
        </w:rPr>
        <w:t xml:space="preserve"> See, for example, Decree-Law 331/2021 "On Zones with Special Regulations".</w:t>
      </w:r>
    </w:p>
  </w:footnote>
  <w:footnote w:id="50">
    <w:p w14:paraId="5B111B22" w14:textId="77777777" w:rsidR="00CA623F" w:rsidRPr="00CF6975" w:rsidRDefault="00CA623F" w:rsidP="00DF5BBF">
      <w:pPr>
        <w:pStyle w:val="FootnoteText"/>
        <w:jc w:val="both"/>
        <w:rPr>
          <w:rFonts w:ascii="Calibri" w:hAnsi="Calibri" w:cs="Calibri"/>
          <w:sz w:val="18"/>
          <w:szCs w:val="18"/>
          <w:lang w:val="en-US"/>
        </w:rPr>
      </w:pPr>
      <w:r w:rsidRPr="00DF5BBF">
        <w:rPr>
          <w:rStyle w:val="FootnoteReference"/>
          <w:rFonts w:ascii="Calibri" w:hAnsi="Calibri" w:cs="Calibri"/>
          <w:sz w:val="18"/>
          <w:szCs w:val="18"/>
        </w:rPr>
        <w:footnoteRef/>
      </w:r>
      <w:r w:rsidRPr="00CF6975">
        <w:rPr>
          <w:rFonts w:ascii="Calibri" w:hAnsi="Calibri" w:cs="Calibri"/>
          <w:sz w:val="18"/>
          <w:szCs w:val="18"/>
          <w:lang w:val="en-US"/>
        </w:rPr>
        <w:t xml:space="preserve"> Law 171/2024 "On Migration." National Assembly of People's Power. PDF.</w:t>
      </w:r>
    </w:p>
  </w:footnote>
  <w:footnote w:id="51">
    <w:p w14:paraId="05B81DA9" w14:textId="77777777" w:rsidR="00E16FEC" w:rsidRPr="00CF6975" w:rsidRDefault="00E16FEC" w:rsidP="00DF5BBF">
      <w:pPr>
        <w:pStyle w:val="FootnoteText"/>
        <w:jc w:val="both"/>
        <w:rPr>
          <w:rFonts w:ascii="Calibri" w:hAnsi="Calibri" w:cs="Calibri"/>
          <w:sz w:val="18"/>
          <w:szCs w:val="18"/>
          <w:lang w:val="en-US"/>
        </w:rPr>
      </w:pPr>
      <w:r w:rsidRPr="00DF5BBF">
        <w:rPr>
          <w:rStyle w:val="FootnoteReference"/>
          <w:rFonts w:ascii="Calibri" w:hAnsi="Calibri" w:cs="Calibri"/>
          <w:sz w:val="18"/>
          <w:szCs w:val="18"/>
        </w:rPr>
        <w:footnoteRef/>
      </w:r>
      <w:r w:rsidRPr="00CF6975">
        <w:rPr>
          <w:rFonts w:ascii="Calibri" w:hAnsi="Calibri" w:cs="Calibri"/>
          <w:sz w:val="18"/>
          <w:szCs w:val="18"/>
          <w:lang w:val="en-US"/>
        </w:rPr>
        <w:t xml:space="preserve"> Prisoners Defenders. Loreto Hernández García: data on the political prisoner. </w:t>
      </w:r>
      <w:hyperlink r:id="rId17" w:history="1">
        <w:r w:rsidRPr="00CF6975">
          <w:rPr>
            <w:rStyle w:val="Hyperlink"/>
            <w:rFonts w:ascii="Calibri" w:hAnsi="Calibri" w:cs="Calibri"/>
            <w:sz w:val="18"/>
            <w:szCs w:val="18"/>
            <w:lang w:val="en-US"/>
          </w:rPr>
          <w:t>https://lista.prisonersdefenders.org</w:t>
        </w:r>
      </w:hyperlink>
      <w:r w:rsidRPr="00CF6975">
        <w:rPr>
          <w:rFonts w:ascii="Calibri" w:hAnsi="Calibri" w:cs="Calibri"/>
          <w:sz w:val="18"/>
          <w:szCs w:val="18"/>
          <w:lang w:val="en-US"/>
        </w:rPr>
        <w:t xml:space="preserve"> </w:t>
      </w:r>
    </w:p>
  </w:footnote>
  <w:footnote w:id="52">
    <w:p w14:paraId="0356A1A2" w14:textId="77777777" w:rsidR="00FA3429" w:rsidRPr="00DF5BBF" w:rsidRDefault="00FA3429" w:rsidP="00DF5BBF">
      <w:pPr>
        <w:pStyle w:val="FootnoteText"/>
        <w:jc w:val="both"/>
        <w:rPr>
          <w:rFonts w:ascii="Calibri" w:hAnsi="Calibri" w:cs="Calibri"/>
          <w:sz w:val="18"/>
          <w:szCs w:val="18"/>
        </w:rPr>
      </w:pPr>
      <w:r w:rsidRPr="00DF5BBF">
        <w:rPr>
          <w:rStyle w:val="FootnoteReference"/>
          <w:rFonts w:ascii="Calibri" w:hAnsi="Calibri" w:cs="Calibri"/>
          <w:sz w:val="18"/>
          <w:szCs w:val="18"/>
        </w:rPr>
        <w:footnoteRef/>
      </w:r>
      <w:r w:rsidRPr="00CF6975">
        <w:rPr>
          <w:rFonts w:ascii="Calibri" w:hAnsi="Calibri" w:cs="Calibri"/>
          <w:sz w:val="18"/>
          <w:szCs w:val="18"/>
          <w:lang w:val="en-US"/>
        </w:rPr>
        <w:t xml:space="preserve"> Resilience and Interreligious Dialogue in Havana. </w:t>
      </w:r>
      <w:r w:rsidRPr="00DF5BBF">
        <w:rPr>
          <w:rFonts w:ascii="Calibri" w:hAnsi="Calibri" w:cs="Calibri"/>
          <w:sz w:val="18"/>
          <w:szCs w:val="18"/>
        </w:rPr>
        <w:t>Idelsi Bárbara Alfonso Sandrino. Contours ArteCalle.</w:t>
      </w:r>
    </w:p>
  </w:footnote>
  <w:footnote w:id="53">
    <w:p w14:paraId="714C4AD0" w14:textId="77777777" w:rsidR="006D2D45" w:rsidRPr="00CF6975" w:rsidRDefault="006D2D45" w:rsidP="00DF5BBF">
      <w:pPr>
        <w:pStyle w:val="FootnoteText"/>
        <w:jc w:val="both"/>
        <w:rPr>
          <w:rFonts w:ascii="Calibri" w:hAnsi="Calibri" w:cs="Calibri"/>
          <w:sz w:val="18"/>
          <w:szCs w:val="18"/>
          <w:lang w:val="en-US"/>
        </w:rPr>
      </w:pPr>
      <w:r w:rsidRPr="00DF5BBF">
        <w:rPr>
          <w:rStyle w:val="FootnoteReference"/>
          <w:rFonts w:ascii="Calibri" w:hAnsi="Calibri" w:cs="Calibri"/>
          <w:sz w:val="18"/>
          <w:szCs w:val="18"/>
        </w:rPr>
        <w:footnoteRef/>
      </w:r>
      <w:r w:rsidRPr="00CF6975">
        <w:rPr>
          <w:rFonts w:ascii="Calibri" w:hAnsi="Calibri" w:cs="Calibri"/>
          <w:sz w:val="18"/>
          <w:szCs w:val="18"/>
          <w:lang w:val="en-US"/>
        </w:rPr>
        <w:t xml:space="preserve"> IACHR, Situation of Human Rights in Cuba, 2020, para. 305.</w:t>
      </w:r>
    </w:p>
  </w:footnote>
  <w:footnote w:id="54">
    <w:p w14:paraId="16DF12B7" w14:textId="77777777" w:rsidR="006D2D45" w:rsidRPr="00CF6975" w:rsidRDefault="006D2D45" w:rsidP="00DF5BBF">
      <w:pPr>
        <w:pStyle w:val="FootnoteText"/>
        <w:jc w:val="both"/>
        <w:rPr>
          <w:rFonts w:ascii="Calibri" w:hAnsi="Calibri" w:cs="Calibri"/>
          <w:sz w:val="18"/>
          <w:szCs w:val="18"/>
          <w:lang w:val="en-US"/>
        </w:rPr>
      </w:pPr>
      <w:r w:rsidRPr="00DF5BBF">
        <w:rPr>
          <w:rStyle w:val="FootnoteReference"/>
          <w:rFonts w:ascii="Calibri" w:hAnsi="Calibri" w:cs="Calibri"/>
          <w:sz w:val="18"/>
          <w:szCs w:val="18"/>
        </w:rPr>
        <w:footnoteRef/>
      </w:r>
      <w:r w:rsidRPr="00CF6975">
        <w:rPr>
          <w:rFonts w:ascii="Calibri" w:hAnsi="Calibri" w:cs="Calibri"/>
          <w:sz w:val="18"/>
          <w:szCs w:val="18"/>
          <w:lang w:val="en-US"/>
        </w:rPr>
        <w:t xml:space="preserve"> IACHR, Labor and Trade Union Rights in Cuba, para. 184.</w:t>
      </w:r>
    </w:p>
  </w:footnote>
  <w:footnote w:id="55">
    <w:p w14:paraId="06DDA16B" w14:textId="77777777" w:rsidR="006D2D45" w:rsidRPr="00CF6975" w:rsidRDefault="006D2D45" w:rsidP="00DF5BBF">
      <w:pPr>
        <w:pStyle w:val="FootnoteText"/>
        <w:jc w:val="both"/>
        <w:rPr>
          <w:rFonts w:ascii="Calibri" w:hAnsi="Calibri" w:cs="Calibri"/>
          <w:sz w:val="18"/>
          <w:szCs w:val="18"/>
          <w:lang w:val="en-US"/>
        </w:rPr>
      </w:pPr>
      <w:r w:rsidRPr="00DF5BBF">
        <w:rPr>
          <w:rStyle w:val="FootnoteReference"/>
          <w:rFonts w:ascii="Calibri" w:hAnsi="Calibri" w:cs="Calibri"/>
          <w:sz w:val="18"/>
          <w:szCs w:val="18"/>
        </w:rPr>
        <w:footnoteRef/>
      </w:r>
      <w:r w:rsidRPr="00CF6975">
        <w:rPr>
          <w:rFonts w:ascii="Calibri" w:hAnsi="Calibri" w:cs="Calibri"/>
          <w:sz w:val="18"/>
          <w:szCs w:val="18"/>
          <w:lang w:val="en-US"/>
        </w:rPr>
        <w:t xml:space="preserve"> IACHR, Labor and Trade Union Rights in Cuba, para. 184.</w:t>
      </w:r>
    </w:p>
  </w:footnote>
  <w:footnote w:id="56">
    <w:p w14:paraId="393D29A1" w14:textId="77777777" w:rsidR="00B25F94" w:rsidRPr="00CF6975" w:rsidRDefault="00B25F94" w:rsidP="00DF5BBF">
      <w:pPr>
        <w:pStyle w:val="FootnoteText"/>
        <w:jc w:val="both"/>
        <w:rPr>
          <w:rFonts w:ascii="Calibri" w:hAnsi="Calibri" w:cs="Calibri"/>
          <w:sz w:val="18"/>
          <w:szCs w:val="18"/>
          <w:lang w:val="en-US"/>
        </w:rPr>
      </w:pPr>
      <w:r w:rsidRPr="00DF5BBF">
        <w:rPr>
          <w:rStyle w:val="FootnoteReference"/>
          <w:rFonts w:ascii="Calibri" w:hAnsi="Calibri" w:cs="Calibri"/>
          <w:sz w:val="18"/>
          <w:szCs w:val="18"/>
        </w:rPr>
        <w:footnoteRef/>
      </w:r>
      <w:r w:rsidRPr="00CF6975">
        <w:rPr>
          <w:rFonts w:ascii="Calibri" w:hAnsi="Calibri" w:cs="Calibri"/>
          <w:sz w:val="18"/>
          <w:szCs w:val="18"/>
          <w:lang w:val="en-US"/>
        </w:rPr>
        <w:t xml:space="preserve"> 2025 Preliminary Report on Femicides in Cuba. Gender Observatory of Alas Tensas. </w:t>
      </w:r>
    </w:p>
  </w:footnote>
  <w:footnote w:id="57">
    <w:p w14:paraId="1AD951CD" w14:textId="77777777" w:rsidR="00A1484A" w:rsidRPr="00CF6975" w:rsidRDefault="00A1484A" w:rsidP="00DF5BBF">
      <w:pPr>
        <w:pStyle w:val="FootnoteText"/>
        <w:jc w:val="both"/>
        <w:rPr>
          <w:rFonts w:ascii="Calibri" w:hAnsi="Calibri" w:cs="Calibri"/>
          <w:sz w:val="18"/>
          <w:szCs w:val="18"/>
          <w:lang w:val="en-US"/>
        </w:rPr>
      </w:pPr>
      <w:r w:rsidRPr="00DF5BBF">
        <w:rPr>
          <w:rStyle w:val="FootnoteReference"/>
          <w:rFonts w:ascii="Calibri" w:hAnsi="Calibri" w:cs="Calibri"/>
          <w:sz w:val="18"/>
          <w:szCs w:val="18"/>
        </w:rPr>
        <w:footnoteRef/>
      </w:r>
      <w:r w:rsidRPr="00CF6975">
        <w:rPr>
          <w:rFonts w:ascii="Calibri" w:hAnsi="Calibri" w:cs="Calibri"/>
          <w:sz w:val="18"/>
          <w:szCs w:val="18"/>
          <w:lang w:val="en-US"/>
        </w:rPr>
        <w:t xml:space="preserve"> See, IACHR, Annual Report 2023, Chapter IV B Cuba, para. 131; IACHR, Annual Report 2024, Chapter IV B Cuba, para. 135</w:t>
      </w:r>
    </w:p>
  </w:footnote>
  <w:footnote w:id="58">
    <w:p w14:paraId="1E23E829" w14:textId="77777777" w:rsidR="00A1484A" w:rsidRPr="00CF6975" w:rsidRDefault="00A1484A" w:rsidP="00DF5BBF">
      <w:pPr>
        <w:pStyle w:val="FootnoteText"/>
        <w:jc w:val="both"/>
        <w:rPr>
          <w:rFonts w:ascii="Calibri" w:hAnsi="Calibri" w:cs="Calibri"/>
          <w:sz w:val="18"/>
          <w:szCs w:val="18"/>
          <w:lang w:val="en-US"/>
        </w:rPr>
      </w:pPr>
      <w:r w:rsidRPr="00DF5BBF">
        <w:rPr>
          <w:rStyle w:val="FootnoteReference"/>
          <w:rFonts w:ascii="Calibri" w:hAnsi="Calibri" w:cs="Calibri"/>
          <w:sz w:val="18"/>
          <w:szCs w:val="18"/>
        </w:rPr>
        <w:footnoteRef/>
      </w:r>
      <w:r w:rsidRPr="00CF6975">
        <w:rPr>
          <w:rFonts w:ascii="Calibri" w:hAnsi="Calibri" w:cs="Calibri"/>
          <w:sz w:val="18"/>
          <w:szCs w:val="18"/>
          <w:lang w:val="en-US"/>
        </w:rPr>
        <w:t xml:space="preserve"> IACHR, Situation of Human Rights in Cuba, 2020, para. 304.</w:t>
      </w:r>
    </w:p>
  </w:footnote>
  <w:footnote w:id="59">
    <w:p w14:paraId="628E39B2" w14:textId="77777777" w:rsidR="00A1484A" w:rsidRPr="00CF6975" w:rsidRDefault="00A1484A" w:rsidP="00DF5BBF">
      <w:pPr>
        <w:pStyle w:val="FootnoteText"/>
        <w:jc w:val="both"/>
        <w:rPr>
          <w:rFonts w:ascii="Calibri" w:hAnsi="Calibri" w:cs="Calibri"/>
          <w:sz w:val="18"/>
          <w:szCs w:val="18"/>
          <w:lang w:val="en-US"/>
        </w:rPr>
      </w:pPr>
      <w:r w:rsidRPr="00DF5BBF">
        <w:rPr>
          <w:rStyle w:val="FootnoteReference"/>
          <w:rFonts w:ascii="Calibri" w:hAnsi="Calibri" w:cs="Calibri"/>
          <w:sz w:val="18"/>
          <w:szCs w:val="18"/>
        </w:rPr>
        <w:footnoteRef/>
      </w:r>
      <w:r w:rsidRPr="00CF6975">
        <w:rPr>
          <w:rFonts w:ascii="Calibri" w:hAnsi="Calibri" w:cs="Calibri"/>
          <w:sz w:val="18"/>
          <w:szCs w:val="18"/>
          <w:lang w:val="en-US"/>
        </w:rPr>
        <w:t xml:space="preserve"> IACHR, Annual Report 2024, Chapter IV B Cuba, para. 134.</w:t>
      </w:r>
    </w:p>
  </w:footnote>
  <w:footnote w:id="60">
    <w:p w14:paraId="0548427A" w14:textId="77777777" w:rsidR="00A1484A" w:rsidRPr="00CF6975" w:rsidRDefault="00A1484A" w:rsidP="00DF5BBF">
      <w:pPr>
        <w:pStyle w:val="FootnoteText"/>
        <w:jc w:val="both"/>
        <w:rPr>
          <w:rFonts w:ascii="Calibri" w:hAnsi="Calibri" w:cs="Calibri"/>
          <w:sz w:val="18"/>
          <w:szCs w:val="18"/>
          <w:lang w:val="en-US"/>
        </w:rPr>
      </w:pPr>
      <w:r w:rsidRPr="00DF5BBF">
        <w:rPr>
          <w:rStyle w:val="FootnoteReference"/>
          <w:rFonts w:ascii="Calibri" w:hAnsi="Calibri" w:cs="Calibri"/>
          <w:sz w:val="18"/>
          <w:szCs w:val="18"/>
        </w:rPr>
        <w:footnoteRef/>
      </w:r>
      <w:r w:rsidRPr="00CF6975">
        <w:rPr>
          <w:rFonts w:ascii="Calibri" w:hAnsi="Calibri" w:cs="Calibri"/>
          <w:sz w:val="18"/>
          <w:szCs w:val="18"/>
          <w:lang w:val="en-US"/>
        </w:rPr>
        <w:t xml:space="preserve"> IACHR, Annual Report 2024, Chapter IV B Cuba, para. 135.</w:t>
      </w:r>
    </w:p>
  </w:footnote>
  <w:footnote w:id="61">
    <w:p w14:paraId="402AE982" w14:textId="77777777" w:rsidR="00A1484A" w:rsidRPr="00CF6975" w:rsidRDefault="00A1484A" w:rsidP="00DF5BBF">
      <w:pPr>
        <w:pStyle w:val="FootnoteText"/>
        <w:jc w:val="both"/>
        <w:rPr>
          <w:rFonts w:ascii="Calibri" w:hAnsi="Calibri" w:cs="Calibri"/>
          <w:sz w:val="18"/>
          <w:szCs w:val="18"/>
          <w:lang w:val="en-US"/>
        </w:rPr>
      </w:pPr>
      <w:r w:rsidRPr="00DF5BBF">
        <w:rPr>
          <w:rStyle w:val="FootnoteReference"/>
          <w:rFonts w:ascii="Calibri" w:hAnsi="Calibri" w:cs="Calibri"/>
          <w:sz w:val="18"/>
          <w:szCs w:val="18"/>
        </w:rPr>
        <w:footnoteRef/>
      </w:r>
      <w:r w:rsidRPr="00CF6975">
        <w:rPr>
          <w:rFonts w:ascii="Calibri" w:hAnsi="Calibri" w:cs="Calibri"/>
          <w:sz w:val="18"/>
          <w:szCs w:val="18"/>
          <w:lang w:val="en-US"/>
        </w:rPr>
        <w:t xml:space="preserve"> IACHR, Situation of Human Rights in Cuba, 2020, para. 303.</w:t>
      </w:r>
    </w:p>
  </w:footnote>
  <w:footnote w:id="62">
    <w:p w14:paraId="7A72E279" w14:textId="1200583A" w:rsidR="00C61153" w:rsidRPr="00CF6975" w:rsidRDefault="00C61153" w:rsidP="00DF5BBF">
      <w:pPr>
        <w:pStyle w:val="FootnoteText"/>
        <w:jc w:val="both"/>
        <w:rPr>
          <w:rFonts w:ascii="Calibri" w:hAnsi="Calibri" w:cs="Calibri"/>
          <w:sz w:val="18"/>
          <w:szCs w:val="18"/>
          <w:lang w:val="en-US"/>
        </w:rPr>
      </w:pPr>
      <w:r w:rsidRPr="00DF5BBF">
        <w:rPr>
          <w:rStyle w:val="FootnoteReference"/>
          <w:rFonts w:ascii="Calibri" w:hAnsi="Calibri" w:cs="Calibri"/>
          <w:sz w:val="18"/>
          <w:szCs w:val="18"/>
        </w:rPr>
        <w:footnoteRef/>
      </w:r>
      <w:r w:rsidR="00350300" w:rsidRPr="00CF6975">
        <w:rPr>
          <w:rFonts w:ascii="Calibri" w:hAnsi="Calibri" w:cs="Calibri"/>
          <w:sz w:val="18"/>
          <w:szCs w:val="18"/>
          <w:lang w:val="en-US"/>
        </w:rPr>
        <w:t xml:space="preserve"> CERD, Concluding Observations on the Combined 19th to 21st Periodic Reports of the Cuban State. CERD/C/CUB/CO/19-21. September 20, 2018, para. 7.</w:t>
      </w:r>
    </w:p>
  </w:footnote>
  <w:footnote w:id="63">
    <w:p w14:paraId="246725C2" w14:textId="77777777" w:rsidR="00E23396" w:rsidRPr="00CF6975" w:rsidRDefault="00E23396" w:rsidP="00DF5BBF">
      <w:pPr>
        <w:pStyle w:val="FootnoteText"/>
        <w:jc w:val="both"/>
        <w:rPr>
          <w:rFonts w:ascii="Calibri" w:hAnsi="Calibri" w:cs="Calibri"/>
          <w:sz w:val="18"/>
          <w:szCs w:val="18"/>
          <w:lang w:val="en-US"/>
        </w:rPr>
      </w:pPr>
      <w:r w:rsidRPr="00DF5BBF">
        <w:rPr>
          <w:rStyle w:val="FootnoteReference"/>
          <w:rFonts w:ascii="Calibri" w:hAnsi="Calibri" w:cs="Calibri"/>
          <w:sz w:val="18"/>
          <w:szCs w:val="18"/>
        </w:rPr>
        <w:footnoteRef/>
      </w:r>
      <w:r w:rsidRPr="00CF6975">
        <w:rPr>
          <w:rFonts w:ascii="Calibri" w:hAnsi="Calibri" w:cs="Calibri"/>
          <w:sz w:val="18"/>
          <w:szCs w:val="18"/>
          <w:lang w:val="en-US"/>
        </w:rPr>
        <w:t xml:space="preserve"> Constitution of the Republic of Cuba. PDF.</w:t>
      </w:r>
    </w:p>
  </w:footnote>
  <w:footnote w:id="64">
    <w:p w14:paraId="05A660C3" w14:textId="796CE3C9" w:rsidR="000D065F" w:rsidRPr="00CF6975" w:rsidRDefault="000D065F" w:rsidP="00DF5BBF">
      <w:pPr>
        <w:pStyle w:val="FootnoteText"/>
        <w:jc w:val="both"/>
        <w:rPr>
          <w:rFonts w:ascii="Calibri" w:hAnsi="Calibri" w:cs="Calibri"/>
          <w:sz w:val="18"/>
          <w:szCs w:val="18"/>
          <w:lang w:val="en-US"/>
        </w:rPr>
      </w:pPr>
      <w:r w:rsidRPr="00DF5BBF">
        <w:rPr>
          <w:rStyle w:val="FootnoteReference"/>
          <w:rFonts w:ascii="Calibri" w:hAnsi="Calibri" w:cs="Calibri"/>
          <w:sz w:val="18"/>
          <w:szCs w:val="18"/>
        </w:rPr>
        <w:footnoteRef/>
      </w:r>
      <w:r w:rsidR="00B534C8" w:rsidRPr="00CF6975">
        <w:rPr>
          <w:rFonts w:ascii="Calibri" w:hAnsi="Calibri" w:cs="Calibri"/>
          <w:sz w:val="18"/>
          <w:szCs w:val="18"/>
          <w:lang w:val="en-US"/>
        </w:rPr>
        <w:t xml:space="preserve"> CERD, Concluding Observations on the Combined 19th to 21st Periodic Reports of the Cuban State. CERD/C/CUB/CO/19-21. 20 September 2018, paras. 11 and 12.</w:t>
      </w:r>
    </w:p>
  </w:footnote>
  <w:footnote w:id="65">
    <w:p w14:paraId="5ADAC3C6" w14:textId="2F92744A" w:rsidR="007A6FFE" w:rsidRPr="00CF6975" w:rsidRDefault="007A6FFE" w:rsidP="00DF5BBF">
      <w:pPr>
        <w:pStyle w:val="FootnoteText"/>
        <w:jc w:val="both"/>
        <w:rPr>
          <w:rFonts w:ascii="Calibri" w:hAnsi="Calibri" w:cs="Calibri"/>
          <w:sz w:val="18"/>
          <w:szCs w:val="18"/>
          <w:lang w:val="en-US"/>
        </w:rPr>
      </w:pPr>
      <w:r w:rsidRPr="00DF5BBF">
        <w:rPr>
          <w:rStyle w:val="FootnoteReference"/>
          <w:rFonts w:ascii="Calibri" w:hAnsi="Calibri" w:cs="Calibri"/>
          <w:sz w:val="18"/>
          <w:szCs w:val="18"/>
        </w:rPr>
        <w:footnoteRef/>
      </w:r>
      <w:r w:rsidR="00B534C8" w:rsidRPr="00CF6975">
        <w:rPr>
          <w:rFonts w:ascii="Calibri" w:hAnsi="Calibri" w:cs="Calibri"/>
          <w:sz w:val="18"/>
          <w:szCs w:val="18"/>
          <w:lang w:val="en-US"/>
        </w:rPr>
        <w:t xml:space="preserve"> CERD, Concluding Observations on the Combined 19th to 21st Periodic Reports of the Cuban State. CERD/C/CUB/CO/19-21. September 20, 2018, para. 13.</w:t>
      </w:r>
    </w:p>
  </w:footnote>
  <w:footnote w:id="66">
    <w:p w14:paraId="29A06EBA" w14:textId="77777777" w:rsidR="00A6482A" w:rsidRPr="00CF6975" w:rsidRDefault="00A6482A" w:rsidP="00DF5BBF">
      <w:pPr>
        <w:pStyle w:val="FootnoteText"/>
        <w:jc w:val="both"/>
        <w:rPr>
          <w:rFonts w:ascii="Calibri" w:hAnsi="Calibri" w:cs="Calibri"/>
          <w:sz w:val="18"/>
          <w:szCs w:val="18"/>
          <w:lang w:val="en-US"/>
        </w:rPr>
      </w:pPr>
      <w:r w:rsidRPr="00DF5BBF">
        <w:rPr>
          <w:rStyle w:val="FootnoteReference"/>
          <w:rFonts w:ascii="Calibri" w:hAnsi="Calibri" w:cs="Calibri"/>
          <w:sz w:val="18"/>
          <w:szCs w:val="18"/>
        </w:rPr>
        <w:footnoteRef/>
      </w:r>
      <w:r w:rsidRPr="00CF6975">
        <w:rPr>
          <w:rFonts w:ascii="Calibri" w:hAnsi="Calibri" w:cs="Calibri"/>
          <w:sz w:val="18"/>
          <w:szCs w:val="18"/>
          <w:lang w:val="en-US"/>
        </w:rPr>
        <w:t xml:space="preserve"> CERD, Information received from Cuba on the follow-up to the concluding observations on its combined 19th to 21st periodic report. CERD/C/CUB/FCO/19-21. August 10, 2020, paragraph 3. </w:t>
      </w:r>
    </w:p>
  </w:footnote>
  <w:footnote w:id="67">
    <w:p w14:paraId="0AC4933D" w14:textId="77777777" w:rsidR="00A6482A" w:rsidRPr="00CF6975" w:rsidRDefault="00A6482A" w:rsidP="00DF5BBF">
      <w:pPr>
        <w:pStyle w:val="FootnoteText"/>
        <w:jc w:val="both"/>
        <w:rPr>
          <w:rFonts w:ascii="Calibri" w:hAnsi="Calibri" w:cs="Calibri"/>
          <w:sz w:val="18"/>
          <w:szCs w:val="18"/>
          <w:lang w:val="en-US"/>
        </w:rPr>
      </w:pPr>
      <w:r w:rsidRPr="00DF5BBF">
        <w:rPr>
          <w:rStyle w:val="FootnoteReference"/>
          <w:rFonts w:ascii="Calibri" w:hAnsi="Calibri" w:cs="Calibri"/>
          <w:sz w:val="18"/>
          <w:szCs w:val="18"/>
        </w:rPr>
        <w:footnoteRef/>
      </w:r>
      <w:r w:rsidRPr="00CF6975">
        <w:rPr>
          <w:rFonts w:ascii="Calibri" w:hAnsi="Calibri" w:cs="Calibri"/>
          <w:sz w:val="18"/>
          <w:szCs w:val="18"/>
          <w:lang w:val="en-US"/>
        </w:rPr>
        <w:t xml:space="preserve"> CERD, Information received from Cuba on the follow-up to the concluding observations on its combined 19th to 21st periodic report. CERD/C/CUB/FCO/19-21. August 10, 2020, para. 7.</w:t>
      </w:r>
    </w:p>
  </w:footnote>
  <w:footnote w:id="68">
    <w:p w14:paraId="32515172" w14:textId="77777777" w:rsidR="00A6482A" w:rsidRPr="00CF6975" w:rsidRDefault="00A6482A" w:rsidP="00DF5BBF">
      <w:pPr>
        <w:pStyle w:val="FootnoteText"/>
        <w:jc w:val="both"/>
        <w:rPr>
          <w:rFonts w:ascii="Calibri" w:hAnsi="Calibri" w:cs="Calibri"/>
          <w:sz w:val="18"/>
          <w:szCs w:val="18"/>
          <w:lang w:val="en-US"/>
        </w:rPr>
      </w:pPr>
      <w:r w:rsidRPr="00DF5BBF">
        <w:rPr>
          <w:rStyle w:val="FootnoteReference"/>
          <w:rFonts w:ascii="Calibri" w:hAnsi="Calibri" w:cs="Calibri"/>
          <w:sz w:val="18"/>
          <w:szCs w:val="18"/>
        </w:rPr>
        <w:footnoteRef/>
      </w:r>
      <w:r w:rsidRPr="00CF6975">
        <w:rPr>
          <w:rFonts w:ascii="Calibri" w:hAnsi="Calibri" w:cs="Calibri"/>
          <w:sz w:val="18"/>
          <w:szCs w:val="18"/>
          <w:lang w:val="en-US"/>
        </w:rPr>
        <w:t xml:space="preserve"> CERD, Information received from Cuba on the follow-up to the concluding observations on its combined 19th to 21st periodic report. CERD/C/CUB/FCO/19-21. August 10, 2020, para. 8.</w:t>
      </w:r>
    </w:p>
  </w:footnote>
  <w:footnote w:id="69">
    <w:p w14:paraId="74AE446C" w14:textId="77777777" w:rsidR="00A6482A" w:rsidRPr="000007C1" w:rsidRDefault="00A6482A" w:rsidP="00DF5BBF">
      <w:pPr>
        <w:pStyle w:val="FootnoteText"/>
        <w:jc w:val="both"/>
        <w:rPr>
          <w:rFonts w:ascii="Calibri" w:hAnsi="Calibri" w:cs="Calibri"/>
          <w:sz w:val="18"/>
          <w:szCs w:val="18"/>
          <w:lang w:val="en-US"/>
        </w:rPr>
      </w:pPr>
      <w:r w:rsidRPr="00DF5BBF">
        <w:rPr>
          <w:rStyle w:val="FootnoteReference"/>
          <w:rFonts w:ascii="Calibri" w:hAnsi="Calibri" w:cs="Calibri"/>
          <w:sz w:val="18"/>
          <w:szCs w:val="18"/>
        </w:rPr>
        <w:footnoteRef/>
      </w:r>
      <w:r w:rsidRPr="00CF6975">
        <w:rPr>
          <w:rFonts w:ascii="Calibri" w:hAnsi="Calibri" w:cs="Calibri"/>
          <w:sz w:val="18"/>
          <w:szCs w:val="18"/>
          <w:lang w:val="en-US"/>
        </w:rPr>
        <w:t xml:space="preserve"> CERD, Information received from Cuba on the follow-up to the concluding observations on its combined 19th to 21st periodic report. </w:t>
      </w:r>
      <w:r w:rsidRPr="000007C1">
        <w:rPr>
          <w:rFonts w:ascii="Calibri" w:hAnsi="Calibri" w:cs="Calibri"/>
          <w:sz w:val="18"/>
          <w:szCs w:val="18"/>
          <w:lang w:val="en-US"/>
        </w:rPr>
        <w:t>CERD/C/CUB/FCO/19-21. August 10, 2020, para. 4.</w:t>
      </w:r>
    </w:p>
  </w:footnote>
  <w:footnote w:id="70">
    <w:p w14:paraId="233EE773" w14:textId="77777777" w:rsidR="00A6482A" w:rsidRPr="000007C1" w:rsidRDefault="00A6482A" w:rsidP="00DF5BBF">
      <w:pPr>
        <w:pStyle w:val="FootnoteText"/>
        <w:jc w:val="both"/>
        <w:rPr>
          <w:rFonts w:ascii="Calibri" w:hAnsi="Calibri" w:cs="Calibri"/>
          <w:sz w:val="18"/>
          <w:szCs w:val="18"/>
          <w:lang w:val="en-US"/>
        </w:rPr>
      </w:pPr>
      <w:r w:rsidRPr="00DF5BBF">
        <w:rPr>
          <w:rStyle w:val="FootnoteReference"/>
          <w:rFonts w:ascii="Calibri" w:hAnsi="Calibri" w:cs="Calibri"/>
          <w:sz w:val="18"/>
          <w:szCs w:val="18"/>
        </w:rPr>
        <w:footnoteRef/>
      </w:r>
      <w:r w:rsidRPr="000007C1">
        <w:rPr>
          <w:rFonts w:ascii="Calibri" w:hAnsi="Calibri" w:cs="Calibri"/>
          <w:sz w:val="18"/>
          <w:szCs w:val="18"/>
          <w:lang w:val="en-US"/>
        </w:rPr>
        <w:t xml:space="preserve"> CERD, Combined 22nd to 26th Periodic Reports that Cuba was due to submit in 2023 under Article 9 of the Convention. CERD/C/CUB/22-26. February 17, 2025, para. 214.</w:t>
      </w:r>
    </w:p>
  </w:footnote>
  <w:footnote w:id="71">
    <w:p w14:paraId="3F41FEF8" w14:textId="77777777" w:rsidR="00A6482A" w:rsidRPr="000007C1" w:rsidRDefault="00A6482A" w:rsidP="00DF5BBF">
      <w:pPr>
        <w:pStyle w:val="FootnoteText"/>
        <w:jc w:val="both"/>
        <w:rPr>
          <w:rFonts w:ascii="Calibri" w:hAnsi="Calibri" w:cs="Calibri"/>
          <w:sz w:val="18"/>
          <w:szCs w:val="18"/>
          <w:lang w:val="en-US"/>
        </w:rPr>
      </w:pPr>
      <w:r w:rsidRPr="00DF5BBF">
        <w:rPr>
          <w:rStyle w:val="FootnoteReference"/>
          <w:rFonts w:ascii="Calibri" w:hAnsi="Calibri" w:cs="Calibri"/>
          <w:sz w:val="18"/>
          <w:szCs w:val="18"/>
        </w:rPr>
        <w:footnoteRef/>
      </w:r>
      <w:r w:rsidRPr="000007C1">
        <w:rPr>
          <w:rFonts w:ascii="Calibri" w:hAnsi="Calibri" w:cs="Calibri"/>
          <w:sz w:val="18"/>
          <w:szCs w:val="18"/>
          <w:lang w:val="en-US"/>
        </w:rPr>
        <w:t xml:space="preserve"> CERD, Combined 22nd to 26th Periodic Reports that Cuba was due to submit in 2023 under Article 9 of the Convention. CERD/C/CUB/22-26. February 17, 2025, para. 215.</w:t>
      </w:r>
    </w:p>
  </w:footnote>
  <w:footnote w:id="72">
    <w:p w14:paraId="61DF41EA" w14:textId="77777777" w:rsidR="00A6482A" w:rsidRPr="000007C1" w:rsidRDefault="00A6482A" w:rsidP="00DF5BBF">
      <w:pPr>
        <w:pStyle w:val="FootnoteText"/>
        <w:jc w:val="both"/>
        <w:rPr>
          <w:rFonts w:ascii="Calibri" w:hAnsi="Calibri" w:cs="Calibri"/>
          <w:sz w:val="18"/>
          <w:szCs w:val="18"/>
          <w:lang w:val="en-US"/>
        </w:rPr>
      </w:pPr>
      <w:r w:rsidRPr="00DF5BBF">
        <w:rPr>
          <w:rStyle w:val="FootnoteReference"/>
          <w:rFonts w:ascii="Calibri" w:hAnsi="Calibri" w:cs="Calibri"/>
          <w:sz w:val="18"/>
          <w:szCs w:val="18"/>
        </w:rPr>
        <w:footnoteRef/>
      </w:r>
      <w:r w:rsidRPr="000007C1">
        <w:rPr>
          <w:rFonts w:ascii="Calibri" w:hAnsi="Calibri" w:cs="Calibri"/>
          <w:sz w:val="18"/>
          <w:szCs w:val="18"/>
          <w:lang w:val="en-US"/>
        </w:rPr>
        <w:t xml:space="preserve"> See, for example, IACHR, Annual Report 2020, Chapter IV B Cuba, paras. 110, 111 and 112; and IACHR, Annual Report 2021, Chapter IV B Cuba, para. 118.</w:t>
      </w:r>
    </w:p>
  </w:footnote>
  <w:footnote w:id="73">
    <w:p w14:paraId="4CF09555" w14:textId="77777777" w:rsidR="00A6482A" w:rsidRPr="000007C1" w:rsidRDefault="00A6482A" w:rsidP="00DF5BBF">
      <w:pPr>
        <w:pStyle w:val="FootnoteText"/>
        <w:jc w:val="both"/>
        <w:rPr>
          <w:rFonts w:ascii="Calibri" w:hAnsi="Calibri" w:cs="Calibri"/>
          <w:sz w:val="18"/>
          <w:szCs w:val="18"/>
          <w:lang w:val="en-US"/>
        </w:rPr>
      </w:pPr>
      <w:r w:rsidRPr="00DF5BBF">
        <w:rPr>
          <w:rStyle w:val="FootnoteReference"/>
          <w:rFonts w:ascii="Calibri" w:hAnsi="Calibri" w:cs="Calibri"/>
          <w:sz w:val="18"/>
          <w:szCs w:val="18"/>
        </w:rPr>
        <w:footnoteRef/>
      </w:r>
      <w:r w:rsidRPr="000007C1">
        <w:rPr>
          <w:rFonts w:ascii="Calibri" w:hAnsi="Calibri" w:cs="Calibri"/>
          <w:sz w:val="18"/>
          <w:szCs w:val="18"/>
          <w:lang w:val="en-US"/>
        </w:rPr>
        <w:t xml:space="preserve"> IACHR, Annual Report 2024, Chapter IV B Cuba, para. 134.</w:t>
      </w:r>
    </w:p>
  </w:footnote>
  <w:footnote w:id="74">
    <w:p w14:paraId="449DCA3A" w14:textId="77777777" w:rsidR="00A6482A" w:rsidRPr="000007C1" w:rsidRDefault="00A6482A" w:rsidP="00DF5BBF">
      <w:pPr>
        <w:pStyle w:val="FootnoteText"/>
        <w:jc w:val="both"/>
        <w:rPr>
          <w:rFonts w:ascii="Calibri" w:hAnsi="Calibri" w:cs="Calibri"/>
          <w:sz w:val="18"/>
          <w:szCs w:val="18"/>
          <w:lang w:val="en-US"/>
        </w:rPr>
      </w:pPr>
      <w:r w:rsidRPr="00DF5BBF">
        <w:rPr>
          <w:rStyle w:val="FootnoteReference"/>
          <w:rFonts w:ascii="Calibri" w:hAnsi="Calibri" w:cs="Calibri"/>
          <w:sz w:val="18"/>
          <w:szCs w:val="18"/>
        </w:rPr>
        <w:footnoteRef/>
      </w:r>
      <w:r w:rsidRPr="000007C1">
        <w:rPr>
          <w:rFonts w:ascii="Calibri" w:hAnsi="Calibri" w:cs="Calibri"/>
          <w:sz w:val="18"/>
          <w:szCs w:val="18"/>
          <w:lang w:val="en-US"/>
        </w:rPr>
        <w:t xml:space="preserve"> IACHR, Annual Report 2022, Chapter IV B Cuba, para. 163.</w:t>
      </w:r>
    </w:p>
  </w:footnote>
  <w:footnote w:id="75">
    <w:p w14:paraId="7463DF92" w14:textId="77777777" w:rsidR="00A6482A" w:rsidRPr="000007C1" w:rsidRDefault="00A6482A" w:rsidP="00DF5BBF">
      <w:pPr>
        <w:pStyle w:val="FootnoteText"/>
        <w:jc w:val="both"/>
        <w:rPr>
          <w:rFonts w:ascii="Calibri" w:hAnsi="Calibri" w:cs="Calibri"/>
          <w:sz w:val="18"/>
          <w:szCs w:val="18"/>
          <w:lang w:val="en-US"/>
        </w:rPr>
      </w:pPr>
      <w:r w:rsidRPr="00DF5BBF">
        <w:rPr>
          <w:rStyle w:val="FootnoteReference"/>
          <w:rFonts w:ascii="Calibri" w:hAnsi="Calibri" w:cs="Calibri"/>
          <w:sz w:val="18"/>
          <w:szCs w:val="18"/>
        </w:rPr>
        <w:footnoteRef/>
      </w:r>
      <w:r w:rsidRPr="000007C1">
        <w:rPr>
          <w:rFonts w:ascii="Calibri" w:hAnsi="Calibri" w:cs="Calibri"/>
          <w:sz w:val="18"/>
          <w:szCs w:val="18"/>
          <w:lang w:val="en-US"/>
        </w:rPr>
        <w:t xml:space="preserve"> IACHR, Annual Report 2024, Chapter IV B Cuba, para. 135.</w:t>
      </w:r>
    </w:p>
  </w:footnote>
  <w:footnote w:id="76">
    <w:p w14:paraId="15955FD8" w14:textId="135C221F" w:rsidR="00291FA3" w:rsidRPr="000007C1" w:rsidRDefault="00291FA3" w:rsidP="00DF5BBF">
      <w:pPr>
        <w:pStyle w:val="FootnoteText"/>
        <w:jc w:val="both"/>
        <w:rPr>
          <w:rFonts w:ascii="Calibri" w:hAnsi="Calibri" w:cs="Calibri"/>
          <w:sz w:val="18"/>
          <w:szCs w:val="18"/>
          <w:lang w:val="en-US"/>
        </w:rPr>
      </w:pPr>
      <w:r w:rsidRPr="00DF5BBF">
        <w:rPr>
          <w:rStyle w:val="FootnoteReference"/>
          <w:rFonts w:ascii="Calibri" w:hAnsi="Calibri" w:cs="Calibri"/>
          <w:sz w:val="18"/>
          <w:szCs w:val="18"/>
        </w:rPr>
        <w:footnoteRef/>
      </w:r>
      <w:r w:rsidR="00B534C8" w:rsidRPr="000007C1">
        <w:rPr>
          <w:rFonts w:ascii="Calibri" w:hAnsi="Calibri" w:cs="Calibri"/>
          <w:sz w:val="18"/>
          <w:szCs w:val="18"/>
          <w:lang w:val="en-US"/>
        </w:rPr>
        <w:t xml:space="preserve"> CERD, Concluding Observations on the Combined 19th to 21st Periodic Reports of the Cuban State. CERD/C/CUB/CO/19-21. September 20, 2018, para. 16.</w:t>
      </w:r>
    </w:p>
  </w:footnote>
  <w:footnote w:id="77">
    <w:p w14:paraId="46D9CA11" w14:textId="530B259A" w:rsidR="004E234B" w:rsidRPr="000007C1" w:rsidRDefault="004E234B" w:rsidP="00DF5BBF">
      <w:pPr>
        <w:pStyle w:val="FootnoteText"/>
        <w:jc w:val="both"/>
        <w:rPr>
          <w:rFonts w:ascii="Calibri" w:hAnsi="Calibri" w:cs="Calibri"/>
          <w:sz w:val="18"/>
          <w:szCs w:val="18"/>
          <w:lang w:val="en-US"/>
        </w:rPr>
      </w:pPr>
      <w:r w:rsidRPr="00DF5BBF">
        <w:rPr>
          <w:rStyle w:val="FootnoteReference"/>
          <w:rFonts w:ascii="Calibri" w:hAnsi="Calibri" w:cs="Calibri"/>
          <w:sz w:val="18"/>
          <w:szCs w:val="18"/>
        </w:rPr>
        <w:footnoteRef/>
      </w:r>
      <w:r w:rsidR="009E1F10" w:rsidRPr="000007C1">
        <w:rPr>
          <w:rFonts w:ascii="Calibri" w:hAnsi="Calibri" w:cs="Calibri"/>
          <w:sz w:val="18"/>
          <w:szCs w:val="18"/>
          <w:lang w:val="en-US"/>
        </w:rPr>
        <w:t xml:space="preserve"> CERD, Concluding Observations on the Combined 19th to 21st Periodic Reports of the Cuban State. CERD/C/CUB/CO/19-21. September 20, 2018, para. 20.</w:t>
      </w:r>
    </w:p>
  </w:footnote>
  <w:footnote w:id="78">
    <w:p w14:paraId="75E75BF7" w14:textId="77777777" w:rsidR="00A6482A" w:rsidRPr="000007C1" w:rsidRDefault="00A6482A" w:rsidP="00DF5BBF">
      <w:pPr>
        <w:pStyle w:val="FootnoteText"/>
        <w:jc w:val="both"/>
        <w:rPr>
          <w:rFonts w:ascii="Calibri" w:hAnsi="Calibri" w:cs="Calibri"/>
          <w:sz w:val="18"/>
          <w:szCs w:val="18"/>
          <w:lang w:val="en-US"/>
        </w:rPr>
      </w:pPr>
      <w:r w:rsidRPr="00DF5BBF">
        <w:rPr>
          <w:rStyle w:val="FootnoteReference"/>
          <w:rFonts w:ascii="Calibri" w:hAnsi="Calibri" w:cs="Calibri"/>
          <w:sz w:val="18"/>
          <w:szCs w:val="18"/>
        </w:rPr>
        <w:footnoteRef/>
      </w:r>
      <w:r w:rsidRPr="000007C1">
        <w:rPr>
          <w:rFonts w:ascii="Calibri" w:hAnsi="Calibri" w:cs="Calibri"/>
          <w:sz w:val="18"/>
          <w:szCs w:val="18"/>
          <w:lang w:val="en-US"/>
        </w:rPr>
        <w:t xml:space="preserve"> IACHR, Labor and Trade Union Rights in Cuba, para. 182.</w:t>
      </w:r>
    </w:p>
  </w:footnote>
  <w:footnote w:id="79">
    <w:p w14:paraId="2C29CBC3" w14:textId="69E9005E" w:rsidR="002606B5" w:rsidRPr="000007C1" w:rsidRDefault="002606B5" w:rsidP="00DF5BBF">
      <w:pPr>
        <w:pStyle w:val="FootnoteText"/>
        <w:jc w:val="both"/>
        <w:rPr>
          <w:rFonts w:ascii="Calibri" w:hAnsi="Calibri" w:cs="Calibri"/>
          <w:sz w:val="18"/>
          <w:szCs w:val="18"/>
          <w:lang w:val="en-US"/>
        </w:rPr>
      </w:pPr>
      <w:r w:rsidRPr="00DF5BBF">
        <w:rPr>
          <w:rStyle w:val="FootnoteReference"/>
          <w:rFonts w:ascii="Calibri" w:hAnsi="Calibri" w:cs="Calibri"/>
          <w:sz w:val="18"/>
          <w:szCs w:val="18"/>
        </w:rPr>
        <w:footnoteRef/>
      </w:r>
      <w:r w:rsidR="009E1F10" w:rsidRPr="000007C1">
        <w:rPr>
          <w:rFonts w:ascii="Calibri" w:hAnsi="Calibri" w:cs="Calibri"/>
          <w:sz w:val="18"/>
          <w:szCs w:val="18"/>
          <w:lang w:val="en-US"/>
        </w:rPr>
        <w:t xml:space="preserve"> CERD, Concluding Observations on the Combined 19th to 21st Periodic Reports of the Cuban State. CERD/C/CUB/CO/19-21. September 20, 2018, par. 22.</w:t>
      </w:r>
    </w:p>
  </w:footnote>
  <w:footnote w:id="80">
    <w:p w14:paraId="5A7ACCA8" w14:textId="200D1232" w:rsidR="00121B76" w:rsidRPr="000007C1" w:rsidRDefault="00121B76" w:rsidP="00DF5BBF">
      <w:pPr>
        <w:pStyle w:val="FootnoteText"/>
        <w:jc w:val="both"/>
        <w:rPr>
          <w:rFonts w:ascii="Calibri" w:hAnsi="Calibri" w:cs="Calibri"/>
          <w:sz w:val="18"/>
          <w:szCs w:val="18"/>
          <w:lang w:val="en-US"/>
        </w:rPr>
      </w:pPr>
      <w:r w:rsidRPr="00DF5BBF">
        <w:rPr>
          <w:rStyle w:val="FootnoteReference"/>
          <w:rFonts w:ascii="Calibri" w:hAnsi="Calibri" w:cs="Calibri"/>
          <w:sz w:val="18"/>
          <w:szCs w:val="18"/>
        </w:rPr>
        <w:footnoteRef/>
      </w:r>
      <w:r w:rsidR="00C953F4" w:rsidRPr="000007C1">
        <w:rPr>
          <w:rFonts w:ascii="Calibri" w:hAnsi="Calibri" w:cs="Calibri"/>
          <w:sz w:val="18"/>
          <w:szCs w:val="18"/>
          <w:lang w:val="en-US"/>
        </w:rPr>
        <w:t xml:space="preserve"> 2025 Preliminary Report on Femicides in Cuba. Gender Observatory of Alas Tensas.</w:t>
      </w:r>
    </w:p>
  </w:footnote>
  <w:footnote w:id="81">
    <w:p w14:paraId="681C3864" w14:textId="694944BB" w:rsidR="007A356F" w:rsidRPr="000007C1" w:rsidRDefault="007A356F" w:rsidP="00DF5BBF">
      <w:pPr>
        <w:pStyle w:val="FootnoteText"/>
        <w:jc w:val="both"/>
        <w:rPr>
          <w:rFonts w:ascii="Calibri" w:hAnsi="Calibri" w:cs="Calibri"/>
          <w:sz w:val="18"/>
          <w:szCs w:val="18"/>
          <w:lang w:val="en-US"/>
        </w:rPr>
      </w:pPr>
      <w:r w:rsidRPr="00DF5BBF">
        <w:rPr>
          <w:rStyle w:val="FootnoteReference"/>
          <w:rFonts w:ascii="Calibri" w:hAnsi="Calibri" w:cs="Calibri"/>
          <w:sz w:val="18"/>
          <w:szCs w:val="18"/>
        </w:rPr>
        <w:footnoteRef/>
      </w:r>
      <w:r w:rsidRPr="000007C1">
        <w:rPr>
          <w:rFonts w:ascii="Calibri" w:hAnsi="Calibri" w:cs="Calibri"/>
          <w:sz w:val="18"/>
          <w:szCs w:val="18"/>
          <w:lang w:val="en-US"/>
        </w:rPr>
        <w:t xml:space="preserve"> IACHR, Annual Report 2024, Chapter IV B Cuba, para. 139</w:t>
      </w:r>
    </w:p>
  </w:footnote>
  <w:footnote w:id="82">
    <w:p w14:paraId="340A3A8C" w14:textId="6AB50B04" w:rsidR="00D3603C" w:rsidRPr="000007C1" w:rsidRDefault="00D3603C" w:rsidP="00DF5BBF">
      <w:pPr>
        <w:pStyle w:val="FootnoteText"/>
        <w:jc w:val="both"/>
        <w:rPr>
          <w:rFonts w:ascii="Calibri" w:hAnsi="Calibri" w:cs="Calibri"/>
          <w:sz w:val="18"/>
          <w:szCs w:val="18"/>
          <w:lang w:val="en-US"/>
        </w:rPr>
      </w:pPr>
      <w:r w:rsidRPr="00DF5BBF">
        <w:rPr>
          <w:rStyle w:val="FootnoteReference"/>
          <w:rFonts w:ascii="Calibri" w:hAnsi="Calibri" w:cs="Calibri"/>
          <w:sz w:val="18"/>
          <w:szCs w:val="18"/>
        </w:rPr>
        <w:footnoteRef/>
      </w:r>
      <w:r w:rsidR="00C86114" w:rsidRPr="000007C1">
        <w:rPr>
          <w:rFonts w:ascii="Calibri" w:hAnsi="Calibri" w:cs="Calibri"/>
          <w:sz w:val="18"/>
          <w:szCs w:val="18"/>
          <w:lang w:val="en-US"/>
        </w:rPr>
        <w:t xml:space="preserve"> 2025 Preliminary Report on Femicides in Cuba. Gender Observatory of Alas Tensas.</w:t>
      </w:r>
    </w:p>
  </w:footnote>
  <w:footnote w:id="83">
    <w:p w14:paraId="5B7A6968" w14:textId="301421B5" w:rsidR="007A356F" w:rsidRPr="000007C1" w:rsidRDefault="007A356F" w:rsidP="00DF5BBF">
      <w:pPr>
        <w:pStyle w:val="FootnoteText"/>
        <w:jc w:val="both"/>
        <w:rPr>
          <w:rFonts w:ascii="Calibri" w:hAnsi="Calibri" w:cs="Calibri"/>
          <w:sz w:val="18"/>
          <w:szCs w:val="18"/>
          <w:lang w:val="en-US"/>
        </w:rPr>
      </w:pPr>
      <w:r w:rsidRPr="00DF5BBF">
        <w:rPr>
          <w:rStyle w:val="FootnoteReference"/>
          <w:rFonts w:ascii="Calibri" w:hAnsi="Calibri" w:cs="Calibri"/>
          <w:sz w:val="18"/>
          <w:szCs w:val="18"/>
        </w:rPr>
        <w:footnoteRef/>
      </w:r>
      <w:r w:rsidRPr="000007C1">
        <w:rPr>
          <w:rFonts w:ascii="Calibri" w:hAnsi="Calibri" w:cs="Calibri"/>
          <w:sz w:val="18"/>
          <w:szCs w:val="18"/>
          <w:lang w:val="en-US"/>
        </w:rPr>
        <w:t xml:space="preserve"> IACHR, Annual Report 2021, Chapter IV B Cuba, para. 117.</w:t>
      </w:r>
    </w:p>
  </w:footnote>
  <w:footnote w:id="84">
    <w:p w14:paraId="19B337E5" w14:textId="29512150" w:rsidR="007A356F" w:rsidRPr="000007C1" w:rsidRDefault="007A356F" w:rsidP="00DF5BBF">
      <w:pPr>
        <w:pStyle w:val="FootnoteText"/>
        <w:jc w:val="both"/>
        <w:rPr>
          <w:rFonts w:ascii="Calibri" w:hAnsi="Calibri" w:cs="Calibri"/>
          <w:sz w:val="18"/>
          <w:szCs w:val="18"/>
          <w:lang w:val="en-US"/>
        </w:rPr>
      </w:pPr>
      <w:r w:rsidRPr="00DF5BBF">
        <w:rPr>
          <w:rStyle w:val="FootnoteReference"/>
          <w:rFonts w:ascii="Calibri" w:hAnsi="Calibri" w:cs="Calibri"/>
          <w:sz w:val="18"/>
          <w:szCs w:val="18"/>
        </w:rPr>
        <w:footnoteRef/>
      </w:r>
      <w:r w:rsidRPr="000007C1">
        <w:rPr>
          <w:rFonts w:ascii="Calibri" w:hAnsi="Calibri" w:cs="Calibri"/>
          <w:sz w:val="18"/>
          <w:szCs w:val="18"/>
          <w:lang w:val="en-US"/>
        </w:rPr>
        <w:t xml:space="preserve"> IACHR, Annual Report 2023, Chapter IV B Cuba, para. 133.</w:t>
      </w:r>
    </w:p>
  </w:footnote>
  <w:footnote w:id="85">
    <w:p w14:paraId="0774EDD2" w14:textId="77777777" w:rsidR="00B82B86" w:rsidRPr="000007C1" w:rsidRDefault="00B82B86" w:rsidP="00DF5BBF">
      <w:pPr>
        <w:pStyle w:val="FootnoteText"/>
        <w:jc w:val="both"/>
        <w:rPr>
          <w:rFonts w:ascii="Calibri" w:hAnsi="Calibri" w:cs="Calibri"/>
          <w:sz w:val="18"/>
          <w:szCs w:val="18"/>
          <w:lang w:val="en-US"/>
        </w:rPr>
      </w:pPr>
      <w:r w:rsidRPr="00DF5BBF">
        <w:rPr>
          <w:rStyle w:val="FootnoteReference"/>
          <w:rFonts w:ascii="Calibri" w:hAnsi="Calibri" w:cs="Calibri"/>
          <w:sz w:val="18"/>
          <w:szCs w:val="18"/>
        </w:rPr>
        <w:footnoteRef/>
      </w:r>
      <w:r w:rsidRPr="000007C1">
        <w:rPr>
          <w:rFonts w:ascii="Calibri" w:hAnsi="Calibri" w:cs="Calibri"/>
          <w:sz w:val="18"/>
          <w:szCs w:val="18"/>
          <w:lang w:val="en-US"/>
        </w:rPr>
        <w:t xml:space="preserve"> Penal Code. Law 151/2022. Ordinary Gazette 93. Official Gazette of the Republic of Cuba. PDF.</w:t>
      </w:r>
    </w:p>
  </w:footnote>
  <w:footnote w:id="86">
    <w:p w14:paraId="2BD4466A" w14:textId="75AAB151" w:rsidR="00131CB1" w:rsidRPr="000007C1" w:rsidRDefault="00131CB1" w:rsidP="00DF5BBF">
      <w:pPr>
        <w:pStyle w:val="FootnoteText"/>
        <w:jc w:val="both"/>
        <w:rPr>
          <w:rFonts w:ascii="Calibri" w:hAnsi="Calibri" w:cs="Calibri"/>
          <w:sz w:val="18"/>
          <w:szCs w:val="18"/>
          <w:lang w:val="en-US"/>
        </w:rPr>
      </w:pPr>
      <w:r w:rsidRPr="00DF5BBF">
        <w:rPr>
          <w:rStyle w:val="FootnoteReference"/>
          <w:rFonts w:ascii="Calibri" w:hAnsi="Calibri" w:cs="Calibri"/>
          <w:sz w:val="18"/>
          <w:szCs w:val="18"/>
        </w:rPr>
        <w:footnoteRef/>
      </w:r>
      <w:r w:rsidR="00C86114" w:rsidRPr="000007C1">
        <w:rPr>
          <w:rFonts w:ascii="Calibri" w:hAnsi="Calibri" w:cs="Calibri"/>
          <w:sz w:val="18"/>
          <w:szCs w:val="18"/>
          <w:lang w:val="en-US"/>
        </w:rPr>
        <w:t xml:space="preserve"> CERD, Concluding Observations on the Combined 19th to 21st Periodic Reports of the Cuban State. CERD/C/CUB/CO/19-21. September 20, 2018, para. 30.</w:t>
      </w:r>
    </w:p>
  </w:footnote>
  <w:footnote w:id="87">
    <w:p w14:paraId="128C585D" w14:textId="55D3A014" w:rsidR="00A92BA9" w:rsidRPr="000007C1" w:rsidRDefault="00A92BA9" w:rsidP="00DF5BBF">
      <w:pPr>
        <w:pStyle w:val="FootnoteText"/>
        <w:jc w:val="both"/>
        <w:rPr>
          <w:rFonts w:ascii="Calibri" w:hAnsi="Calibri" w:cs="Calibri"/>
          <w:sz w:val="18"/>
          <w:szCs w:val="18"/>
          <w:lang w:val="en-US"/>
        </w:rPr>
      </w:pPr>
      <w:r w:rsidRPr="00DF5BBF">
        <w:rPr>
          <w:rStyle w:val="FootnoteReference"/>
          <w:rFonts w:ascii="Calibri" w:hAnsi="Calibri" w:cs="Calibri"/>
          <w:sz w:val="18"/>
          <w:szCs w:val="18"/>
        </w:rPr>
        <w:footnoteRef/>
      </w:r>
      <w:r w:rsidR="00C86114" w:rsidRPr="000007C1">
        <w:rPr>
          <w:rFonts w:ascii="Calibri" w:hAnsi="Calibri" w:cs="Calibri"/>
          <w:sz w:val="18"/>
          <w:szCs w:val="18"/>
          <w:lang w:val="en-US"/>
        </w:rPr>
        <w:t xml:space="preserve"> CERD, Concluding Observations on the Combined 19th to 21st Periodic Reports of the Cuban State. CERD/C/CUB/CO/19-21. September 20, 2018, para. 32.</w:t>
      </w:r>
    </w:p>
  </w:footnote>
  <w:footnote w:id="88">
    <w:p w14:paraId="690982C8" w14:textId="389F8D1D" w:rsidR="00DF0C28" w:rsidRPr="00DF5BBF" w:rsidRDefault="00DF0C28" w:rsidP="00DF5BBF">
      <w:pPr>
        <w:pStyle w:val="FootnoteText"/>
        <w:jc w:val="both"/>
        <w:rPr>
          <w:rFonts w:ascii="Calibri" w:hAnsi="Calibri" w:cs="Calibri"/>
          <w:sz w:val="18"/>
          <w:szCs w:val="18"/>
        </w:rPr>
      </w:pPr>
      <w:r w:rsidRPr="00DF5BBF">
        <w:rPr>
          <w:rStyle w:val="FootnoteReference"/>
          <w:rFonts w:ascii="Calibri" w:hAnsi="Calibri" w:cs="Calibri"/>
          <w:sz w:val="18"/>
          <w:szCs w:val="18"/>
        </w:rPr>
        <w:footnoteRef/>
      </w:r>
      <w:r w:rsidR="00FB7D97" w:rsidRPr="000007C1">
        <w:rPr>
          <w:rFonts w:ascii="Calibri" w:hAnsi="Calibri" w:cs="Calibri"/>
          <w:sz w:val="18"/>
          <w:szCs w:val="18"/>
          <w:lang w:val="en-US"/>
        </w:rPr>
        <w:t xml:space="preserve"> CERD, Concluding Observations on the Combined 19th to 21st Periodic Reports of the Cuban State. </w:t>
      </w:r>
      <w:r w:rsidR="00FB7D97" w:rsidRPr="00DF5BBF">
        <w:rPr>
          <w:rFonts w:ascii="Calibri" w:hAnsi="Calibri" w:cs="Calibri"/>
          <w:sz w:val="18"/>
          <w:szCs w:val="18"/>
        </w:rPr>
        <w:t>CERD/C/CUB/CO/19-21. September 20, 2018, para. 39.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CB9A2D" w14:textId="2365C0DB" w:rsidR="00CA78B4" w:rsidRDefault="00CA78B4" w:rsidP="00CA78B4">
    <w:pPr>
      <w:pStyle w:val="Header"/>
      <w:jc w:val="center"/>
    </w:pPr>
    <w:r w:rsidRPr="00CA78B4">
      <w:rPr>
        <w:noProof/>
      </w:rPr>
      <w:drawing>
        <wp:inline distT="0" distB="0" distL="0" distR="0" wp14:anchorId="11A44D0E" wp14:editId="50554A6C">
          <wp:extent cx="2159540" cy="1234023"/>
          <wp:effectExtent l="0" t="0" r="0" b="0"/>
          <wp:docPr id="606309749" name="Picture 1" descr="A group of circles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6309749" name="Picture 1" descr="A group of circles with text&#10;&#10;AI-generated content may be incorrect."/>
                  <pic:cNvPicPr/>
                </pic:nvPicPr>
                <pic:blipFill>
                  <a:blip r:embed="rId1"/>
                  <a:stretch>
                    <a:fillRect/>
                  </a:stretch>
                </pic:blipFill>
                <pic:spPr>
                  <a:xfrm>
                    <a:off x="0" y="0"/>
                    <a:ext cx="2212282" cy="126416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003C9"/>
    <w:multiLevelType w:val="hybridMultilevel"/>
    <w:tmpl w:val="FB22E266"/>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5991540"/>
    <w:multiLevelType w:val="hybridMultilevel"/>
    <w:tmpl w:val="74A0B0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90F6924"/>
    <w:multiLevelType w:val="hybridMultilevel"/>
    <w:tmpl w:val="B5D67884"/>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13E2B92"/>
    <w:multiLevelType w:val="hybridMultilevel"/>
    <w:tmpl w:val="D9AAE2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2EE2DAC"/>
    <w:multiLevelType w:val="hybridMultilevel"/>
    <w:tmpl w:val="E9505470"/>
    <w:lvl w:ilvl="0" w:tplc="65480A5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7274D9B"/>
    <w:multiLevelType w:val="hybridMultilevel"/>
    <w:tmpl w:val="9E9EA8F4"/>
    <w:lvl w:ilvl="0" w:tplc="6F547E44">
      <w:start w:val="1"/>
      <w:numFmt w:val="decimal"/>
      <w:lvlText w:val="%1."/>
      <w:lvlJc w:val="left"/>
      <w:pPr>
        <w:ind w:left="400" w:hanging="360"/>
      </w:pPr>
      <w:rPr>
        <w:rFonts w:hint="default"/>
      </w:rPr>
    </w:lvl>
    <w:lvl w:ilvl="1" w:tplc="04090019" w:tentative="1">
      <w:start w:val="1"/>
      <w:numFmt w:val="lowerLetter"/>
      <w:lvlText w:val="%2."/>
      <w:lvlJc w:val="left"/>
      <w:pPr>
        <w:ind w:left="1120" w:hanging="360"/>
      </w:pPr>
    </w:lvl>
    <w:lvl w:ilvl="2" w:tplc="0409001B" w:tentative="1">
      <w:start w:val="1"/>
      <w:numFmt w:val="lowerRoman"/>
      <w:lvlText w:val="%3."/>
      <w:lvlJc w:val="right"/>
      <w:pPr>
        <w:ind w:left="1840" w:hanging="180"/>
      </w:pPr>
    </w:lvl>
    <w:lvl w:ilvl="3" w:tplc="0409000F" w:tentative="1">
      <w:start w:val="1"/>
      <w:numFmt w:val="decimal"/>
      <w:lvlText w:val="%4."/>
      <w:lvlJc w:val="left"/>
      <w:pPr>
        <w:ind w:left="2560" w:hanging="360"/>
      </w:pPr>
    </w:lvl>
    <w:lvl w:ilvl="4" w:tplc="04090019" w:tentative="1">
      <w:start w:val="1"/>
      <w:numFmt w:val="lowerLetter"/>
      <w:lvlText w:val="%5."/>
      <w:lvlJc w:val="left"/>
      <w:pPr>
        <w:ind w:left="3280" w:hanging="360"/>
      </w:pPr>
    </w:lvl>
    <w:lvl w:ilvl="5" w:tplc="0409001B" w:tentative="1">
      <w:start w:val="1"/>
      <w:numFmt w:val="lowerRoman"/>
      <w:lvlText w:val="%6."/>
      <w:lvlJc w:val="right"/>
      <w:pPr>
        <w:ind w:left="4000" w:hanging="180"/>
      </w:pPr>
    </w:lvl>
    <w:lvl w:ilvl="6" w:tplc="0409000F" w:tentative="1">
      <w:start w:val="1"/>
      <w:numFmt w:val="decimal"/>
      <w:lvlText w:val="%7."/>
      <w:lvlJc w:val="left"/>
      <w:pPr>
        <w:ind w:left="4720" w:hanging="360"/>
      </w:pPr>
    </w:lvl>
    <w:lvl w:ilvl="7" w:tplc="04090019" w:tentative="1">
      <w:start w:val="1"/>
      <w:numFmt w:val="lowerLetter"/>
      <w:lvlText w:val="%8."/>
      <w:lvlJc w:val="left"/>
      <w:pPr>
        <w:ind w:left="5440" w:hanging="360"/>
      </w:pPr>
    </w:lvl>
    <w:lvl w:ilvl="8" w:tplc="0409001B" w:tentative="1">
      <w:start w:val="1"/>
      <w:numFmt w:val="lowerRoman"/>
      <w:lvlText w:val="%9."/>
      <w:lvlJc w:val="right"/>
      <w:pPr>
        <w:ind w:left="6160" w:hanging="180"/>
      </w:pPr>
    </w:lvl>
  </w:abstractNum>
  <w:abstractNum w:abstractNumId="6" w15:restartNumberingAfterBreak="0">
    <w:nsid w:val="6F387790"/>
    <w:multiLevelType w:val="hybridMultilevel"/>
    <w:tmpl w:val="1CB0E206"/>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7B6B0C37"/>
    <w:multiLevelType w:val="hybridMultilevel"/>
    <w:tmpl w:val="4CBC22B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7F1062C4"/>
    <w:multiLevelType w:val="hybridMultilevel"/>
    <w:tmpl w:val="1CB0E206"/>
    <w:lvl w:ilvl="0" w:tplc="B13017A2">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917594153">
    <w:abstractNumId w:val="7"/>
  </w:num>
  <w:num w:numId="2" w16cid:durableId="1744570213">
    <w:abstractNumId w:val="8"/>
  </w:num>
  <w:num w:numId="3" w16cid:durableId="723797156">
    <w:abstractNumId w:val="6"/>
  </w:num>
  <w:num w:numId="4" w16cid:durableId="439029993">
    <w:abstractNumId w:val="2"/>
  </w:num>
  <w:num w:numId="5" w16cid:durableId="55711861">
    <w:abstractNumId w:val="0"/>
  </w:num>
  <w:num w:numId="6" w16cid:durableId="295109102">
    <w:abstractNumId w:val="4"/>
  </w:num>
  <w:num w:numId="7" w16cid:durableId="525024954">
    <w:abstractNumId w:val="5"/>
  </w:num>
  <w:num w:numId="8" w16cid:durableId="1070234730">
    <w:abstractNumId w:val="1"/>
  </w:num>
  <w:num w:numId="9" w16cid:durableId="11166763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0754"/>
    <w:rsid w:val="00000535"/>
    <w:rsid w:val="000007C1"/>
    <w:rsid w:val="00001191"/>
    <w:rsid w:val="0000156E"/>
    <w:rsid w:val="00003875"/>
    <w:rsid w:val="00003CC1"/>
    <w:rsid w:val="00006811"/>
    <w:rsid w:val="0001125B"/>
    <w:rsid w:val="00021BEB"/>
    <w:rsid w:val="00023DA5"/>
    <w:rsid w:val="000268FC"/>
    <w:rsid w:val="00027994"/>
    <w:rsid w:val="000308EF"/>
    <w:rsid w:val="00031BB2"/>
    <w:rsid w:val="00036E91"/>
    <w:rsid w:val="000414B7"/>
    <w:rsid w:val="00041733"/>
    <w:rsid w:val="00041EBA"/>
    <w:rsid w:val="00043886"/>
    <w:rsid w:val="00046F8A"/>
    <w:rsid w:val="000475A5"/>
    <w:rsid w:val="000543A2"/>
    <w:rsid w:val="00056071"/>
    <w:rsid w:val="00056F34"/>
    <w:rsid w:val="0005732B"/>
    <w:rsid w:val="00057445"/>
    <w:rsid w:val="00061CEF"/>
    <w:rsid w:val="00061EAB"/>
    <w:rsid w:val="00062019"/>
    <w:rsid w:val="0006232A"/>
    <w:rsid w:val="00063F8B"/>
    <w:rsid w:val="00064934"/>
    <w:rsid w:val="0006495C"/>
    <w:rsid w:val="00064E9C"/>
    <w:rsid w:val="00064EF2"/>
    <w:rsid w:val="00066D94"/>
    <w:rsid w:val="0007623F"/>
    <w:rsid w:val="000766F8"/>
    <w:rsid w:val="00076B6A"/>
    <w:rsid w:val="00081F1A"/>
    <w:rsid w:val="00082821"/>
    <w:rsid w:val="000864A0"/>
    <w:rsid w:val="0009063B"/>
    <w:rsid w:val="00090746"/>
    <w:rsid w:val="0009090D"/>
    <w:rsid w:val="0009588B"/>
    <w:rsid w:val="000967BE"/>
    <w:rsid w:val="000977E5"/>
    <w:rsid w:val="000A0C53"/>
    <w:rsid w:val="000A0EB3"/>
    <w:rsid w:val="000A1FC7"/>
    <w:rsid w:val="000A53C3"/>
    <w:rsid w:val="000A71F3"/>
    <w:rsid w:val="000B08DB"/>
    <w:rsid w:val="000B59B1"/>
    <w:rsid w:val="000C15F8"/>
    <w:rsid w:val="000C1741"/>
    <w:rsid w:val="000C5FEE"/>
    <w:rsid w:val="000D065F"/>
    <w:rsid w:val="000D2FDD"/>
    <w:rsid w:val="000D6C73"/>
    <w:rsid w:val="000E3192"/>
    <w:rsid w:val="000E5738"/>
    <w:rsid w:val="000E7BC0"/>
    <w:rsid w:val="000F0236"/>
    <w:rsid w:val="000F1C02"/>
    <w:rsid w:val="000F2100"/>
    <w:rsid w:val="000F301C"/>
    <w:rsid w:val="000F40E7"/>
    <w:rsid w:val="000F5736"/>
    <w:rsid w:val="00101E12"/>
    <w:rsid w:val="00103E60"/>
    <w:rsid w:val="00107125"/>
    <w:rsid w:val="00107468"/>
    <w:rsid w:val="001075F4"/>
    <w:rsid w:val="00113E85"/>
    <w:rsid w:val="00114037"/>
    <w:rsid w:val="00116D93"/>
    <w:rsid w:val="001217A8"/>
    <w:rsid w:val="00121B76"/>
    <w:rsid w:val="001223EE"/>
    <w:rsid w:val="00122998"/>
    <w:rsid w:val="00122F21"/>
    <w:rsid w:val="00122F46"/>
    <w:rsid w:val="00126073"/>
    <w:rsid w:val="00127270"/>
    <w:rsid w:val="00131CB1"/>
    <w:rsid w:val="001328D0"/>
    <w:rsid w:val="00132E53"/>
    <w:rsid w:val="00135780"/>
    <w:rsid w:val="001365BE"/>
    <w:rsid w:val="0013749F"/>
    <w:rsid w:val="0013754A"/>
    <w:rsid w:val="001402E2"/>
    <w:rsid w:val="00141879"/>
    <w:rsid w:val="00142947"/>
    <w:rsid w:val="001431B4"/>
    <w:rsid w:val="001449BD"/>
    <w:rsid w:val="0015270C"/>
    <w:rsid w:val="0015321E"/>
    <w:rsid w:val="001542BC"/>
    <w:rsid w:val="00155717"/>
    <w:rsid w:val="00156229"/>
    <w:rsid w:val="00165BE7"/>
    <w:rsid w:val="00171DC6"/>
    <w:rsid w:val="001732A7"/>
    <w:rsid w:val="001734DD"/>
    <w:rsid w:val="001737B6"/>
    <w:rsid w:val="00181479"/>
    <w:rsid w:val="001837C8"/>
    <w:rsid w:val="001852FD"/>
    <w:rsid w:val="001866BA"/>
    <w:rsid w:val="0019046F"/>
    <w:rsid w:val="001906CD"/>
    <w:rsid w:val="0019515D"/>
    <w:rsid w:val="00197411"/>
    <w:rsid w:val="001A314F"/>
    <w:rsid w:val="001A52AC"/>
    <w:rsid w:val="001D0BAE"/>
    <w:rsid w:val="001D0E70"/>
    <w:rsid w:val="001D34BC"/>
    <w:rsid w:val="001D46E1"/>
    <w:rsid w:val="001D4DA5"/>
    <w:rsid w:val="001D65B1"/>
    <w:rsid w:val="001D6726"/>
    <w:rsid w:val="001D7B75"/>
    <w:rsid w:val="001E1B20"/>
    <w:rsid w:val="001E1C16"/>
    <w:rsid w:val="001E41FE"/>
    <w:rsid w:val="001E5B9B"/>
    <w:rsid w:val="001E64DD"/>
    <w:rsid w:val="001F2145"/>
    <w:rsid w:val="001F3258"/>
    <w:rsid w:val="001F34E6"/>
    <w:rsid w:val="001F6528"/>
    <w:rsid w:val="001F6959"/>
    <w:rsid w:val="00204744"/>
    <w:rsid w:val="00214354"/>
    <w:rsid w:val="00214969"/>
    <w:rsid w:val="00215FE4"/>
    <w:rsid w:val="00220C87"/>
    <w:rsid w:val="0022138F"/>
    <w:rsid w:val="00221EB5"/>
    <w:rsid w:val="00224D10"/>
    <w:rsid w:val="002257CD"/>
    <w:rsid w:val="002270BD"/>
    <w:rsid w:val="0023036C"/>
    <w:rsid w:val="00231222"/>
    <w:rsid w:val="00232105"/>
    <w:rsid w:val="00232D85"/>
    <w:rsid w:val="00234D87"/>
    <w:rsid w:val="00234E94"/>
    <w:rsid w:val="00236CB0"/>
    <w:rsid w:val="002404C3"/>
    <w:rsid w:val="00242C7F"/>
    <w:rsid w:val="00243B77"/>
    <w:rsid w:val="00245500"/>
    <w:rsid w:val="002474FD"/>
    <w:rsid w:val="0025069D"/>
    <w:rsid w:val="002518E5"/>
    <w:rsid w:val="00252A03"/>
    <w:rsid w:val="00253309"/>
    <w:rsid w:val="002606B5"/>
    <w:rsid w:val="00261136"/>
    <w:rsid w:val="002633BA"/>
    <w:rsid w:val="00264847"/>
    <w:rsid w:val="00265160"/>
    <w:rsid w:val="00265A55"/>
    <w:rsid w:val="00265F08"/>
    <w:rsid w:val="00265FE5"/>
    <w:rsid w:val="002667C0"/>
    <w:rsid w:val="00267979"/>
    <w:rsid w:val="00271A71"/>
    <w:rsid w:val="00272BA4"/>
    <w:rsid w:val="0027693D"/>
    <w:rsid w:val="00277225"/>
    <w:rsid w:val="0027790D"/>
    <w:rsid w:val="00277E49"/>
    <w:rsid w:val="00282F7A"/>
    <w:rsid w:val="00285FB5"/>
    <w:rsid w:val="00287D8F"/>
    <w:rsid w:val="0029162C"/>
    <w:rsid w:val="00291FA3"/>
    <w:rsid w:val="0029304A"/>
    <w:rsid w:val="00296108"/>
    <w:rsid w:val="002970CE"/>
    <w:rsid w:val="002A167C"/>
    <w:rsid w:val="002B54E8"/>
    <w:rsid w:val="002B6737"/>
    <w:rsid w:val="002B6B07"/>
    <w:rsid w:val="002B7429"/>
    <w:rsid w:val="002B7A4E"/>
    <w:rsid w:val="002C05F5"/>
    <w:rsid w:val="002C2A16"/>
    <w:rsid w:val="002C2A2D"/>
    <w:rsid w:val="002C6749"/>
    <w:rsid w:val="002D0331"/>
    <w:rsid w:val="002D1C7C"/>
    <w:rsid w:val="002D2943"/>
    <w:rsid w:val="002D2F2B"/>
    <w:rsid w:val="002D4B7B"/>
    <w:rsid w:val="002D5F1E"/>
    <w:rsid w:val="002D7A22"/>
    <w:rsid w:val="002E0D97"/>
    <w:rsid w:val="002E5564"/>
    <w:rsid w:val="002E5F7D"/>
    <w:rsid w:val="002F1B02"/>
    <w:rsid w:val="002F6A59"/>
    <w:rsid w:val="00301995"/>
    <w:rsid w:val="003021CA"/>
    <w:rsid w:val="00303101"/>
    <w:rsid w:val="00303267"/>
    <w:rsid w:val="003040B2"/>
    <w:rsid w:val="003042FF"/>
    <w:rsid w:val="003101AC"/>
    <w:rsid w:val="00311F34"/>
    <w:rsid w:val="003139B6"/>
    <w:rsid w:val="00314899"/>
    <w:rsid w:val="00315286"/>
    <w:rsid w:val="00320957"/>
    <w:rsid w:val="00321EE5"/>
    <w:rsid w:val="003233A6"/>
    <w:rsid w:val="003254E9"/>
    <w:rsid w:val="003256A3"/>
    <w:rsid w:val="003309C4"/>
    <w:rsid w:val="003349B2"/>
    <w:rsid w:val="00341015"/>
    <w:rsid w:val="003413B8"/>
    <w:rsid w:val="0034236C"/>
    <w:rsid w:val="0034310C"/>
    <w:rsid w:val="00345161"/>
    <w:rsid w:val="00350300"/>
    <w:rsid w:val="00363093"/>
    <w:rsid w:val="00364923"/>
    <w:rsid w:val="0036717A"/>
    <w:rsid w:val="0036722C"/>
    <w:rsid w:val="00367655"/>
    <w:rsid w:val="003729BD"/>
    <w:rsid w:val="003755FF"/>
    <w:rsid w:val="0037758D"/>
    <w:rsid w:val="00377765"/>
    <w:rsid w:val="00383BF7"/>
    <w:rsid w:val="00385837"/>
    <w:rsid w:val="003910C4"/>
    <w:rsid w:val="00392358"/>
    <w:rsid w:val="00392381"/>
    <w:rsid w:val="00393162"/>
    <w:rsid w:val="00393CEB"/>
    <w:rsid w:val="003942B1"/>
    <w:rsid w:val="00394C28"/>
    <w:rsid w:val="00397B27"/>
    <w:rsid w:val="003A244E"/>
    <w:rsid w:val="003A2C15"/>
    <w:rsid w:val="003A53DA"/>
    <w:rsid w:val="003A6756"/>
    <w:rsid w:val="003A791C"/>
    <w:rsid w:val="003A7A00"/>
    <w:rsid w:val="003B00B5"/>
    <w:rsid w:val="003B3165"/>
    <w:rsid w:val="003B6E56"/>
    <w:rsid w:val="003B7D75"/>
    <w:rsid w:val="003C1E91"/>
    <w:rsid w:val="003C59F1"/>
    <w:rsid w:val="003D2CDB"/>
    <w:rsid w:val="003D67E3"/>
    <w:rsid w:val="003D75E8"/>
    <w:rsid w:val="003E179B"/>
    <w:rsid w:val="003E51BC"/>
    <w:rsid w:val="003E5F7F"/>
    <w:rsid w:val="003F070D"/>
    <w:rsid w:val="003F28E5"/>
    <w:rsid w:val="003F44A2"/>
    <w:rsid w:val="003F69E2"/>
    <w:rsid w:val="003F6DFB"/>
    <w:rsid w:val="003F76D3"/>
    <w:rsid w:val="003F7D01"/>
    <w:rsid w:val="003F7F70"/>
    <w:rsid w:val="00406052"/>
    <w:rsid w:val="00413A45"/>
    <w:rsid w:val="00415B6A"/>
    <w:rsid w:val="00417111"/>
    <w:rsid w:val="00420420"/>
    <w:rsid w:val="00420962"/>
    <w:rsid w:val="004210F5"/>
    <w:rsid w:val="00421912"/>
    <w:rsid w:val="00422243"/>
    <w:rsid w:val="0042292A"/>
    <w:rsid w:val="00424D96"/>
    <w:rsid w:val="004255A9"/>
    <w:rsid w:val="00430FA9"/>
    <w:rsid w:val="00434309"/>
    <w:rsid w:val="00437780"/>
    <w:rsid w:val="00444F1B"/>
    <w:rsid w:val="00445FC7"/>
    <w:rsid w:val="00447E13"/>
    <w:rsid w:val="004533EC"/>
    <w:rsid w:val="004542A6"/>
    <w:rsid w:val="0045621C"/>
    <w:rsid w:val="00456BD3"/>
    <w:rsid w:val="004616C9"/>
    <w:rsid w:val="004616F0"/>
    <w:rsid w:val="004622B1"/>
    <w:rsid w:val="00464344"/>
    <w:rsid w:val="00464968"/>
    <w:rsid w:val="00465EA3"/>
    <w:rsid w:val="0046736A"/>
    <w:rsid w:val="004700A6"/>
    <w:rsid w:val="00471817"/>
    <w:rsid w:val="00474EEB"/>
    <w:rsid w:val="00475B74"/>
    <w:rsid w:val="00475E73"/>
    <w:rsid w:val="00476655"/>
    <w:rsid w:val="00476C5E"/>
    <w:rsid w:val="00477DD9"/>
    <w:rsid w:val="00481F79"/>
    <w:rsid w:val="004872FB"/>
    <w:rsid w:val="0048734B"/>
    <w:rsid w:val="004903B7"/>
    <w:rsid w:val="00490FEC"/>
    <w:rsid w:val="004915F2"/>
    <w:rsid w:val="004919AA"/>
    <w:rsid w:val="00491C5B"/>
    <w:rsid w:val="004936A9"/>
    <w:rsid w:val="004A5AFD"/>
    <w:rsid w:val="004A65AA"/>
    <w:rsid w:val="004B0187"/>
    <w:rsid w:val="004B1091"/>
    <w:rsid w:val="004B164F"/>
    <w:rsid w:val="004B42B0"/>
    <w:rsid w:val="004B6F1E"/>
    <w:rsid w:val="004C2886"/>
    <w:rsid w:val="004C2AAD"/>
    <w:rsid w:val="004C44B0"/>
    <w:rsid w:val="004C58AC"/>
    <w:rsid w:val="004C61CE"/>
    <w:rsid w:val="004D0117"/>
    <w:rsid w:val="004D3A99"/>
    <w:rsid w:val="004E0A06"/>
    <w:rsid w:val="004E100E"/>
    <w:rsid w:val="004E234B"/>
    <w:rsid w:val="004E2B04"/>
    <w:rsid w:val="004E483D"/>
    <w:rsid w:val="004E5F26"/>
    <w:rsid w:val="004F2D6B"/>
    <w:rsid w:val="004F3225"/>
    <w:rsid w:val="004F38CE"/>
    <w:rsid w:val="004F3C88"/>
    <w:rsid w:val="004F5634"/>
    <w:rsid w:val="004F76A7"/>
    <w:rsid w:val="0050559A"/>
    <w:rsid w:val="00507453"/>
    <w:rsid w:val="00510E27"/>
    <w:rsid w:val="005119BD"/>
    <w:rsid w:val="005125EE"/>
    <w:rsid w:val="005133A5"/>
    <w:rsid w:val="00514A7D"/>
    <w:rsid w:val="00515B95"/>
    <w:rsid w:val="0051696F"/>
    <w:rsid w:val="00521AA3"/>
    <w:rsid w:val="00522F3B"/>
    <w:rsid w:val="005270DB"/>
    <w:rsid w:val="0053593F"/>
    <w:rsid w:val="00535E0E"/>
    <w:rsid w:val="00536186"/>
    <w:rsid w:val="00545752"/>
    <w:rsid w:val="00547ACA"/>
    <w:rsid w:val="00550AB6"/>
    <w:rsid w:val="005517C3"/>
    <w:rsid w:val="005621CA"/>
    <w:rsid w:val="00562F86"/>
    <w:rsid w:val="00564387"/>
    <w:rsid w:val="0056661B"/>
    <w:rsid w:val="005702CF"/>
    <w:rsid w:val="00576A24"/>
    <w:rsid w:val="005775E4"/>
    <w:rsid w:val="005810B0"/>
    <w:rsid w:val="00581ED5"/>
    <w:rsid w:val="005849DA"/>
    <w:rsid w:val="00585804"/>
    <w:rsid w:val="00585D7E"/>
    <w:rsid w:val="005910A3"/>
    <w:rsid w:val="00591C91"/>
    <w:rsid w:val="005922C1"/>
    <w:rsid w:val="00592997"/>
    <w:rsid w:val="0059609E"/>
    <w:rsid w:val="00596B73"/>
    <w:rsid w:val="005A2476"/>
    <w:rsid w:val="005A53E0"/>
    <w:rsid w:val="005A6E02"/>
    <w:rsid w:val="005A7470"/>
    <w:rsid w:val="005B0479"/>
    <w:rsid w:val="005B0844"/>
    <w:rsid w:val="005B0D50"/>
    <w:rsid w:val="005B2CAC"/>
    <w:rsid w:val="005B493C"/>
    <w:rsid w:val="005B4F8B"/>
    <w:rsid w:val="005B590B"/>
    <w:rsid w:val="005B7B8B"/>
    <w:rsid w:val="005C101D"/>
    <w:rsid w:val="005C1E0C"/>
    <w:rsid w:val="005C2841"/>
    <w:rsid w:val="005C39FC"/>
    <w:rsid w:val="005C638B"/>
    <w:rsid w:val="005C689D"/>
    <w:rsid w:val="005D0C15"/>
    <w:rsid w:val="005D1301"/>
    <w:rsid w:val="005D1FC0"/>
    <w:rsid w:val="005D20C5"/>
    <w:rsid w:val="005D3968"/>
    <w:rsid w:val="005D46B8"/>
    <w:rsid w:val="005D5119"/>
    <w:rsid w:val="005D5542"/>
    <w:rsid w:val="005D6BFD"/>
    <w:rsid w:val="005D70AF"/>
    <w:rsid w:val="005D7432"/>
    <w:rsid w:val="005D7924"/>
    <w:rsid w:val="005D7A68"/>
    <w:rsid w:val="005E072D"/>
    <w:rsid w:val="005E0C8D"/>
    <w:rsid w:val="005E1783"/>
    <w:rsid w:val="005E1C5A"/>
    <w:rsid w:val="005E4FDD"/>
    <w:rsid w:val="005E560D"/>
    <w:rsid w:val="005F30F3"/>
    <w:rsid w:val="005F62E4"/>
    <w:rsid w:val="005F71EB"/>
    <w:rsid w:val="005F77D1"/>
    <w:rsid w:val="006003B0"/>
    <w:rsid w:val="00601ADC"/>
    <w:rsid w:val="0060426F"/>
    <w:rsid w:val="00605756"/>
    <w:rsid w:val="00606F2F"/>
    <w:rsid w:val="00612E0C"/>
    <w:rsid w:val="006133C3"/>
    <w:rsid w:val="00613423"/>
    <w:rsid w:val="0061543A"/>
    <w:rsid w:val="00615A37"/>
    <w:rsid w:val="00615EF4"/>
    <w:rsid w:val="006161B4"/>
    <w:rsid w:val="006167F8"/>
    <w:rsid w:val="00616EA0"/>
    <w:rsid w:val="00621362"/>
    <w:rsid w:val="0062355D"/>
    <w:rsid w:val="00624E89"/>
    <w:rsid w:val="00627121"/>
    <w:rsid w:val="006326E7"/>
    <w:rsid w:val="00635E44"/>
    <w:rsid w:val="006367B2"/>
    <w:rsid w:val="006375DC"/>
    <w:rsid w:val="00637651"/>
    <w:rsid w:val="00641150"/>
    <w:rsid w:val="00642DE9"/>
    <w:rsid w:val="00645330"/>
    <w:rsid w:val="006526F4"/>
    <w:rsid w:val="00653CEC"/>
    <w:rsid w:val="00654028"/>
    <w:rsid w:val="0065571E"/>
    <w:rsid w:val="006600B6"/>
    <w:rsid w:val="0066061E"/>
    <w:rsid w:val="00660622"/>
    <w:rsid w:val="006659D6"/>
    <w:rsid w:val="00667163"/>
    <w:rsid w:val="00670C0A"/>
    <w:rsid w:val="00671628"/>
    <w:rsid w:val="0067224E"/>
    <w:rsid w:val="00673B18"/>
    <w:rsid w:val="00675128"/>
    <w:rsid w:val="00677080"/>
    <w:rsid w:val="0068001A"/>
    <w:rsid w:val="006807F2"/>
    <w:rsid w:val="00680C6B"/>
    <w:rsid w:val="00680EB2"/>
    <w:rsid w:val="00682B67"/>
    <w:rsid w:val="0068332C"/>
    <w:rsid w:val="00683B25"/>
    <w:rsid w:val="006850D5"/>
    <w:rsid w:val="006857E6"/>
    <w:rsid w:val="00690A67"/>
    <w:rsid w:val="00691249"/>
    <w:rsid w:val="00694613"/>
    <w:rsid w:val="0069776D"/>
    <w:rsid w:val="006A70E2"/>
    <w:rsid w:val="006B1887"/>
    <w:rsid w:val="006B214D"/>
    <w:rsid w:val="006B40DA"/>
    <w:rsid w:val="006B7804"/>
    <w:rsid w:val="006B7FE5"/>
    <w:rsid w:val="006C0105"/>
    <w:rsid w:val="006C373B"/>
    <w:rsid w:val="006C6534"/>
    <w:rsid w:val="006D0E68"/>
    <w:rsid w:val="006D19D4"/>
    <w:rsid w:val="006D24E0"/>
    <w:rsid w:val="006D2D45"/>
    <w:rsid w:val="006D30F3"/>
    <w:rsid w:val="006D4AD9"/>
    <w:rsid w:val="006D663D"/>
    <w:rsid w:val="006E03D4"/>
    <w:rsid w:val="006E0754"/>
    <w:rsid w:val="006E36AE"/>
    <w:rsid w:val="006E4F1C"/>
    <w:rsid w:val="006E5DA9"/>
    <w:rsid w:val="006E75C3"/>
    <w:rsid w:val="006F1594"/>
    <w:rsid w:val="006F3257"/>
    <w:rsid w:val="006F3C38"/>
    <w:rsid w:val="006F5B07"/>
    <w:rsid w:val="0070266F"/>
    <w:rsid w:val="0070296D"/>
    <w:rsid w:val="007060F0"/>
    <w:rsid w:val="00710CB0"/>
    <w:rsid w:val="00711D3A"/>
    <w:rsid w:val="007223A9"/>
    <w:rsid w:val="007243EE"/>
    <w:rsid w:val="00725D6B"/>
    <w:rsid w:val="00742EB4"/>
    <w:rsid w:val="00743E58"/>
    <w:rsid w:val="00753330"/>
    <w:rsid w:val="00753BA7"/>
    <w:rsid w:val="0075591E"/>
    <w:rsid w:val="00755997"/>
    <w:rsid w:val="0075786E"/>
    <w:rsid w:val="00764D6B"/>
    <w:rsid w:val="007655EE"/>
    <w:rsid w:val="0076665C"/>
    <w:rsid w:val="00770BE2"/>
    <w:rsid w:val="00772DBE"/>
    <w:rsid w:val="00773A0E"/>
    <w:rsid w:val="007808CA"/>
    <w:rsid w:val="00781682"/>
    <w:rsid w:val="00782C3D"/>
    <w:rsid w:val="00784D41"/>
    <w:rsid w:val="00785408"/>
    <w:rsid w:val="00786B0A"/>
    <w:rsid w:val="00786FAB"/>
    <w:rsid w:val="00793B31"/>
    <w:rsid w:val="0079548E"/>
    <w:rsid w:val="00795867"/>
    <w:rsid w:val="00795F80"/>
    <w:rsid w:val="007964FD"/>
    <w:rsid w:val="00797481"/>
    <w:rsid w:val="007A14D5"/>
    <w:rsid w:val="007A356F"/>
    <w:rsid w:val="007A4550"/>
    <w:rsid w:val="007A6FFE"/>
    <w:rsid w:val="007B1C5D"/>
    <w:rsid w:val="007B280F"/>
    <w:rsid w:val="007B2D4D"/>
    <w:rsid w:val="007B353C"/>
    <w:rsid w:val="007B5AEC"/>
    <w:rsid w:val="007B6FB7"/>
    <w:rsid w:val="007C1150"/>
    <w:rsid w:val="007C156F"/>
    <w:rsid w:val="007C502D"/>
    <w:rsid w:val="007C650A"/>
    <w:rsid w:val="007C7CF0"/>
    <w:rsid w:val="007D0073"/>
    <w:rsid w:val="007D37C0"/>
    <w:rsid w:val="007D4723"/>
    <w:rsid w:val="007E0D4C"/>
    <w:rsid w:val="007E4052"/>
    <w:rsid w:val="007E55C9"/>
    <w:rsid w:val="007E6595"/>
    <w:rsid w:val="007F0BFE"/>
    <w:rsid w:val="007F1A17"/>
    <w:rsid w:val="0080169B"/>
    <w:rsid w:val="00801FFC"/>
    <w:rsid w:val="0080246B"/>
    <w:rsid w:val="00804C77"/>
    <w:rsid w:val="008061DB"/>
    <w:rsid w:val="00807466"/>
    <w:rsid w:val="0082247F"/>
    <w:rsid w:val="008246F8"/>
    <w:rsid w:val="00827298"/>
    <w:rsid w:val="00831875"/>
    <w:rsid w:val="00833477"/>
    <w:rsid w:val="00833879"/>
    <w:rsid w:val="008341AE"/>
    <w:rsid w:val="00841D92"/>
    <w:rsid w:val="0084372F"/>
    <w:rsid w:val="00843900"/>
    <w:rsid w:val="00846663"/>
    <w:rsid w:val="008517CB"/>
    <w:rsid w:val="00854A06"/>
    <w:rsid w:val="00857BBD"/>
    <w:rsid w:val="00861742"/>
    <w:rsid w:val="0086269D"/>
    <w:rsid w:val="00863688"/>
    <w:rsid w:val="00873D53"/>
    <w:rsid w:val="00876800"/>
    <w:rsid w:val="00877405"/>
    <w:rsid w:val="0088400D"/>
    <w:rsid w:val="00884F9D"/>
    <w:rsid w:val="00885382"/>
    <w:rsid w:val="0088584F"/>
    <w:rsid w:val="00886B62"/>
    <w:rsid w:val="00890F54"/>
    <w:rsid w:val="00891176"/>
    <w:rsid w:val="00893AD7"/>
    <w:rsid w:val="00893E9D"/>
    <w:rsid w:val="008A214F"/>
    <w:rsid w:val="008A4E30"/>
    <w:rsid w:val="008B1B80"/>
    <w:rsid w:val="008B2DF0"/>
    <w:rsid w:val="008C0898"/>
    <w:rsid w:val="008C23FA"/>
    <w:rsid w:val="008C3407"/>
    <w:rsid w:val="008C59D9"/>
    <w:rsid w:val="008C6249"/>
    <w:rsid w:val="008D1D6B"/>
    <w:rsid w:val="008D2450"/>
    <w:rsid w:val="008D25FC"/>
    <w:rsid w:val="008D2763"/>
    <w:rsid w:val="008D5277"/>
    <w:rsid w:val="008E0F8B"/>
    <w:rsid w:val="008E23FB"/>
    <w:rsid w:val="008E347B"/>
    <w:rsid w:val="008E3636"/>
    <w:rsid w:val="008E3886"/>
    <w:rsid w:val="008E3F3D"/>
    <w:rsid w:val="008F4178"/>
    <w:rsid w:val="008F460F"/>
    <w:rsid w:val="008F4910"/>
    <w:rsid w:val="008F6B62"/>
    <w:rsid w:val="00900171"/>
    <w:rsid w:val="00900965"/>
    <w:rsid w:val="009017DD"/>
    <w:rsid w:val="009036BB"/>
    <w:rsid w:val="00903B67"/>
    <w:rsid w:val="0090407B"/>
    <w:rsid w:val="0090506E"/>
    <w:rsid w:val="00916577"/>
    <w:rsid w:val="009172D4"/>
    <w:rsid w:val="00917986"/>
    <w:rsid w:val="00920492"/>
    <w:rsid w:val="00922FD8"/>
    <w:rsid w:val="00926395"/>
    <w:rsid w:val="00930012"/>
    <w:rsid w:val="0093037D"/>
    <w:rsid w:val="00931E8B"/>
    <w:rsid w:val="0093339D"/>
    <w:rsid w:val="00936343"/>
    <w:rsid w:val="00937450"/>
    <w:rsid w:val="009416D3"/>
    <w:rsid w:val="00942F93"/>
    <w:rsid w:val="009433A1"/>
    <w:rsid w:val="00944A0A"/>
    <w:rsid w:val="009451B7"/>
    <w:rsid w:val="00947CD2"/>
    <w:rsid w:val="00950673"/>
    <w:rsid w:val="00950A7A"/>
    <w:rsid w:val="00951E64"/>
    <w:rsid w:val="0095270E"/>
    <w:rsid w:val="00953543"/>
    <w:rsid w:val="00955462"/>
    <w:rsid w:val="00955BF5"/>
    <w:rsid w:val="0095690F"/>
    <w:rsid w:val="00960C18"/>
    <w:rsid w:val="00961B8E"/>
    <w:rsid w:val="00964E9C"/>
    <w:rsid w:val="00966E01"/>
    <w:rsid w:val="009730B1"/>
    <w:rsid w:val="00974202"/>
    <w:rsid w:val="00974B16"/>
    <w:rsid w:val="00975EA7"/>
    <w:rsid w:val="00980381"/>
    <w:rsid w:val="00985389"/>
    <w:rsid w:val="00991268"/>
    <w:rsid w:val="009915C0"/>
    <w:rsid w:val="0099221F"/>
    <w:rsid w:val="0099472B"/>
    <w:rsid w:val="009A1F58"/>
    <w:rsid w:val="009A235D"/>
    <w:rsid w:val="009A2E45"/>
    <w:rsid w:val="009A5907"/>
    <w:rsid w:val="009B11A1"/>
    <w:rsid w:val="009B2835"/>
    <w:rsid w:val="009B54ED"/>
    <w:rsid w:val="009B5728"/>
    <w:rsid w:val="009B649D"/>
    <w:rsid w:val="009B7C86"/>
    <w:rsid w:val="009C061B"/>
    <w:rsid w:val="009C0895"/>
    <w:rsid w:val="009C2018"/>
    <w:rsid w:val="009C3F32"/>
    <w:rsid w:val="009C5C45"/>
    <w:rsid w:val="009C5EA6"/>
    <w:rsid w:val="009C6089"/>
    <w:rsid w:val="009D02B7"/>
    <w:rsid w:val="009D174B"/>
    <w:rsid w:val="009D3411"/>
    <w:rsid w:val="009D6E9F"/>
    <w:rsid w:val="009E0546"/>
    <w:rsid w:val="009E05E8"/>
    <w:rsid w:val="009E0645"/>
    <w:rsid w:val="009E08C5"/>
    <w:rsid w:val="009E143F"/>
    <w:rsid w:val="009E1F10"/>
    <w:rsid w:val="009E43F6"/>
    <w:rsid w:val="009E6583"/>
    <w:rsid w:val="009E7336"/>
    <w:rsid w:val="009E7FF8"/>
    <w:rsid w:val="009F1835"/>
    <w:rsid w:val="009F1B51"/>
    <w:rsid w:val="009F24E5"/>
    <w:rsid w:val="009F3CFC"/>
    <w:rsid w:val="009F4334"/>
    <w:rsid w:val="009F49BC"/>
    <w:rsid w:val="009F72CC"/>
    <w:rsid w:val="009F7B2C"/>
    <w:rsid w:val="009F7BD7"/>
    <w:rsid w:val="00A01960"/>
    <w:rsid w:val="00A03931"/>
    <w:rsid w:val="00A04EAA"/>
    <w:rsid w:val="00A054C8"/>
    <w:rsid w:val="00A0647E"/>
    <w:rsid w:val="00A13E81"/>
    <w:rsid w:val="00A1484A"/>
    <w:rsid w:val="00A14CD0"/>
    <w:rsid w:val="00A16B80"/>
    <w:rsid w:val="00A24228"/>
    <w:rsid w:val="00A25182"/>
    <w:rsid w:val="00A266DF"/>
    <w:rsid w:val="00A31020"/>
    <w:rsid w:val="00A34447"/>
    <w:rsid w:val="00A351AD"/>
    <w:rsid w:val="00A36381"/>
    <w:rsid w:val="00A370F6"/>
    <w:rsid w:val="00A409EC"/>
    <w:rsid w:val="00A42198"/>
    <w:rsid w:val="00A43E6A"/>
    <w:rsid w:val="00A447B0"/>
    <w:rsid w:val="00A460D5"/>
    <w:rsid w:val="00A500FD"/>
    <w:rsid w:val="00A502CF"/>
    <w:rsid w:val="00A51539"/>
    <w:rsid w:val="00A53861"/>
    <w:rsid w:val="00A53E67"/>
    <w:rsid w:val="00A562D1"/>
    <w:rsid w:val="00A56AE0"/>
    <w:rsid w:val="00A56B32"/>
    <w:rsid w:val="00A57BFB"/>
    <w:rsid w:val="00A60403"/>
    <w:rsid w:val="00A605E9"/>
    <w:rsid w:val="00A60901"/>
    <w:rsid w:val="00A60B0A"/>
    <w:rsid w:val="00A61A3D"/>
    <w:rsid w:val="00A621C6"/>
    <w:rsid w:val="00A622E8"/>
    <w:rsid w:val="00A6482A"/>
    <w:rsid w:val="00A7184D"/>
    <w:rsid w:val="00A75C55"/>
    <w:rsid w:val="00A772AB"/>
    <w:rsid w:val="00A829CD"/>
    <w:rsid w:val="00A844A8"/>
    <w:rsid w:val="00A845C7"/>
    <w:rsid w:val="00A92BA9"/>
    <w:rsid w:val="00A93216"/>
    <w:rsid w:val="00A954AF"/>
    <w:rsid w:val="00A96114"/>
    <w:rsid w:val="00AA073E"/>
    <w:rsid w:val="00AA0925"/>
    <w:rsid w:val="00AA2150"/>
    <w:rsid w:val="00AA3DD0"/>
    <w:rsid w:val="00AA6D21"/>
    <w:rsid w:val="00AB11F2"/>
    <w:rsid w:val="00AB1842"/>
    <w:rsid w:val="00AB4CE8"/>
    <w:rsid w:val="00AB65A6"/>
    <w:rsid w:val="00AC1772"/>
    <w:rsid w:val="00AC254D"/>
    <w:rsid w:val="00AC2C50"/>
    <w:rsid w:val="00AC3386"/>
    <w:rsid w:val="00AC7421"/>
    <w:rsid w:val="00AD096E"/>
    <w:rsid w:val="00AD6279"/>
    <w:rsid w:val="00AD7194"/>
    <w:rsid w:val="00AE1343"/>
    <w:rsid w:val="00AE19BB"/>
    <w:rsid w:val="00AE59BE"/>
    <w:rsid w:val="00AE6711"/>
    <w:rsid w:val="00AF084E"/>
    <w:rsid w:val="00AF1378"/>
    <w:rsid w:val="00AF1992"/>
    <w:rsid w:val="00AF1CE2"/>
    <w:rsid w:val="00AF415C"/>
    <w:rsid w:val="00AF5239"/>
    <w:rsid w:val="00AF5990"/>
    <w:rsid w:val="00AF6035"/>
    <w:rsid w:val="00AF7D41"/>
    <w:rsid w:val="00B00F2B"/>
    <w:rsid w:val="00B0305F"/>
    <w:rsid w:val="00B03554"/>
    <w:rsid w:val="00B03ACE"/>
    <w:rsid w:val="00B072DD"/>
    <w:rsid w:val="00B077DD"/>
    <w:rsid w:val="00B07CC3"/>
    <w:rsid w:val="00B117D4"/>
    <w:rsid w:val="00B13BC2"/>
    <w:rsid w:val="00B14396"/>
    <w:rsid w:val="00B157B2"/>
    <w:rsid w:val="00B17F2B"/>
    <w:rsid w:val="00B227C3"/>
    <w:rsid w:val="00B25F94"/>
    <w:rsid w:val="00B264A4"/>
    <w:rsid w:val="00B2657B"/>
    <w:rsid w:val="00B27468"/>
    <w:rsid w:val="00B307EA"/>
    <w:rsid w:val="00B31517"/>
    <w:rsid w:val="00B3205D"/>
    <w:rsid w:val="00B333E8"/>
    <w:rsid w:val="00B34D65"/>
    <w:rsid w:val="00B361BB"/>
    <w:rsid w:val="00B36AA8"/>
    <w:rsid w:val="00B36DF8"/>
    <w:rsid w:val="00B403FD"/>
    <w:rsid w:val="00B44458"/>
    <w:rsid w:val="00B45785"/>
    <w:rsid w:val="00B46B85"/>
    <w:rsid w:val="00B51122"/>
    <w:rsid w:val="00B5341A"/>
    <w:rsid w:val="00B534C8"/>
    <w:rsid w:val="00B537EA"/>
    <w:rsid w:val="00B5722B"/>
    <w:rsid w:val="00B751BB"/>
    <w:rsid w:val="00B76241"/>
    <w:rsid w:val="00B80EE7"/>
    <w:rsid w:val="00B82B86"/>
    <w:rsid w:val="00B864BA"/>
    <w:rsid w:val="00B90465"/>
    <w:rsid w:val="00B9513C"/>
    <w:rsid w:val="00B967C4"/>
    <w:rsid w:val="00BA3747"/>
    <w:rsid w:val="00BA4E25"/>
    <w:rsid w:val="00BA4EDD"/>
    <w:rsid w:val="00BA76E5"/>
    <w:rsid w:val="00BA779D"/>
    <w:rsid w:val="00BB0922"/>
    <w:rsid w:val="00BB4CCC"/>
    <w:rsid w:val="00BB56E5"/>
    <w:rsid w:val="00BB598E"/>
    <w:rsid w:val="00BB6E59"/>
    <w:rsid w:val="00BC0E4B"/>
    <w:rsid w:val="00BC0FB8"/>
    <w:rsid w:val="00BC204C"/>
    <w:rsid w:val="00BC2E75"/>
    <w:rsid w:val="00BD073F"/>
    <w:rsid w:val="00BD5A5A"/>
    <w:rsid w:val="00BE19E3"/>
    <w:rsid w:val="00BE41A4"/>
    <w:rsid w:val="00BE6F90"/>
    <w:rsid w:val="00BE7F5E"/>
    <w:rsid w:val="00BF1926"/>
    <w:rsid w:val="00BF29E7"/>
    <w:rsid w:val="00BF2FD3"/>
    <w:rsid w:val="00BF3662"/>
    <w:rsid w:val="00BF4631"/>
    <w:rsid w:val="00BF5663"/>
    <w:rsid w:val="00BF7C4F"/>
    <w:rsid w:val="00C03CD6"/>
    <w:rsid w:val="00C03E9D"/>
    <w:rsid w:val="00C04108"/>
    <w:rsid w:val="00C145E3"/>
    <w:rsid w:val="00C16D22"/>
    <w:rsid w:val="00C17643"/>
    <w:rsid w:val="00C259FF"/>
    <w:rsid w:val="00C27132"/>
    <w:rsid w:val="00C300A0"/>
    <w:rsid w:val="00C3387A"/>
    <w:rsid w:val="00C364A7"/>
    <w:rsid w:val="00C36FFB"/>
    <w:rsid w:val="00C400EC"/>
    <w:rsid w:val="00C40B53"/>
    <w:rsid w:val="00C42A1D"/>
    <w:rsid w:val="00C42D1A"/>
    <w:rsid w:val="00C46A46"/>
    <w:rsid w:val="00C47AAC"/>
    <w:rsid w:val="00C52F29"/>
    <w:rsid w:val="00C544E3"/>
    <w:rsid w:val="00C609A9"/>
    <w:rsid w:val="00C61153"/>
    <w:rsid w:val="00C622A6"/>
    <w:rsid w:val="00C6377E"/>
    <w:rsid w:val="00C66320"/>
    <w:rsid w:val="00C706C9"/>
    <w:rsid w:val="00C74762"/>
    <w:rsid w:val="00C80301"/>
    <w:rsid w:val="00C80EA1"/>
    <w:rsid w:val="00C81E94"/>
    <w:rsid w:val="00C82930"/>
    <w:rsid w:val="00C83647"/>
    <w:rsid w:val="00C848D4"/>
    <w:rsid w:val="00C86114"/>
    <w:rsid w:val="00C90F29"/>
    <w:rsid w:val="00C953F4"/>
    <w:rsid w:val="00C961CA"/>
    <w:rsid w:val="00C9639E"/>
    <w:rsid w:val="00CA0FDC"/>
    <w:rsid w:val="00CA3808"/>
    <w:rsid w:val="00CA43EB"/>
    <w:rsid w:val="00CA5E26"/>
    <w:rsid w:val="00CA623F"/>
    <w:rsid w:val="00CA6669"/>
    <w:rsid w:val="00CA78B4"/>
    <w:rsid w:val="00CA79B4"/>
    <w:rsid w:val="00CB04A8"/>
    <w:rsid w:val="00CB4480"/>
    <w:rsid w:val="00CB6636"/>
    <w:rsid w:val="00CB688D"/>
    <w:rsid w:val="00CC0397"/>
    <w:rsid w:val="00CC1552"/>
    <w:rsid w:val="00CC34F7"/>
    <w:rsid w:val="00CC4B91"/>
    <w:rsid w:val="00CC546C"/>
    <w:rsid w:val="00CC7722"/>
    <w:rsid w:val="00CC7E7F"/>
    <w:rsid w:val="00CC7FA0"/>
    <w:rsid w:val="00CC7FEA"/>
    <w:rsid w:val="00CD6BFF"/>
    <w:rsid w:val="00CE17BD"/>
    <w:rsid w:val="00CE2771"/>
    <w:rsid w:val="00CE3282"/>
    <w:rsid w:val="00CE3500"/>
    <w:rsid w:val="00CE4C36"/>
    <w:rsid w:val="00CE6E3C"/>
    <w:rsid w:val="00CE733D"/>
    <w:rsid w:val="00CF1458"/>
    <w:rsid w:val="00CF49DC"/>
    <w:rsid w:val="00CF5E8D"/>
    <w:rsid w:val="00CF6975"/>
    <w:rsid w:val="00CF798D"/>
    <w:rsid w:val="00D0119F"/>
    <w:rsid w:val="00D01DCB"/>
    <w:rsid w:val="00D04A06"/>
    <w:rsid w:val="00D04F05"/>
    <w:rsid w:val="00D05320"/>
    <w:rsid w:val="00D10426"/>
    <w:rsid w:val="00D10495"/>
    <w:rsid w:val="00D13CCD"/>
    <w:rsid w:val="00D16088"/>
    <w:rsid w:val="00D20077"/>
    <w:rsid w:val="00D20EB9"/>
    <w:rsid w:val="00D21A53"/>
    <w:rsid w:val="00D258E1"/>
    <w:rsid w:val="00D27A4D"/>
    <w:rsid w:val="00D32604"/>
    <w:rsid w:val="00D3603C"/>
    <w:rsid w:val="00D36B71"/>
    <w:rsid w:val="00D373F8"/>
    <w:rsid w:val="00D37A81"/>
    <w:rsid w:val="00D41A6D"/>
    <w:rsid w:val="00D5024E"/>
    <w:rsid w:val="00D50549"/>
    <w:rsid w:val="00D544D8"/>
    <w:rsid w:val="00D569FF"/>
    <w:rsid w:val="00D57895"/>
    <w:rsid w:val="00D60419"/>
    <w:rsid w:val="00D605B7"/>
    <w:rsid w:val="00D6258C"/>
    <w:rsid w:val="00D62B98"/>
    <w:rsid w:val="00D65923"/>
    <w:rsid w:val="00D667DC"/>
    <w:rsid w:val="00D67A7E"/>
    <w:rsid w:val="00D7116B"/>
    <w:rsid w:val="00D71A8B"/>
    <w:rsid w:val="00D71F61"/>
    <w:rsid w:val="00D72616"/>
    <w:rsid w:val="00D76DAC"/>
    <w:rsid w:val="00D81C45"/>
    <w:rsid w:val="00D82440"/>
    <w:rsid w:val="00D83212"/>
    <w:rsid w:val="00D83412"/>
    <w:rsid w:val="00D869C6"/>
    <w:rsid w:val="00D86B47"/>
    <w:rsid w:val="00D90F42"/>
    <w:rsid w:val="00D936D2"/>
    <w:rsid w:val="00D97EC3"/>
    <w:rsid w:val="00DA08E0"/>
    <w:rsid w:val="00DA0FA5"/>
    <w:rsid w:val="00DA356A"/>
    <w:rsid w:val="00DA39C1"/>
    <w:rsid w:val="00DA661B"/>
    <w:rsid w:val="00DA6AE4"/>
    <w:rsid w:val="00DB1214"/>
    <w:rsid w:val="00DB176C"/>
    <w:rsid w:val="00DB301D"/>
    <w:rsid w:val="00DC2B5D"/>
    <w:rsid w:val="00DC3AF2"/>
    <w:rsid w:val="00DC3FAA"/>
    <w:rsid w:val="00DD2A21"/>
    <w:rsid w:val="00DD4AFC"/>
    <w:rsid w:val="00DE1D1D"/>
    <w:rsid w:val="00DE2094"/>
    <w:rsid w:val="00DE2A2B"/>
    <w:rsid w:val="00DE6922"/>
    <w:rsid w:val="00DE6DC9"/>
    <w:rsid w:val="00DE7F9C"/>
    <w:rsid w:val="00DF0C28"/>
    <w:rsid w:val="00DF145E"/>
    <w:rsid w:val="00DF4794"/>
    <w:rsid w:val="00DF5BBF"/>
    <w:rsid w:val="00DF5BE1"/>
    <w:rsid w:val="00E0085C"/>
    <w:rsid w:val="00E00FB4"/>
    <w:rsid w:val="00E030B2"/>
    <w:rsid w:val="00E034EF"/>
    <w:rsid w:val="00E03A80"/>
    <w:rsid w:val="00E04960"/>
    <w:rsid w:val="00E05E34"/>
    <w:rsid w:val="00E060F3"/>
    <w:rsid w:val="00E10645"/>
    <w:rsid w:val="00E11FB1"/>
    <w:rsid w:val="00E12911"/>
    <w:rsid w:val="00E143F6"/>
    <w:rsid w:val="00E14420"/>
    <w:rsid w:val="00E16FEC"/>
    <w:rsid w:val="00E1705B"/>
    <w:rsid w:val="00E21919"/>
    <w:rsid w:val="00E23396"/>
    <w:rsid w:val="00E2366C"/>
    <w:rsid w:val="00E23BC7"/>
    <w:rsid w:val="00E274A4"/>
    <w:rsid w:val="00E33A74"/>
    <w:rsid w:val="00E3466D"/>
    <w:rsid w:val="00E349F0"/>
    <w:rsid w:val="00E34B37"/>
    <w:rsid w:val="00E353EE"/>
    <w:rsid w:val="00E41EDE"/>
    <w:rsid w:val="00E41F72"/>
    <w:rsid w:val="00E43F5C"/>
    <w:rsid w:val="00E4530C"/>
    <w:rsid w:val="00E47BFE"/>
    <w:rsid w:val="00E47E54"/>
    <w:rsid w:val="00E50617"/>
    <w:rsid w:val="00E51177"/>
    <w:rsid w:val="00E52858"/>
    <w:rsid w:val="00E539A0"/>
    <w:rsid w:val="00E553BF"/>
    <w:rsid w:val="00E569D0"/>
    <w:rsid w:val="00E56E0B"/>
    <w:rsid w:val="00E62E0C"/>
    <w:rsid w:val="00E64495"/>
    <w:rsid w:val="00E65E8C"/>
    <w:rsid w:val="00E70035"/>
    <w:rsid w:val="00E76838"/>
    <w:rsid w:val="00E771FE"/>
    <w:rsid w:val="00E80014"/>
    <w:rsid w:val="00E800B1"/>
    <w:rsid w:val="00E80B9B"/>
    <w:rsid w:val="00E818EA"/>
    <w:rsid w:val="00E83552"/>
    <w:rsid w:val="00E845F1"/>
    <w:rsid w:val="00E915A2"/>
    <w:rsid w:val="00E94760"/>
    <w:rsid w:val="00E96172"/>
    <w:rsid w:val="00EA7FEF"/>
    <w:rsid w:val="00EB06E8"/>
    <w:rsid w:val="00EB0C95"/>
    <w:rsid w:val="00EB44B9"/>
    <w:rsid w:val="00EB4E03"/>
    <w:rsid w:val="00EB7188"/>
    <w:rsid w:val="00EC28C7"/>
    <w:rsid w:val="00EC596B"/>
    <w:rsid w:val="00EC6478"/>
    <w:rsid w:val="00ED2740"/>
    <w:rsid w:val="00ED2C60"/>
    <w:rsid w:val="00ED6E64"/>
    <w:rsid w:val="00EE3474"/>
    <w:rsid w:val="00EE57CC"/>
    <w:rsid w:val="00EF09DC"/>
    <w:rsid w:val="00EF165D"/>
    <w:rsid w:val="00F01F36"/>
    <w:rsid w:val="00F026FE"/>
    <w:rsid w:val="00F03AD3"/>
    <w:rsid w:val="00F04905"/>
    <w:rsid w:val="00F05171"/>
    <w:rsid w:val="00F06A27"/>
    <w:rsid w:val="00F07BDA"/>
    <w:rsid w:val="00F07BEE"/>
    <w:rsid w:val="00F12382"/>
    <w:rsid w:val="00F176C0"/>
    <w:rsid w:val="00F22B3C"/>
    <w:rsid w:val="00F2483A"/>
    <w:rsid w:val="00F26114"/>
    <w:rsid w:val="00F26F2D"/>
    <w:rsid w:val="00F31431"/>
    <w:rsid w:val="00F32FE3"/>
    <w:rsid w:val="00F35CDC"/>
    <w:rsid w:val="00F365BD"/>
    <w:rsid w:val="00F36EB8"/>
    <w:rsid w:val="00F40D3E"/>
    <w:rsid w:val="00F43913"/>
    <w:rsid w:val="00F43B71"/>
    <w:rsid w:val="00F43E6C"/>
    <w:rsid w:val="00F445DC"/>
    <w:rsid w:val="00F44B86"/>
    <w:rsid w:val="00F44FA4"/>
    <w:rsid w:val="00F50EB7"/>
    <w:rsid w:val="00F52CCF"/>
    <w:rsid w:val="00F539B7"/>
    <w:rsid w:val="00F56723"/>
    <w:rsid w:val="00F57914"/>
    <w:rsid w:val="00F66A45"/>
    <w:rsid w:val="00F675DB"/>
    <w:rsid w:val="00F74CE8"/>
    <w:rsid w:val="00F75DB2"/>
    <w:rsid w:val="00F77497"/>
    <w:rsid w:val="00F778B5"/>
    <w:rsid w:val="00F81274"/>
    <w:rsid w:val="00F8291D"/>
    <w:rsid w:val="00F84079"/>
    <w:rsid w:val="00F8560D"/>
    <w:rsid w:val="00F85B5A"/>
    <w:rsid w:val="00F86810"/>
    <w:rsid w:val="00F871A9"/>
    <w:rsid w:val="00F8743F"/>
    <w:rsid w:val="00F87C4A"/>
    <w:rsid w:val="00F90E21"/>
    <w:rsid w:val="00F916F5"/>
    <w:rsid w:val="00F92C19"/>
    <w:rsid w:val="00F92E40"/>
    <w:rsid w:val="00F93068"/>
    <w:rsid w:val="00F93505"/>
    <w:rsid w:val="00F94C5B"/>
    <w:rsid w:val="00F97088"/>
    <w:rsid w:val="00FA3429"/>
    <w:rsid w:val="00FA369B"/>
    <w:rsid w:val="00FA49E3"/>
    <w:rsid w:val="00FB11D5"/>
    <w:rsid w:val="00FB4C69"/>
    <w:rsid w:val="00FB54CA"/>
    <w:rsid w:val="00FB6DD1"/>
    <w:rsid w:val="00FB7626"/>
    <w:rsid w:val="00FB7D97"/>
    <w:rsid w:val="00FC0159"/>
    <w:rsid w:val="00FC567A"/>
    <w:rsid w:val="00FC6A40"/>
    <w:rsid w:val="00FD0B38"/>
    <w:rsid w:val="00FD26E1"/>
    <w:rsid w:val="00FD283E"/>
    <w:rsid w:val="00FD309E"/>
    <w:rsid w:val="00FD5FE5"/>
    <w:rsid w:val="00FE10D3"/>
    <w:rsid w:val="00FF1E43"/>
    <w:rsid w:val="00FF3DA0"/>
    <w:rsid w:val="00FF70B0"/>
    <w:rsid w:val="00FF773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A5FAFF"/>
  <w15:chartTrackingRefBased/>
  <w15:docId w15:val="{2914A20D-5A5C-4742-A666-492A5BFF5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3E6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01">
    <w:name w:val="fontstyle01"/>
    <w:basedOn w:val="DefaultParagraphFont"/>
    <w:rsid w:val="00F05171"/>
    <w:rPr>
      <w:rFonts w:ascii="Calibri" w:hAnsi="Calibri" w:cs="Calibri" w:hint="default"/>
      <w:b w:val="0"/>
      <w:bCs w:val="0"/>
      <w:i w:val="0"/>
      <w:iCs w:val="0"/>
      <w:color w:val="000000"/>
      <w:sz w:val="24"/>
      <w:szCs w:val="24"/>
    </w:rPr>
  </w:style>
  <w:style w:type="character" w:customStyle="1" w:styleId="fontstyle21">
    <w:name w:val="fontstyle21"/>
    <w:basedOn w:val="DefaultParagraphFont"/>
    <w:rsid w:val="00547ACA"/>
    <w:rPr>
      <w:rFonts w:ascii="Calibri-Bold" w:hAnsi="Calibri-Bold" w:hint="default"/>
      <w:b/>
      <w:bCs/>
      <w:i w:val="0"/>
      <w:iCs w:val="0"/>
      <w:color w:val="000000"/>
      <w:sz w:val="22"/>
      <w:szCs w:val="22"/>
    </w:rPr>
  </w:style>
  <w:style w:type="paragraph" w:customStyle="1" w:styleId="SingleTxtG">
    <w:name w:val="_ Single Txt_G"/>
    <w:basedOn w:val="Normal"/>
    <w:link w:val="SingleTxtGChar"/>
    <w:qFormat/>
    <w:rsid w:val="00126073"/>
    <w:pPr>
      <w:tabs>
        <w:tab w:val="left" w:pos="1701"/>
        <w:tab w:val="left" w:pos="2268"/>
        <w:tab w:val="left" w:pos="2835"/>
      </w:tabs>
      <w:spacing w:after="120" w:line="240" w:lineRule="atLeast"/>
      <w:ind w:left="1134" w:right="1134"/>
      <w:jc w:val="both"/>
    </w:pPr>
    <w:rPr>
      <w:rFonts w:ascii="Times New Roman" w:eastAsia="Times New Roman" w:hAnsi="Times New Roman" w:cs="Times New Roman"/>
      <w:sz w:val="20"/>
      <w:szCs w:val="20"/>
      <w:lang w:eastAsia="es-ES"/>
    </w:rPr>
  </w:style>
  <w:style w:type="character" w:customStyle="1" w:styleId="SingleTxtGChar">
    <w:name w:val="_ Single Txt_G Char"/>
    <w:link w:val="SingleTxtG"/>
    <w:rsid w:val="00126073"/>
    <w:rPr>
      <w:rFonts w:ascii="Times New Roman" w:eastAsia="Times New Roman" w:hAnsi="Times New Roman" w:cs="Times New Roman"/>
      <w:sz w:val="20"/>
      <w:szCs w:val="20"/>
      <w:lang w:eastAsia="es-ES"/>
    </w:rPr>
  </w:style>
  <w:style w:type="paragraph" w:styleId="EndnoteText">
    <w:name w:val="endnote text"/>
    <w:basedOn w:val="Normal"/>
    <w:link w:val="EndnoteTextChar"/>
    <w:uiPriority w:val="99"/>
    <w:semiHidden/>
    <w:unhideWhenUsed/>
    <w:rsid w:val="00510E27"/>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10E27"/>
    <w:rPr>
      <w:sz w:val="20"/>
      <w:szCs w:val="20"/>
    </w:rPr>
  </w:style>
  <w:style w:type="character" w:styleId="EndnoteReference">
    <w:name w:val="endnote reference"/>
    <w:basedOn w:val="DefaultParagraphFont"/>
    <w:uiPriority w:val="99"/>
    <w:semiHidden/>
    <w:unhideWhenUsed/>
    <w:rsid w:val="00510E27"/>
    <w:rPr>
      <w:vertAlign w:val="superscript"/>
    </w:rPr>
  </w:style>
  <w:style w:type="paragraph" w:styleId="FootnoteText">
    <w:name w:val="footnote text"/>
    <w:aliases w:val="Texto nota pie [IA],Footnote Text Char Char Char Char Char,Footnote Text Char Char Char Char,Footnote reference,FA Fu,Footnote Text Char Char Char,fn,single space,Footnote Text Char Char Char Car,FA Fu Car,Footnote Text Cha,FA Fußnotentext"/>
    <w:basedOn w:val="Normal"/>
    <w:link w:val="FootnoteTextChar"/>
    <w:uiPriority w:val="99"/>
    <w:unhideWhenUsed/>
    <w:qFormat/>
    <w:rsid w:val="00B157B2"/>
    <w:pPr>
      <w:spacing w:after="0" w:line="240" w:lineRule="auto"/>
    </w:pPr>
    <w:rPr>
      <w:sz w:val="20"/>
      <w:szCs w:val="20"/>
    </w:rPr>
  </w:style>
  <w:style w:type="character" w:customStyle="1" w:styleId="FootnoteTextChar">
    <w:name w:val="Footnote Text Char"/>
    <w:aliases w:val="Texto nota pie [IA] Char,Footnote Text Char Char Char Char Char Char,Footnote Text Char Char Char Char Char1,Footnote reference Char,FA Fu Char,Footnote Text Char Char Char Char1,fn Char,single space Char,FA Fu Car Char"/>
    <w:basedOn w:val="DefaultParagraphFont"/>
    <w:link w:val="FootnoteText"/>
    <w:uiPriority w:val="99"/>
    <w:qFormat/>
    <w:rsid w:val="00B157B2"/>
    <w:rPr>
      <w:sz w:val="20"/>
      <w:szCs w:val="20"/>
    </w:rPr>
  </w:style>
  <w:style w:type="character" w:styleId="FootnoteReference">
    <w:name w:val="footnote reference"/>
    <w:aliases w:val="Footnotes refss,Texto de nota al pie,Appel note de bas de page,f,Ref,de nota al pie,normal,Footnote number,referencia nota al pie,BVI fnr,4_G,16 Point,Superscript 6 Point,Ref. de nota al pie.,Footnote symbol,Footnote,R,Texto nota al p"/>
    <w:basedOn w:val="DefaultParagraphFont"/>
    <w:link w:val="Char2"/>
    <w:uiPriority w:val="99"/>
    <w:unhideWhenUsed/>
    <w:qFormat/>
    <w:rsid w:val="00B157B2"/>
    <w:rPr>
      <w:vertAlign w:val="superscript"/>
    </w:rPr>
  </w:style>
  <w:style w:type="character" w:customStyle="1" w:styleId="fontstyle31">
    <w:name w:val="fontstyle31"/>
    <w:basedOn w:val="DefaultParagraphFont"/>
    <w:rsid w:val="00F871A9"/>
    <w:rPr>
      <w:rFonts w:ascii="BellMT" w:hAnsi="BellMT" w:hint="default"/>
      <w:b w:val="0"/>
      <w:bCs w:val="0"/>
      <w:i w:val="0"/>
      <w:iCs w:val="0"/>
      <w:color w:val="000000"/>
      <w:sz w:val="22"/>
      <w:szCs w:val="22"/>
    </w:rPr>
  </w:style>
  <w:style w:type="character" w:styleId="Hyperlink">
    <w:name w:val="Hyperlink"/>
    <w:aliases w:val="http://www.fantaproject.org/sites/default/files/resources/Guatemala-municipal-brief-English-June30.pdf"/>
    <w:basedOn w:val="DefaultParagraphFont"/>
    <w:uiPriority w:val="99"/>
    <w:unhideWhenUsed/>
    <w:rsid w:val="00D10495"/>
    <w:rPr>
      <w:color w:val="0563C1" w:themeColor="hyperlink"/>
      <w:u w:val="single"/>
    </w:rPr>
  </w:style>
  <w:style w:type="paragraph" w:styleId="ListParagraph">
    <w:name w:val="List Paragraph"/>
    <w:basedOn w:val="Normal"/>
    <w:uiPriority w:val="34"/>
    <w:qFormat/>
    <w:rsid w:val="00103E60"/>
    <w:pPr>
      <w:ind w:left="720"/>
      <w:contextualSpacing/>
    </w:pPr>
  </w:style>
  <w:style w:type="character" w:customStyle="1" w:styleId="col-xs-12">
    <w:name w:val="col-xs-12"/>
    <w:basedOn w:val="DefaultParagraphFont"/>
    <w:rsid w:val="00CA43EB"/>
  </w:style>
  <w:style w:type="paragraph" w:customStyle="1" w:styleId="H23G">
    <w:name w:val="_ H_2/3_G"/>
    <w:basedOn w:val="Normal"/>
    <w:next w:val="Normal"/>
    <w:qFormat/>
    <w:rsid w:val="00E56E0B"/>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lang w:eastAsia="es-ES"/>
    </w:rPr>
  </w:style>
  <w:style w:type="character" w:customStyle="1" w:styleId="jlqj4b">
    <w:name w:val="jlqj4b"/>
    <w:basedOn w:val="DefaultParagraphFont"/>
    <w:rsid w:val="00E353EE"/>
  </w:style>
  <w:style w:type="paragraph" w:styleId="Header">
    <w:name w:val="header"/>
    <w:basedOn w:val="Normal"/>
    <w:link w:val="HeaderChar"/>
    <w:uiPriority w:val="99"/>
    <w:unhideWhenUsed/>
    <w:rsid w:val="00CA78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CA78B4"/>
  </w:style>
  <w:style w:type="paragraph" w:styleId="Footer">
    <w:name w:val="footer"/>
    <w:basedOn w:val="Normal"/>
    <w:link w:val="FooterChar"/>
    <w:uiPriority w:val="99"/>
    <w:unhideWhenUsed/>
    <w:rsid w:val="00CA78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CA78B4"/>
  </w:style>
  <w:style w:type="paragraph" w:customStyle="1" w:styleId="Char2">
    <w:name w:val="Char2"/>
    <w:basedOn w:val="Normal"/>
    <w:link w:val="FootnoteReference"/>
    <w:uiPriority w:val="99"/>
    <w:rsid w:val="008A4E30"/>
    <w:pPr>
      <w:spacing w:line="240" w:lineRule="exact"/>
    </w:pPr>
    <w:rPr>
      <w:vertAlign w:val="superscript"/>
    </w:rPr>
  </w:style>
  <w:style w:type="character" w:customStyle="1" w:styleId="eop">
    <w:name w:val="eop"/>
    <w:basedOn w:val="DefaultParagraphFont"/>
    <w:rsid w:val="004D0117"/>
  </w:style>
  <w:style w:type="character" w:styleId="UnresolvedMention">
    <w:name w:val="Unresolved Mention"/>
    <w:basedOn w:val="DefaultParagraphFont"/>
    <w:uiPriority w:val="99"/>
    <w:semiHidden/>
    <w:unhideWhenUsed/>
    <w:rsid w:val="00303101"/>
    <w:rPr>
      <w:color w:val="605E5C"/>
      <w:shd w:val="clear" w:color="auto" w:fill="E1DFDD"/>
    </w:rPr>
  </w:style>
  <w:style w:type="paragraph" w:styleId="NormalWeb">
    <w:name w:val="Normal (Web)"/>
    <w:basedOn w:val="Normal"/>
    <w:uiPriority w:val="99"/>
    <w:unhideWhenUsed/>
    <w:rsid w:val="001F34E6"/>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apple-converted-space">
    <w:name w:val="apple-converted-space"/>
    <w:basedOn w:val="DefaultParagraphFont"/>
    <w:rsid w:val="001F34E6"/>
  </w:style>
  <w:style w:type="character" w:styleId="Strong">
    <w:name w:val="Strong"/>
    <w:basedOn w:val="DefaultParagraphFont"/>
    <w:uiPriority w:val="22"/>
    <w:qFormat/>
    <w:rsid w:val="001F34E6"/>
    <w:rPr>
      <w:b/>
      <w:bCs/>
    </w:rPr>
  </w:style>
  <w:style w:type="character" w:styleId="PlaceholderText">
    <w:name w:val="Placeholder Text"/>
    <w:basedOn w:val="DefaultParagraphFont"/>
    <w:uiPriority w:val="99"/>
    <w:semiHidden/>
    <w:rsid w:val="00CF6975"/>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alastensas.com/multimedias/mision-cubana-en-ginebra-la-revolucion-cubana-elimino-para-siempre-la-discriminacion-racial/" TargetMode="External"/><Relationship Id="rId13" Type="http://schemas.openxmlformats.org/officeDocument/2006/relationships/hyperlink" Target="https://www.programacolorcubano.cult.cu/biblioteca/pdf/6" TargetMode="External"/><Relationship Id="rId3" Type="http://schemas.openxmlformats.org/officeDocument/2006/relationships/hyperlink" Target="https://www.connectas.org" TargetMode="External"/><Relationship Id="rId7" Type="http://schemas.openxmlformats.org/officeDocument/2006/relationships/hyperlink" Target="https://cubalex.org/2024/09/05/11j-analisis-del-sesgo-racial-en-las-sentencias-por-sedicion-en-cuba/" TargetMode="External"/><Relationship Id="rId12" Type="http://schemas.openxmlformats.org/officeDocument/2006/relationships/hyperlink" Target="https://www.programacolorcubano.cult.cu/centro/cuba" TargetMode="External"/><Relationship Id="rId17" Type="http://schemas.openxmlformats.org/officeDocument/2006/relationships/hyperlink" Target="https://lista.prisonersdefenders.org" TargetMode="External"/><Relationship Id="rId2" Type="http://schemas.openxmlformats.org/officeDocument/2006/relationships/hyperlink" Target="https://www.connectas.org" TargetMode="External"/><Relationship Id="rId16" Type="http://schemas.openxmlformats.org/officeDocument/2006/relationships/hyperlink" Target="http://www.nuevomilenio.cult.cu" TargetMode="External"/><Relationship Id="rId1" Type="http://schemas.openxmlformats.org/officeDocument/2006/relationships/hyperlink" Target="https://raceandequality.org/es/resources/en-cuba-la-pobreza-extrema-afecta-principalmente-a-las-personas-afrodescendientes-de-la-isla/" TargetMode="External"/><Relationship Id="rId6" Type="http://schemas.openxmlformats.org/officeDocument/2006/relationships/hyperlink" Target="https://cubalex.org/2024/09/05/11j-analisis-del-sesgo-racial-en-las-sentencias-por-sedicion-en-cuba/" TargetMode="External"/><Relationship Id="rId11" Type="http://schemas.openxmlformats.org/officeDocument/2006/relationships/hyperlink" Target="https://www.programacolorcubano.cult.cu/biblioteca/video/5" TargetMode="External"/><Relationship Id="rId5" Type="http://schemas.openxmlformats.org/officeDocument/2006/relationships/hyperlink" Target="https://derechossocialescuba.com/el-estado-de-los-derechos-sociales-en-cuba-informe-6-2023/" TargetMode="External"/><Relationship Id="rId15" Type="http://schemas.openxmlformats.org/officeDocument/2006/relationships/hyperlink" Target="https://www.programacolorcubano.cult.cu/biblioteca/pdf/7" TargetMode="External"/><Relationship Id="rId10" Type="http://schemas.openxmlformats.org/officeDocument/2006/relationships/hyperlink" Target="https://www.ics.gob.cu/wp-content/uploads/2024/02/programa-nacional-contra-el-racismo-y-la-discriminacion-racial-pdf-final.pdf" TargetMode="External"/><Relationship Id="rId4" Type="http://schemas.openxmlformats.org/officeDocument/2006/relationships/hyperlink" Target="https://www.connectas.org" TargetMode="External"/><Relationship Id="rId9" Type="http://schemas.openxmlformats.org/officeDocument/2006/relationships/hyperlink" Target="https://alastensas.com/multimedias/mision-cubana-en-ginebra-la-revolucion-cubana-elimino-para-siempre-la-discriminacion-racial/" TargetMode="External"/><Relationship Id="rId14" Type="http://schemas.openxmlformats.org/officeDocument/2006/relationships/hyperlink" Target="https://www.programacolorcubano.cult.cu/biblioteca/pdf/7"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4A676F-23AB-4B2D-BBD1-0382BEFC6C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TotalTime>
  <Pages>20</Pages>
  <Words>7655</Words>
  <Characters>45171</Characters>
  <Application>Microsoft Office Word</Application>
  <DocSecurity>0</DocSecurity>
  <Lines>2258</Lines>
  <Paragraphs>1704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51122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Christina Fetterhoff</cp:lastModifiedBy>
  <cp:revision>4</cp:revision>
  <dcterms:created xsi:type="dcterms:W3CDTF">2026-03-20T14:16:00Z</dcterms:created>
  <dcterms:modified xsi:type="dcterms:W3CDTF">2026-03-20T17:30:00Z</dcterms:modified>
</cp:coreProperties>
</file>