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41ECB" w14:textId="632C6500" w:rsidR="00CB15C2" w:rsidRPr="00DC7FF6" w:rsidRDefault="00BE4784" w:rsidP="00BE4784">
      <w:pPr>
        <w:jc w:val="center"/>
        <w:rPr>
          <w:rFonts w:ascii="MetaPro-Norm" w:hAnsi="MetaPro-Norm"/>
        </w:rPr>
      </w:pPr>
      <w:r w:rsidRPr="00DC7FF6">
        <w:rPr>
          <w:rFonts w:ascii="MetaPro-Norm" w:hAnsi="MetaPro-Norm"/>
          <w:noProof/>
          <w:color w:val="000000" w:themeColor="text1"/>
        </w:rPr>
        <w:drawing>
          <wp:inline distT="0" distB="0" distL="0" distR="0" wp14:anchorId="72AEDA14" wp14:editId="38F11825">
            <wp:extent cx="1358900" cy="13589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62557" cy="1362557"/>
                    </a:xfrm>
                    <a:prstGeom prst="rect">
                      <a:avLst/>
                    </a:prstGeom>
                    <a:noFill/>
                    <a:ln>
                      <a:noFill/>
                    </a:ln>
                  </pic:spPr>
                </pic:pic>
              </a:graphicData>
            </a:graphic>
          </wp:inline>
        </w:drawing>
      </w:r>
    </w:p>
    <w:p w14:paraId="58CD3101" w14:textId="77777777" w:rsidR="00F41614" w:rsidRPr="00DC7FF6" w:rsidRDefault="00F41614" w:rsidP="00F41614">
      <w:pPr>
        <w:spacing w:after="0"/>
        <w:jc w:val="center"/>
        <w:rPr>
          <w:rFonts w:ascii="MetaPro-Norm" w:hAnsi="MetaPro-Norm"/>
          <w:b/>
          <w:bCs/>
        </w:rPr>
      </w:pPr>
      <w:r w:rsidRPr="00DC7FF6">
        <w:rPr>
          <w:rFonts w:ascii="MetaPro-Norm" w:hAnsi="MetaPro-Norm"/>
          <w:b/>
          <w:bCs/>
        </w:rPr>
        <w:t xml:space="preserve">Human Rights Watch Submission </w:t>
      </w:r>
    </w:p>
    <w:p w14:paraId="52DDEA0D" w14:textId="77777777" w:rsidR="00F41614" w:rsidRPr="00DC7FF6" w:rsidRDefault="00F41614" w:rsidP="00F41614">
      <w:pPr>
        <w:spacing w:after="0"/>
        <w:jc w:val="center"/>
        <w:rPr>
          <w:rFonts w:ascii="MetaPro-Norm" w:hAnsi="MetaPro-Norm"/>
          <w:b/>
          <w:bCs/>
        </w:rPr>
      </w:pPr>
      <w:r w:rsidRPr="00DC7FF6">
        <w:rPr>
          <w:rFonts w:ascii="MetaPro-Norm" w:hAnsi="MetaPro-Norm"/>
          <w:b/>
          <w:bCs/>
        </w:rPr>
        <w:t>to the United Nations Committee on Economic, Social and Cultural Rights</w:t>
      </w:r>
    </w:p>
    <w:p w14:paraId="2668C3C6" w14:textId="57135C3A" w:rsidR="00F41614" w:rsidRPr="00DC7FF6" w:rsidRDefault="00F41614" w:rsidP="00F41614">
      <w:pPr>
        <w:spacing w:after="0"/>
        <w:jc w:val="center"/>
        <w:rPr>
          <w:rFonts w:ascii="MetaPro-Norm" w:hAnsi="MetaPro-Norm" w:cstheme="minorHAnsi"/>
          <w:b/>
          <w:bCs/>
        </w:rPr>
      </w:pPr>
      <w:r w:rsidRPr="00DC7FF6">
        <w:rPr>
          <w:rFonts w:ascii="MetaPro-Norm" w:hAnsi="MetaPro-Norm" w:cstheme="minorHAnsi"/>
          <w:b/>
          <w:bCs/>
        </w:rPr>
        <w:t>Review of Rwanda</w:t>
      </w:r>
    </w:p>
    <w:p w14:paraId="1C2B4E9C" w14:textId="77777777" w:rsidR="00F41614" w:rsidRPr="00DC7FF6" w:rsidRDefault="00F41614" w:rsidP="00F41614">
      <w:pPr>
        <w:spacing w:after="0"/>
        <w:jc w:val="center"/>
        <w:rPr>
          <w:rFonts w:ascii="MetaPro-Norm" w:hAnsi="MetaPro-Norm" w:cstheme="minorHAnsi"/>
          <w:b/>
          <w:bCs/>
        </w:rPr>
      </w:pPr>
      <w:bookmarkStart w:id="0" w:name="_Hlk120698938"/>
      <w:r w:rsidRPr="00DC7FF6">
        <w:rPr>
          <w:rFonts w:ascii="MetaPro-Norm" w:hAnsi="MetaPro-Norm" w:cstheme="minorHAnsi"/>
          <w:b/>
          <w:bCs/>
        </w:rPr>
        <w:t>72nd Pre-Sessional Working Group</w:t>
      </w:r>
    </w:p>
    <w:bookmarkEnd w:id="0"/>
    <w:p w14:paraId="44737BAE" w14:textId="3E651E50" w:rsidR="00F41614" w:rsidRPr="00DC7FF6" w:rsidRDefault="005D1EA7" w:rsidP="00F41614">
      <w:pPr>
        <w:spacing w:after="0"/>
        <w:jc w:val="center"/>
        <w:rPr>
          <w:rFonts w:ascii="MetaPro-Norm" w:hAnsi="MetaPro-Norm" w:cstheme="minorHAnsi"/>
          <w:b/>
          <w:bCs/>
          <w:i/>
          <w:iCs/>
        </w:rPr>
      </w:pPr>
      <w:r>
        <w:rPr>
          <w:rFonts w:ascii="MetaPro-Norm" w:hAnsi="MetaPro-Norm" w:cstheme="minorHAnsi"/>
          <w:b/>
          <w:bCs/>
          <w:i/>
          <w:iCs/>
        </w:rPr>
        <w:t>January 2023</w:t>
      </w:r>
    </w:p>
    <w:p w14:paraId="0687BD21" w14:textId="77777777" w:rsidR="00F41614" w:rsidRPr="00DC7FF6" w:rsidRDefault="00F41614" w:rsidP="00F41614">
      <w:pPr>
        <w:spacing w:after="0"/>
        <w:rPr>
          <w:rFonts w:ascii="MetaPro-Norm" w:hAnsi="MetaPro-Norm" w:cstheme="minorHAnsi"/>
          <w:b/>
          <w:bCs/>
        </w:rPr>
      </w:pPr>
    </w:p>
    <w:p w14:paraId="468F4938" w14:textId="5CEA8FEA" w:rsidR="00A01161" w:rsidRPr="00DC7FF6" w:rsidRDefault="00FCDA98" w:rsidP="00A01161">
      <w:pPr>
        <w:pStyle w:val="Body"/>
        <w:rPr>
          <w:rFonts w:ascii="MetaPro-Norm" w:eastAsia="MetaPro-Norm" w:hAnsi="MetaPro-Norm" w:cs="MetaPro-Norm"/>
          <w:sz w:val="22"/>
          <w:szCs w:val="22"/>
        </w:rPr>
      </w:pPr>
      <w:r w:rsidRPr="4E3CCFFA">
        <w:rPr>
          <w:rFonts w:ascii="MetaPro-Norm" w:eastAsia="MetaPro-Norm" w:hAnsi="MetaPro-Norm" w:cs="MetaPro-Norm"/>
          <w:sz w:val="22"/>
          <w:szCs w:val="22"/>
        </w:rPr>
        <w:t>We write in advance of the 72nd</w:t>
      </w:r>
      <w:r w:rsidRPr="4E3CCFFA">
        <w:rPr>
          <w:rFonts w:ascii="MetaPro-Norm" w:eastAsia="MetaPro-Norm" w:hAnsi="MetaPro-Norm" w:cs="MetaPro-Norm"/>
          <w:sz w:val="22"/>
          <w:szCs w:val="22"/>
          <w:vertAlign w:val="superscript"/>
        </w:rPr>
        <w:t xml:space="preserve"> </w:t>
      </w:r>
      <w:r w:rsidRPr="4E3CCFFA">
        <w:rPr>
          <w:rFonts w:ascii="MetaPro-Norm" w:eastAsia="MetaPro-Norm" w:hAnsi="MetaPro-Norm" w:cs="MetaPro-Norm"/>
          <w:sz w:val="22"/>
          <w:szCs w:val="22"/>
        </w:rPr>
        <w:t xml:space="preserve">pre-session of the Committee on Economic, Social and Cultural Rights regarding Rwanda’s compliance with the International Covenant on Economic, Social and Cultural Rights. This submission includes information on </w:t>
      </w:r>
      <w:r w:rsidR="36DAD7EC" w:rsidRPr="4E3CCFFA">
        <w:rPr>
          <w:rFonts w:ascii="MetaPro-Norm" w:eastAsia="MetaPro-Norm" w:hAnsi="MetaPro-Norm" w:cs="MetaPro-Norm"/>
          <w:sz w:val="22"/>
          <w:szCs w:val="22"/>
        </w:rPr>
        <w:t xml:space="preserve">arbitrary </w:t>
      </w:r>
      <w:r w:rsidR="242DCF1D" w:rsidRPr="4E3CCFFA">
        <w:rPr>
          <w:rFonts w:ascii="MetaPro-Norm" w:eastAsia="MetaPro-Norm" w:hAnsi="MetaPro-Norm" w:cs="MetaPro-Norm"/>
          <w:sz w:val="22"/>
          <w:szCs w:val="22"/>
        </w:rPr>
        <w:t xml:space="preserve">detention and ill-treatment of </w:t>
      </w:r>
      <w:r w:rsidR="42C666E6" w:rsidRPr="4E3CCFFA">
        <w:rPr>
          <w:rFonts w:ascii="MetaPro-Norm" w:eastAsia="MetaPro-Norm" w:hAnsi="MetaPro-Norm" w:cs="MetaPro-Norm"/>
          <w:sz w:val="22"/>
          <w:szCs w:val="22"/>
        </w:rPr>
        <w:t>disadvantaged</w:t>
      </w:r>
      <w:r w:rsidR="08887631" w:rsidRPr="4E3CCFFA">
        <w:rPr>
          <w:rFonts w:ascii="MetaPro-Norm" w:eastAsia="MetaPro-Norm" w:hAnsi="MetaPro-Norm" w:cs="MetaPro-Norm"/>
          <w:sz w:val="22"/>
          <w:szCs w:val="22"/>
        </w:rPr>
        <w:t xml:space="preserve"> </w:t>
      </w:r>
      <w:r w:rsidR="535B72A8" w:rsidRPr="4E3CCFFA">
        <w:rPr>
          <w:rFonts w:ascii="MetaPro-Norm" w:eastAsia="MetaPro-Norm" w:hAnsi="MetaPro-Norm" w:cs="MetaPro-Norm"/>
          <w:sz w:val="22"/>
          <w:szCs w:val="22"/>
        </w:rPr>
        <w:t>people and children</w:t>
      </w:r>
      <w:r w:rsidR="00327C59">
        <w:rPr>
          <w:rFonts w:ascii="MetaPro-Norm" w:eastAsia="MetaPro-Norm" w:hAnsi="MetaPro-Norm" w:cs="MetaPro-Norm"/>
          <w:sz w:val="22"/>
          <w:szCs w:val="22"/>
        </w:rPr>
        <w:t xml:space="preserve"> </w:t>
      </w:r>
      <w:r w:rsidR="535B72A8" w:rsidRPr="4E3CCFFA">
        <w:rPr>
          <w:rFonts w:ascii="MetaPro-Norm" w:eastAsia="MetaPro-Norm" w:hAnsi="MetaPro-Norm" w:cs="MetaPro-Norm"/>
          <w:sz w:val="22"/>
          <w:szCs w:val="22"/>
        </w:rPr>
        <w:t xml:space="preserve">and </w:t>
      </w:r>
      <w:r w:rsidRPr="4E3CCFFA">
        <w:rPr>
          <w:rFonts w:ascii="MetaPro-Norm" w:eastAsia="MetaPro-Norm" w:hAnsi="MetaPro-Norm" w:cs="MetaPro-Norm"/>
          <w:sz w:val="22"/>
          <w:szCs w:val="22"/>
        </w:rPr>
        <w:t>the protection of education from attack</w:t>
      </w:r>
      <w:r w:rsidR="242DCF1D" w:rsidRPr="4E3CCFFA">
        <w:rPr>
          <w:rFonts w:ascii="MetaPro-Norm" w:eastAsia="MetaPro-Norm" w:hAnsi="MetaPro-Norm" w:cs="MetaPro-Norm"/>
          <w:sz w:val="22"/>
          <w:szCs w:val="22"/>
        </w:rPr>
        <w:t>.</w:t>
      </w:r>
    </w:p>
    <w:p w14:paraId="69081E10" w14:textId="40C11D44" w:rsidR="00F41614" w:rsidRDefault="00F41614" w:rsidP="00F41614">
      <w:pPr>
        <w:pStyle w:val="Body"/>
        <w:rPr>
          <w:rFonts w:ascii="MetaPro-Norm" w:eastAsia="MetaPro-Norm" w:hAnsi="MetaPro-Norm" w:cs="MetaPro-Norm"/>
          <w:sz w:val="22"/>
          <w:szCs w:val="22"/>
        </w:rPr>
      </w:pPr>
    </w:p>
    <w:p w14:paraId="6CE7F770" w14:textId="0F2E12B1" w:rsidR="00DA7781" w:rsidRDefault="00F17F8C" w:rsidP="00DA7781">
      <w:pPr>
        <w:rPr>
          <w:rFonts w:ascii="MetaPro-Norm" w:hAnsi="MetaPro-Norm"/>
          <w:b/>
          <w:bCs/>
        </w:rPr>
      </w:pPr>
      <w:r>
        <w:rPr>
          <w:rFonts w:ascii="MetaPro-Norm" w:hAnsi="MetaPro-Norm"/>
          <w:b/>
          <w:bCs/>
        </w:rPr>
        <w:t xml:space="preserve">Arbitrary </w:t>
      </w:r>
      <w:r w:rsidR="00DA7781" w:rsidRPr="000C2C49">
        <w:rPr>
          <w:rFonts w:ascii="MetaPro-Norm" w:hAnsi="MetaPro-Norm"/>
          <w:b/>
          <w:bCs/>
        </w:rPr>
        <w:t>Detention and Ill-Treatment</w:t>
      </w:r>
      <w:r w:rsidR="00EE2940">
        <w:rPr>
          <w:rFonts w:ascii="MetaPro-Norm" w:hAnsi="MetaPro-Norm"/>
          <w:b/>
          <w:bCs/>
        </w:rPr>
        <w:t xml:space="preserve"> of Disadvantaged People and Children</w:t>
      </w:r>
      <w:r w:rsidR="00DA7781" w:rsidRPr="000C2C49">
        <w:rPr>
          <w:rFonts w:ascii="MetaPro-Norm" w:hAnsi="MetaPro-Norm"/>
          <w:b/>
          <w:bCs/>
        </w:rPr>
        <w:t xml:space="preserve"> (articles </w:t>
      </w:r>
      <w:r w:rsidR="009D2410">
        <w:rPr>
          <w:rFonts w:ascii="MetaPro-Norm" w:hAnsi="MetaPro-Norm"/>
          <w:b/>
          <w:bCs/>
        </w:rPr>
        <w:t xml:space="preserve">6, </w:t>
      </w:r>
      <w:r w:rsidR="002E606D">
        <w:rPr>
          <w:rFonts w:ascii="MetaPro-Norm" w:hAnsi="MetaPro-Norm"/>
          <w:b/>
          <w:bCs/>
        </w:rPr>
        <w:t xml:space="preserve">9, </w:t>
      </w:r>
      <w:r w:rsidR="009B5A8B">
        <w:rPr>
          <w:rFonts w:ascii="MetaPro-Norm" w:hAnsi="MetaPro-Norm"/>
          <w:b/>
          <w:bCs/>
        </w:rPr>
        <w:t xml:space="preserve">10, </w:t>
      </w:r>
      <w:r w:rsidR="00DA7781" w:rsidRPr="000C2C49">
        <w:rPr>
          <w:rFonts w:ascii="MetaPro-Norm" w:hAnsi="MetaPro-Norm"/>
          <w:b/>
          <w:bCs/>
        </w:rPr>
        <w:t>11, 12, and 13)</w:t>
      </w:r>
    </w:p>
    <w:p w14:paraId="0749553F" w14:textId="02E055C8" w:rsidR="00C221FE" w:rsidRDefault="05CE3083" w:rsidP="00C221FE">
      <w:pPr>
        <w:rPr>
          <w:rFonts w:ascii="MetaPro-Norm" w:hAnsi="MetaPro-Norm"/>
        </w:rPr>
      </w:pPr>
      <w:r>
        <w:rPr>
          <w:rFonts w:ascii="MetaPro-Norm" w:hAnsi="MetaPro-Norm"/>
        </w:rPr>
        <w:t xml:space="preserve">Since 2006, </w:t>
      </w:r>
      <w:r w:rsidR="22D2B3E3" w:rsidRPr="00902A14">
        <w:rPr>
          <w:rFonts w:ascii="MetaPro-Norm" w:hAnsi="MetaPro-Norm"/>
        </w:rPr>
        <w:t xml:space="preserve">Human Rights Watch has </w:t>
      </w:r>
      <w:r w:rsidR="273A499D">
        <w:rPr>
          <w:rFonts w:ascii="MetaPro-Norm" w:hAnsi="MetaPro-Norm"/>
        </w:rPr>
        <w:t>documented</w:t>
      </w:r>
      <w:r w:rsidR="0DDC2E34">
        <w:rPr>
          <w:rFonts w:ascii="MetaPro-Norm" w:hAnsi="MetaPro-Norm"/>
        </w:rPr>
        <w:t xml:space="preserve"> arbitrary detention</w:t>
      </w:r>
      <w:r w:rsidR="00192971">
        <w:rPr>
          <w:rFonts w:ascii="MetaPro-Norm" w:hAnsi="MetaPro-Norm"/>
        </w:rPr>
        <w:t xml:space="preserve"> and ill-treatment</w:t>
      </w:r>
      <w:r w:rsidR="0DDC2E34">
        <w:rPr>
          <w:rFonts w:ascii="MetaPro-Norm" w:hAnsi="MetaPro-Norm"/>
        </w:rPr>
        <w:t xml:space="preserve"> of</w:t>
      </w:r>
      <w:r w:rsidR="22D2B3E3" w:rsidRPr="00902A14">
        <w:rPr>
          <w:rFonts w:ascii="MetaPro-Norm" w:hAnsi="MetaPro-Norm"/>
        </w:rPr>
        <w:t xml:space="preserve"> street vendors, sex workers, homeless people, </w:t>
      </w:r>
      <w:r w:rsidR="570262F3" w:rsidRPr="00902A14">
        <w:rPr>
          <w:rFonts w:ascii="MetaPro-Norm" w:hAnsi="MetaPro-Norm"/>
        </w:rPr>
        <w:t>people suspected to be</w:t>
      </w:r>
      <w:r w:rsidR="22D2B3E3" w:rsidRPr="00902A14">
        <w:rPr>
          <w:rFonts w:ascii="MetaPro-Norm" w:hAnsi="MetaPro-Norm"/>
        </w:rPr>
        <w:t xml:space="preserve"> petty criminals</w:t>
      </w:r>
      <w:r w:rsidR="1704FF68">
        <w:rPr>
          <w:rFonts w:ascii="MetaPro-Norm" w:hAnsi="MetaPro-Norm"/>
        </w:rPr>
        <w:t>,</w:t>
      </w:r>
      <w:r w:rsidR="22D2B3E3" w:rsidRPr="00902A14">
        <w:rPr>
          <w:rFonts w:ascii="MetaPro-Norm" w:hAnsi="MetaPro-Norm"/>
        </w:rPr>
        <w:t xml:space="preserve"> and street children in so-called </w:t>
      </w:r>
      <w:r w:rsidR="36C0E9D4">
        <w:rPr>
          <w:rFonts w:ascii="MetaPro-Norm" w:hAnsi="MetaPro-Norm"/>
        </w:rPr>
        <w:t>“</w:t>
      </w:r>
      <w:r w:rsidR="22D2B3E3" w:rsidRPr="00902A14">
        <w:rPr>
          <w:rFonts w:ascii="MetaPro-Norm" w:hAnsi="MetaPro-Norm"/>
        </w:rPr>
        <w:t>transit centers</w:t>
      </w:r>
      <w:r w:rsidR="36C0E9D4">
        <w:rPr>
          <w:rFonts w:ascii="MetaPro-Norm" w:hAnsi="MetaPro-Norm"/>
        </w:rPr>
        <w:t>”</w:t>
      </w:r>
      <w:r w:rsidR="22D2B3E3" w:rsidRPr="00902A14">
        <w:rPr>
          <w:rFonts w:ascii="MetaPro-Norm" w:hAnsi="MetaPro-Norm"/>
        </w:rPr>
        <w:t xml:space="preserve"> in Rwanda. The government argues that </w:t>
      </w:r>
      <w:r w:rsidR="00AE6BF5">
        <w:rPr>
          <w:rFonts w:ascii="MetaPro-Norm" w:hAnsi="MetaPro-Norm"/>
        </w:rPr>
        <w:t xml:space="preserve">this </w:t>
      </w:r>
      <w:r w:rsidR="22D2B3E3" w:rsidRPr="00902A14">
        <w:rPr>
          <w:rFonts w:ascii="MetaPro-Norm" w:hAnsi="MetaPro-Norm"/>
        </w:rPr>
        <w:t>is part of its rehabilitation strategy.</w:t>
      </w:r>
      <w:r w:rsidR="00CF4A4E">
        <w:rPr>
          <w:rStyle w:val="FootnoteReference"/>
        </w:rPr>
        <w:footnoteReference w:id="2"/>
      </w:r>
      <w:r w:rsidR="22D2B3E3" w:rsidRPr="00902A14">
        <w:rPr>
          <w:rFonts w:ascii="MetaPro-Norm" w:hAnsi="MetaPro-Norm"/>
        </w:rPr>
        <w:t xml:space="preserve"> </w:t>
      </w:r>
    </w:p>
    <w:p w14:paraId="3330C779" w14:textId="3B187E8B" w:rsidR="009708D1" w:rsidRDefault="00C221FE" w:rsidP="00C221FE">
      <w:pPr>
        <w:rPr>
          <w:rFonts w:ascii="MetaPro-Norm" w:hAnsi="MetaPro-Norm"/>
        </w:rPr>
      </w:pPr>
      <w:r>
        <w:rPr>
          <w:rFonts w:ascii="MetaPro-Norm" w:hAnsi="MetaPro-Norm"/>
        </w:rPr>
        <w:t>T</w:t>
      </w:r>
      <w:r w:rsidR="00895F63">
        <w:rPr>
          <w:rFonts w:ascii="MetaPro-Norm" w:hAnsi="MetaPro-Norm"/>
        </w:rPr>
        <w:t>he</w:t>
      </w:r>
      <w:r w:rsidR="009708D1" w:rsidRPr="00C84A13">
        <w:rPr>
          <w:rFonts w:ascii="MetaPro-Norm" w:hAnsi="MetaPro-Norm"/>
        </w:rPr>
        <w:t xml:space="preserve"> practice was condemned during Rwanda’s review by the </w:t>
      </w:r>
      <w:r w:rsidR="009708D1">
        <w:rPr>
          <w:rFonts w:ascii="MetaPro-Norm" w:hAnsi="MetaPro-Norm"/>
        </w:rPr>
        <w:t>UN</w:t>
      </w:r>
      <w:r w:rsidR="009708D1" w:rsidRPr="00C84A13">
        <w:rPr>
          <w:rFonts w:ascii="MetaPro-Norm" w:hAnsi="MetaPro-Norm"/>
        </w:rPr>
        <w:t xml:space="preserve"> Committee on the Rights of the Child</w:t>
      </w:r>
      <w:r w:rsidR="009708D1">
        <w:rPr>
          <w:rFonts w:ascii="MetaPro-Norm" w:hAnsi="MetaPro-Norm"/>
        </w:rPr>
        <w:t xml:space="preserve"> </w:t>
      </w:r>
      <w:r w:rsidR="009708D1" w:rsidRPr="00C84A13">
        <w:rPr>
          <w:rFonts w:ascii="MetaPro-Norm" w:hAnsi="MetaPro-Norm"/>
        </w:rPr>
        <w:t>in February 2020.</w:t>
      </w:r>
      <w:r w:rsidR="009708D1" w:rsidRPr="00CB0AAD">
        <w:rPr>
          <w:rStyle w:val="FootnoteReference"/>
        </w:rPr>
        <w:footnoteReference w:id="3"/>
      </w:r>
      <w:r w:rsidR="00206E5E">
        <w:rPr>
          <w:rFonts w:ascii="MetaPro-Norm" w:hAnsi="MetaPro-Norm"/>
        </w:rPr>
        <w:t xml:space="preserve"> In December 2020, t</w:t>
      </w:r>
      <w:r w:rsidR="00206E5E" w:rsidRPr="00A457B8">
        <w:rPr>
          <w:rFonts w:ascii="MetaPro-Norm" w:hAnsi="MetaPro-Norm"/>
        </w:rPr>
        <w:t xml:space="preserve">he African Court on Human and People’s Rights held that states’ laws enabling the detention of people who, often because of poverty, are forced to </w:t>
      </w:r>
      <w:proofErr w:type="gramStart"/>
      <w:r w:rsidR="00206E5E" w:rsidRPr="00A457B8">
        <w:rPr>
          <w:rFonts w:ascii="MetaPro-Norm" w:hAnsi="MetaPro-Norm"/>
        </w:rPr>
        <w:t>live on the street</w:t>
      </w:r>
      <w:proofErr w:type="gramEnd"/>
      <w:r w:rsidR="00206E5E" w:rsidRPr="00A457B8">
        <w:rPr>
          <w:rFonts w:ascii="MetaPro-Norm" w:hAnsi="MetaPro-Norm"/>
        </w:rPr>
        <w:t>, violate human rights law</w:t>
      </w:r>
      <w:r w:rsidR="00206E5E">
        <w:rPr>
          <w:rFonts w:ascii="MetaPro-Norm" w:hAnsi="MetaPro-Norm"/>
        </w:rPr>
        <w:t>.</w:t>
      </w:r>
      <w:r w:rsidR="00206E5E" w:rsidRPr="00A457B8">
        <w:rPr>
          <w:rFonts w:ascii="MetaPro-Norm" w:hAnsi="MetaPro-Norm"/>
        </w:rPr>
        <w:t xml:space="preserve"> The opinion, issued in response to a request by the Pan African Lawyers Union, concluded that laws permitting the forcible removal or warrantless arrest of </w:t>
      </w:r>
      <w:r w:rsidR="00206E5E" w:rsidRPr="00A457B8">
        <w:rPr>
          <w:rFonts w:ascii="MetaPro-Norm" w:hAnsi="MetaPro-Norm"/>
        </w:rPr>
        <w:lastRenderedPageBreak/>
        <w:t>a person declared to be a “vagrant</w:t>
      </w:r>
      <w:r w:rsidR="00206E5E" w:rsidRPr="506D53DE">
        <w:rPr>
          <w:rFonts w:ascii="MetaPro-Norm" w:hAnsi="MetaPro-Norm"/>
        </w:rPr>
        <w:t>”</w:t>
      </w:r>
      <w:r w:rsidR="00206E5E" w:rsidRPr="00A457B8">
        <w:rPr>
          <w:rFonts w:ascii="MetaPro-Norm" w:hAnsi="MetaPro-Norm"/>
        </w:rPr>
        <w:t xml:space="preserve"> violate the African Charter on Human and Peoples’ Rights and other human rights instruments.</w:t>
      </w:r>
      <w:r w:rsidR="00206E5E">
        <w:rPr>
          <w:rStyle w:val="FootnoteReference"/>
        </w:rPr>
        <w:footnoteReference w:id="4"/>
      </w:r>
    </w:p>
    <w:p w14:paraId="4D218BE5" w14:textId="3447C655" w:rsidR="00DF2A41" w:rsidRDefault="242DCF1D" w:rsidP="00DA7781">
      <w:pPr>
        <w:rPr>
          <w:rFonts w:ascii="MetaPro-Norm" w:hAnsi="MetaPro-Norm"/>
        </w:rPr>
      </w:pPr>
      <w:r w:rsidRPr="00363D29">
        <w:rPr>
          <w:rFonts w:ascii="MetaPro-Norm" w:hAnsi="MetaPro-Norm"/>
        </w:rPr>
        <w:t xml:space="preserve">For a 2015 report, Human Rights Watch interviewed 57 former detainees who had been held at </w:t>
      </w:r>
      <w:proofErr w:type="spellStart"/>
      <w:r w:rsidRPr="00363D29">
        <w:rPr>
          <w:rFonts w:ascii="MetaPro-Norm" w:hAnsi="MetaPro-Norm"/>
        </w:rPr>
        <w:t>Gikondo</w:t>
      </w:r>
      <w:proofErr w:type="spellEnd"/>
      <w:r w:rsidRPr="00363D29">
        <w:rPr>
          <w:rFonts w:ascii="MetaPro-Norm" w:hAnsi="MetaPro-Norm"/>
        </w:rPr>
        <w:t xml:space="preserve"> </w:t>
      </w:r>
      <w:r w:rsidR="1704FF68">
        <w:rPr>
          <w:rFonts w:ascii="MetaPro-Norm" w:hAnsi="MetaPro-Norm"/>
        </w:rPr>
        <w:t xml:space="preserve">transit center </w:t>
      </w:r>
      <w:r w:rsidRPr="00363D29">
        <w:rPr>
          <w:rFonts w:ascii="MetaPro-Norm" w:hAnsi="MetaPro-Norm"/>
        </w:rPr>
        <w:t>between 2011 and 2015</w:t>
      </w:r>
      <w:r w:rsidR="00117498">
        <w:rPr>
          <w:rFonts w:ascii="MetaPro-Norm" w:hAnsi="MetaPro-Norm"/>
        </w:rPr>
        <w:t>; t</w:t>
      </w:r>
      <w:r w:rsidR="00117498" w:rsidRPr="00117498">
        <w:rPr>
          <w:rFonts w:ascii="MetaPro-Norm" w:hAnsi="MetaPro-Norm"/>
        </w:rPr>
        <w:t>en boys and three girls were aged 18 or under at the time they were interviewed</w:t>
      </w:r>
      <w:r w:rsidR="008C2FD1">
        <w:rPr>
          <w:rFonts w:ascii="MetaPro-Norm" w:hAnsi="MetaPro-Norm"/>
        </w:rPr>
        <w:t>.</w:t>
      </w:r>
      <w:r w:rsidR="00DA7781">
        <w:rPr>
          <w:rStyle w:val="FootnoteReference"/>
        </w:rPr>
        <w:footnoteReference w:id="5"/>
      </w:r>
      <w:r w:rsidRPr="00363D29">
        <w:rPr>
          <w:rFonts w:ascii="MetaPro-Norm" w:hAnsi="MetaPro-Norm"/>
        </w:rPr>
        <w:t xml:space="preserve"> For a 2016 report, Human Rights Watch interviewed 43 former detainees from </w:t>
      </w:r>
      <w:proofErr w:type="spellStart"/>
      <w:r w:rsidRPr="00363D29">
        <w:rPr>
          <w:rFonts w:ascii="MetaPro-Norm" w:hAnsi="MetaPro-Norm"/>
        </w:rPr>
        <w:t>Gikondo</w:t>
      </w:r>
      <w:proofErr w:type="spellEnd"/>
      <w:r w:rsidRPr="00363D29">
        <w:rPr>
          <w:rFonts w:ascii="MetaPro-Norm" w:hAnsi="MetaPro-Norm"/>
        </w:rPr>
        <w:t xml:space="preserve"> and three other transit centers in other parts of Rwanda: </w:t>
      </w:r>
      <w:proofErr w:type="spellStart"/>
      <w:r w:rsidRPr="00363D29">
        <w:rPr>
          <w:rFonts w:ascii="MetaPro-Norm" w:hAnsi="MetaPro-Norm"/>
        </w:rPr>
        <w:t>Muhanga</w:t>
      </w:r>
      <w:proofErr w:type="spellEnd"/>
      <w:r w:rsidRPr="00363D29">
        <w:rPr>
          <w:rFonts w:ascii="MetaPro-Norm" w:hAnsi="MetaPro-Norm"/>
        </w:rPr>
        <w:t xml:space="preserve"> (</w:t>
      </w:r>
      <w:proofErr w:type="spellStart"/>
      <w:r w:rsidRPr="00363D29">
        <w:rPr>
          <w:rFonts w:ascii="MetaPro-Norm" w:hAnsi="MetaPro-Norm"/>
        </w:rPr>
        <w:t>Muhanga</w:t>
      </w:r>
      <w:proofErr w:type="spellEnd"/>
      <w:r w:rsidRPr="00363D29">
        <w:rPr>
          <w:rFonts w:ascii="MetaPro-Norm" w:hAnsi="MetaPro-Norm"/>
        </w:rPr>
        <w:t xml:space="preserve"> district), </w:t>
      </w:r>
      <w:proofErr w:type="spellStart"/>
      <w:r w:rsidRPr="00363D29">
        <w:rPr>
          <w:rFonts w:ascii="MetaPro-Norm" w:hAnsi="MetaPro-Norm"/>
        </w:rPr>
        <w:t>Mbazi</w:t>
      </w:r>
      <w:proofErr w:type="spellEnd"/>
      <w:r w:rsidRPr="00363D29">
        <w:rPr>
          <w:rFonts w:ascii="MetaPro-Norm" w:hAnsi="MetaPro-Norm"/>
        </w:rPr>
        <w:t xml:space="preserve"> (Huye district), and </w:t>
      </w:r>
      <w:proofErr w:type="spellStart"/>
      <w:r w:rsidRPr="00363D29">
        <w:rPr>
          <w:rFonts w:ascii="MetaPro-Norm" w:hAnsi="MetaPro-Norm"/>
        </w:rPr>
        <w:t>Mudende</w:t>
      </w:r>
      <w:proofErr w:type="spellEnd"/>
      <w:r w:rsidRPr="00363D29">
        <w:rPr>
          <w:rFonts w:ascii="MetaPro-Norm" w:hAnsi="MetaPro-Norm"/>
        </w:rPr>
        <w:t xml:space="preserve"> (</w:t>
      </w:r>
      <w:proofErr w:type="spellStart"/>
      <w:r w:rsidRPr="00363D29">
        <w:rPr>
          <w:rFonts w:ascii="MetaPro-Norm" w:hAnsi="MetaPro-Norm"/>
        </w:rPr>
        <w:t>Rubavu</w:t>
      </w:r>
      <w:proofErr w:type="spellEnd"/>
      <w:r w:rsidRPr="00363D29">
        <w:rPr>
          <w:rFonts w:ascii="MetaPro-Norm" w:hAnsi="MetaPro-Norm"/>
        </w:rPr>
        <w:t xml:space="preserve"> district).</w:t>
      </w:r>
      <w:r w:rsidR="00DA7781">
        <w:rPr>
          <w:rStyle w:val="FootnoteReference"/>
        </w:rPr>
        <w:footnoteReference w:id="6"/>
      </w:r>
      <w:r w:rsidR="145C1E28" w:rsidRPr="00DF2A41">
        <w:rPr>
          <w:rFonts w:ascii="MetaPro-Norm" w:hAnsi="MetaPro-Norm"/>
        </w:rPr>
        <w:t xml:space="preserve"> </w:t>
      </w:r>
      <w:r w:rsidR="008E1D5A" w:rsidRPr="008E1D5A">
        <w:rPr>
          <w:rFonts w:ascii="MetaPro-Norm" w:hAnsi="MetaPro-Norm"/>
        </w:rPr>
        <w:t xml:space="preserve">Human Rights Watch spoke to 13 children, ages 10 to 18, who had been detained in </w:t>
      </w:r>
      <w:proofErr w:type="spellStart"/>
      <w:r w:rsidR="008E1D5A" w:rsidRPr="008E1D5A">
        <w:rPr>
          <w:rFonts w:ascii="MetaPro-Norm" w:hAnsi="MetaPro-Norm"/>
        </w:rPr>
        <w:t>Muhanga</w:t>
      </w:r>
      <w:proofErr w:type="spellEnd"/>
      <w:r w:rsidR="008E1D5A" w:rsidRPr="008E1D5A">
        <w:rPr>
          <w:rFonts w:ascii="MetaPro-Norm" w:hAnsi="MetaPro-Norm"/>
        </w:rPr>
        <w:t xml:space="preserve"> and </w:t>
      </w:r>
      <w:proofErr w:type="spellStart"/>
      <w:r w:rsidR="008E1D5A" w:rsidRPr="008E1D5A">
        <w:rPr>
          <w:rFonts w:ascii="MetaPro-Norm" w:hAnsi="MetaPro-Norm"/>
        </w:rPr>
        <w:t>Mbazi</w:t>
      </w:r>
      <w:proofErr w:type="spellEnd"/>
      <w:r w:rsidR="008E1D5A" w:rsidRPr="008E1D5A">
        <w:rPr>
          <w:rFonts w:ascii="MetaPro-Norm" w:hAnsi="MetaPro-Norm"/>
        </w:rPr>
        <w:t>, between June 2015 and May 2016.</w:t>
      </w:r>
    </w:p>
    <w:p w14:paraId="3007EF42" w14:textId="3389CFB0" w:rsidR="001D6599" w:rsidRDefault="000803BB" w:rsidP="00AA22B1">
      <w:pPr>
        <w:rPr>
          <w:rFonts w:ascii="MetaPro-Norm" w:hAnsi="MetaPro-Norm"/>
        </w:rPr>
      </w:pPr>
      <w:r>
        <w:rPr>
          <w:rFonts w:ascii="MetaPro-Norm" w:hAnsi="MetaPro-Norm"/>
        </w:rPr>
        <w:t xml:space="preserve">Human Rights Watch conducted more research into the detention of children at </w:t>
      </w:r>
      <w:proofErr w:type="spellStart"/>
      <w:r>
        <w:rPr>
          <w:rFonts w:ascii="MetaPro-Norm" w:hAnsi="MetaPro-Norm"/>
        </w:rPr>
        <w:t>Gikondo</w:t>
      </w:r>
      <w:proofErr w:type="spellEnd"/>
      <w:r>
        <w:rPr>
          <w:rFonts w:ascii="MetaPro-Norm" w:hAnsi="MetaPro-Norm"/>
        </w:rPr>
        <w:t xml:space="preserve"> transit center in 2019, ahead of Rwanda’s 2020 review by the UN Committee on the Rights of the Child. </w:t>
      </w:r>
      <w:r w:rsidR="001D6599" w:rsidRPr="001D6599">
        <w:rPr>
          <w:rFonts w:ascii="MetaPro-Norm" w:hAnsi="MetaPro-Norm"/>
        </w:rPr>
        <w:t xml:space="preserve">Between January and October 2019, Human Rights Watch conducted phone interviews with 30 formerly detained children aged 11 to 17. Only two said they had spent less than two weeks detained at the Kigali Transit Center, the center’s official name. Twenty-eight of the children said they were beaten at </w:t>
      </w:r>
      <w:proofErr w:type="spellStart"/>
      <w:r w:rsidR="001D6599" w:rsidRPr="001D6599">
        <w:rPr>
          <w:rFonts w:ascii="MetaPro-Norm" w:hAnsi="MetaPro-Norm"/>
        </w:rPr>
        <w:t>Gikondo</w:t>
      </w:r>
      <w:proofErr w:type="spellEnd"/>
      <w:r w:rsidR="001D6599" w:rsidRPr="001D6599">
        <w:rPr>
          <w:rFonts w:ascii="MetaPro-Norm" w:hAnsi="MetaPro-Norm"/>
        </w:rPr>
        <w:t>.</w:t>
      </w:r>
      <w:r w:rsidR="00011E75">
        <w:rPr>
          <w:rStyle w:val="FootnoteReference"/>
        </w:rPr>
        <w:footnoteReference w:id="7"/>
      </w:r>
    </w:p>
    <w:p w14:paraId="18CEDF54" w14:textId="3069A096" w:rsidR="00550060" w:rsidRDefault="002C6062" w:rsidP="003E4A68">
      <w:pPr>
        <w:rPr>
          <w:rFonts w:ascii="MetaPro-Norm" w:hAnsi="MetaPro-Norm"/>
        </w:rPr>
      </w:pPr>
      <w:r w:rsidRPr="002C6062">
        <w:rPr>
          <w:rFonts w:ascii="MetaPro-Norm" w:hAnsi="MetaPro-Norm"/>
        </w:rPr>
        <w:t xml:space="preserve">Between April and June 2021, Human Rights Watch interviewed via telephone 17 former detainees from </w:t>
      </w:r>
      <w:proofErr w:type="spellStart"/>
      <w:r w:rsidRPr="002C6062">
        <w:rPr>
          <w:rFonts w:ascii="MetaPro-Norm" w:hAnsi="MetaPro-Norm"/>
        </w:rPr>
        <w:t>Gikondo</w:t>
      </w:r>
      <w:proofErr w:type="spellEnd"/>
      <w:r w:rsidRPr="002C6062">
        <w:rPr>
          <w:rFonts w:ascii="MetaPro-Norm" w:hAnsi="MetaPro-Norm"/>
        </w:rPr>
        <w:t>. Interviews with nine people who identified as transgender or homosexual, three women who were detained with their babies, four men who worked as street vendors at local markets, and a 13-year-old boy living on the streets in Kigali, confirmed th</w:t>
      </w:r>
      <w:r w:rsidR="00752707">
        <w:rPr>
          <w:rFonts w:ascii="MetaPro-Norm" w:hAnsi="MetaPro-Norm"/>
        </w:rPr>
        <w:t>e ongoing</w:t>
      </w:r>
      <w:r w:rsidRPr="002C6062">
        <w:rPr>
          <w:rFonts w:ascii="MetaPro-Norm" w:hAnsi="MetaPro-Norm"/>
        </w:rPr>
        <w:t xml:space="preserve"> patterns of abuse that Human Rights Watch </w:t>
      </w:r>
      <w:r w:rsidR="00752707">
        <w:rPr>
          <w:rFonts w:ascii="MetaPro-Norm" w:hAnsi="MetaPro-Norm"/>
        </w:rPr>
        <w:t xml:space="preserve">previously </w:t>
      </w:r>
      <w:r w:rsidRPr="002C6062">
        <w:rPr>
          <w:rFonts w:ascii="MetaPro-Norm" w:hAnsi="MetaPro-Norm"/>
        </w:rPr>
        <w:t>documented.</w:t>
      </w:r>
      <w:r w:rsidR="00167DD8">
        <w:rPr>
          <w:rStyle w:val="FootnoteReference"/>
        </w:rPr>
        <w:footnoteReference w:id="8"/>
      </w:r>
    </w:p>
    <w:p w14:paraId="66ABF9B0" w14:textId="517E5067" w:rsidR="001D6599" w:rsidRPr="00550060" w:rsidRDefault="001D6599" w:rsidP="003E4A68">
      <w:pPr>
        <w:rPr>
          <w:rFonts w:ascii="MetaPro-Norm" w:hAnsi="MetaPro-Norm"/>
        </w:rPr>
      </w:pPr>
      <w:r w:rsidRPr="00A72FC8">
        <w:rPr>
          <w:rFonts w:ascii="MetaPro-Norm" w:hAnsi="MetaPro-Norm"/>
        </w:rPr>
        <w:t xml:space="preserve">None of the former detainees interviewed </w:t>
      </w:r>
      <w:r>
        <w:rPr>
          <w:rFonts w:ascii="MetaPro-Norm" w:hAnsi="MetaPro-Norm"/>
        </w:rPr>
        <w:t xml:space="preserve">for these reports </w:t>
      </w:r>
      <w:r w:rsidRPr="00A72FC8">
        <w:rPr>
          <w:rFonts w:ascii="MetaPro-Norm" w:hAnsi="MetaPro-Norm"/>
        </w:rPr>
        <w:t>were formally charged with any criminal offense</w:t>
      </w:r>
      <w:r>
        <w:rPr>
          <w:rFonts w:ascii="MetaPro-Norm" w:hAnsi="MetaPro-Norm"/>
        </w:rPr>
        <w:t>,</w:t>
      </w:r>
      <w:r w:rsidRPr="00A72FC8">
        <w:rPr>
          <w:rFonts w:ascii="MetaPro-Norm" w:hAnsi="MetaPro-Norm"/>
        </w:rPr>
        <w:t xml:space="preserve"> and none saw a prosecutor, judge, or lawyer before or during their detention.</w:t>
      </w:r>
      <w:r>
        <w:rPr>
          <w:rFonts w:ascii="MetaPro-Norm" w:hAnsi="MetaPro-Norm"/>
        </w:rPr>
        <w:t xml:space="preserve"> </w:t>
      </w:r>
    </w:p>
    <w:p w14:paraId="72167A2D" w14:textId="77777777" w:rsidR="00C906EA" w:rsidRDefault="00C906EA" w:rsidP="00550060">
      <w:pPr>
        <w:spacing w:after="0"/>
        <w:rPr>
          <w:rFonts w:ascii="MetaPro-Norm" w:hAnsi="MetaPro-Norm"/>
          <w:i/>
          <w:iCs/>
        </w:rPr>
      </w:pPr>
    </w:p>
    <w:p w14:paraId="55D5EF73" w14:textId="77777777" w:rsidR="00C906EA" w:rsidRDefault="00C906EA" w:rsidP="00550060">
      <w:pPr>
        <w:spacing w:after="0"/>
        <w:rPr>
          <w:rFonts w:ascii="MetaPro-Norm" w:hAnsi="MetaPro-Norm"/>
          <w:i/>
          <w:iCs/>
        </w:rPr>
      </w:pPr>
    </w:p>
    <w:p w14:paraId="788FCB0B" w14:textId="5F8D9690" w:rsidR="00DA7781" w:rsidRPr="00550060" w:rsidRDefault="00DA7781" w:rsidP="00550060">
      <w:pPr>
        <w:spacing w:after="0"/>
        <w:rPr>
          <w:rFonts w:ascii="MetaPro-Norm" w:hAnsi="MetaPro-Norm"/>
          <w:i/>
          <w:iCs/>
        </w:rPr>
      </w:pPr>
      <w:proofErr w:type="spellStart"/>
      <w:r w:rsidRPr="00550060">
        <w:rPr>
          <w:rFonts w:ascii="MetaPro-Norm" w:hAnsi="MetaPro-Norm"/>
          <w:i/>
          <w:iCs/>
        </w:rPr>
        <w:lastRenderedPageBreak/>
        <w:t>Gikondo</w:t>
      </w:r>
      <w:proofErr w:type="spellEnd"/>
      <w:r w:rsidRPr="00550060">
        <w:rPr>
          <w:rFonts w:ascii="MetaPro-Norm" w:hAnsi="MetaPro-Norm"/>
          <w:i/>
          <w:iCs/>
        </w:rPr>
        <w:t xml:space="preserve"> Transit Center</w:t>
      </w:r>
    </w:p>
    <w:p w14:paraId="01A4F71B" w14:textId="3099953A" w:rsidR="2B1F15D9" w:rsidRDefault="2B1F15D9" w:rsidP="18E55EDF">
      <w:pPr>
        <w:rPr>
          <w:rFonts w:ascii="MetaPro-Norm" w:hAnsi="MetaPro-Norm"/>
        </w:rPr>
      </w:pPr>
      <w:r w:rsidRPr="18E55EDF">
        <w:rPr>
          <w:rFonts w:ascii="MetaPro-Norm" w:hAnsi="MetaPro-Norm"/>
        </w:rPr>
        <w:t xml:space="preserve">Police </w:t>
      </w:r>
      <w:r w:rsidR="484DD020" w:rsidRPr="18E55EDF">
        <w:rPr>
          <w:rFonts w:ascii="MetaPro-Norm" w:hAnsi="MetaPro-Norm"/>
        </w:rPr>
        <w:t>roundups</w:t>
      </w:r>
      <w:r w:rsidRPr="18E55EDF">
        <w:rPr>
          <w:rFonts w:ascii="MetaPro-Norm" w:hAnsi="MetaPro-Norm"/>
        </w:rPr>
        <w:t xml:space="preserve"> of poor people on the streets of Kigali are often the first step towards unlawful detention and inhuman and degrading treatment at </w:t>
      </w:r>
      <w:proofErr w:type="spellStart"/>
      <w:r w:rsidRPr="18E55EDF">
        <w:rPr>
          <w:rFonts w:ascii="MetaPro-Norm" w:hAnsi="MetaPro-Norm"/>
        </w:rPr>
        <w:t>Gikondo</w:t>
      </w:r>
      <w:proofErr w:type="spellEnd"/>
      <w:r w:rsidRPr="18E55EDF">
        <w:rPr>
          <w:rFonts w:ascii="MetaPro-Norm" w:hAnsi="MetaPro-Norm"/>
        </w:rPr>
        <w:t>. The arbitrary way people are arrested</w:t>
      </w:r>
      <w:r w:rsidR="4884DEDC" w:rsidRPr="18E55EDF">
        <w:rPr>
          <w:rFonts w:ascii="MetaPro-Norm" w:hAnsi="MetaPro-Norm"/>
        </w:rPr>
        <w:t xml:space="preserve"> </w:t>
      </w:r>
      <w:r w:rsidRPr="18E55EDF">
        <w:rPr>
          <w:rFonts w:ascii="MetaPro-Norm" w:hAnsi="MetaPro-Norm"/>
        </w:rPr>
        <w:t xml:space="preserve">is consistent with the </w:t>
      </w:r>
      <w:r w:rsidR="168D0346" w:rsidRPr="18E55EDF">
        <w:rPr>
          <w:rFonts w:ascii="MetaPro-Norm" w:hAnsi="MetaPro-Norm"/>
        </w:rPr>
        <w:t>a</w:t>
      </w:r>
      <w:r w:rsidRPr="18E55EDF">
        <w:rPr>
          <w:rFonts w:ascii="MetaPro-Norm" w:hAnsi="MetaPro-Norm"/>
        </w:rPr>
        <w:t xml:space="preserve">bsence of due process that continues once they are detained at </w:t>
      </w:r>
      <w:proofErr w:type="spellStart"/>
      <w:r w:rsidRPr="18E55EDF">
        <w:rPr>
          <w:rFonts w:ascii="MetaPro-Norm" w:hAnsi="MetaPro-Norm"/>
        </w:rPr>
        <w:t>Gikondo</w:t>
      </w:r>
      <w:proofErr w:type="spellEnd"/>
      <w:r w:rsidRPr="18E55EDF">
        <w:rPr>
          <w:rFonts w:ascii="MetaPro-Norm" w:hAnsi="MetaPro-Norm"/>
        </w:rPr>
        <w:t>.</w:t>
      </w:r>
      <w:r w:rsidR="539B90F8" w:rsidRPr="18E55EDF">
        <w:rPr>
          <w:rFonts w:ascii="MetaPro-Norm" w:hAnsi="MetaPro-Norm"/>
        </w:rPr>
        <w:t xml:space="preserve"> </w:t>
      </w:r>
      <w:r w:rsidR="4FB1CD7B" w:rsidRPr="18E55EDF">
        <w:rPr>
          <w:rFonts w:ascii="MetaPro-Norm" w:hAnsi="MetaPro-Norm"/>
        </w:rPr>
        <w:t>Since 2017, a new legal framework and policies under the government’s strategy to “eradicate delinquency” have sought to legitimize and regulate detention in so-called transit centers. But in reality, this new legislation provides cover for the continuing arbitrary detention of, and violations against, detainees, including children.</w:t>
      </w:r>
    </w:p>
    <w:p w14:paraId="61E751D3" w14:textId="763F9E96" w:rsidR="00DA7781" w:rsidRPr="00546E97" w:rsidRDefault="2B1F15D9" w:rsidP="00D320A1">
      <w:pPr>
        <w:rPr>
          <w:rFonts w:ascii="MetaPro-Norm" w:hAnsi="MetaPro-Norm"/>
        </w:rPr>
      </w:pPr>
      <w:r w:rsidRPr="18E55EDF">
        <w:rPr>
          <w:rFonts w:ascii="MetaPro-Norm" w:hAnsi="MetaPro-Norm"/>
        </w:rPr>
        <w:t xml:space="preserve">During interviews </w:t>
      </w:r>
      <w:r w:rsidR="2446BA1C" w:rsidRPr="18E55EDF">
        <w:rPr>
          <w:rFonts w:ascii="MetaPro-Norm" w:hAnsi="MetaPro-Norm"/>
        </w:rPr>
        <w:t>conducted between 2015 and 2021,</w:t>
      </w:r>
      <w:r w:rsidRPr="18E55EDF">
        <w:rPr>
          <w:rFonts w:ascii="MetaPro-Norm" w:hAnsi="MetaPro-Norm"/>
        </w:rPr>
        <w:t xml:space="preserve"> former </w:t>
      </w:r>
      <w:proofErr w:type="spellStart"/>
      <w:r w:rsidRPr="18E55EDF">
        <w:rPr>
          <w:rFonts w:ascii="MetaPro-Norm" w:hAnsi="MetaPro-Norm"/>
        </w:rPr>
        <w:t>Gikondo</w:t>
      </w:r>
      <w:proofErr w:type="spellEnd"/>
      <w:r w:rsidRPr="18E55EDF">
        <w:rPr>
          <w:rFonts w:ascii="MetaPro-Norm" w:hAnsi="MetaPro-Norm"/>
        </w:rPr>
        <w:t xml:space="preserve"> detainees told Human Rights Watch that </w:t>
      </w:r>
      <w:r w:rsidR="5AE1DE67" w:rsidRPr="18E55EDF">
        <w:rPr>
          <w:rFonts w:ascii="MetaPro-Norm" w:hAnsi="MetaPro-Norm"/>
        </w:rPr>
        <w:t>several hundred</w:t>
      </w:r>
      <w:r w:rsidRPr="18E55EDF">
        <w:rPr>
          <w:rFonts w:ascii="MetaPro-Norm" w:hAnsi="MetaPro-Norm"/>
        </w:rPr>
        <w:t xml:space="preserve"> people could be held at the center at one time, in several large rooms. The length of detention could range from a few days to several months. </w:t>
      </w:r>
      <w:r w:rsidR="6A4D6F98" w:rsidRPr="18E55EDF">
        <w:rPr>
          <w:rFonts w:ascii="MetaPro-Norm" w:hAnsi="MetaPro-Norm"/>
        </w:rPr>
        <w:t xml:space="preserve">Detainees were not accorded necessities, such as a regular supply and reasonable quantities of food and clean water, </w:t>
      </w:r>
      <w:r w:rsidR="79F685DB" w:rsidRPr="18E55EDF">
        <w:rPr>
          <w:rFonts w:ascii="MetaPro-Norm" w:hAnsi="MetaPro-Norm"/>
        </w:rPr>
        <w:t xml:space="preserve">and often </w:t>
      </w:r>
      <w:r w:rsidR="6A4D6F98" w:rsidRPr="18E55EDF">
        <w:rPr>
          <w:rFonts w:ascii="MetaPro-Norm" w:hAnsi="MetaPro-Norm"/>
        </w:rPr>
        <w:t>slept on the floor</w:t>
      </w:r>
      <w:r w:rsidR="79F685DB" w:rsidRPr="18E55EDF">
        <w:rPr>
          <w:rFonts w:ascii="MetaPro-Norm" w:hAnsi="MetaPro-Norm"/>
        </w:rPr>
        <w:t>. Mattresses</w:t>
      </w:r>
      <w:r w:rsidR="41BEE44F" w:rsidRPr="18E55EDF">
        <w:rPr>
          <w:rFonts w:ascii="MetaPro-Norm" w:hAnsi="MetaPro-Norm"/>
        </w:rPr>
        <w:t>, when provided, were shared by several detainees and were often infested with lice and fleas.</w:t>
      </w:r>
    </w:p>
    <w:p w14:paraId="023AE785" w14:textId="7F50A207" w:rsidR="00DA7781" w:rsidRPr="00546E97" w:rsidRDefault="00814AA8" w:rsidP="00DA7781">
      <w:pPr>
        <w:rPr>
          <w:rFonts w:ascii="MetaPro-Norm" w:hAnsi="MetaPro-Norm"/>
        </w:rPr>
      </w:pPr>
      <w:r>
        <w:rPr>
          <w:rFonts w:ascii="MetaPro-Norm" w:hAnsi="MetaPro-Norm"/>
        </w:rPr>
        <w:t>Human Rights Watch also reported that i</w:t>
      </w:r>
      <w:r w:rsidR="00DA7781" w:rsidRPr="00546E97">
        <w:rPr>
          <w:rFonts w:ascii="MetaPro-Norm" w:hAnsi="MetaPro-Norm"/>
        </w:rPr>
        <w:t xml:space="preserve">ll-treatment and beatings of detainees by the police or by other detainees, acting on the orders or with the assent of the police, are commonplace at </w:t>
      </w:r>
      <w:proofErr w:type="spellStart"/>
      <w:r w:rsidR="00DA7781" w:rsidRPr="00546E97">
        <w:rPr>
          <w:rFonts w:ascii="MetaPro-Norm" w:hAnsi="MetaPro-Norm"/>
        </w:rPr>
        <w:t>Gikondo</w:t>
      </w:r>
      <w:proofErr w:type="spellEnd"/>
      <w:r w:rsidR="00DA7781" w:rsidRPr="00546E97">
        <w:rPr>
          <w:rFonts w:ascii="MetaPro-Norm" w:hAnsi="MetaPro-Norm"/>
        </w:rPr>
        <w:t xml:space="preserve">. Former detainees spoke of routine beatings for actions as trivial as talking too loudly or not standing in line to use the toilet. An 11-year-old boy who was held at </w:t>
      </w:r>
      <w:proofErr w:type="spellStart"/>
      <w:r w:rsidR="00DA7781" w:rsidRPr="00546E97">
        <w:rPr>
          <w:rFonts w:ascii="MetaPro-Norm" w:hAnsi="MetaPro-Norm"/>
        </w:rPr>
        <w:t>Gikondo</w:t>
      </w:r>
      <w:proofErr w:type="spellEnd"/>
      <w:r w:rsidR="00DA7781" w:rsidRPr="00546E97">
        <w:rPr>
          <w:rFonts w:ascii="MetaPro-Norm" w:hAnsi="MetaPro-Norm"/>
        </w:rPr>
        <w:t xml:space="preserve"> in 2019 explained to Human Rights Watch how he was accused of being a vagabond and beaten. “We were all beaten,” he said. “When you commit an involuntary fault</w:t>
      </w:r>
      <w:r w:rsidR="00163D63">
        <w:rPr>
          <w:rFonts w:ascii="MetaPro-Norm" w:hAnsi="MetaPro-Norm"/>
        </w:rPr>
        <w:t>,</w:t>
      </w:r>
      <w:r w:rsidR="00DA7781" w:rsidRPr="00546E97">
        <w:rPr>
          <w:rFonts w:ascii="MetaPro-Norm" w:hAnsi="MetaPro-Norm"/>
        </w:rPr>
        <w:t xml:space="preserve"> you can be beaten more than 20 times on the buttocks with a large club.”</w:t>
      </w:r>
      <w:r w:rsidR="00DA7781">
        <w:rPr>
          <w:rStyle w:val="FootnoteReference"/>
        </w:rPr>
        <w:footnoteReference w:id="9"/>
      </w:r>
    </w:p>
    <w:p w14:paraId="503443F8" w14:textId="77777777" w:rsidR="00DA7781" w:rsidRDefault="00DA7781" w:rsidP="00DA7781">
      <w:pPr>
        <w:rPr>
          <w:rFonts w:ascii="MetaPro-Norm" w:hAnsi="MetaPro-Norm"/>
        </w:rPr>
      </w:pPr>
      <w:r w:rsidRPr="00187A06">
        <w:rPr>
          <w:rFonts w:ascii="MetaPro-Norm" w:hAnsi="MetaPro-Norm"/>
        </w:rPr>
        <w:t xml:space="preserve">The conditions at </w:t>
      </w:r>
      <w:proofErr w:type="spellStart"/>
      <w:r w:rsidRPr="00187A06">
        <w:rPr>
          <w:rFonts w:ascii="MetaPro-Norm" w:hAnsi="MetaPro-Norm"/>
        </w:rPr>
        <w:t>Gikondo</w:t>
      </w:r>
      <w:proofErr w:type="spellEnd"/>
      <w:r w:rsidRPr="00187A06">
        <w:rPr>
          <w:rFonts w:ascii="MetaPro-Norm" w:hAnsi="MetaPro-Norm"/>
        </w:rPr>
        <w:t xml:space="preserve"> are particularly unsuitable for young children. Former detainees told Human Rights Watch that while young children were given extra food, the quantity was not sufficient. They were not provided with milk or baby food. One former female detainee told Human Rights Watch, “The kids are given porridge once a day</w:t>
      </w:r>
      <w:r>
        <w:rPr>
          <w:rFonts w:ascii="MetaPro-Norm" w:hAnsi="MetaPro-Norm"/>
        </w:rPr>
        <w:t>,</w:t>
      </w:r>
      <w:r w:rsidRPr="00187A06">
        <w:rPr>
          <w:rFonts w:ascii="MetaPro-Norm" w:hAnsi="MetaPro-Norm"/>
        </w:rPr>
        <w:t xml:space="preserve"> but it was bad and mixed with water. Sometimes there was no porridge</w:t>
      </w:r>
      <w:r>
        <w:rPr>
          <w:rFonts w:ascii="MetaPro-Norm" w:hAnsi="MetaPro-Norm"/>
        </w:rPr>
        <w:t>,</w:t>
      </w:r>
      <w:r w:rsidRPr="00187A06">
        <w:rPr>
          <w:rFonts w:ascii="MetaPro-Norm" w:hAnsi="MetaPro-Norm"/>
        </w:rPr>
        <w:t xml:space="preserve"> so they gave them water that was used to cook the beans.”</w:t>
      </w:r>
      <w:r>
        <w:rPr>
          <w:rStyle w:val="FootnoteReference"/>
        </w:rPr>
        <w:footnoteReference w:id="10"/>
      </w:r>
    </w:p>
    <w:p w14:paraId="06164F13" w14:textId="291FB224" w:rsidR="00841F66" w:rsidRDefault="00DA7781" w:rsidP="003E4A68">
      <w:pPr>
        <w:rPr>
          <w:rFonts w:ascii="MetaPro-Norm" w:hAnsi="MetaPro-Norm"/>
        </w:rPr>
      </w:pPr>
      <w:r w:rsidRPr="006061AB">
        <w:rPr>
          <w:rFonts w:ascii="MetaPro-Norm" w:hAnsi="MetaPro-Norm"/>
        </w:rPr>
        <w:t xml:space="preserve">Female detainees with young children or babies were frequently beaten if the child defecated on the floor. Defecation on the floor by a detainee’s child was considered a serious offense at </w:t>
      </w:r>
      <w:proofErr w:type="spellStart"/>
      <w:r w:rsidRPr="006061AB">
        <w:rPr>
          <w:rFonts w:ascii="MetaPro-Norm" w:hAnsi="MetaPro-Norm"/>
        </w:rPr>
        <w:t>Gikondo</w:t>
      </w:r>
      <w:proofErr w:type="spellEnd"/>
      <w:r w:rsidRPr="006061AB">
        <w:rPr>
          <w:rFonts w:ascii="MetaPro-Norm" w:hAnsi="MetaPro-Norm"/>
        </w:rPr>
        <w:t>. Detainees described not having access to water in the roo</w:t>
      </w:r>
      <w:r>
        <w:rPr>
          <w:rFonts w:ascii="MetaPro-Norm" w:hAnsi="MetaPro-Norm"/>
        </w:rPr>
        <w:t>m</w:t>
      </w:r>
      <w:r w:rsidRPr="006061AB">
        <w:rPr>
          <w:rFonts w:ascii="MetaPro-Norm" w:hAnsi="MetaPro-Norm"/>
        </w:rPr>
        <w:t xml:space="preserve"> and being allowed to go out of the room to use the toilet only at fixed times.</w:t>
      </w:r>
    </w:p>
    <w:p w14:paraId="1CA64CD3" w14:textId="5A0E63D5" w:rsidR="00360277" w:rsidRPr="00360277" w:rsidRDefault="00B91832" w:rsidP="00360277">
      <w:pPr>
        <w:rPr>
          <w:rFonts w:ascii="MetaPro-Norm" w:hAnsi="MetaPro-Norm"/>
        </w:rPr>
      </w:pPr>
      <w:r>
        <w:rPr>
          <w:rFonts w:ascii="MetaPro-Norm" w:hAnsi="MetaPro-Norm"/>
        </w:rPr>
        <w:lastRenderedPageBreak/>
        <w:t xml:space="preserve">In the months before a planned June 2021 high-profile international conference, </w:t>
      </w:r>
      <w:r w:rsidRPr="00422709">
        <w:rPr>
          <w:rFonts w:ascii="MetaPro-Norm" w:hAnsi="MetaPro-Norm"/>
        </w:rPr>
        <w:t>Rwandan authorities rounded up and arbitrarily detained</w:t>
      </w:r>
      <w:r w:rsidR="00DB0C39">
        <w:rPr>
          <w:rFonts w:ascii="MetaPro-Norm" w:hAnsi="MetaPro-Norm"/>
        </w:rPr>
        <w:t xml:space="preserve"> in </w:t>
      </w:r>
      <w:proofErr w:type="spellStart"/>
      <w:r w:rsidR="00DB0C39">
        <w:rPr>
          <w:rFonts w:ascii="MetaPro-Norm" w:hAnsi="MetaPro-Norm"/>
        </w:rPr>
        <w:t>Gikondo</w:t>
      </w:r>
      <w:proofErr w:type="spellEnd"/>
      <w:r w:rsidR="00DB0C39">
        <w:rPr>
          <w:rFonts w:ascii="MetaPro-Norm" w:hAnsi="MetaPro-Norm"/>
        </w:rPr>
        <w:t xml:space="preserve"> </w:t>
      </w:r>
      <w:r w:rsidRPr="00422709">
        <w:rPr>
          <w:rFonts w:ascii="MetaPro-Norm" w:hAnsi="MetaPro-Norm"/>
        </w:rPr>
        <w:t>over a dozen gay and transgender people, sex workers, street children, and others</w:t>
      </w:r>
      <w:r>
        <w:rPr>
          <w:rFonts w:ascii="MetaPro-Norm" w:hAnsi="MetaPro-Norm"/>
        </w:rPr>
        <w:t>.</w:t>
      </w:r>
      <w:r>
        <w:rPr>
          <w:rStyle w:val="FootnoteReference"/>
        </w:rPr>
        <w:footnoteReference w:id="11"/>
      </w:r>
      <w:r>
        <w:rPr>
          <w:rFonts w:ascii="MetaPro-Norm" w:hAnsi="MetaPro-Norm"/>
        </w:rPr>
        <w:t xml:space="preserve"> </w:t>
      </w:r>
      <w:r w:rsidRPr="00332745">
        <w:rPr>
          <w:rFonts w:ascii="MetaPro-Norm" w:hAnsi="MetaPro-Norm"/>
        </w:rPr>
        <w:t>In the past, round-ups have been connected to high-profile government events, ahead of which security forces may ramp up efforts to “clear up” Kigali’s streets.</w:t>
      </w:r>
      <w:r>
        <w:rPr>
          <w:rStyle w:val="FootnoteReference"/>
        </w:rPr>
        <w:footnoteReference w:id="12"/>
      </w:r>
      <w:r w:rsidRPr="00332745">
        <w:rPr>
          <w:rFonts w:ascii="MetaPro-Norm" w:hAnsi="MetaPro-Norm"/>
        </w:rPr>
        <w:t xml:space="preserve"> </w:t>
      </w:r>
      <w:r w:rsidR="00360277" w:rsidRPr="00360277">
        <w:rPr>
          <w:rFonts w:ascii="MetaPro-Norm" w:hAnsi="MetaPro-Norm"/>
        </w:rPr>
        <w:t xml:space="preserve">Sources in Kigali confirmed that fewer people were living or working on the streets in the month preceding the date for the meeting. Several former detainees said the conditions at </w:t>
      </w:r>
      <w:proofErr w:type="spellStart"/>
      <w:r w:rsidR="00360277" w:rsidRPr="00360277">
        <w:rPr>
          <w:rFonts w:ascii="MetaPro-Norm" w:hAnsi="MetaPro-Norm"/>
        </w:rPr>
        <w:t>Gikondo</w:t>
      </w:r>
      <w:proofErr w:type="spellEnd"/>
      <w:r w:rsidR="00360277" w:rsidRPr="00360277">
        <w:rPr>
          <w:rFonts w:ascii="MetaPro-Norm" w:hAnsi="MetaPro-Norm"/>
        </w:rPr>
        <w:t xml:space="preserve"> had worsened in the lead-up to the meeting due to severe overcrowding.</w:t>
      </w:r>
    </w:p>
    <w:p w14:paraId="3C864B1C" w14:textId="2ED48E67" w:rsidR="009708D1" w:rsidRDefault="00B91832" w:rsidP="003C7CE1">
      <w:pPr>
        <w:rPr>
          <w:rFonts w:ascii="MetaPro-Norm" w:hAnsi="MetaPro-Norm"/>
        </w:rPr>
      </w:pPr>
      <w:r w:rsidRPr="00332745">
        <w:rPr>
          <w:rFonts w:ascii="MetaPro-Norm" w:hAnsi="MetaPro-Norm"/>
        </w:rPr>
        <w:t>Human Rights Watch documented a similar round-up in 2016 before an African Union Summit held in Kigali.</w:t>
      </w:r>
    </w:p>
    <w:p w14:paraId="272D9B07" w14:textId="77777777" w:rsidR="009708D1" w:rsidRDefault="009708D1" w:rsidP="00550060">
      <w:pPr>
        <w:spacing w:after="0"/>
        <w:rPr>
          <w:rFonts w:ascii="MetaPro-Norm" w:hAnsi="MetaPro-Norm"/>
        </w:rPr>
      </w:pPr>
    </w:p>
    <w:p w14:paraId="281E3375" w14:textId="41A662EB" w:rsidR="00DA7781" w:rsidRPr="00550060" w:rsidRDefault="00DA7781" w:rsidP="00550060">
      <w:pPr>
        <w:spacing w:after="0"/>
        <w:rPr>
          <w:rFonts w:ascii="MetaPro-Norm" w:hAnsi="MetaPro-Norm"/>
          <w:i/>
          <w:iCs/>
        </w:rPr>
      </w:pPr>
      <w:r w:rsidRPr="00550060">
        <w:rPr>
          <w:rFonts w:ascii="MetaPro-Norm" w:hAnsi="MetaPro-Norm"/>
          <w:i/>
          <w:iCs/>
        </w:rPr>
        <w:t xml:space="preserve">Transit Centers in </w:t>
      </w:r>
      <w:proofErr w:type="spellStart"/>
      <w:r w:rsidRPr="00550060">
        <w:rPr>
          <w:rFonts w:ascii="MetaPro-Norm" w:hAnsi="MetaPro-Norm"/>
          <w:i/>
          <w:iCs/>
        </w:rPr>
        <w:t>Mudende</w:t>
      </w:r>
      <w:proofErr w:type="spellEnd"/>
      <w:r w:rsidRPr="00550060">
        <w:rPr>
          <w:rFonts w:ascii="MetaPro-Norm" w:hAnsi="MetaPro-Norm"/>
          <w:i/>
          <w:iCs/>
        </w:rPr>
        <w:t xml:space="preserve">, </w:t>
      </w:r>
      <w:proofErr w:type="spellStart"/>
      <w:r w:rsidRPr="00550060">
        <w:rPr>
          <w:rFonts w:ascii="MetaPro-Norm" w:hAnsi="MetaPro-Norm"/>
          <w:i/>
          <w:iCs/>
        </w:rPr>
        <w:t>Mbazi</w:t>
      </w:r>
      <w:proofErr w:type="spellEnd"/>
      <w:r w:rsidRPr="00550060">
        <w:rPr>
          <w:rFonts w:ascii="MetaPro-Norm" w:hAnsi="MetaPro-Norm"/>
          <w:i/>
          <w:iCs/>
        </w:rPr>
        <w:t xml:space="preserve">, </w:t>
      </w:r>
      <w:proofErr w:type="spellStart"/>
      <w:r w:rsidRPr="00550060">
        <w:rPr>
          <w:rFonts w:ascii="MetaPro-Norm" w:hAnsi="MetaPro-Norm"/>
          <w:i/>
          <w:iCs/>
        </w:rPr>
        <w:t>Muhanga</w:t>
      </w:r>
      <w:proofErr w:type="spellEnd"/>
    </w:p>
    <w:p w14:paraId="29A8D676" w14:textId="5A227225" w:rsidR="00DA7781" w:rsidRDefault="00DA7781" w:rsidP="00DA7781">
      <w:pPr>
        <w:rPr>
          <w:rFonts w:ascii="MetaPro-Norm" w:hAnsi="MetaPro-Norm"/>
        </w:rPr>
      </w:pPr>
      <w:r w:rsidRPr="139ED66C">
        <w:rPr>
          <w:rFonts w:ascii="MetaPro-Norm" w:hAnsi="MetaPro-Norm"/>
        </w:rPr>
        <w:t xml:space="preserve">According to research in 2016, most detainees in </w:t>
      </w:r>
      <w:proofErr w:type="spellStart"/>
      <w:r w:rsidRPr="139ED66C">
        <w:rPr>
          <w:rFonts w:ascii="MetaPro-Norm" w:hAnsi="MetaPro-Norm"/>
        </w:rPr>
        <w:t>Mudende</w:t>
      </w:r>
      <w:proofErr w:type="spellEnd"/>
      <w:r w:rsidRPr="139ED66C">
        <w:rPr>
          <w:rFonts w:ascii="MetaPro-Norm" w:hAnsi="MetaPro-Norm"/>
        </w:rPr>
        <w:t xml:space="preserve">, </w:t>
      </w:r>
      <w:proofErr w:type="spellStart"/>
      <w:r w:rsidRPr="139ED66C">
        <w:rPr>
          <w:rFonts w:ascii="MetaPro-Norm" w:hAnsi="MetaPro-Norm"/>
        </w:rPr>
        <w:t>Mbazi</w:t>
      </w:r>
      <w:proofErr w:type="spellEnd"/>
      <w:r w:rsidRPr="139ED66C">
        <w:rPr>
          <w:rFonts w:ascii="MetaPro-Norm" w:hAnsi="MetaPro-Norm"/>
        </w:rPr>
        <w:t xml:space="preserve">, and </w:t>
      </w:r>
      <w:proofErr w:type="spellStart"/>
      <w:r w:rsidRPr="139ED66C">
        <w:rPr>
          <w:rFonts w:ascii="MetaPro-Norm" w:hAnsi="MetaPro-Norm"/>
        </w:rPr>
        <w:t>Muhanga</w:t>
      </w:r>
      <w:proofErr w:type="spellEnd"/>
      <w:r w:rsidRPr="139ED66C">
        <w:rPr>
          <w:rFonts w:ascii="MetaPro-Norm" w:hAnsi="MetaPro-Norm"/>
        </w:rPr>
        <w:t xml:space="preserve"> centers were not allowed to leave their room, except to go to the toilet twice a day. In most cases, food was no more than one cup of corn a day, and several former detainees complained of the lack of drinking water or the opportunity to wash.</w:t>
      </w:r>
      <w:r w:rsidR="00D67ECD" w:rsidRPr="139ED66C">
        <w:rPr>
          <w:rFonts w:ascii="MetaPro-Norm" w:hAnsi="MetaPro-Norm"/>
        </w:rPr>
        <w:t xml:space="preserve"> Many said they had been beaten.</w:t>
      </w:r>
    </w:p>
    <w:p w14:paraId="4D38473B" w14:textId="77777777" w:rsidR="00DA7781" w:rsidRDefault="00DA7781" w:rsidP="00DA7781">
      <w:pPr>
        <w:rPr>
          <w:rFonts w:ascii="MetaPro-Norm" w:hAnsi="MetaPro-Norm"/>
        </w:rPr>
      </w:pPr>
      <w:r w:rsidRPr="0069236C">
        <w:rPr>
          <w:rFonts w:ascii="MetaPro-Norm" w:hAnsi="MetaPro-Norm"/>
        </w:rPr>
        <w:t xml:space="preserve">In </w:t>
      </w:r>
      <w:proofErr w:type="spellStart"/>
      <w:r w:rsidRPr="0069236C">
        <w:rPr>
          <w:rFonts w:ascii="MetaPro-Norm" w:hAnsi="MetaPro-Norm"/>
        </w:rPr>
        <w:t>Muhanga</w:t>
      </w:r>
      <w:proofErr w:type="spellEnd"/>
      <w:r w:rsidRPr="0069236C">
        <w:rPr>
          <w:rFonts w:ascii="MetaPro-Norm" w:hAnsi="MetaPro-Norm"/>
        </w:rPr>
        <w:t xml:space="preserve">, children were held in the same center as adults, while in </w:t>
      </w:r>
      <w:proofErr w:type="spellStart"/>
      <w:r w:rsidRPr="0069236C">
        <w:rPr>
          <w:rFonts w:ascii="MetaPro-Norm" w:hAnsi="MetaPro-Norm"/>
        </w:rPr>
        <w:t>Mbazi</w:t>
      </w:r>
      <w:proofErr w:type="spellEnd"/>
      <w:r w:rsidRPr="0069236C">
        <w:rPr>
          <w:rFonts w:ascii="MetaPro-Norm" w:hAnsi="MetaPro-Norm"/>
        </w:rPr>
        <w:t xml:space="preserve"> they were held in a separate building, in slightly better conditions. They received more varied food, and a greater quantity, and could move around more freely, but adults who visited the children’s room said there was a lack of proper hygiene and no education.</w:t>
      </w:r>
    </w:p>
    <w:p w14:paraId="03117E86" w14:textId="77777777" w:rsidR="00DA7781" w:rsidRPr="0025748D" w:rsidRDefault="00DA7781" w:rsidP="00DA7781">
      <w:pPr>
        <w:rPr>
          <w:rFonts w:ascii="MetaPro-Norm" w:hAnsi="MetaPro-Norm"/>
        </w:rPr>
      </w:pPr>
      <w:r w:rsidRPr="0025748D">
        <w:rPr>
          <w:rFonts w:ascii="MetaPro-Norm" w:hAnsi="MetaPro-Norm"/>
        </w:rPr>
        <w:t xml:space="preserve">Most said they were arrested because they could not show identity documents or were street vendors or street children. Two boys said they had gone to the </w:t>
      </w:r>
      <w:proofErr w:type="spellStart"/>
      <w:r w:rsidRPr="0025748D">
        <w:rPr>
          <w:rFonts w:ascii="MetaPro-Norm" w:hAnsi="MetaPro-Norm"/>
        </w:rPr>
        <w:t>Mbazi</w:t>
      </w:r>
      <w:proofErr w:type="spellEnd"/>
      <w:r w:rsidRPr="0025748D">
        <w:rPr>
          <w:rFonts w:ascii="MetaPro-Norm" w:hAnsi="MetaPro-Norm"/>
        </w:rPr>
        <w:t xml:space="preserve"> transit center voluntarily, looking for a better life. One ran away a few days after he arrived. A social worker took another boy out of the center, where there were no activities, to place him back in school.</w:t>
      </w:r>
      <w:r>
        <w:rPr>
          <w:rStyle w:val="FootnoteReference"/>
        </w:rPr>
        <w:footnoteReference w:id="13"/>
      </w:r>
    </w:p>
    <w:p w14:paraId="65CCDAA4" w14:textId="0826DF3D" w:rsidR="00992DFC" w:rsidRDefault="1636C847" w:rsidP="00D14D12">
      <w:pPr>
        <w:spacing w:after="0"/>
        <w:rPr>
          <w:rFonts w:ascii="MetaPro-Norm" w:hAnsi="MetaPro-Norm"/>
        </w:rPr>
      </w:pPr>
      <w:r w:rsidRPr="44B92DAA">
        <w:rPr>
          <w:rFonts w:ascii="MetaPro-Norm" w:hAnsi="MetaPro-Norm"/>
        </w:rPr>
        <w:t>A</w:t>
      </w:r>
      <w:r w:rsidR="00471518" w:rsidRPr="44B92DAA">
        <w:rPr>
          <w:rFonts w:ascii="MetaPro-Norm" w:hAnsi="MetaPro-Norm"/>
        </w:rPr>
        <w:t>ll</w:t>
      </w:r>
      <w:r w:rsidR="00471518" w:rsidRPr="004A7BB5">
        <w:rPr>
          <w:rFonts w:ascii="MetaPro-Norm" w:hAnsi="MetaPro-Norm"/>
        </w:rPr>
        <w:t xml:space="preserve"> the people interviewed had been released after their most recent period of detention without being transferred anywhere. Most resumed their old habits or activities as soon as they were released, as they had no alternative way to earn a living.</w:t>
      </w:r>
    </w:p>
    <w:p w14:paraId="155629EB" w14:textId="77777777" w:rsidR="00315952" w:rsidRPr="00992DFC" w:rsidRDefault="00315952" w:rsidP="00D14D12">
      <w:pPr>
        <w:spacing w:after="0"/>
      </w:pPr>
    </w:p>
    <w:p w14:paraId="273ED60E" w14:textId="77777777" w:rsidR="00DA7781" w:rsidRPr="0093783F" w:rsidRDefault="00DA7781" w:rsidP="00013581">
      <w:pPr>
        <w:spacing w:after="0"/>
        <w:rPr>
          <w:rFonts w:ascii="MetaPro-Norm" w:hAnsi="MetaPro-Norm"/>
          <w:u w:val="single"/>
        </w:rPr>
      </w:pPr>
      <w:r w:rsidRPr="0093783F">
        <w:rPr>
          <w:rFonts w:ascii="MetaPro-Norm" w:hAnsi="MetaPro-Norm"/>
          <w:u w:val="single"/>
        </w:rPr>
        <w:t>The Rwandan Government’s Response</w:t>
      </w:r>
    </w:p>
    <w:p w14:paraId="17718320" w14:textId="46109B32" w:rsidR="00DA7781" w:rsidRPr="007C3A8E" w:rsidRDefault="00DA7781" w:rsidP="0041044A">
      <w:pPr>
        <w:rPr>
          <w:rFonts w:ascii="MetaPro-Norm" w:hAnsi="MetaPro-Norm"/>
        </w:rPr>
      </w:pPr>
      <w:r w:rsidRPr="007C3A8E">
        <w:rPr>
          <w:rFonts w:ascii="MetaPro-Norm" w:hAnsi="MetaPro-Norm"/>
        </w:rPr>
        <w:t>In 2015 and 2016, the National Commission for Human Rights and members of the Rwandan Parliament confirmed some of Human Rights Watch’s findings and endorsed a recommendation for an updated legal framework for all “transit centers.”</w:t>
      </w:r>
      <w:r w:rsidR="0041044A">
        <w:rPr>
          <w:rFonts w:ascii="MetaPro-Norm" w:hAnsi="MetaPro-Norm"/>
        </w:rPr>
        <w:t xml:space="preserve"> T</w:t>
      </w:r>
      <w:r w:rsidRPr="007C3A8E">
        <w:rPr>
          <w:rFonts w:ascii="MetaPro-Norm" w:hAnsi="MetaPro-Norm"/>
        </w:rPr>
        <w:t xml:space="preserve">he Kigali City Council adopted a new </w:t>
      </w:r>
      <w:r w:rsidRPr="007C3A8E">
        <w:rPr>
          <w:rFonts w:ascii="MetaPro-Norm" w:hAnsi="MetaPro-Norm"/>
        </w:rPr>
        <w:lastRenderedPageBreak/>
        <w:t xml:space="preserve">directive on the Kigali Rehabilitation Transit Center – the official name for the </w:t>
      </w:r>
      <w:proofErr w:type="spellStart"/>
      <w:r w:rsidRPr="007C3A8E">
        <w:rPr>
          <w:rFonts w:ascii="MetaPro-Norm" w:hAnsi="MetaPro-Norm"/>
        </w:rPr>
        <w:t>Gikondo</w:t>
      </w:r>
      <w:proofErr w:type="spellEnd"/>
      <w:r w:rsidRPr="007C3A8E">
        <w:rPr>
          <w:rFonts w:ascii="MetaPro-Norm" w:hAnsi="MetaPro-Norm"/>
        </w:rPr>
        <w:t xml:space="preserve"> transit center – </w:t>
      </w:r>
      <w:r w:rsidR="00251499" w:rsidRPr="009F0CFC">
        <w:rPr>
          <w:rFonts w:ascii="MetaPro-Norm" w:hAnsi="MetaPro-Norm"/>
        </w:rPr>
        <w:t>contain</w:t>
      </w:r>
      <w:r w:rsidR="00251499">
        <w:rPr>
          <w:rFonts w:ascii="MetaPro-Norm" w:hAnsi="MetaPro-Norm"/>
        </w:rPr>
        <w:t>ing</w:t>
      </w:r>
      <w:r w:rsidR="00251499" w:rsidRPr="009F0CFC">
        <w:rPr>
          <w:rFonts w:ascii="MetaPro-Norm" w:hAnsi="MetaPro-Norm"/>
        </w:rPr>
        <w:t xml:space="preserve"> provisions for improving conditions</w:t>
      </w:r>
      <w:r w:rsidR="00BD0B65">
        <w:rPr>
          <w:rFonts w:ascii="MetaPro-Norm" w:hAnsi="MetaPro-Norm"/>
        </w:rPr>
        <w:t>,</w:t>
      </w:r>
      <w:r w:rsidR="00251499">
        <w:rPr>
          <w:rFonts w:ascii="MetaPro-Norm" w:hAnsi="MetaPro-Norm"/>
        </w:rPr>
        <w:t xml:space="preserve"> and</w:t>
      </w:r>
      <w:r w:rsidR="00251499" w:rsidRPr="009F0CFC">
        <w:rPr>
          <w:rFonts w:ascii="MetaPro-Norm" w:hAnsi="MetaPro-Norm"/>
        </w:rPr>
        <w:t xml:space="preserve"> </w:t>
      </w:r>
      <w:r w:rsidRPr="007C3A8E">
        <w:rPr>
          <w:rFonts w:ascii="MetaPro-Norm" w:hAnsi="MetaPro-Norm"/>
        </w:rPr>
        <w:t xml:space="preserve">laying out </w:t>
      </w:r>
      <w:r w:rsidR="00251499">
        <w:rPr>
          <w:rFonts w:ascii="MetaPro-Norm" w:hAnsi="MetaPro-Norm"/>
        </w:rPr>
        <w:t>ce</w:t>
      </w:r>
      <w:r w:rsidR="00315952">
        <w:rPr>
          <w:rFonts w:ascii="MetaPro-Norm" w:hAnsi="MetaPro-Norm"/>
        </w:rPr>
        <w:t>r</w:t>
      </w:r>
      <w:r w:rsidR="00251499">
        <w:rPr>
          <w:rFonts w:ascii="MetaPro-Norm" w:hAnsi="MetaPro-Norm"/>
        </w:rPr>
        <w:t>tain</w:t>
      </w:r>
      <w:r w:rsidRPr="007C3A8E">
        <w:rPr>
          <w:rFonts w:ascii="MetaPro-Norm" w:hAnsi="MetaPro-Norm"/>
        </w:rPr>
        <w:t xml:space="preserve"> rights, including the rights not to be subjected to corporal punishment, harassed, or discriminated against; access to hygiene and health care; and the right to visits.</w:t>
      </w:r>
      <w:r w:rsidR="006A71CB">
        <w:rPr>
          <w:rStyle w:val="FootnoteReference"/>
        </w:rPr>
        <w:footnoteReference w:id="14"/>
      </w:r>
    </w:p>
    <w:p w14:paraId="7F54C139" w14:textId="061EB77E" w:rsidR="0010727B" w:rsidRPr="007C3A8E" w:rsidRDefault="00BA14EB" w:rsidP="009A0B2E">
      <w:pPr>
        <w:rPr>
          <w:rFonts w:ascii="MetaPro-Norm" w:hAnsi="MetaPro-Norm"/>
        </w:rPr>
      </w:pPr>
      <w:r>
        <w:rPr>
          <w:rFonts w:ascii="MetaPro-Norm" w:hAnsi="MetaPro-Norm"/>
        </w:rPr>
        <w:t>However, t</w:t>
      </w:r>
      <w:r w:rsidR="009F0CFC" w:rsidRPr="009F0CFC">
        <w:rPr>
          <w:rFonts w:ascii="MetaPro-Norm" w:hAnsi="MetaPro-Norm"/>
        </w:rPr>
        <w:t>he directive leaves the door open for continuous arbitrary and lengthy detention</w:t>
      </w:r>
      <w:r>
        <w:rPr>
          <w:rFonts w:ascii="MetaPro-Norm" w:hAnsi="MetaPro-Norm"/>
        </w:rPr>
        <w:t xml:space="preserve">. </w:t>
      </w:r>
      <w:r w:rsidR="001E1F2F" w:rsidRPr="001E1F2F">
        <w:rPr>
          <w:rFonts w:ascii="MetaPro-Norm" w:hAnsi="MetaPro-Norm"/>
        </w:rPr>
        <w:t>Under the directive, the center is to receive people whose behavior disturbs public order and security– a broad and vague notion that could be applied to categories of people for whom arrest and detention are not an appropriate or lawful response.</w:t>
      </w:r>
      <w:r w:rsidR="001E1F2F">
        <w:rPr>
          <w:rStyle w:val="FootnoteReference"/>
        </w:rPr>
        <w:footnoteReference w:id="15"/>
      </w:r>
      <w:r w:rsidR="001E1F2F">
        <w:rPr>
          <w:rFonts w:ascii="MetaPro-Norm" w:hAnsi="MetaPro-Norm"/>
        </w:rPr>
        <w:t xml:space="preserve"> </w:t>
      </w:r>
      <w:r w:rsidR="009F0CFC" w:rsidRPr="009F0CFC">
        <w:rPr>
          <w:rFonts w:ascii="MetaPro-Norm" w:hAnsi="MetaPro-Norm"/>
        </w:rPr>
        <w:t xml:space="preserve">Many aspects of the directive have not been implemented and the situation in </w:t>
      </w:r>
      <w:proofErr w:type="spellStart"/>
      <w:r w:rsidR="009F0CFC" w:rsidRPr="009F0CFC">
        <w:rPr>
          <w:rFonts w:ascii="MetaPro-Norm" w:hAnsi="MetaPro-Norm"/>
        </w:rPr>
        <w:t>Gikondo</w:t>
      </w:r>
      <w:proofErr w:type="spellEnd"/>
      <w:r w:rsidR="009F0CFC" w:rsidRPr="009F0CFC">
        <w:rPr>
          <w:rFonts w:ascii="MetaPro-Norm" w:hAnsi="MetaPro-Norm"/>
        </w:rPr>
        <w:t xml:space="preserve"> has not significantly improved since 2015. While some former detainees described minor adjustments to the infrastructure and the provision of some activities, the center continued to be overcrowded, with bad conditions</w:t>
      </w:r>
      <w:r w:rsidR="001E1F2F">
        <w:rPr>
          <w:rFonts w:ascii="MetaPro-Norm" w:hAnsi="MetaPro-Norm"/>
        </w:rPr>
        <w:t xml:space="preserve">. </w:t>
      </w:r>
    </w:p>
    <w:p w14:paraId="656E063B" w14:textId="14D2EAAC" w:rsidR="00DA7781" w:rsidRPr="00DC451D" w:rsidRDefault="10979116" w:rsidP="18E55EDF">
      <w:pPr>
        <w:spacing w:after="0"/>
        <w:rPr>
          <w:rFonts w:ascii="MetaPro-Norm" w:hAnsi="MetaPro-Norm"/>
          <w:i/>
          <w:iCs/>
        </w:rPr>
      </w:pPr>
      <w:r w:rsidRPr="18E55EDF">
        <w:rPr>
          <w:rFonts w:ascii="MetaPro-Norm" w:hAnsi="MetaPro-Norm"/>
          <w:i/>
          <w:iCs/>
        </w:rPr>
        <w:t>Establishment of the National Rehabilitation Service</w:t>
      </w:r>
    </w:p>
    <w:p w14:paraId="64F1E188" w14:textId="169731F9" w:rsidR="0AECE5B3" w:rsidRDefault="0AECE5B3" w:rsidP="18E55EDF">
      <w:pPr>
        <w:spacing w:after="0"/>
        <w:rPr>
          <w:rFonts w:ascii="MetaPro-Norm" w:hAnsi="MetaPro-Norm"/>
        </w:rPr>
      </w:pPr>
      <w:proofErr w:type="spellStart"/>
      <w:r w:rsidRPr="00A27471">
        <w:rPr>
          <w:rFonts w:ascii="MetaPro-Norm" w:hAnsi="MetaPro-Norm"/>
        </w:rPr>
        <w:t>Gikondo</w:t>
      </w:r>
      <w:proofErr w:type="spellEnd"/>
      <w:r w:rsidRPr="00A27471">
        <w:rPr>
          <w:rFonts w:ascii="MetaPro-Norm" w:hAnsi="MetaPro-Norm"/>
        </w:rPr>
        <w:t xml:space="preserve"> and other transit centers in Rwanda are now governed by the 2017 law establishing the National Rehabilitation Service and several subsequent government orders.</w:t>
      </w:r>
      <w:r w:rsidRPr="18E55EDF">
        <w:rPr>
          <w:rStyle w:val="FootnoteReference"/>
          <w:rFonts w:ascii="MetaPro-Norm" w:hAnsi="MetaPro-Norm"/>
        </w:rPr>
        <w:footnoteReference w:id="16"/>
      </w:r>
      <w:r w:rsidRPr="00D30F8C">
        <w:rPr>
          <w:rFonts w:ascii="MetaPro-Norm" w:hAnsi="MetaPro-Norm"/>
        </w:rPr>
        <w:t xml:space="preserve"> Under the new framework, anyone exhibiting “deviant behaviors,” defined as “actions or bad behavior such as prostitution, drug use, begging, vagrancy, informal street vending, or any other deviant behavior that is harmful to the public,” can be held in a transit center for up to two months, without any other further legal justification or oversight.</w:t>
      </w:r>
      <w:r w:rsidRPr="18E55EDF">
        <w:rPr>
          <w:rStyle w:val="FootnoteReference"/>
          <w:rFonts w:ascii="MetaPro-Norm" w:hAnsi="MetaPro-Norm"/>
        </w:rPr>
        <w:footnoteReference w:id="17"/>
      </w:r>
      <w:r w:rsidRPr="00A27471">
        <w:rPr>
          <w:rFonts w:ascii="MetaPro-Norm" w:hAnsi="MetaPro-Norm"/>
        </w:rPr>
        <w:t xml:space="preserve"> According to the law, transit centers are “premises used for accommodating on a temporary basis” people who may then be transferred to a rehabilitation center. A rehabilitation center is defined as “premises used for the conduct of activities dedicated to reforming, educating and providing professional skills and reintegrate any person exhibiting deviant acts or behaviors.”</w:t>
      </w:r>
    </w:p>
    <w:p w14:paraId="4091810F" w14:textId="4EC6E129" w:rsidR="18E55EDF" w:rsidRDefault="18E55EDF" w:rsidP="18E55EDF">
      <w:pPr>
        <w:spacing w:after="0"/>
        <w:rPr>
          <w:rFonts w:ascii="MetaPro-Norm" w:hAnsi="MetaPro-Norm"/>
        </w:rPr>
      </w:pPr>
    </w:p>
    <w:p w14:paraId="792E2B48" w14:textId="6C3C9BE7" w:rsidR="0AECE5B3" w:rsidRDefault="0AECE5B3" w:rsidP="18E55EDF">
      <w:pPr>
        <w:spacing w:after="0"/>
        <w:rPr>
          <w:rFonts w:ascii="MetaPro-Norm" w:eastAsia="MetaPro-Norm" w:hAnsi="MetaPro-Norm" w:cs="MetaPro-Norm"/>
          <w:color w:val="000000" w:themeColor="text1"/>
          <w:sz w:val="16"/>
          <w:szCs w:val="16"/>
        </w:rPr>
      </w:pPr>
      <w:r w:rsidRPr="00A27471">
        <w:rPr>
          <w:rFonts w:ascii="MetaPro-Norm" w:hAnsi="MetaPro-Norm"/>
        </w:rPr>
        <w:lastRenderedPageBreak/>
        <w:t xml:space="preserve">Under the new legislation, </w:t>
      </w:r>
      <w:proofErr w:type="spellStart"/>
      <w:r w:rsidRPr="00A27471">
        <w:rPr>
          <w:rFonts w:ascii="MetaPro-Norm" w:hAnsi="MetaPro-Norm"/>
        </w:rPr>
        <w:t>Gitagata</w:t>
      </w:r>
      <w:proofErr w:type="spellEnd"/>
      <w:r w:rsidRPr="00A27471">
        <w:rPr>
          <w:rFonts w:ascii="MetaPro-Norm" w:hAnsi="MetaPro-Norm"/>
        </w:rPr>
        <w:t xml:space="preserve"> Rehabilitation Center in </w:t>
      </w:r>
      <w:proofErr w:type="spellStart"/>
      <w:r w:rsidRPr="00A27471">
        <w:rPr>
          <w:rFonts w:ascii="MetaPro-Norm" w:hAnsi="MetaPro-Norm"/>
        </w:rPr>
        <w:t>Bugesera</w:t>
      </w:r>
      <w:proofErr w:type="spellEnd"/>
      <w:r w:rsidRPr="00A27471">
        <w:rPr>
          <w:rFonts w:ascii="MetaPro-Norm" w:hAnsi="MetaPro-Norm"/>
        </w:rPr>
        <w:t xml:space="preserve"> district, Eastern Province, is to provide vocational training and access to education and health care for children and women transferred by the district or the City of Kigali.</w:t>
      </w:r>
      <w:r w:rsidRPr="18E55EDF">
        <w:rPr>
          <w:rStyle w:val="FootnoteReference"/>
          <w:rFonts w:ascii="MetaPro-Norm" w:eastAsia="MetaPro-Norm" w:hAnsi="MetaPro-Norm" w:cs="MetaPro-Norm"/>
          <w:color w:val="000000" w:themeColor="text1"/>
          <w:sz w:val="16"/>
          <w:szCs w:val="16"/>
        </w:rPr>
        <w:footnoteReference w:id="18"/>
      </w:r>
    </w:p>
    <w:p w14:paraId="0B10F728" w14:textId="75B06BF0" w:rsidR="18E55EDF" w:rsidRDefault="18E55EDF" w:rsidP="18E55EDF">
      <w:pPr>
        <w:spacing w:after="0"/>
        <w:rPr>
          <w:rFonts w:ascii="MetaPro-Norm" w:eastAsia="MetaPro-Norm" w:hAnsi="MetaPro-Norm" w:cs="MetaPro-Norm"/>
          <w:color w:val="000000" w:themeColor="text1"/>
          <w:sz w:val="16"/>
          <w:szCs w:val="16"/>
        </w:rPr>
      </w:pPr>
    </w:p>
    <w:p w14:paraId="5E59B4CF" w14:textId="2FE94127" w:rsidR="0AECE5B3" w:rsidRDefault="0AECE5B3" w:rsidP="18E55EDF">
      <w:pPr>
        <w:spacing w:after="0"/>
        <w:rPr>
          <w:rFonts w:ascii="MetaPro-Norm" w:hAnsi="MetaPro-Norm"/>
        </w:rPr>
      </w:pPr>
      <w:r w:rsidRPr="00A27471">
        <w:rPr>
          <w:rFonts w:ascii="MetaPro-Norm" w:hAnsi="MetaPro-Norm"/>
        </w:rPr>
        <w:t xml:space="preserve">However, while the 2017 law and other steps taken by authorities have sought to legitimize and regulate transit centers, including </w:t>
      </w:r>
      <w:proofErr w:type="spellStart"/>
      <w:r w:rsidRPr="00A27471">
        <w:rPr>
          <w:rFonts w:ascii="MetaPro-Norm" w:hAnsi="MetaPro-Norm"/>
        </w:rPr>
        <w:t>Gikondo</w:t>
      </w:r>
      <w:proofErr w:type="spellEnd"/>
      <w:r w:rsidRPr="00A27471">
        <w:rPr>
          <w:rFonts w:ascii="MetaPro-Norm" w:hAnsi="MetaPro-Norm"/>
        </w:rPr>
        <w:t>, they have not served to remedy the inherent illegalities of the detention practice. On the contrary, they provide legislative cover for abuses against detainees to continue.</w:t>
      </w:r>
    </w:p>
    <w:p w14:paraId="42A4D766" w14:textId="77777777" w:rsidR="00E90516" w:rsidRDefault="00E90516" w:rsidP="00E90516">
      <w:pPr>
        <w:spacing w:after="0"/>
        <w:rPr>
          <w:rFonts w:ascii="MetaPro-Norm" w:hAnsi="MetaPro-Norm"/>
        </w:rPr>
      </w:pPr>
    </w:p>
    <w:p w14:paraId="1BB1E01E" w14:textId="1D1BE500" w:rsidR="005608EE" w:rsidRPr="005608EE" w:rsidRDefault="005608EE" w:rsidP="569A52BD">
      <w:pPr>
        <w:pStyle w:val="Body"/>
        <w:rPr>
          <w:rFonts w:ascii="MetaPro-Norm" w:eastAsia="MetaPro-Norm" w:hAnsi="MetaPro-Norm" w:cs="MetaPro-Norm"/>
          <w:i/>
          <w:iCs/>
          <w:sz w:val="22"/>
          <w:szCs w:val="22"/>
        </w:rPr>
      </w:pPr>
      <w:r w:rsidRPr="569A52BD">
        <w:rPr>
          <w:rFonts w:ascii="MetaPro-Norm" w:eastAsia="MetaPro-Norm" w:hAnsi="MetaPro-Norm" w:cs="MetaPro-Norm"/>
          <w:i/>
          <w:iCs/>
          <w:sz w:val="22"/>
          <w:szCs w:val="22"/>
        </w:rPr>
        <w:t>Human Rights Watch recommends that the Committee</w:t>
      </w:r>
      <w:r w:rsidR="00BA1A0F" w:rsidRPr="569A52BD">
        <w:rPr>
          <w:rFonts w:ascii="MetaPro-Norm" w:eastAsia="MetaPro-Norm" w:hAnsi="MetaPro-Norm" w:cs="MetaPro-Norm"/>
          <w:i/>
          <w:iCs/>
          <w:sz w:val="22"/>
          <w:szCs w:val="22"/>
        </w:rPr>
        <w:t xml:space="preserve"> ask the government of Rwanda</w:t>
      </w:r>
      <w:r w:rsidRPr="569A52BD">
        <w:rPr>
          <w:rFonts w:ascii="MetaPro-Norm" w:eastAsia="MetaPro-Norm" w:hAnsi="MetaPro-Norm" w:cs="MetaPro-Norm"/>
          <w:i/>
          <w:iCs/>
          <w:sz w:val="22"/>
          <w:szCs w:val="22"/>
        </w:rPr>
        <w:t>:</w:t>
      </w:r>
    </w:p>
    <w:p w14:paraId="6CBF3B4C" w14:textId="19525BA2" w:rsidR="004B7458" w:rsidRDefault="00BA1A0F" w:rsidP="00AD6168">
      <w:pPr>
        <w:pStyle w:val="Body"/>
        <w:numPr>
          <w:ilvl w:val="0"/>
          <w:numId w:val="6"/>
        </w:numPr>
        <w:rPr>
          <w:rFonts w:ascii="MetaPro-Norm" w:eastAsia="MetaPro-Norm" w:hAnsi="MetaPro-Norm" w:cs="MetaPro-Norm"/>
          <w:sz w:val="22"/>
          <w:szCs w:val="22"/>
        </w:rPr>
      </w:pPr>
      <w:r>
        <w:rPr>
          <w:rFonts w:ascii="MetaPro-Norm" w:eastAsia="MetaPro-Norm" w:hAnsi="MetaPro-Norm" w:cs="MetaPro-Norm"/>
          <w:sz w:val="22"/>
          <w:szCs w:val="22"/>
        </w:rPr>
        <w:t>W</w:t>
      </w:r>
      <w:r w:rsidR="005608EE" w:rsidRPr="005608EE">
        <w:rPr>
          <w:rFonts w:ascii="MetaPro-Norm" w:eastAsia="MetaPro-Norm" w:hAnsi="MetaPro-Norm" w:cs="MetaPro-Norm"/>
          <w:sz w:val="22"/>
          <w:szCs w:val="22"/>
        </w:rPr>
        <w:t>hat steps has</w:t>
      </w:r>
      <w:r>
        <w:rPr>
          <w:rFonts w:ascii="MetaPro-Norm" w:eastAsia="MetaPro-Norm" w:hAnsi="MetaPro-Norm" w:cs="MetaPro-Norm"/>
          <w:sz w:val="22"/>
          <w:szCs w:val="22"/>
        </w:rPr>
        <w:t xml:space="preserve"> the government</w:t>
      </w:r>
      <w:r w:rsidR="005608EE" w:rsidRPr="005608EE">
        <w:rPr>
          <w:rFonts w:ascii="MetaPro-Norm" w:eastAsia="MetaPro-Norm" w:hAnsi="MetaPro-Norm" w:cs="MetaPro-Norm"/>
          <w:sz w:val="22"/>
          <w:szCs w:val="22"/>
        </w:rPr>
        <w:t xml:space="preserve"> taken to permanently close all unofficial places of detention</w:t>
      </w:r>
      <w:r w:rsidR="004B7458">
        <w:rPr>
          <w:rFonts w:ascii="MetaPro-Norm" w:eastAsia="MetaPro-Norm" w:hAnsi="MetaPro-Norm" w:cs="MetaPro-Norm"/>
          <w:sz w:val="22"/>
          <w:szCs w:val="22"/>
        </w:rPr>
        <w:t xml:space="preserve"> and</w:t>
      </w:r>
      <w:r w:rsidR="005608EE" w:rsidRPr="005608EE">
        <w:rPr>
          <w:rFonts w:ascii="MetaPro-Norm" w:eastAsia="MetaPro-Norm" w:hAnsi="MetaPro-Norm" w:cs="MetaPro-Norm"/>
          <w:sz w:val="22"/>
          <w:szCs w:val="22"/>
        </w:rPr>
        <w:t xml:space="preserve"> stop the arbitrary detention of </w:t>
      </w:r>
      <w:r w:rsidR="005B25D7">
        <w:rPr>
          <w:rFonts w:ascii="MetaPro-Norm" w:eastAsia="MetaPro-Norm" w:hAnsi="MetaPro-Norm" w:cs="MetaPro-Norm"/>
          <w:sz w:val="22"/>
          <w:szCs w:val="22"/>
        </w:rPr>
        <w:t xml:space="preserve">economically </w:t>
      </w:r>
      <w:r w:rsidR="00AD6168">
        <w:rPr>
          <w:rFonts w:ascii="MetaPro-Norm" w:eastAsia="MetaPro-Norm" w:hAnsi="MetaPro-Norm" w:cs="MetaPro-Norm"/>
          <w:sz w:val="22"/>
          <w:szCs w:val="22"/>
        </w:rPr>
        <w:t xml:space="preserve">vulnerable people and </w:t>
      </w:r>
      <w:r w:rsidR="005608EE" w:rsidRPr="005608EE">
        <w:rPr>
          <w:rFonts w:ascii="MetaPro-Norm" w:eastAsia="MetaPro-Norm" w:hAnsi="MetaPro-Norm" w:cs="MetaPro-Norm"/>
          <w:sz w:val="22"/>
          <w:szCs w:val="22"/>
        </w:rPr>
        <w:t>children</w:t>
      </w:r>
      <w:r w:rsidR="004724E3">
        <w:rPr>
          <w:rFonts w:ascii="MetaPro-Norm" w:eastAsia="MetaPro-Norm" w:hAnsi="MetaPro-Norm" w:cs="MetaPro-Norm"/>
          <w:sz w:val="22"/>
          <w:szCs w:val="22"/>
        </w:rPr>
        <w:t>?</w:t>
      </w:r>
    </w:p>
    <w:p w14:paraId="6BC357A7" w14:textId="742A6F0D" w:rsidR="00DC7402" w:rsidRPr="00DE6E76" w:rsidRDefault="00665AFE" w:rsidP="00DE6E76">
      <w:pPr>
        <w:pStyle w:val="Body"/>
        <w:numPr>
          <w:ilvl w:val="0"/>
          <w:numId w:val="6"/>
        </w:numPr>
        <w:rPr>
          <w:rFonts w:ascii="MetaPro-Norm" w:eastAsia="MetaPro-Norm" w:hAnsi="MetaPro-Norm" w:cs="MetaPro-Norm"/>
          <w:sz w:val="22"/>
          <w:szCs w:val="22"/>
        </w:rPr>
      </w:pPr>
      <w:r>
        <w:rPr>
          <w:rFonts w:ascii="MetaPro-Norm" w:eastAsia="MetaPro-Norm" w:hAnsi="MetaPro-Norm" w:cs="MetaPro-Norm"/>
          <w:sz w:val="22"/>
          <w:szCs w:val="22"/>
        </w:rPr>
        <w:t>W</w:t>
      </w:r>
      <w:r w:rsidR="005608EE" w:rsidRPr="00AD6168">
        <w:rPr>
          <w:rFonts w:ascii="MetaPro-Norm" w:eastAsia="MetaPro-Norm" w:hAnsi="MetaPro-Norm" w:cs="MetaPro-Norm"/>
          <w:sz w:val="22"/>
          <w:szCs w:val="22"/>
        </w:rPr>
        <w:t>hat steps has</w:t>
      </w:r>
      <w:r w:rsidR="004724E3">
        <w:rPr>
          <w:rFonts w:ascii="MetaPro-Norm" w:eastAsia="MetaPro-Norm" w:hAnsi="MetaPro-Norm" w:cs="MetaPro-Norm"/>
          <w:sz w:val="22"/>
          <w:szCs w:val="22"/>
        </w:rPr>
        <w:t xml:space="preserve"> the government</w:t>
      </w:r>
      <w:r w:rsidR="005608EE" w:rsidRPr="00AD6168">
        <w:rPr>
          <w:rFonts w:ascii="MetaPro-Norm" w:eastAsia="MetaPro-Norm" w:hAnsi="MetaPro-Norm" w:cs="MetaPro-Norm"/>
          <w:sz w:val="22"/>
          <w:szCs w:val="22"/>
        </w:rPr>
        <w:t xml:space="preserve"> taken to ensure that implementation of the Law on National Rehabilitation Services is in line with its international human </w:t>
      </w:r>
      <w:r w:rsidR="002573CA" w:rsidRPr="00AD6168">
        <w:rPr>
          <w:rFonts w:ascii="MetaPro-Norm" w:eastAsia="MetaPro-Norm" w:hAnsi="MetaPro-Norm" w:cs="MetaPro-Norm"/>
          <w:sz w:val="22"/>
          <w:szCs w:val="22"/>
        </w:rPr>
        <w:t>rights standards</w:t>
      </w:r>
      <w:r w:rsidR="006D524E">
        <w:rPr>
          <w:rFonts w:ascii="MetaPro-Norm" w:eastAsia="MetaPro-Norm" w:hAnsi="MetaPro-Norm" w:cs="MetaPro-Norm"/>
          <w:sz w:val="22"/>
          <w:szCs w:val="22"/>
        </w:rPr>
        <w:t>,</w:t>
      </w:r>
      <w:r w:rsidR="002573CA" w:rsidRPr="00AD6168">
        <w:rPr>
          <w:rFonts w:ascii="MetaPro-Norm" w:eastAsia="MetaPro-Norm" w:hAnsi="MetaPro-Norm" w:cs="MetaPro-Norm"/>
          <w:sz w:val="22"/>
          <w:szCs w:val="22"/>
        </w:rPr>
        <w:t xml:space="preserve"> and</w:t>
      </w:r>
      <w:r w:rsidR="005608EE" w:rsidRPr="00AD6168">
        <w:rPr>
          <w:rFonts w:ascii="MetaPro-Norm" w:eastAsia="MetaPro-Norm" w:hAnsi="MetaPro-Norm" w:cs="MetaPro-Norm"/>
          <w:sz w:val="22"/>
          <w:szCs w:val="22"/>
        </w:rPr>
        <w:t xml:space="preserve"> does not result in unlawful detention</w:t>
      </w:r>
      <w:r w:rsidR="005639BB">
        <w:rPr>
          <w:rFonts w:ascii="MetaPro-Norm" w:eastAsia="MetaPro-Norm" w:hAnsi="MetaPro-Norm" w:cs="MetaPro-Norm"/>
          <w:sz w:val="22"/>
          <w:szCs w:val="22"/>
        </w:rPr>
        <w:t>?</w:t>
      </w:r>
    </w:p>
    <w:p w14:paraId="4504456B" w14:textId="4FE7E386" w:rsidR="005639BB" w:rsidRDefault="005639BB" w:rsidP="005639BB">
      <w:pPr>
        <w:pStyle w:val="Body"/>
        <w:rPr>
          <w:rFonts w:ascii="MetaPro-Norm" w:eastAsia="MetaPro-Norm" w:hAnsi="MetaPro-Norm" w:cs="MetaPro-Norm"/>
          <w:sz w:val="22"/>
          <w:szCs w:val="22"/>
        </w:rPr>
      </w:pPr>
    </w:p>
    <w:p w14:paraId="2940EC64" w14:textId="7CDB1703" w:rsidR="005639BB" w:rsidRPr="005608EE" w:rsidRDefault="005639BB" w:rsidP="005639BB">
      <w:pPr>
        <w:pStyle w:val="Body"/>
        <w:rPr>
          <w:rFonts w:ascii="MetaPro-Norm" w:eastAsia="MetaPro-Norm" w:hAnsi="MetaPro-Norm" w:cs="MetaPro-Norm"/>
          <w:i/>
          <w:iCs/>
          <w:sz w:val="22"/>
          <w:szCs w:val="22"/>
        </w:rPr>
      </w:pPr>
      <w:r w:rsidRPr="005608EE">
        <w:rPr>
          <w:rFonts w:ascii="MetaPro-Norm" w:eastAsia="MetaPro-Norm" w:hAnsi="MetaPro-Norm" w:cs="MetaPro-Norm"/>
          <w:i/>
          <w:iCs/>
          <w:sz w:val="22"/>
          <w:szCs w:val="22"/>
        </w:rPr>
        <w:t>Human Rights Watch recommends that the Committee</w:t>
      </w:r>
      <w:r>
        <w:rPr>
          <w:rFonts w:ascii="MetaPro-Norm" w:eastAsia="MetaPro-Norm" w:hAnsi="MetaPro-Norm" w:cs="MetaPro-Norm"/>
          <w:i/>
          <w:iCs/>
          <w:sz w:val="22"/>
          <w:szCs w:val="22"/>
        </w:rPr>
        <w:t xml:space="preserve"> call on the government of Rwanda to</w:t>
      </w:r>
      <w:r w:rsidRPr="005608EE">
        <w:rPr>
          <w:rFonts w:ascii="MetaPro-Norm" w:eastAsia="MetaPro-Norm" w:hAnsi="MetaPro-Norm" w:cs="MetaPro-Norm"/>
          <w:i/>
          <w:iCs/>
          <w:sz w:val="22"/>
          <w:szCs w:val="22"/>
        </w:rPr>
        <w:t>:</w:t>
      </w:r>
    </w:p>
    <w:p w14:paraId="6C430A01" w14:textId="37AF9C82" w:rsidR="00183818" w:rsidRDefault="005639BB" w:rsidP="005639BB">
      <w:pPr>
        <w:pStyle w:val="Body"/>
        <w:numPr>
          <w:ilvl w:val="0"/>
          <w:numId w:val="7"/>
        </w:numPr>
        <w:rPr>
          <w:rFonts w:ascii="MetaPro-Norm" w:eastAsia="MetaPro-Norm" w:hAnsi="MetaPro-Norm" w:cs="MetaPro-Norm"/>
          <w:sz w:val="22"/>
          <w:szCs w:val="22"/>
        </w:rPr>
      </w:pPr>
      <w:r>
        <w:rPr>
          <w:rFonts w:ascii="MetaPro-Norm" w:eastAsia="MetaPro-Norm" w:hAnsi="MetaPro-Norm" w:cs="MetaPro-Norm"/>
          <w:sz w:val="22"/>
          <w:szCs w:val="22"/>
        </w:rPr>
        <w:t>I</w:t>
      </w:r>
      <w:r w:rsidR="005608EE" w:rsidRPr="00183818">
        <w:rPr>
          <w:rFonts w:ascii="MetaPro-Norm" w:eastAsia="MetaPro-Norm" w:hAnsi="MetaPro-Norm" w:cs="MetaPro-Norm"/>
          <w:sz w:val="22"/>
          <w:szCs w:val="22"/>
        </w:rPr>
        <w:t>mmediate</w:t>
      </w:r>
      <w:r>
        <w:rPr>
          <w:rFonts w:ascii="MetaPro-Norm" w:eastAsia="MetaPro-Norm" w:hAnsi="MetaPro-Norm" w:cs="MetaPro-Norm"/>
          <w:sz w:val="22"/>
          <w:szCs w:val="22"/>
        </w:rPr>
        <w:t>ly</w:t>
      </w:r>
      <w:r w:rsidR="005608EE" w:rsidRPr="00183818">
        <w:rPr>
          <w:rFonts w:ascii="MetaPro-Norm" w:eastAsia="MetaPro-Norm" w:hAnsi="MetaPro-Norm" w:cs="MetaPro-Norm"/>
          <w:sz w:val="22"/>
          <w:szCs w:val="22"/>
        </w:rPr>
        <w:t xml:space="preserve"> clos</w:t>
      </w:r>
      <w:r>
        <w:rPr>
          <w:rFonts w:ascii="MetaPro-Norm" w:eastAsia="MetaPro-Norm" w:hAnsi="MetaPro-Norm" w:cs="MetaPro-Norm"/>
          <w:sz w:val="22"/>
          <w:szCs w:val="22"/>
        </w:rPr>
        <w:t>e</w:t>
      </w:r>
      <w:r w:rsidR="005608EE" w:rsidRPr="00183818">
        <w:rPr>
          <w:rFonts w:ascii="MetaPro-Norm" w:eastAsia="MetaPro-Norm" w:hAnsi="MetaPro-Norm" w:cs="MetaPro-Norm"/>
          <w:sz w:val="22"/>
          <w:szCs w:val="22"/>
        </w:rPr>
        <w:t xml:space="preserve"> </w:t>
      </w:r>
      <w:r>
        <w:rPr>
          <w:rFonts w:ascii="MetaPro-Norm" w:eastAsia="MetaPro-Norm" w:hAnsi="MetaPro-Norm" w:cs="MetaPro-Norm"/>
          <w:sz w:val="22"/>
          <w:szCs w:val="22"/>
        </w:rPr>
        <w:t>all</w:t>
      </w:r>
      <w:r w:rsidR="005608EE" w:rsidRPr="00183818">
        <w:rPr>
          <w:rFonts w:ascii="MetaPro-Norm" w:eastAsia="MetaPro-Norm" w:hAnsi="MetaPro-Norm" w:cs="MetaPro-Norm"/>
          <w:sz w:val="22"/>
          <w:szCs w:val="22"/>
        </w:rPr>
        <w:t xml:space="preserve"> unofficial places of detention, including </w:t>
      </w:r>
      <w:proofErr w:type="spellStart"/>
      <w:r w:rsidR="005608EE" w:rsidRPr="00183818">
        <w:rPr>
          <w:rFonts w:ascii="MetaPro-Norm" w:eastAsia="MetaPro-Norm" w:hAnsi="MetaPro-Norm" w:cs="MetaPro-Norm"/>
          <w:sz w:val="22"/>
          <w:szCs w:val="22"/>
        </w:rPr>
        <w:t>Gikondo</w:t>
      </w:r>
      <w:proofErr w:type="spellEnd"/>
      <w:r w:rsidR="005608EE" w:rsidRPr="00183818">
        <w:rPr>
          <w:rFonts w:ascii="MetaPro-Norm" w:eastAsia="MetaPro-Norm" w:hAnsi="MetaPro-Norm" w:cs="MetaPro-Norm"/>
          <w:sz w:val="22"/>
          <w:szCs w:val="22"/>
        </w:rPr>
        <w:t xml:space="preserve"> transit center</w:t>
      </w:r>
      <w:r w:rsidR="002573CA">
        <w:rPr>
          <w:rFonts w:ascii="MetaPro-Norm" w:eastAsia="MetaPro-Norm" w:hAnsi="MetaPro-Norm" w:cs="MetaPro-Norm"/>
          <w:sz w:val="22"/>
          <w:szCs w:val="22"/>
        </w:rPr>
        <w:t>,</w:t>
      </w:r>
      <w:r w:rsidR="005608EE" w:rsidRPr="00183818">
        <w:rPr>
          <w:rFonts w:ascii="MetaPro-Norm" w:eastAsia="MetaPro-Norm" w:hAnsi="MetaPro-Norm" w:cs="MetaPro-Norm"/>
          <w:sz w:val="22"/>
          <w:szCs w:val="22"/>
        </w:rPr>
        <w:t xml:space="preserve"> and </w:t>
      </w:r>
      <w:r w:rsidR="0052586C">
        <w:rPr>
          <w:rFonts w:ascii="MetaPro-Norm" w:eastAsia="MetaPro-Norm" w:hAnsi="MetaPro-Norm" w:cs="MetaPro-Norm"/>
          <w:sz w:val="22"/>
          <w:szCs w:val="22"/>
        </w:rPr>
        <w:t>end</w:t>
      </w:r>
      <w:r w:rsidR="005608EE" w:rsidRPr="00183818">
        <w:rPr>
          <w:rFonts w:ascii="MetaPro-Norm" w:eastAsia="MetaPro-Norm" w:hAnsi="MetaPro-Norm" w:cs="MetaPro-Norm"/>
          <w:sz w:val="22"/>
          <w:szCs w:val="22"/>
        </w:rPr>
        <w:t xml:space="preserve"> arbitrary </w:t>
      </w:r>
      <w:r w:rsidR="002573CA" w:rsidRPr="00183818">
        <w:rPr>
          <w:rFonts w:ascii="MetaPro-Norm" w:eastAsia="MetaPro-Norm" w:hAnsi="MetaPro-Norm" w:cs="MetaPro-Norm"/>
          <w:sz w:val="22"/>
          <w:szCs w:val="22"/>
        </w:rPr>
        <w:t>roundups</w:t>
      </w:r>
      <w:r w:rsidR="005608EE" w:rsidRPr="00183818">
        <w:rPr>
          <w:rFonts w:ascii="MetaPro-Norm" w:eastAsia="MetaPro-Norm" w:hAnsi="MetaPro-Norm" w:cs="MetaPro-Norm"/>
          <w:sz w:val="22"/>
          <w:szCs w:val="22"/>
        </w:rPr>
        <w:t>, arrests, detention, and beatings</w:t>
      </w:r>
      <w:r w:rsidR="002573CA">
        <w:rPr>
          <w:rFonts w:ascii="MetaPro-Norm" w:eastAsia="MetaPro-Norm" w:hAnsi="MetaPro-Norm" w:cs="MetaPro-Norm"/>
          <w:sz w:val="22"/>
          <w:szCs w:val="22"/>
        </w:rPr>
        <w:t xml:space="preserve"> of disadvantaged people and children</w:t>
      </w:r>
      <w:r w:rsidR="00183818">
        <w:rPr>
          <w:rFonts w:ascii="MetaPro-Norm" w:eastAsia="MetaPro-Norm" w:hAnsi="MetaPro-Norm" w:cs="MetaPro-Norm"/>
          <w:sz w:val="22"/>
          <w:szCs w:val="22"/>
        </w:rPr>
        <w:t>.</w:t>
      </w:r>
    </w:p>
    <w:p w14:paraId="54617262" w14:textId="77777777" w:rsidR="003C2225" w:rsidRDefault="005261A2" w:rsidP="005261A2">
      <w:pPr>
        <w:pStyle w:val="Body"/>
        <w:numPr>
          <w:ilvl w:val="0"/>
          <w:numId w:val="7"/>
        </w:numPr>
        <w:rPr>
          <w:rFonts w:ascii="MetaPro-Norm" w:eastAsia="MetaPro-Norm" w:hAnsi="MetaPro-Norm" w:cs="MetaPro-Norm"/>
          <w:sz w:val="22"/>
          <w:szCs w:val="22"/>
        </w:rPr>
      </w:pPr>
      <w:r w:rsidRPr="005261A2">
        <w:rPr>
          <w:rFonts w:ascii="MetaPro-Norm" w:eastAsia="MetaPro-Norm" w:hAnsi="MetaPro-Norm" w:cs="MetaPro-Norm"/>
          <w:sz w:val="22"/>
          <w:szCs w:val="22"/>
        </w:rPr>
        <w:t xml:space="preserve">Release all child detainees at </w:t>
      </w:r>
      <w:proofErr w:type="spellStart"/>
      <w:r w:rsidRPr="005261A2">
        <w:rPr>
          <w:rFonts w:ascii="MetaPro-Norm" w:eastAsia="MetaPro-Norm" w:hAnsi="MetaPro-Norm" w:cs="MetaPro-Norm"/>
          <w:sz w:val="22"/>
          <w:szCs w:val="22"/>
        </w:rPr>
        <w:t>Gikondo</w:t>
      </w:r>
      <w:proofErr w:type="spellEnd"/>
      <w:r w:rsidR="003C2225">
        <w:rPr>
          <w:rFonts w:ascii="MetaPro-Norm" w:eastAsia="MetaPro-Norm" w:hAnsi="MetaPro-Norm" w:cs="MetaPro-Norm"/>
          <w:sz w:val="22"/>
          <w:szCs w:val="22"/>
        </w:rPr>
        <w:t>.</w:t>
      </w:r>
    </w:p>
    <w:p w14:paraId="1CD56482" w14:textId="252FB6A0" w:rsidR="005261A2" w:rsidRDefault="005261A2" w:rsidP="003C2225">
      <w:pPr>
        <w:pStyle w:val="Body"/>
        <w:numPr>
          <w:ilvl w:val="0"/>
          <w:numId w:val="7"/>
        </w:numPr>
        <w:rPr>
          <w:rFonts w:ascii="MetaPro-Norm" w:eastAsia="MetaPro-Norm" w:hAnsi="MetaPro-Norm" w:cs="MetaPro-Norm"/>
          <w:sz w:val="22"/>
          <w:szCs w:val="22"/>
        </w:rPr>
      </w:pPr>
      <w:r w:rsidRPr="005261A2">
        <w:rPr>
          <w:rFonts w:ascii="MetaPro-Norm" w:eastAsia="MetaPro-Norm" w:hAnsi="MetaPro-Norm" w:cs="MetaPro-Norm"/>
          <w:sz w:val="22"/>
          <w:szCs w:val="22"/>
        </w:rPr>
        <w:t xml:space="preserve">Release all adult detainees at </w:t>
      </w:r>
      <w:proofErr w:type="spellStart"/>
      <w:r w:rsidRPr="005261A2">
        <w:rPr>
          <w:rFonts w:ascii="MetaPro-Norm" w:eastAsia="MetaPro-Norm" w:hAnsi="MetaPro-Norm" w:cs="MetaPro-Norm"/>
          <w:sz w:val="22"/>
          <w:szCs w:val="22"/>
        </w:rPr>
        <w:t>Gikondo</w:t>
      </w:r>
      <w:proofErr w:type="spellEnd"/>
      <w:r w:rsidRPr="005261A2">
        <w:rPr>
          <w:rFonts w:ascii="MetaPro-Norm" w:eastAsia="MetaPro-Norm" w:hAnsi="MetaPro-Norm" w:cs="MetaPro-Norm"/>
          <w:sz w:val="22"/>
          <w:szCs w:val="22"/>
        </w:rPr>
        <w:t xml:space="preserve"> or immediately bring those against whom there is sufficient credible evidence to charge with a legitimate criminal offense before a judge to determine whether they should be held in pretrial detention.</w:t>
      </w:r>
    </w:p>
    <w:p w14:paraId="553B6DA9" w14:textId="03785917" w:rsidR="004970A7" w:rsidRPr="00A96331" w:rsidRDefault="004970A7" w:rsidP="004970A7">
      <w:pPr>
        <w:pStyle w:val="Body"/>
        <w:numPr>
          <w:ilvl w:val="0"/>
          <w:numId w:val="6"/>
        </w:numPr>
        <w:rPr>
          <w:rFonts w:ascii="MetaPro-Norm" w:eastAsia="MetaPro-Norm" w:hAnsi="MetaPro-Norm" w:cs="MetaPro-Norm"/>
          <w:sz w:val="22"/>
          <w:szCs w:val="22"/>
        </w:rPr>
      </w:pPr>
      <w:r w:rsidRPr="004970A7">
        <w:rPr>
          <w:rFonts w:ascii="MetaPro-Norm" w:eastAsia="MetaPro-Norm" w:hAnsi="MetaPro-Norm" w:cs="MetaPro-Norm"/>
          <w:sz w:val="22"/>
          <w:szCs w:val="22"/>
        </w:rPr>
        <w:t>Except in prescribed, limited circumstances, eliminate detention of children in conflict with the law and develop and implement non-custodial solutions, including counseling, educational and vocational programs, non-custodial sentences, community services, and restorative justice (such as mediation).</w:t>
      </w:r>
      <w:r w:rsidR="0060242E">
        <w:rPr>
          <w:rFonts w:ascii="MetaPro-Norm" w:eastAsia="MetaPro-Norm" w:hAnsi="MetaPro-Norm" w:cs="MetaPro-Norm"/>
          <w:sz w:val="22"/>
          <w:szCs w:val="22"/>
        </w:rPr>
        <w:t xml:space="preserve"> </w:t>
      </w:r>
      <w:r>
        <w:rPr>
          <w:rFonts w:ascii="MetaPro-Norm" w:eastAsia="MetaPro-Norm" w:hAnsi="MetaPro-Norm" w:cs="MetaPro-Norm"/>
          <w:sz w:val="22"/>
          <w:szCs w:val="22"/>
        </w:rPr>
        <w:t>E</w:t>
      </w:r>
      <w:r w:rsidRPr="00A96331">
        <w:rPr>
          <w:rFonts w:ascii="MetaPro-Norm" w:eastAsia="MetaPro-Norm" w:hAnsi="MetaPro-Norm" w:cs="MetaPro-Norm"/>
          <w:sz w:val="22"/>
          <w:szCs w:val="22"/>
        </w:rPr>
        <w:t>nsure that anyone deprived of their liberty is detained only on grounds explicitly provided for in law and in accordance with full respect for</w:t>
      </w:r>
      <w:r w:rsidR="0099515D">
        <w:rPr>
          <w:rFonts w:ascii="MetaPro-Norm" w:eastAsia="MetaPro-Norm" w:hAnsi="MetaPro-Norm" w:cs="MetaPro-Norm"/>
          <w:sz w:val="22"/>
          <w:szCs w:val="22"/>
        </w:rPr>
        <w:t xml:space="preserve"> the right to health</w:t>
      </w:r>
      <w:r w:rsidR="0092161D">
        <w:rPr>
          <w:rFonts w:ascii="MetaPro-Norm" w:eastAsia="MetaPro-Norm" w:hAnsi="MetaPro-Norm" w:cs="MetaPro-Norm"/>
          <w:sz w:val="22"/>
          <w:szCs w:val="22"/>
        </w:rPr>
        <w:t xml:space="preserve"> and an adequate standard of living</w:t>
      </w:r>
      <w:r w:rsidR="005476B2">
        <w:rPr>
          <w:rFonts w:ascii="MetaPro-Norm" w:eastAsia="MetaPro-Norm" w:hAnsi="MetaPro-Norm" w:cs="MetaPro-Norm"/>
          <w:sz w:val="22"/>
          <w:szCs w:val="22"/>
        </w:rPr>
        <w:t>, as well as due process rights</w:t>
      </w:r>
      <w:r w:rsidRPr="00A96331">
        <w:rPr>
          <w:rFonts w:ascii="MetaPro-Norm" w:eastAsia="MetaPro-Norm" w:hAnsi="MetaPro-Norm" w:cs="MetaPro-Norm"/>
          <w:sz w:val="22"/>
          <w:szCs w:val="22"/>
        </w:rPr>
        <w:t>.</w:t>
      </w:r>
    </w:p>
    <w:p w14:paraId="63EACD80" w14:textId="77777777" w:rsidR="004970A7" w:rsidRPr="00A96331" w:rsidRDefault="004970A7" w:rsidP="004970A7">
      <w:pPr>
        <w:pStyle w:val="Body"/>
        <w:numPr>
          <w:ilvl w:val="0"/>
          <w:numId w:val="6"/>
        </w:numPr>
        <w:rPr>
          <w:rFonts w:ascii="MetaPro-Norm" w:eastAsia="MetaPro-Norm" w:hAnsi="MetaPro-Norm" w:cs="MetaPro-Norm"/>
          <w:sz w:val="22"/>
          <w:szCs w:val="22"/>
        </w:rPr>
      </w:pPr>
      <w:r w:rsidRPr="00A96331">
        <w:rPr>
          <w:rFonts w:ascii="MetaPro-Norm" w:eastAsia="MetaPro-Norm" w:hAnsi="MetaPro-Norm" w:cs="MetaPro-Norm"/>
          <w:sz w:val="22"/>
          <w:szCs w:val="22"/>
        </w:rPr>
        <w:t>Ensure that all child detainees facing criminal charges are tried by juvenile courts and transferred to official rehabilitation centers specifically for juveniles where they can be detained separately from adults. They should be deprived of liberty only in exceptional cases, and for the shortest period</w:t>
      </w:r>
      <w:r>
        <w:rPr>
          <w:rFonts w:ascii="MetaPro-Norm" w:eastAsia="MetaPro-Norm" w:hAnsi="MetaPro-Norm" w:cs="MetaPro-Norm"/>
          <w:sz w:val="22"/>
          <w:szCs w:val="22"/>
        </w:rPr>
        <w:t xml:space="preserve"> of time</w:t>
      </w:r>
      <w:r w:rsidRPr="00A96331">
        <w:rPr>
          <w:rFonts w:ascii="MetaPro-Norm" w:eastAsia="MetaPro-Norm" w:hAnsi="MetaPro-Norm" w:cs="MetaPro-Norm"/>
          <w:sz w:val="22"/>
          <w:szCs w:val="22"/>
        </w:rPr>
        <w:t>.</w:t>
      </w:r>
    </w:p>
    <w:p w14:paraId="65B19F11" w14:textId="64F559DB" w:rsidR="00183818" w:rsidRDefault="00E1167E" w:rsidP="00183818">
      <w:pPr>
        <w:pStyle w:val="Body"/>
        <w:numPr>
          <w:ilvl w:val="0"/>
          <w:numId w:val="6"/>
        </w:numPr>
        <w:rPr>
          <w:rFonts w:ascii="MetaPro-Norm" w:eastAsia="MetaPro-Norm" w:hAnsi="MetaPro-Norm" w:cs="MetaPro-Norm"/>
          <w:sz w:val="22"/>
          <w:szCs w:val="22"/>
        </w:rPr>
      </w:pPr>
      <w:r>
        <w:rPr>
          <w:rFonts w:ascii="MetaPro-Norm" w:eastAsia="MetaPro-Norm" w:hAnsi="MetaPro-Norm" w:cs="MetaPro-Norm"/>
          <w:sz w:val="22"/>
          <w:szCs w:val="22"/>
        </w:rPr>
        <w:lastRenderedPageBreak/>
        <w:t xml:space="preserve">Ensure </w:t>
      </w:r>
      <w:r w:rsidR="005608EE" w:rsidRPr="00183818">
        <w:rPr>
          <w:rFonts w:ascii="MetaPro-Norm" w:eastAsia="MetaPro-Norm" w:hAnsi="MetaPro-Norm" w:cs="MetaPro-Norm"/>
          <w:sz w:val="22"/>
          <w:szCs w:val="22"/>
        </w:rPr>
        <w:t>members of the Rwanda National Police and other individuals responsible for unlawful detention, ill-treatment, and other abuses in all unofficial and official places of detention</w:t>
      </w:r>
      <w:r w:rsidR="00971521">
        <w:rPr>
          <w:rFonts w:ascii="MetaPro-Norm" w:eastAsia="MetaPro-Norm" w:hAnsi="MetaPro-Norm" w:cs="MetaPro-Norm"/>
          <w:sz w:val="22"/>
          <w:szCs w:val="22"/>
        </w:rPr>
        <w:t>, are subject to appropriate sanctions, including commensurate with the gravity of the abuse and scope of responsibility, held criminally accountable in</w:t>
      </w:r>
      <w:r w:rsidR="00971521" w:rsidRPr="00183818">
        <w:rPr>
          <w:rFonts w:ascii="MetaPro-Norm" w:eastAsia="MetaPro-Norm" w:hAnsi="MetaPro-Norm" w:cs="MetaPro-Norm"/>
          <w:sz w:val="22"/>
          <w:szCs w:val="22"/>
        </w:rPr>
        <w:t xml:space="preserve"> fair and credible trials</w:t>
      </w:r>
      <w:r w:rsidR="005608EE" w:rsidRPr="00183818">
        <w:rPr>
          <w:rFonts w:ascii="MetaPro-Norm" w:eastAsia="MetaPro-Norm" w:hAnsi="MetaPro-Norm" w:cs="MetaPro-Norm"/>
          <w:sz w:val="22"/>
          <w:szCs w:val="22"/>
        </w:rPr>
        <w:t>.</w:t>
      </w:r>
    </w:p>
    <w:p w14:paraId="4B8CA021" w14:textId="2BBF0F34" w:rsidR="00DA7781" w:rsidRDefault="0CD70C94" w:rsidP="00183818">
      <w:pPr>
        <w:pStyle w:val="Body"/>
        <w:numPr>
          <w:ilvl w:val="0"/>
          <w:numId w:val="6"/>
        </w:numPr>
        <w:rPr>
          <w:rFonts w:ascii="MetaPro-Norm" w:eastAsia="MetaPro-Norm" w:hAnsi="MetaPro-Norm" w:cs="MetaPro-Norm"/>
          <w:sz w:val="22"/>
          <w:szCs w:val="22"/>
        </w:rPr>
      </w:pPr>
      <w:r w:rsidRPr="4E3CCFFA">
        <w:rPr>
          <w:rFonts w:ascii="MetaPro-Norm" w:eastAsia="MetaPro-Norm" w:hAnsi="MetaPro-Norm" w:cs="MetaPro-Norm"/>
          <w:sz w:val="22"/>
          <w:szCs w:val="22"/>
        </w:rPr>
        <w:t>Take m</w:t>
      </w:r>
      <w:r w:rsidR="3FE5882D" w:rsidRPr="4E3CCFFA">
        <w:rPr>
          <w:rFonts w:ascii="MetaPro-Norm" w:eastAsia="MetaPro-Norm" w:hAnsi="MetaPro-Norm" w:cs="MetaPro-Norm"/>
          <w:sz w:val="22"/>
          <w:szCs w:val="22"/>
        </w:rPr>
        <w:t xml:space="preserve">easures to fight discrimination and stigma against </w:t>
      </w:r>
      <w:r w:rsidR="38156AE7" w:rsidRPr="4E3CCFFA">
        <w:rPr>
          <w:rFonts w:ascii="MetaPro-Norm" w:eastAsia="MetaPro-Norm" w:hAnsi="MetaPro-Norm" w:cs="MetaPro-Norm"/>
          <w:sz w:val="22"/>
          <w:szCs w:val="22"/>
        </w:rPr>
        <w:t xml:space="preserve">disadvantaged </w:t>
      </w:r>
      <w:r w:rsidR="1B3C0C92" w:rsidRPr="4E3CCFFA">
        <w:rPr>
          <w:rFonts w:ascii="MetaPro-Norm" w:eastAsia="MetaPro-Norm" w:hAnsi="MetaPro-Norm" w:cs="MetaPro-Norm"/>
          <w:sz w:val="22"/>
          <w:szCs w:val="22"/>
        </w:rPr>
        <w:t xml:space="preserve">people and children such as </w:t>
      </w:r>
      <w:r w:rsidR="3FE5882D" w:rsidRPr="4E3CCFFA">
        <w:rPr>
          <w:rFonts w:ascii="MetaPro-Norm" w:eastAsia="MetaPro-Norm" w:hAnsi="MetaPro-Norm" w:cs="MetaPro-Norm"/>
          <w:sz w:val="22"/>
          <w:szCs w:val="22"/>
        </w:rPr>
        <w:t xml:space="preserve">street </w:t>
      </w:r>
      <w:r w:rsidR="6E493884" w:rsidRPr="4E3CCFFA">
        <w:rPr>
          <w:rFonts w:ascii="MetaPro-Norm" w:eastAsia="MetaPro-Norm" w:hAnsi="MetaPro-Norm" w:cs="MetaPro-Norm"/>
          <w:sz w:val="22"/>
          <w:szCs w:val="22"/>
        </w:rPr>
        <w:t xml:space="preserve">children and </w:t>
      </w:r>
      <w:r w:rsidR="1B3C0C92" w:rsidRPr="4E3CCFFA">
        <w:rPr>
          <w:rFonts w:ascii="MetaPro-Norm" w:eastAsia="MetaPro-Norm" w:hAnsi="MetaPro-Norm" w:cs="MetaPro-Norm"/>
          <w:sz w:val="22"/>
          <w:szCs w:val="22"/>
        </w:rPr>
        <w:t>vendors</w:t>
      </w:r>
      <w:r w:rsidR="3FE5882D" w:rsidRPr="4E3CCFFA">
        <w:rPr>
          <w:rFonts w:ascii="MetaPro-Norm" w:eastAsia="MetaPro-Norm" w:hAnsi="MetaPro-Norm" w:cs="MetaPro-Norm"/>
          <w:sz w:val="22"/>
          <w:szCs w:val="22"/>
        </w:rPr>
        <w:t xml:space="preserve">, </w:t>
      </w:r>
      <w:r w:rsidR="6E493884" w:rsidRPr="4E3CCFFA">
        <w:rPr>
          <w:rFonts w:ascii="MetaPro-Norm" w:eastAsia="MetaPro-Norm" w:hAnsi="MetaPro-Norm" w:cs="MetaPro-Norm"/>
          <w:sz w:val="22"/>
          <w:szCs w:val="22"/>
        </w:rPr>
        <w:t>sex workers</w:t>
      </w:r>
      <w:r w:rsidR="31931C6B" w:rsidRPr="4E3CCFFA">
        <w:rPr>
          <w:rFonts w:ascii="MetaPro-Norm" w:eastAsia="MetaPro-Norm" w:hAnsi="MetaPro-Norm" w:cs="MetaPro-Norm"/>
          <w:sz w:val="22"/>
          <w:szCs w:val="22"/>
        </w:rPr>
        <w:t xml:space="preserve">, </w:t>
      </w:r>
      <w:r w:rsidR="3FE5882D" w:rsidRPr="4E3CCFFA">
        <w:rPr>
          <w:rFonts w:ascii="MetaPro-Norm" w:eastAsia="MetaPro-Norm" w:hAnsi="MetaPro-Norm" w:cs="MetaPro-Norm"/>
          <w:sz w:val="22"/>
          <w:szCs w:val="22"/>
        </w:rPr>
        <w:t>vagrants</w:t>
      </w:r>
      <w:r w:rsidR="67AF6E10" w:rsidRPr="4E3CCFFA">
        <w:rPr>
          <w:rFonts w:ascii="MetaPro-Norm" w:eastAsia="MetaPro-Norm" w:hAnsi="MetaPro-Norm" w:cs="MetaPro-Norm"/>
          <w:sz w:val="22"/>
          <w:szCs w:val="22"/>
        </w:rPr>
        <w:t>,</w:t>
      </w:r>
      <w:r w:rsidR="3FE5882D" w:rsidRPr="4E3CCFFA">
        <w:rPr>
          <w:rFonts w:ascii="MetaPro-Norm" w:eastAsia="MetaPro-Norm" w:hAnsi="MetaPro-Norm" w:cs="MetaPro-Norm"/>
          <w:sz w:val="22"/>
          <w:szCs w:val="22"/>
        </w:rPr>
        <w:t xml:space="preserve"> and beggars</w:t>
      </w:r>
      <w:r w:rsidRPr="4E3CCFFA">
        <w:rPr>
          <w:rFonts w:ascii="MetaPro-Norm" w:eastAsia="MetaPro-Norm" w:hAnsi="MetaPro-Norm" w:cs="MetaPro-Norm"/>
          <w:sz w:val="22"/>
          <w:szCs w:val="22"/>
        </w:rPr>
        <w:t>,</w:t>
      </w:r>
      <w:r w:rsidR="3FE5882D" w:rsidRPr="4E3CCFFA">
        <w:rPr>
          <w:rFonts w:ascii="MetaPro-Norm" w:eastAsia="MetaPro-Norm" w:hAnsi="MetaPro-Norm" w:cs="MetaPro-Norm"/>
          <w:sz w:val="22"/>
          <w:szCs w:val="22"/>
        </w:rPr>
        <w:t xml:space="preserve"> and support </w:t>
      </w:r>
      <w:r w:rsidR="1B3C0C92" w:rsidRPr="4E3CCFFA">
        <w:rPr>
          <w:rFonts w:ascii="MetaPro-Norm" w:eastAsia="MetaPro-Norm" w:hAnsi="MetaPro-Norm" w:cs="MetaPro-Norm"/>
          <w:sz w:val="22"/>
          <w:szCs w:val="22"/>
        </w:rPr>
        <w:t>them</w:t>
      </w:r>
      <w:r w:rsidR="3FE5882D" w:rsidRPr="4E3CCFFA">
        <w:rPr>
          <w:rFonts w:ascii="MetaPro-Norm" w:eastAsia="MetaPro-Norm" w:hAnsi="MetaPro-Norm" w:cs="MetaPro-Norm"/>
          <w:sz w:val="22"/>
          <w:szCs w:val="22"/>
        </w:rPr>
        <w:t xml:space="preserve"> through social protection schemes, education</w:t>
      </w:r>
      <w:r w:rsidR="1B3C0C92" w:rsidRPr="4E3CCFFA">
        <w:rPr>
          <w:rFonts w:ascii="MetaPro-Norm" w:eastAsia="MetaPro-Norm" w:hAnsi="MetaPro-Norm" w:cs="MetaPro-Norm"/>
          <w:sz w:val="22"/>
          <w:szCs w:val="22"/>
        </w:rPr>
        <w:t>,</w:t>
      </w:r>
      <w:r w:rsidR="3FE5882D" w:rsidRPr="4E3CCFFA">
        <w:rPr>
          <w:rFonts w:ascii="MetaPro-Norm" w:eastAsia="MetaPro-Norm" w:hAnsi="MetaPro-Norm" w:cs="MetaPro-Norm"/>
          <w:sz w:val="22"/>
          <w:szCs w:val="22"/>
        </w:rPr>
        <w:t xml:space="preserve"> and reliable vocational training.</w:t>
      </w:r>
    </w:p>
    <w:p w14:paraId="5291555B" w14:textId="77777777" w:rsidR="00A96331" w:rsidRDefault="00A96331" w:rsidP="00A96331">
      <w:pPr>
        <w:pStyle w:val="Body"/>
        <w:numPr>
          <w:ilvl w:val="0"/>
          <w:numId w:val="6"/>
        </w:numPr>
        <w:rPr>
          <w:rFonts w:ascii="MetaPro-Norm" w:eastAsia="MetaPro-Norm" w:hAnsi="MetaPro-Norm" w:cs="MetaPro-Norm"/>
          <w:sz w:val="22"/>
          <w:szCs w:val="22"/>
        </w:rPr>
      </w:pPr>
      <w:r w:rsidRPr="00A96331">
        <w:rPr>
          <w:rFonts w:ascii="MetaPro-Norm" w:eastAsia="MetaPro-Norm" w:hAnsi="MetaPro-Norm" w:cs="MetaPro-Norm"/>
          <w:sz w:val="22"/>
          <w:szCs w:val="22"/>
        </w:rPr>
        <w:t>Ensure that training programs for police officers incorporate obligations on respecting human rights of all citizens, including vulnerable groups who may particularly come into contact with law enforcement officials, such as street children, sex workers, drug users, and other disadvantaged people.</w:t>
      </w:r>
    </w:p>
    <w:p w14:paraId="36AEC753" w14:textId="77777777" w:rsidR="00541F40" w:rsidRPr="00541F40" w:rsidRDefault="00541F40" w:rsidP="00541F40">
      <w:pPr>
        <w:pStyle w:val="Body"/>
        <w:numPr>
          <w:ilvl w:val="0"/>
          <w:numId w:val="6"/>
        </w:numPr>
        <w:rPr>
          <w:rFonts w:ascii="MetaPro-Norm" w:eastAsia="MetaPro-Norm" w:hAnsi="MetaPro-Norm" w:cs="MetaPro-Norm"/>
          <w:sz w:val="22"/>
          <w:szCs w:val="22"/>
        </w:rPr>
      </w:pPr>
      <w:r w:rsidRPr="00541F40">
        <w:rPr>
          <w:rFonts w:ascii="MetaPro-Norm" w:eastAsia="MetaPro-Norm" w:hAnsi="MetaPro-Norm" w:cs="MetaPro-Norm"/>
          <w:sz w:val="22"/>
          <w:szCs w:val="22"/>
        </w:rPr>
        <w:t>Ensure that rehabilitation of street children through social protection schemes, education, and vocational training does not include nor result in arbitrary detention.</w:t>
      </w:r>
    </w:p>
    <w:p w14:paraId="7775057D" w14:textId="400B84E2" w:rsidR="00541F40" w:rsidRPr="00541F40" w:rsidRDefault="00541F40" w:rsidP="00541F40">
      <w:pPr>
        <w:pStyle w:val="Body"/>
        <w:numPr>
          <w:ilvl w:val="0"/>
          <w:numId w:val="6"/>
        </w:numPr>
        <w:rPr>
          <w:rFonts w:ascii="MetaPro-Norm" w:eastAsia="MetaPro-Norm" w:hAnsi="MetaPro-Norm" w:cs="MetaPro-Norm"/>
          <w:sz w:val="22"/>
          <w:szCs w:val="22"/>
        </w:rPr>
      </w:pPr>
      <w:r w:rsidRPr="00541F40">
        <w:rPr>
          <w:rFonts w:ascii="MetaPro-Norm" w:eastAsia="MetaPro-Norm" w:hAnsi="MetaPro-Norm" w:cs="MetaPro-Norm"/>
          <w:sz w:val="22"/>
          <w:szCs w:val="22"/>
        </w:rPr>
        <w:t>Ensure that all rehabilitation facilities are subjected to proper oversight and that independent bodies are able to access them for regular monitoring and public reporting on their conditions.</w:t>
      </w:r>
    </w:p>
    <w:p w14:paraId="3F123DB3" w14:textId="75E02156" w:rsidR="00610FE1" w:rsidRDefault="00610FE1" w:rsidP="00B46110">
      <w:pPr>
        <w:rPr>
          <w:rFonts w:ascii="MetaPro-Norm" w:hAnsi="MetaPro-Norm"/>
        </w:rPr>
      </w:pPr>
    </w:p>
    <w:p w14:paraId="56D0C503" w14:textId="77777777" w:rsidR="009550B0" w:rsidRDefault="009550B0" w:rsidP="009550B0">
      <w:pPr>
        <w:pStyle w:val="Body"/>
        <w:rPr>
          <w:rFonts w:ascii="MetaPro-Norm" w:hAnsi="MetaPro-Norm"/>
          <w:b/>
          <w:bCs/>
          <w:sz w:val="22"/>
          <w:szCs w:val="22"/>
        </w:rPr>
      </w:pPr>
      <w:r w:rsidRPr="00EA37CD">
        <w:rPr>
          <w:rFonts w:ascii="MetaPro-Norm" w:hAnsi="MetaPro-Norm"/>
          <w:b/>
          <w:bCs/>
          <w:sz w:val="22"/>
          <w:szCs w:val="22"/>
        </w:rPr>
        <w:t xml:space="preserve">Protection of Education from Attack </w:t>
      </w:r>
      <w:r w:rsidRPr="00EB10B7">
        <w:rPr>
          <w:rFonts w:ascii="MetaPro-Norm" w:hAnsi="MetaPro-Norm"/>
          <w:b/>
          <w:bCs/>
          <w:sz w:val="22"/>
          <w:szCs w:val="22"/>
        </w:rPr>
        <w:t>(article 13)</w:t>
      </w:r>
    </w:p>
    <w:p w14:paraId="6FA48E30" w14:textId="13CAD27A" w:rsidR="00B14084" w:rsidRPr="003B3CC2" w:rsidRDefault="266383AE" w:rsidP="00B14084">
      <w:pPr>
        <w:spacing w:after="0" w:line="240" w:lineRule="auto"/>
        <w:rPr>
          <w:rFonts w:ascii="MetaPro-Norm" w:hAnsi="MetaPro-Norm"/>
        </w:rPr>
      </w:pPr>
      <w:r>
        <w:rPr>
          <w:rFonts w:ascii="MetaPro-Norm" w:hAnsi="MetaPro-Norm"/>
        </w:rPr>
        <w:t>T</w:t>
      </w:r>
      <w:r w:rsidR="08560DFC" w:rsidRPr="003B3CC2">
        <w:rPr>
          <w:rFonts w:ascii="MetaPro-Norm" w:hAnsi="MetaPro-Norm"/>
        </w:rPr>
        <w:t>he Safe Schools Declaration is an inter-governmental political commitment that provides countries the opportunity to express political support for the protection of students, teachers, and schools during times of armed conflict,</w:t>
      </w:r>
      <w:r w:rsidR="00B14084" w:rsidRPr="00C05FB7">
        <w:rPr>
          <w:rStyle w:val="FootnoteReference"/>
        </w:rPr>
        <w:footnoteReference w:id="19"/>
      </w:r>
      <w:r w:rsidR="08560DFC" w:rsidRPr="003B3CC2">
        <w:rPr>
          <w:rFonts w:ascii="MetaPro-Norm" w:hAnsi="MetaPro-Norm"/>
        </w:rPr>
        <w:t xml:space="preserve"> the importance of the continuation of education during armed conflict, and the implementation of the Guidelines for Protecting Schools and Universities from Military Use during Armed Conflict.</w:t>
      </w:r>
      <w:r w:rsidR="00B14084" w:rsidRPr="00C05FB7">
        <w:rPr>
          <w:rStyle w:val="FootnoteReference"/>
        </w:rPr>
        <w:footnoteReference w:id="20"/>
      </w:r>
      <w:r w:rsidR="08560DFC" w:rsidRPr="003B3CC2">
        <w:rPr>
          <w:rFonts w:ascii="MetaPro-Norm" w:hAnsi="MetaPro-Norm"/>
        </w:rPr>
        <w:t xml:space="preserve"> </w:t>
      </w:r>
      <w:r w:rsidR="3E5CCAE1">
        <w:rPr>
          <w:rStyle w:val="normaltextrun"/>
          <w:rFonts w:ascii="MetaPro-Norm" w:hAnsi="MetaPro-Norm"/>
          <w:color w:val="000000"/>
          <w:shd w:val="clear" w:color="auto" w:fill="FFFFFF"/>
        </w:rPr>
        <w:t>As of December 2022, 116 countries have endorsed the Declaration</w:t>
      </w:r>
      <w:r w:rsidR="19AE05FB">
        <w:rPr>
          <w:rStyle w:val="normaltextrun"/>
          <w:rFonts w:ascii="MetaPro-Norm" w:hAnsi="MetaPro-Norm"/>
          <w:color w:val="000000"/>
          <w:shd w:val="clear" w:color="auto" w:fill="FFFFFF"/>
        </w:rPr>
        <w:t xml:space="preserve">, including </w:t>
      </w:r>
      <w:r w:rsidR="45B750C3">
        <w:rPr>
          <w:rStyle w:val="normaltextrun"/>
          <w:rFonts w:ascii="MetaPro-Norm" w:hAnsi="MetaPro-Norm"/>
          <w:color w:val="000000"/>
          <w:shd w:val="clear" w:color="auto" w:fill="FFFFFF"/>
        </w:rPr>
        <w:t>the</w:t>
      </w:r>
      <w:r w:rsidR="19AE05FB">
        <w:rPr>
          <w:rStyle w:val="normaltextrun"/>
          <w:rFonts w:ascii="MetaPro-Norm" w:hAnsi="MetaPro-Norm"/>
          <w:color w:val="000000"/>
          <w:shd w:val="clear" w:color="auto" w:fill="FFFFFF"/>
        </w:rPr>
        <w:t xml:space="preserve"> majority of Rwanda’s fellow African Union members</w:t>
      </w:r>
      <w:r w:rsidR="08585940">
        <w:rPr>
          <w:rStyle w:val="normaltextrun"/>
          <w:rFonts w:ascii="MetaPro-Norm" w:hAnsi="MetaPro-Norm"/>
          <w:color w:val="000000"/>
          <w:shd w:val="clear" w:color="auto" w:fill="FFFFFF"/>
        </w:rPr>
        <w:t>, but not yet Rwanda</w:t>
      </w:r>
      <w:r w:rsidR="08560DFC" w:rsidRPr="003B3CC2">
        <w:rPr>
          <w:rFonts w:ascii="MetaPro-Norm" w:hAnsi="MetaPro-Norm"/>
        </w:rPr>
        <w:t>.</w:t>
      </w:r>
      <w:r w:rsidR="00B14084" w:rsidRPr="00C05FB7">
        <w:rPr>
          <w:rStyle w:val="FootnoteReference"/>
        </w:rPr>
        <w:footnoteReference w:id="21"/>
      </w:r>
    </w:p>
    <w:p w14:paraId="16EFC1F3" w14:textId="76F6D343" w:rsidR="00B14084" w:rsidRDefault="00B14084" w:rsidP="00B14084">
      <w:pPr>
        <w:pStyle w:val="Body"/>
        <w:rPr>
          <w:rFonts w:ascii="MetaPro-Norm" w:hAnsi="MetaPro-Norm"/>
          <w:sz w:val="22"/>
          <w:szCs w:val="22"/>
        </w:rPr>
      </w:pPr>
    </w:p>
    <w:p w14:paraId="06F03A28" w14:textId="0710E203" w:rsidR="00B14084" w:rsidRPr="003B3CC2" w:rsidRDefault="08560DFC" w:rsidP="00B14084">
      <w:pPr>
        <w:spacing w:after="0" w:line="240" w:lineRule="auto"/>
        <w:rPr>
          <w:rFonts w:ascii="MetaPro-Norm" w:hAnsi="MetaPro-Norm"/>
        </w:rPr>
      </w:pPr>
      <w:r w:rsidRPr="003B3CC2">
        <w:rPr>
          <w:rFonts w:ascii="MetaPro-Norm" w:hAnsi="MetaPro-Norm"/>
        </w:rPr>
        <w:t xml:space="preserve">In October 2020, the African Committee of Experts on the Rights and Welfare of the Child issued a general comment on children and armed conflict in Africa, in which they stated that </w:t>
      </w:r>
      <w:r w:rsidRPr="008B7884">
        <w:rPr>
          <w:rFonts w:ascii="MetaPro-Norm" w:hAnsi="MetaPro-Norm"/>
        </w:rPr>
        <w:t>“</w:t>
      </w:r>
      <w:r w:rsidR="00683D0E" w:rsidRPr="008B7884">
        <w:rPr>
          <w:rFonts w:ascii="MetaPro-Norm" w:hAnsi="MetaPro-Norm"/>
        </w:rPr>
        <w:t>[t]</w:t>
      </w:r>
      <w:r w:rsidR="001B755B" w:rsidRPr="008B7884">
        <w:rPr>
          <w:rFonts w:ascii="MetaPro-Norm" w:hAnsi="MetaPro-Norm"/>
        </w:rPr>
        <w:t>he use of schools and other education institutions by peacekeeping forces can be equally negative for children’s right to education. For this reason, the African Union and other relevant African inter-</w:t>
      </w:r>
      <w:r w:rsidR="001B755B" w:rsidRPr="008B7884">
        <w:rPr>
          <w:rFonts w:ascii="MetaPro-Norm" w:hAnsi="MetaPro-Norm"/>
        </w:rPr>
        <w:lastRenderedPageBreak/>
        <w:t>governmental organizations that authorize peace support operations should adopt an explicit ban on the use of schools in their operations</w:t>
      </w:r>
      <w:r w:rsidRPr="008B7884">
        <w:rPr>
          <w:rFonts w:ascii="MetaPro-Norm" w:hAnsi="MetaPro-Norm"/>
        </w:rPr>
        <w:t>.”</w:t>
      </w:r>
      <w:r w:rsidR="00B14084" w:rsidRPr="008B7884">
        <w:rPr>
          <w:rStyle w:val="FootnoteReference"/>
        </w:rPr>
        <w:footnoteReference w:id="22"/>
      </w:r>
      <w:r w:rsidRPr="003B3CC2">
        <w:rPr>
          <w:rFonts w:ascii="MetaPro-Norm" w:hAnsi="MetaPro-Norm"/>
        </w:rPr>
        <w:t xml:space="preserve"> In January 2021, the African Union began requiring countries contributing troops to its peace operations to “ensure that schools are not attacked and used for military purposes.”</w:t>
      </w:r>
      <w:r w:rsidR="00B14084" w:rsidRPr="00C738D2">
        <w:rPr>
          <w:rStyle w:val="FootnoteReference"/>
        </w:rPr>
        <w:footnoteReference w:id="23"/>
      </w:r>
    </w:p>
    <w:p w14:paraId="2BA3BADF" w14:textId="77777777" w:rsidR="00CD705E" w:rsidRDefault="00CD705E" w:rsidP="00B14084">
      <w:pPr>
        <w:spacing w:after="0" w:line="240" w:lineRule="auto"/>
        <w:rPr>
          <w:rFonts w:ascii="MetaPro-Norm" w:hAnsi="MetaPro-Norm"/>
        </w:rPr>
      </w:pPr>
    </w:p>
    <w:p w14:paraId="4C9EDC49" w14:textId="1D14378C" w:rsidR="00B14084" w:rsidRPr="003B3CC2" w:rsidRDefault="08560DFC" w:rsidP="00B14084">
      <w:pPr>
        <w:spacing w:after="0" w:line="240" w:lineRule="auto"/>
        <w:rPr>
          <w:rFonts w:ascii="MetaPro-Norm" w:hAnsi="MetaPro-Norm"/>
          <w:highlight w:val="yellow"/>
        </w:rPr>
      </w:pPr>
      <w:r w:rsidRPr="003B3CC2">
        <w:rPr>
          <w:rFonts w:ascii="MetaPro-Norm" w:hAnsi="MetaPro-Norm"/>
        </w:rPr>
        <w:t>As of</w:t>
      </w:r>
      <w:r>
        <w:rPr>
          <w:rFonts w:ascii="MetaPro-Norm" w:hAnsi="MetaPro-Norm"/>
        </w:rPr>
        <w:t xml:space="preserve"> September</w:t>
      </w:r>
      <w:r w:rsidRPr="003B3CC2">
        <w:rPr>
          <w:rFonts w:ascii="MetaPro-Norm" w:hAnsi="MetaPro-Norm"/>
        </w:rPr>
        <w:t xml:space="preserve"> 2022, </w:t>
      </w:r>
      <w:r w:rsidR="3934FF06">
        <w:rPr>
          <w:rFonts w:ascii="MetaPro-Norm" w:hAnsi="MetaPro-Norm"/>
        </w:rPr>
        <w:t>Rwanda</w:t>
      </w:r>
      <w:r w:rsidRPr="003B3CC2">
        <w:rPr>
          <w:rFonts w:ascii="MetaPro-Norm" w:hAnsi="MetaPro-Norm"/>
        </w:rPr>
        <w:t xml:space="preserve"> provides </w:t>
      </w:r>
      <w:r w:rsidR="5114011C">
        <w:rPr>
          <w:rFonts w:ascii="MetaPro-Norm" w:hAnsi="MetaPro-Norm"/>
        </w:rPr>
        <w:t>5,752</w:t>
      </w:r>
      <w:r>
        <w:rPr>
          <w:rFonts w:ascii="MetaPro-Norm" w:hAnsi="MetaPro-Norm"/>
        </w:rPr>
        <w:t xml:space="preserve"> </w:t>
      </w:r>
      <w:r w:rsidRPr="003B3CC2">
        <w:rPr>
          <w:rFonts w:ascii="MetaPro-Norm" w:hAnsi="MetaPro-Norm"/>
        </w:rPr>
        <w:t xml:space="preserve">personnel to </w:t>
      </w:r>
      <w:r>
        <w:rPr>
          <w:rFonts w:ascii="MetaPro-Norm" w:hAnsi="MetaPro-Norm"/>
        </w:rPr>
        <w:t>UN</w:t>
      </w:r>
      <w:r w:rsidRPr="003B3CC2">
        <w:rPr>
          <w:rFonts w:ascii="MetaPro-Norm" w:hAnsi="MetaPro-Norm"/>
        </w:rPr>
        <w:t xml:space="preserve"> peacekeeping missions</w:t>
      </w:r>
      <w:r w:rsidR="1319D7A4">
        <w:rPr>
          <w:rFonts w:ascii="MetaPro-Norm" w:hAnsi="MetaPro-Norm"/>
        </w:rPr>
        <w:t>, ranking fourth in contributions by country</w:t>
      </w:r>
      <w:r w:rsidRPr="003B3CC2">
        <w:rPr>
          <w:rFonts w:ascii="MetaPro-Norm" w:hAnsi="MetaPro-Norm"/>
        </w:rPr>
        <w:t>.</w:t>
      </w:r>
      <w:r w:rsidR="00B14084" w:rsidRPr="00C738D2">
        <w:rPr>
          <w:rStyle w:val="FootnoteReference"/>
        </w:rPr>
        <w:footnoteReference w:id="24"/>
      </w:r>
      <w:r w:rsidRPr="00C738D2">
        <w:rPr>
          <w:rFonts w:ascii="MetaPro-Medi" w:hAnsi="MetaPro-Medi"/>
        </w:rPr>
        <w:t xml:space="preserve"> </w:t>
      </w:r>
      <w:r w:rsidR="5B5DD062" w:rsidRPr="00C005CA">
        <w:rPr>
          <w:rFonts w:ascii="MetaPro-Norm" w:hAnsi="MetaPro-Norm"/>
        </w:rPr>
        <w:t xml:space="preserve">Rwanda </w:t>
      </w:r>
      <w:r w:rsidR="5B5DD062">
        <w:rPr>
          <w:rFonts w:ascii="MetaPro-Norm" w:hAnsi="MetaPro-Norm"/>
        </w:rPr>
        <w:t xml:space="preserve">has </w:t>
      </w:r>
      <w:r w:rsidR="5B5DD062" w:rsidRPr="00C005CA">
        <w:rPr>
          <w:rFonts w:ascii="MetaPro-Norm" w:hAnsi="MetaPro-Norm"/>
        </w:rPr>
        <w:t>deploy</w:t>
      </w:r>
      <w:r w:rsidR="5B5DD062">
        <w:rPr>
          <w:rFonts w:ascii="MetaPro-Norm" w:hAnsi="MetaPro-Norm"/>
        </w:rPr>
        <w:t>ed</w:t>
      </w:r>
      <w:r w:rsidR="5B5DD062" w:rsidRPr="00C005CA">
        <w:rPr>
          <w:rFonts w:ascii="MetaPro-Norm" w:hAnsi="MetaPro-Norm"/>
        </w:rPr>
        <w:t xml:space="preserve"> a significant number of peacekeeping troops in Sudan, the Central African Republic, and South Sudan— all countries where the military use of schools </w:t>
      </w:r>
      <w:r w:rsidR="0653A689" w:rsidRPr="00C005CA">
        <w:rPr>
          <w:rFonts w:ascii="MetaPro-Norm" w:hAnsi="MetaPro-Norm"/>
        </w:rPr>
        <w:t xml:space="preserve">by either domestic government forces or non-state actors </w:t>
      </w:r>
      <w:r w:rsidR="5B5DD062" w:rsidRPr="00C005CA">
        <w:rPr>
          <w:rFonts w:ascii="MetaPro-Norm" w:hAnsi="MetaPro-Norm"/>
        </w:rPr>
        <w:t>has been documented as a problem.</w:t>
      </w:r>
      <w:r w:rsidR="5B5DD062" w:rsidRPr="00C005CA">
        <w:rPr>
          <w:rFonts w:ascii="MetaPro-Medi" w:hAnsi="MetaPro-Medi"/>
        </w:rPr>
        <w:t xml:space="preserve"> </w:t>
      </w:r>
      <w:r w:rsidRPr="003B3CC2">
        <w:rPr>
          <w:rFonts w:ascii="MetaPro-Norm" w:hAnsi="MetaPro-Norm"/>
        </w:rPr>
        <w:t>The 2017 Child Protection Policy of the UN Department of Peace Operations, Department of Field Support, and Department of Political Affairs notes: “United Nations peace operations should refrain from all actions that impede children’s access to education, including the use of school premises. This applies particularly to uniformed personnel. Furthermore … United Nations peace operations personnel shall at no time and for no amount of time use schools for military purposes.”</w:t>
      </w:r>
      <w:r w:rsidR="00B14084" w:rsidRPr="00C738D2">
        <w:rPr>
          <w:rStyle w:val="FootnoteReference"/>
        </w:rPr>
        <w:footnoteReference w:id="25"/>
      </w:r>
    </w:p>
    <w:p w14:paraId="0575A7C0" w14:textId="77777777" w:rsidR="00B14084" w:rsidRDefault="00B14084" w:rsidP="00B14084">
      <w:pPr>
        <w:pStyle w:val="Body"/>
        <w:rPr>
          <w:rFonts w:ascii="MetaPro-Norm" w:hAnsi="MetaPro-Norm"/>
          <w:sz w:val="22"/>
          <w:szCs w:val="22"/>
        </w:rPr>
      </w:pPr>
    </w:p>
    <w:p w14:paraId="0DB13251" w14:textId="1B5D4E13" w:rsidR="00B14084" w:rsidRPr="003B3CC2" w:rsidRDefault="00B14084" w:rsidP="00B14084">
      <w:pPr>
        <w:spacing w:after="0" w:line="240" w:lineRule="auto"/>
        <w:rPr>
          <w:rFonts w:ascii="MetaPro-Norm" w:hAnsi="MetaPro-Norm" w:cstheme="minorHAnsi"/>
          <w:i/>
          <w:iCs/>
        </w:rPr>
      </w:pPr>
      <w:r w:rsidRPr="003B3CC2">
        <w:rPr>
          <w:rFonts w:ascii="MetaPro-Norm" w:hAnsi="MetaPro-Norm" w:cstheme="minorHAnsi"/>
          <w:i/>
          <w:iCs/>
        </w:rPr>
        <w:t xml:space="preserve">Human Rights Watch recommends that the Committee pose the following questions to the government of </w:t>
      </w:r>
      <w:r w:rsidR="00C315C6">
        <w:rPr>
          <w:rFonts w:ascii="MetaPro-Norm" w:hAnsi="MetaPro-Norm" w:cstheme="minorHAnsi"/>
          <w:i/>
          <w:iCs/>
        </w:rPr>
        <w:t>Rwanda</w:t>
      </w:r>
      <w:r w:rsidRPr="003B3CC2">
        <w:rPr>
          <w:rFonts w:ascii="MetaPro-Norm" w:hAnsi="MetaPro-Norm" w:cstheme="minorHAnsi"/>
          <w:i/>
          <w:iCs/>
        </w:rPr>
        <w:t>:</w:t>
      </w:r>
    </w:p>
    <w:p w14:paraId="61E3FE6D" w14:textId="52533778" w:rsidR="00B14084" w:rsidRPr="003B3CC2" w:rsidRDefault="00B14084" w:rsidP="00B14084">
      <w:pPr>
        <w:pStyle w:val="ListParagraph"/>
        <w:numPr>
          <w:ilvl w:val="0"/>
          <w:numId w:val="5"/>
        </w:numPr>
        <w:spacing w:after="0" w:line="240" w:lineRule="auto"/>
        <w:rPr>
          <w:rFonts w:ascii="MetaPro-Norm" w:hAnsi="MetaPro-Norm" w:cstheme="minorHAnsi"/>
        </w:rPr>
      </w:pPr>
      <w:r w:rsidRPr="003B3CC2">
        <w:rPr>
          <w:rFonts w:ascii="MetaPro-Norm" w:hAnsi="MetaPro-Norm"/>
        </w:rPr>
        <w:t xml:space="preserve">What steps has </w:t>
      </w:r>
      <w:r w:rsidR="00C315C6">
        <w:rPr>
          <w:rFonts w:ascii="MetaPro-Norm" w:hAnsi="MetaPro-Norm"/>
        </w:rPr>
        <w:t>Rwanda</w:t>
      </w:r>
      <w:r w:rsidRPr="003B3CC2">
        <w:rPr>
          <w:rFonts w:ascii="MetaPro-Norm" w:hAnsi="MetaPro-Norm"/>
        </w:rPr>
        <w:t xml:space="preserve"> taken to</w:t>
      </w:r>
      <w:r w:rsidR="00E17C96">
        <w:rPr>
          <w:rFonts w:ascii="MetaPro-Norm" w:hAnsi="MetaPro-Norm"/>
        </w:rPr>
        <w:t xml:space="preserve"> endorse </w:t>
      </w:r>
      <w:r w:rsidRPr="003B3CC2">
        <w:rPr>
          <w:rFonts w:ascii="MetaPro-Norm" w:hAnsi="MetaPro-Norm"/>
        </w:rPr>
        <w:t>the Safe Schools Declaration?</w:t>
      </w:r>
    </w:p>
    <w:p w14:paraId="02A493DD" w14:textId="7BB477DE" w:rsidR="00B14084" w:rsidRPr="003B3CC2" w:rsidRDefault="00B14084" w:rsidP="00B14084">
      <w:pPr>
        <w:pStyle w:val="ListParagraph"/>
        <w:numPr>
          <w:ilvl w:val="0"/>
          <w:numId w:val="5"/>
        </w:numPr>
        <w:spacing w:after="0" w:line="240" w:lineRule="auto"/>
        <w:rPr>
          <w:rFonts w:ascii="MetaPro-Norm" w:hAnsi="MetaPro-Norm" w:cstheme="minorHAnsi"/>
        </w:rPr>
      </w:pPr>
      <w:r w:rsidRPr="003B3CC2">
        <w:rPr>
          <w:rFonts w:ascii="MetaPro-Norm" w:hAnsi="MetaPro-Norm"/>
        </w:rPr>
        <w:t xml:space="preserve">Do any </w:t>
      </w:r>
      <w:r w:rsidR="00E17C96">
        <w:rPr>
          <w:rFonts w:ascii="MetaPro-Norm" w:hAnsi="MetaPro-Norm"/>
        </w:rPr>
        <w:t>Rwandan</w:t>
      </w:r>
      <w:r w:rsidRPr="003B3CC2">
        <w:rPr>
          <w:rFonts w:ascii="MetaPro-Norm" w:hAnsi="MetaPro-Norm"/>
        </w:rPr>
        <w:t xml:space="preserve"> laws, policies, or trainings provide explicit protection for schools and universities from military use during armed conflict?</w:t>
      </w:r>
    </w:p>
    <w:p w14:paraId="7EC926D9" w14:textId="68E2D8B0" w:rsidR="00B14084" w:rsidRPr="009365AF" w:rsidRDefault="00B14084" w:rsidP="00B14084">
      <w:pPr>
        <w:pStyle w:val="ListParagraph"/>
        <w:numPr>
          <w:ilvl w:val="0"/>
          <w:numId w:val="5"/>
        </w:numPr>
        <w:spacing w:after="0" w:line="240" w:lineRule="auto"/>
        <w:rPr>
          <w:rFonts w:ascii="MetaPro-Norm" w:hAnsi="MetaPro-Norm" w:cstheme="minorHAnsi"/>
        </w:rPr>
      </w:pPr>
      <w:r w:rsidRPr="003B3CC2">
        <w:rPr>
          <w:rFonts w:ascii="MetaPro-Norm" w:hAnsi="MetaPro-Norm"/>
        </w:rPr>
        <w:t xml:space="preserve">Does pre-deployment training for </w:t>
      </w:r>
      <w:r w:rsidR="00C315C6">
        <w:rPr>
          <w:rFonts w:ascii="MetaPro-Norm" w:hAnsi="MetaPro-Norm"/>
        </w:rPr>
        <w:t>Rwandan</w:t>
      </w:r>
      <w:r w:rsidRPr="003B3CC2">
        <w:rPr>
          <w:rFonts w:ascii="MetaPro-Norm" w:hAnsi="MetaPro-Norm"/>
        </w:rPr>
        <w:t xml:space="preserve"> peacekeepers include the ban on using schools in military operations?</w:t>
      </w:r>
    </w:p>
    <w:p w14:paraId="05E4616D" w14:textId="77777777" w:rsidR="00B14084" w:rsidRPr="003B3CC2" w:rsidRDefault="00B14084" w:rsidP="00B14084">
      <w:pPr>
        <w:pStyle w:val="ListParagraph"/>
        <w:spacing w:after="0" w:line="240" w:lineRule="auto"/>
        <w:rPr>
          <w:rFonts w:ascii="MetaPro-Norm" w:hAnsi="MetaPro-Norm" w:cstheme="minorHAnsi"/>
        </w:rPr>
      </w:pPr>
    </w:p>
    <w:p w14:paraId="257A501E" w14:textId="7F10D0E7" w:rsidR="00B14084" w:rsidRPr="003B3CC2" w:rsidRDefault="00B14084" w:rsidP="00B14084">
      <w:pPr>
        <w:spacing w:after="0"/>
        <w:rPr>
          <w:rFonts w:ascii="MetaPro-Norm" w:hAnsi="MetaPro-Norm" w:cstheme="minorHAnsi"/>
          <w:i/>
          <w:iCs/>
        </w:rPr>
      </w:pPr>
      <w:r w:rsidRPr="003B3CC2">
        <w:rPr>
          <w:rFonts w:ascii="MetaPro-Norm" w:hAnsi="MetaPro-Norm" w:cstheme="minorHAnsi"/>
          <w:i/>
          <w:iCs/>
        </w:rPr>
        <w:t>Human Rights Watch encourages the Committee to</w:t>
      </w:r>
      <w:r w:rsidR="00E17C96">
        <w:rPr>
          <w:rFonts w:ascii="MetaPro-Norm" w:hAnsi="MetaPro-Norm" w:cstheme="minorHAnsi"/>
          <w:i/>
          <w:iCs/>
        </w:rPr>
        <w:t xml:space="preserve"> call on the Government of Rwanda to</w:t>
      </w:r>
      <w:r w:rsidRPr="003B3CC2">
        <w:rPr>
          <w:rFonts w:ascii="MetaPro-Norm" w:hAnsi="MetaPro-Norm" w:cstheme="minorHAnsi"/>
          <w:i/>
          <w:iCs/>
        </w:rPr>
        <w:t>:</w:t>
      </w:r>
    </w:p>
    <w:p w14:paraId="52734F21" w14:textId="52E6CDCA" w:rsidR="00143976" w:rsidRPr="00F74767" w:rsidRDefault="00E17C96" w:rsidP="00F74767">
      <w:pPr>
        <w:pStyle w:val="ListParagraph"/>
        <w:numPr>
          <w:ilvl w:val="0"/>
          <w:numId w:val="4"/>
        </w:numPr>
        <w:spacing w:after="0"/>
        <w:rPr>
          <w:rFonts w:ascii="MetaPro-Norm" w:hAnsi="MetaPro-Norm"/>
        </w:rPr>
      </w:pPr>
      <w:r>
        <w:rPr>
          <w:rFonts w:ascii="MetaPro-Norm" w:hAnsi="MetaPro-Norm"/>
        </w:rPr>
        <w:t>E</w:t>
      </w:r>
      <w:r w:rsidR="00B14084" w:rsidRPr="003B3CC2">
        <w:rPr>
          <w:rFonts w:ascii="MetaPro-Norm" w:hAnsi="MetaPro-Norm"/>
        </w:rPr>
        <w:t>ndor</w:t>
      </w:r>
      <w:r w:rsidR="000E3B53">
        <w:rPr>
          <w:rFonts w:ascii="MetaPro-Norm" w:hAnsi="MetaPro-Norm"/>
        </w:rPr>
        <w:t>se</w:t>
      </w:r>
      <w:r w:rsidR="00B14084" w:rsidRPr="003B3CC2">
        <w:rPr>
          <w:rFonts w:ascii="MetaPro-Norm" w:hAnsi="MetaPro-Norm"/>
        </w:rPr>
        <w:t xml:space="preserve"> the Safe Schools Declaration.</w:t>
      </w:r>
    </w:p>
    <w:sectPr w:rsidR="00143976" w:rsidRPr="00F7476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852F8" w14:textId="77777777" w:rsidR="002B2CFE" w:rsidRDefault="002B2CFE" w:rsidP="000F066B">
      <w:pPr>
        <w:spacing w:after="0" w:line="240" w:lineRule="auto"/>
      </w:pPr>
      <w:r>
        <w:separator/>
      </w:r>
    </w:p>
  </w:endnote>
  <w:endnote w:type="continuationSeparator" w:id="0">
    <w:p w14:paraId="26E699D5" w14:textId="77777777" w:rsidR="002B2CFE" w:rsidRDefault="002B2CFE" w:rsidP="000F066B">
      <w:pPr>
        <w:spacing w:after="0" w:line="240" w:lineRule="auto"/>
      </w:pPr>
      <w:r>
        <w:continuationSeparator/>
      </w:r>
    </w:p>
  </w:endnote>
  <w:endnote w:type="continuationNotice" w:id="1">
    <w:p w14:paraId="0F40F78A" w14:textId="77777777" w:rsidR="002B2CFE" w:rsidRDefault="002B2C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Medi">
    <w:panose1 w:val="020B0604030101020102"/>
    <w:charset w:val="00"/>
    <w:family w:val="swiss"/>
    <w:notTrueType/>
    <w:pitch w:val="variable"/>
    <w:sig w:usb0="A00002F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etaPro-Norm">
    <w:panose1 w:val="020B0504030101020102"/>
    <w:charset w:val="00"/>
    <w:family w:val="swiss"/>
    <w:notTrueType/>
    <w:pitch w:val="variable"/>
    <w:sig w:usb0="A00002FF" w:usb1="4000207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7816907"/>
      <w:docPartObj>
        <w:docPartGallery w:val="Page Numbers (Bottom of Page)"/>
        <w:docPartUnique/>
      </w:docPartObj>
    </w:sdtPr>
    <w:sdtEndPr>
      <w:rPr>
        <w:rFonts w:ascii="MetaPro-Medi" w:hAnsi="MetaPro-Medi"/>
        <w:noProof/>
      </w:rPr>
    </w:sdtEndPr>
    <w:sdtContent>
      <w:p w14:paraId="71583821" w14:textId="34424087" w:rsidR="00DA7781" w:rsidRPr="006A7D3F" w:rsidRDefault="00DA7781">
        <w:pPr>
          <w:pStyle w:val="Footer"/>
          <w:jc w:val="center"/>
          <w:rPr>
            <w:rFonts w:ascii="MetaPro-Medi" w:hAnsi="MetaPro-Medi"/>
          </w:rPr>
        </w:pPr>
        <w:r w:rsidRPr="006A7D3F">
          <w:rPr>
            <w:rFonts w:ascii="MetaPro-Medi" w:hAnsi="MetaPro-Medi"/>
          </w:rPr>
          <w:fldChar w:fldCharType="begin"/>
        </w:r>
        <w:r w:rsidRPr="00AF615D">
          <w:rPr>
            <w:rFonts w:ascii="MetaPro-Medi" w:hAnsi="MetaPro-Medi"/>
          </w:rPr>
          <w:instrText xml:space="preserve"> PAGE   \* MERGEFORMAT </w:instrText>
        </w:r>
        <w:r w:rsidRPr="006A7D3F">
          <w:rPr>
            <w:rFonts w:ascii="MetaPro-Medi" w:hAnsi="MetaPro-Medi"/>
          </w:rPr>
          <w:fldChar w:fldCharType="separate"/>
        </w:r>
        <w:r w:rsidRPr="00F74767">
          <w:rPr>
            <w:rFonts w:ascii="MetaPro-Medi" w:hAnsi="MetaPro-Medi"/>
            <w:noProof/>
          </w:rPr>
          <w:t>2</w:t>
        </w:r>
        <w:r w:rsidRPr="006A7D3F">
          <w:rPr>
            <w:rFonts w:ascii="MetaPro-Medi" w:hAnsi="MetaPro-Medi"/>
            <w:noProof/>
          </w:rPr>
          <w:fldChar w:fldCharType="end"/>
        </w:r>
      </w:p>
    </w:sdtContent>
  </w:sdt>
  <w:p w14:paraId="58E7CCF6" w14:textId="77777777" w:rsidR="00DA7781" w:rsidRPr="00DA7781" w:rsidRDefault="00DA7781">
    <w:pPr>
      <w:pStyle w:val="Footer"/>
      <w:rPr>
        <w:rFonts w:ascii="MetaPro-Norm" w:hAnsi="MetaPro-Norm"/>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6ED1E" w14:textId="77777777" w:rsidR="002B2CFE" w:rsidRDefault="002B2CFE" w:rsidP="000F066B">
      <w:pPr>
        <w:spacing w:after="0" w:line="240" w:lineRule="auto"/>
      </w:pPr>
      <w:r>
        <w:separator/>
      </w:r>
    </w:p>
  </w:footnote>
  <w:footnote w:type="continuationSeparator" w:id="0">
    <w:p w14:paraId="0377399D" w14:textId="77777777" w:rsidR="002B2CFE" w:rsidRDefault="002B2CFE" w:rsidP="000F066B">
      <w:pPr>
        <w:spacing w:after="0" w:line="240" w:lineRule="auto"/>
      </w:pPr>
      <w:r>
        <w:continuationSeparator/>
      </w:r>
    </w:p>
  </w:footnote>
  <w:footnote w:type="continuationNotice" w:id="1">
    <w:p w14:paraId="1BCD0F51" w14:textId="77777777" w:rsidR="002B2CFE" w:rsidRDefault="002B2CFE">
      <w:pPr>
        <w:spacing w:after="0" w:line="240" w:lineRule="auto"/>
      </w:pPr>
    </w:p>
  </w:footnote>
  <w:footnote w:id="2">
    <w:p w14:paraId="49A18703" w14:textId="38A68FF3" w:rsidR="00CF4A4E" w:rsidRPr="00CF4A4E" w:rsidRDefault="00CF4A4E">
      <w:pPr>
        <w:pStyle w:val="FootnoteText"/>
      </w:pPr>
      <w:r>
        <w:rPr>
          <w:rStyle w:val="FootnoteReference"/>
        </w:rPr>
        <w:footnoteRef/>
      </w:r>
      <w:r>
        <w:t xml:space="preserve"> </w:t>
      </w:r>
      <w:r w:rsidR="00AC2B97" w:rsidRPr="004B2B8E">
        <w:t xml:space="preserve">“Rwanda pledges to eradicate delinquency, demands security forces to intervene,” Top Africa News, </w:t>
      </w:r>
      <w:r w:rsidR="004B2B8E" w:rsidRPr="004B2B8E">
        <w:t xml:space="preserve">June 2018, </w:t>
      </w:r>
      <w:hyperlink r:id="rId1" w:history="1">
        <w:r w:rsidR="004B2B8E" w:rsidRPr="004B2B8E">
          <w:rPr>
            <w:rStyle w:val="Hyperlink"/>
            <w:color w:val="auto"/>
            <w:u w:val="none"/>
          </w:rPr>
          <w:t>https://www.topafricanews.com/2018/06/07/rwanda-pledges-to-eradicate-all-forms-of-delinquency-demands-security-forces-to-intervene/</w:t>
        </w:r>
      </w:hyperlink>
      <w:r w:rsidR="004B2B8E" w:rsidRPr="004B2B8E">
        <w:t xml:space="preserve"> (accessed December 15, 2022).</w:t>
      </w:r>
    </w:p>
  </w:footnote>
  <w:footnote w:id="3">
    <w:p w14:paraId="768A1814" w14:textId="044DE5CB" w:rsidR="009708D1" w:rsidRDefault="009708D1" w:rsidP="009708D1">
      <w:pPr>
        <w:pStyle w:val="FootnoteText"/>
      </w:pPr>
      <w:r>
        <w:rPr>
          <w:rStyle w:val="FootnoteReference"/>
        </w:rPr>
        <w:footnoteRef/>
      </w:r>
      <w:r>
        <w:t xml:space="preserve"> </w:t>
      </w:r>
      <w:r w:rsidR="00AD232F">
        <w:t xml:space="preserve">Concluding observations on the third and fourth periodic reports of Rwanda, </w:t>
      </w:r>
      <w:r w:rsidR="0056045B">
        <w:t xml:space="preserve">UN </w:t>
      </w:r>
      <w:r w:rsidR="00AD232F">
        <w:t xml:space="preserve">Committee </w:t>
      </w:r>
      <w:r w:rsidR="0056045B">
        <w:t>on the Rights of the Child,</w:t>
      </w:r>
      <w:r w:rsidR="00AD232F">
        <w:t xml:space="preserve"> </w:t>
      </w:r>
      <w:r w:rsidR="003C7CE1">
        <w:t xml:space="preserve">July 8, 2013, CRC/C/RWA/CO/3-4, </w:t>
      </w:r>
      <w:r w:rsidR="003C7CE1" w:rsidRPr="003C7CE1">
        <w:t>https://tbinternet.ohchr.org/_layouts/15/treatybodyexternal/Download.aspx?symbolno=CRC%2FC%2FRWA%2FCO%2F3-4&amp;Lang=en</w:t>
      </w:r>
      <w:r w:rsidR="003C7CE1">
        <w:t xml:space="preserve"> (accessed January 6, 2023).</w:t>
      </w:r>
    </w:p>
  </w:footnote>
  <w:footnote w:id="4">
    <w:p w14:paraId="5E2C0972" w14:textId="1DF987D6" w:rsidR="00206E5E" w:rsidRPr="00080B5C" w:rsidRDefault="00206E5E" w:rsidP="00206E5E">
      <w:pPr>
        <w:pStyle w:val="FootnoteText"/>
      </w:pPr>
      <w:r>
        <w:rPr>
          <w:rStyle w:val="FootnoteReference"/>
        </w:rPr>
        <w:footnoteRef/>
      </w:r>
      <w:r>
        <w:t xml:space="preserve"> Lewis Mudge</w:t>
      </w:r>
      <w:r w:rsidRPr="00F76711">
        <w:t xml:space="preserve">, “Rwanda Should Stop Locking Up the Poor,” </w:t>
      </w:r>
      <w:r>
        <w:t xml:space="preserve">Human Rights Watch Dispatch, </w:t>
      </w:r>
      <w:r w:rsidRPr="00F76711">
        <w:t xml:space="preserve">December 21, 2020, </w:t>
      </w:r>
      <w:hyperlink r:id="rId2" w:history="1">
        <w:r w:rsidRPr="00F76711">
          <w:rPr>
            <w:rStyle w:val="Hyperlink"/>
            <w:color w:val="auto"/>
            <w:u w:val="none"/>
          </w:rPr>
          <w:t>https://www.hrw.org/news/2020/12/21/rwanda-should-stop-locking-poor</w:t>
        </w:r>
      </w:hyperlink>
      <w:r w:rsidRPr="00F76711">
        <w:t>.</w:t>
      </w:r>
    </w:p>
  </w:footnote>
  <w:footnote w:id="5">
    <w:p w14:paraId="67EB3C83" w14:textId="04AA8C07" w:rsidR="00DA7781" w:rsidRPr="00B07BD6" w:rsidRDefault="00DA7781" w:rsidP="00DA7781">
      <w:pPr>
        <w:pStyle w:val="FootnoteText"/>
      </w:pPr>
      <w:r>
        <w:rPr>
          <w:rStyle w:val="FootnoteReference"/>
        </w:rPr>
        <w:footnoteRef/>
      </w:r>
      <w:r>
        <w:t xml:space="preserve"> Human Rights Watch, </w:t>
      </w:r>
      <w:r w:rsidRPr="00DA3A04">
        <w:rPr>
          <w:i/>
          <w:iCs/>
        </w:rPr>
        <w:t xml:space="preserve">“Why Not Call This Place a Prison?” Unlawful Detention and Ill-Treatment in Rwanda’s </w:t>
      </w:r>
      <w:proofErr w:type="spellStart"/>
      <w:r w:rsidRPr="00DA3A04">
        <w:rPr>
          <w:i/>
          <w:iCs/>
        </w:rPr>
        <w:t>Gikondo</w:t>
      </w:r>
      <w:proofErr w:type="spellEnd"/>
      <w:r w:rsidRPr="00DA3A04">
        <w:rPr>
          <w:i/>
          <w:iCs/>
        </w:rPr>
        <w:t xml:space="preserve"> Transit Center</w:t>
      </w:r>
      <w:r w:rsidRPr="00B07BD6">
        <w:t xml:space="preserve"> </w:t>
      </w:r>
      <w:r w:rsidR="00DA3A04">
        <w:t xml:space="preserve">(New York: Human Rights Watch, </w:t>
      </w:r>
      <w:r w:rsidRPr="00B07BD6">
        <w:t>September 2015</w:t>
      </w:r>
      <w:r w:rsidR="00DA3A04">
        <w:t>)</w:t>
      </w:r>
      <w:r w:rsidRPr="00B07BD6">
        <w:t xml:space="preserve">, </w:t>
      </w:r>
      <w:hyperlink r:id="rId3" w:history="1">
        <w:r w:rsidRPr="00B07BD6">
          <w:rPr>
            <w:rStyle w:val="Hyperlink"/>
            <w:color w:val="auto"/>
            <w:u w:val="none"/>
          </w:rPr>
          <w:t>https://www.hrw.org/report/2015/09/24/why-not-call-place-prison/unlawful-detention-and-ill-treatment-rwandas-gikondo#</w:t>
        </w:r>
      </w:hyperlink>
      <w:r w:rsidR="00DA3A04">
        <w:t>.</w:t>
      </w:r>
    </w:p>
  </w:footnote>
  <w:footnote w:id="6">
    <w:p w14:paraId="467D5E48" w14:textId="4416B447" w:rsidR="00DA7781" w:rsidRDefault="00DA7781" w:rsidP="00DA7781">
      <w:pPr>
        <w:pStyle w:val="FootnoteText"/>
      </w:pPr>
      <w:r w:rsidRPr="00B07BD6">
        <w:rPr>
          <w:rStyle w:val="FootnoteReference"/>
        </w:rPr>
        <w:footnoteRef/>
      </w:r>
      <w:r w:rsidRPr="00B07BD6">
        <w:t xml:space="preserve"> </w:t>
      </w:r>
      <w:r w:rsidR="00990175">
        <w:t>“</w:t>
      </w:r>
      <w:r w:rsidRPr="00B07BD6">
        <w:t xml:space="preserve">Rwanda: Locking Up the Poor,” </w:t>
      </w:r>
      <w:r w:rsidR="002D7379">
        <w:t xml:space="preserve">Human Rights Watch news release, </w:t>
      </w:r>
      <w:r w:rsidRPr="00B07BD6">
        <w:t xml:space="preserve">July 21, 2016, </w:t>
      </w:r>
      <w:hyperlink r:id="rId4" w:history="1">
        <w:r w:rsidRPr="00B07BD6">
          <w:rPr>
            <w:rStyle w:val="Hyperlink"/>
            <w:color w:val="auto"/>
            <w:u w:val="none"/>
          </w:rPr>
          <w:t>https://www.hrw.org/news/2016/07/21/rwanda-locking-poor</w:t>
        </w:r>
      </w:hyperlink>
      <w:r w:rsidR="00B71B19">
        <w:t>.</w:t>
      </w:r>
    </w:p>
  </w:footnote>
  <w:footnote w:id="7">
    <w:p w14:paraId="48F150E7" w14:textId="4C28CA4E" w:rsidR="00011E75" w:rsidRPr="00011E75" w:rsidRDefault="00011E75" w:rsidP="00011E75">
      <w:pPr>
        <w:pStyle w:val="FootnoteText"/>
      </w:pPr>
      <w:r>
        <w:rPr>
          <w:rStyle w:val="FootnoteReference"/>
        </w:rPr>
        <w:footnoteRef/>
      </w:r>
      <w:r>
        <w:t xml:space="preserve"> Human Rights Watch, </w:t>
      </w:r>
      <w:r w:rsidRPr="000644D0">
        <w:rPr>
          <w:i/>
          <w:iCs/>
        </w:rPr>
        <w:t>“As Long as We Live on the Streets, They Will Beat Us”: Rwanda’s Abusive Detention of Children</w:t>
      </w:r>
      <w:r>
        <w:rPr>
          <w:i/>
          <w:iCs/>
        </w:rPr>
        <w:t xml:space="preserve"> </w:t>
      </w:r>
      <w:r>
        <w:t>(New York: Human Rights Watch</w:t>
      </w:r>
      <w:r w:rsidR="000644D0">
        <w:t xml:space="preserve">, January 2020), </w:t>
      </w:r>
      <w:r w:rsidR="000644D0" w:rsidRPr="000644D0">
        <w:t>https://www.hrw.org/report/2020/01/27/long-we-live-streets-they-will-beat-us/rwandas-abusive-detention-children</w:t>
      </w:r>
      <w:r w:rsidR="000644D0">
        <w:t>.</w:t>
      </w:r>
    </w:p>
  </w:footnote>
  <w:footnote w:id="8">
    <w:p w14:paraId="76573091" w14:textId="57A51074" w:rsidR="00167DD8" w:rsidRDefault="00167DD8">
      <w:pPr>
        <w:pStyle w:val="FootnoteText"/>
      </w:pPr>
      <w:r>
        <w:rPr>
          <w:rStyle w:val="FootnoteReference"/>
        </w:rPr>
        <w:footnoteRef/>
      </w:r>
      <w:r>
        <w:t xml:space="preserve"> </w:t>
      </w:r>
      <w:r w:rsidR="006200A1">
        <w:t>“</w:t>
      </w:r>
      <w:r w:rsidR="006200A1" w:rsidRPr="006200A1">
        <w:t>Rwanda: Round Ups-Linked to Commonwealth Meeting</w:t>
      </w:r>
      <w:r w:rsidR="006200A1">
        <w:t xml:space="preserve">,” Human Rights Watch news release, </w:t>
      </w:r>
      <w:r w:rsidR="001C7D8D">
        <w:t xml:space="preserve">September 27, 2021, </w:t>
      </w:r>
      <w:r w:rsidR="001C7D8D" w:rsidRPr="001C7D8D">
        <w:t>https://www.hrw.org/news/2021/09/27/rwanda-round-ups-linked-commonwealth-meeting</w:t>
      </w:r>
      <w:r w:rsidR="001C7D8D">
        <w:t>.</w:t>
      </w:r>
    </w:p>
  </w:footnote>
  <w:footnote w:id="9">
    <w:p w14:paraId="6EB9791E" w14:textId="4CCE8564" w:rsidR="00DA7781" w:rsidRDefault="00DA7781" w:rsidP="00DA7781">
      <w:pPr>
        <w:pStyle w:val="FootnoteText"/>
      </w:pPr>
      <w:r>
        <w:rPr>
          <w:rStyle w:val="FootnoteReference"/>
        </w:rPr>
        <w:footnoteRef/>
      </w:r>
      <w:r>
        <w:t xml:space="preserve"> </w:t>
      </w:r>
      <w:r w:rsidRPr="00F55B78">
        <w:t>Human Rights Watch phone interviews with former detainees</w:t>
      </w:r>
      <w:r>
        <w:t xml:space="preserve">, </w:t>
      </w:r>
      <w:r w:rsidRPr="00F55B78">
        <w:t>February 2019.</w:t>
      </w:r>
    </w:p>
  </w:footnote>
  <w:footnote w:id="10">
    <w:p w14:paraId="113B512F" w14:textId="77777777" w:rsidR="00DA7781" w:rsidRDefault="00DA7781" w:rsidP="00DA7781">
      <w:pPr>
        <w:pStyle w:val="FootnoteText"/>
      </w:pPr>
      <w:r>
        <w:rPr>
          <w:rStyle w:val="FootnoteReference"/>
        </w:rPr>
        <w:footnoteRef/>
      </w:r>
      <w:r>
        <w:t xml:space="preserve"> </w:t>
      </w:r>
      <w:r w:rsidRPr="006A4B9B">
        <w:t xml:space="preserve">Human Rights Watch interview with former detainee at </w:t>
      </w:r>
      <w:proofErr w:type="spellStart"/>
      <w:r w:rsidRPr="006A4B9B">
        <w:t>Gikondo</w:t>
      </w:r>
      <w:proofErr w:type="spellEnd"/>
      <w:r w:rsidRPr="006A4B9B">
        <w:t>, Kigali, February 16, 2014.</w:t>
      </w:r>
    </w:p>
  </w:footnote>
  <w:footnote w:id="11">
    <w:p w14:paraId="65C138BD" w14:textId="77777777" w:rsidR="00B91832" w:rsidRDefault="00B91832" w:rsidP="00B91832">
      <w:pPr>
        <w:pStyle w:val="FootnoteText"/>
      </w:pPr>
      <w:r>
        <w:rPr>
          <w:rStyle w:val="FootnoteReference"/>
        </w:rPr>
        <w:footnoteRef/>
      </w:r>
      <w:r>
        <w:t xml:space="preserve"> “</w:t>
      </w:r>
      <w:r w:rsidRPr="006200A1">
        <w:t>Rwanda: Round Ups-Linked to Commonwealth Meeting</w:t>
      </w:r>
      <w:r>
        <w:t>,” Human Rights Watch news release.</w:t>
      </w:r>
    </w:p>
  </w:footnote>
  <w:footnote w:id="12">
    <w:p w14:paraId="40AA86BF" w14:textId="72201142" w:rsidR="00B91832" w:rsidRDefault="00B91832" w:rsidP="00B91832">
      <w:pPr>
        <w:pStyle w:val="FootnoteText"/>
      </w:pPr>
      <w:r>
        <w:rPr>
          <w:rStyle w:val="FootnoteReference"/>
        </w:rPr>
        <w:footnoteRef/>
      </w:r>
      <w:r>
        <w:t xml:space="preserve"> Human Rights Watch, </w:t>
      </w:r>
      <w:r w:rsidRPr="00DA3A04">
        <w:rPr>
          <w:i/>
          <w:iCs/>
        </w:rPr>
        <w:t xml:space="preserve">“Why Not Call This Place a Prison?” Unlawful Detention and Ill-Treatment in Rwanda’s </w:t>
      </w:r>
      <w:proofErr w:type="spellStart"/>
      <w:r w:rsidRPr="00DA3A04">
        <w:rPr>
          <w:i/>
          <w:iCs/>
        </w:rPr>
        <w:t>Gikondo</w:t>
      </w:r>
      <w:proofErr w:type="spellEnd"/>
      <w:r w:rsidRPr="00DA3A04">
        <w:rPr>
          <w:i/>
          <w:iCs/>
        </w:rPr>
        <w:t xml:space="preserve"> Transit Center</w:t>
      </w:r>
      <w:r>
        <w:rPr>
          <w:i/>
          <w:iCs/>
        </w:rPr>
        <w:t>.</w:t>
      </w:r>
      <w:r w:rsidR="007125E2">
        <w:rPr>
          <w:i/>
          <w:iCs/>
        </w:rPr>
        <w:t>”</w:t>
      </w:r>
    </w:p>
  </w:footnote>
  <w:footnote w:id="13">
    <w:p w14:paraId="2BA62050" w14:textId="77777777" w:rsidR="00DA7781" w:rsidRDefault="00DA7781" w:rsidP="00DA7781">
      <w:pPr>
        <w:pStyle w:val="FootnoteText"/>
      </w:pPr>
      <w:r>
        <w:rPr>
          <w:rStyle w:val="FootnoteReference"/>
        </w:rPr>
        <w:footnoteRef/>
      </w:r>
      <w:r>
        <w:t xml:space="preserve"> Human Rights Watch, “</w:t>
      </w:r>
      <w:r w:rsidRPr="007C6E13">
        <w:t>Rwanda: Locking Up the Poor</w:t>
      </w:r>
      <w:r>
        <w:t>.”</w:t>
      </w:r>
    </w:p>
  </w:footnote>
  <w:footnote w:id="14">
    <w:p w14:paraId="0D337B6E" w14:textId="77777777" w:rsidR="006A71CB" w:rsidRDefault="006A71CB" w:rsidP="006A71CB">
      <w:pPr>
        <w:pStyle w:val="FootnoteText"/>
      </w:pPr>
      <w:r>
        <w:rPr>
          <w:rStyle w:val="FootnoteReference"/>
        </w:rPr>
        <w:footnoteRef/>
      </w:r>
      <w:r>
        <w:t xml:space="preserve"> Ibid.</w:t>
      </w:r>
    </w:p>
  </w:footnote>
  <w:footnote w:id="15">
    <w:p w14:paraId="3FC42460" w14:textId="07725734" w:rsidR="001E1F2F" w:rsidRPr="001E1F2F" w:rsidRDefault="001E1F2F" w:rsidP="00321008">
      <w:pPr>
        <w:pStyle w:val="FootnoteText"/>
      </w:pPr>
      <w:r>
        <w:rPr>
          <w:rStyle w:val="FootnoteReference"/>
        </w:rPr>
        <w:footnoteRef/>
      </w:r>
      <w:r>
        <w:t xml:space="preserve"> </w:t>
      </w:r>
      <w:r w:rsidR="00A222F6" w:rsidRPr="003F7EC7">
        <w:t xml:space="preserve">Directive of Kigali City Council (N°001/2015) concerning the Kigali Rehabilitation Transit Center, in the Official Gazette 44 bis on November 2, 2015, as cited by Human Rights Watch, </w:t>
      </w:r>
      <w:r w:rsidR="00321008" w:rsidRPr="003F7EC7">
        <w:t xml:space="preserve">“Submission by Human Rights Watch to the Committee on the Rights of the Child on Rwanda,” March 25, 2019, </w:t>
      </w:r>
      <w:hyperlink r:id="rId5" w:anchor="_ftn22" w:history="1">
        <w:r w:rsidR="003F7EC7" w:rsidRPr="003F7EC7">
          <w:rPr>
            <w:rStyle w:val="Hyperlink"/>
            <w:color w:val="auto"/>
            <w:u w:val="none"/>
          </w:rPr>
          <w:t>https://www.hrw.org/news/2019/03/25/submission-human-rights-watch-committee-rights-child-rwanda#_ftn22</w:t>
        </w:r>
      </w:hyperlink>
      <w:r w:rsidR="003F7EC7" w:rsidRPr="003F7EC7">
        <w:t xml:space="preserve"> (accessed December 15, 2022).</w:t>
      </w:r>
    </w:p>
  </w:footnote>
  <w:footnote w:id="16">
    <w:p w14:paraId="2FBE1D21" w14:textId="4DE7F560" w:rsidR="18E55EDF" w:rsidRDefault="18E55EDF" w:rsidP="00D30F8C">
      <w:pPr>
        <w:pStyle w:val="FootnoteText"/>
      </w:pPr>
      <w:r w:rsidRPr="18E55EDF">
        <w:rPr>
          <w:rStyle w:val="FootnoteReference"/>
        </w:rPr>
        <w:footnoteRef/>
      </w:r>
      <w:r>
        <w:t xml:space="preserve"> </w:t>
      </w:r>
      <w:r w:rsidRPr="00D30F8C">
        <w:t xml:space="preserve">Law no. 17/2017 of 28/04/2017 establishing the National Rehabilitation Service and Determining its Mission, </w:t>
      </w:r>
      <w:proofErr w:type="spellStart"/>
      <w:r w:rsidRPr="00D30F8C">
        <w:t>Organisation</w:t>
      </w:r>
      <w:proofErr w:type="spellEnd"/>
      <w:r w:rsidRPr="00D30F8C">
        <w:t xml:space="preserve"> and Functioning, Article 32, https://www.nrs.gov.rw/fileadmin/Laws_and_Regulations/Laws/Law%20establishing%20the%20National%20Rehabilitation%20Service%20and%20determining%20its%20mission%2C%20organisation.pdf (accessed January 9, 2023).</w:t>
      </w:r>
    </w:p>
  </w:footnote>
  <w:footnote w:id="17">
    <w:p w14:paraId="47C05D34" w14:textId="4344A5AC" w:rsidR="18E55EDF" w:rsidRDefault="18E55EDF" w:rsidP="00D30F8C">
      <w:pPr>
        <w:pStyle w:val="FootnoteText"/>
      </w:pPr>
      <w:r w:rsidRPr="18E55EDF">
        <w:rPr>
          <w:rStyle w:val="FootnoteReference"/>
        </w:rPr>
        <w:footnoteRef/>
      </w:r>
      <w:r>
        <w:t xml:space="preserve"> </w:t>
      </w:r>
      <w:r w:rsidRPr="00D30F8C">
        <w:t>Ministerial Order Nº001/07.01 of 19/04/2018 determining Mission, Organization and Functioning of Transit Centers, Article 2.2 http://nrs.gov.rw/fileadmin/Laws_and_Regulations/Laws/Ministerial%20Order%20determining%20mission%2C%20organization%20and%20functioning%20of%20transit%20centers.pdf (accessed January 9, 2023).</w:t>
      </w:r>
    </w:p>
  </w:footnote>
  <w:footnote w:id="18">
    <w:p w14:paraId="4916E431" w14:textId="2ECB87DD" w:rsidR="18E55EDF" w:rsidRDefault="18E55EDF" w:rsidP="00D30F8C">
      <w:pPr>
        <w:pStyle w:val="FootnoteText"/>
      </w:pPr>
      <w:r w:rsidRPr="18E55EDF">
        <w:rPr>
          <w:rStyle w:val="FootnoteReference"/>
        </w:rPr>
        <w:footnoteRef/>
      </w:r>
      <w:r>
        <w:t xml:space="preserve"> </w:t>
      </w:r>
      <w:r w:rsidRPr="00D30F8C">
        <w:t xml:space="preserve">Presidential Order no. 100/01 Of 02/06/2018 establishing </w:t>
      </w:r>
      <w:proofErr w:type="spellStart"/>
      <w:r w:rsidRPr="00D30F8C">
        <w:t>Gitagata</w:t>
      </w:r>
      <w:proofErr w:type="spellEnd"/>
      <w:r w:rsidRPr="00D30F8C">
        <w:t xml:space="preserve"> Rehabilitation Center, http://nrs.gov.rw/fileadmin/Laws_and_Regulations/Laws/Presidential%20Order%20establishing%20Iwawa%2C%20Gitagata%20and%20Nyamagabe%20Rehabilitation%20Centers%20.pdf/ (accessed January 9, 2023).</w:t>
      </w:r>
    </w:p>
  </w:footnote>
  <w:footnote w:id="19">
    <w:p w14:paraId="2671C4BF" w14:textId="77777777" w:rsidR="00B14084" w:rsidRPr="00843DFD" w:rsidRDefault="00B14084" w:rsidP="00B14084">
      <w:pPr>
        <w:pStyle w:val="FootnoteText"/>
        <w:rPr>
          <w:rFonts w:cstheme="minorHAnsi"/>
          <w:sz w:val="18"/>
          <w:szCs w:val="18"/>
        </w:rPr>
      </w:pPr>
      <w:r w:rsidRPr="00D81D9E">
        <w:rPr>
          <w:rStyle w:val="FootnoteReference"/>
          <w:rFonts w:cstheme="minorHAnsi"/>
          <w:szCs w:val="22"/>
        </w:rPr>
        <w:footnoteRef/>
      </w:r>
      <w:r w:rsidRPr="00843DFD">
        <w:rPr>
          <w:rFonts w:cstheme="minorHAnsi"/>
          <w:sz w:val="18"/>
          <w:szCs w:val="18"/>
        </w:rPr>
        <w:t xml:space="preserve"> </w:t>
      </w:r>
      <w:r w:rsidRPr="00043251">
        <w:rPr>
          <w:rFonts w:cstheme="minorHAnsi"/>
          <w:szCs w:val="16"/>
        </w:rPr>
        <w:t xml:space="preserve">Safe Schools Declaration, May 28, 2015, </w:t>
      </w:r>
      <w:r w:rsidRPr="00891673">
        <w:rPr>
          <w:rFonts w:cstheme="minorHAnsi"/>
          <w:szCs w:val="16"/>
        </w:rPr>
        <w:t>https://www.regjeringen.no/globalassets/departementene/ud/vedlegg/utvikling/safe_schools_declaration.pdf</w:t>
      </w:r>
      <w:r w:rsidRPr="00043251">
        <w:rPr>
          <w:rFonts w:cstheme="minorHAnsi"/>
          <w:szCs w:val="16"/>
        </w:rPr>
        <w:t xml:space="preserve"> (accessed </w:t>
      </w:r>
      <w:r>
        <w:rPr>
          <w:rFonts w:cstheme="minorHAnsi"/>
          <w:szCs w:val="16"/>
        </w:rPr>
        <w:t>December 8</w:t>
      </w:r>
      <w:r w:rsidRPr="00043251">
        <w:rPr>
          <w:rFonts w:cstheme="minorHAnsi"/>
          <w:szCs w:val="16"/>
        </w:rPr>
        <w:t>, 2022).</w:t>
      </w:r>
    </w:p>
  </w:footnote>
  <w:footnote w:id="20">
    <w:p w14:paraId="7595976B" w14:textId="77777777" w:rsidR="00B14084" w:rsidRPr="00843DFD" w:rsidRDefault="00B14084" w:rsidP="00B14084">
      <w:pPr>
        <w:pStyle w:val="FootnoteText"/>
        <w:rPr>
          <w:sz w:val="18"/>
          <w:szCs w:val="18"/>
        </w:rPr>
      </w:pPr>
      <w:r w:rsidRPr="00D81D9E">
        <w:rPr>
          <w:rStyle w:val="FootnoteReference"/>
          <w:rFonts w:cstheme="minorHAnsi"/>
          <w:szCs w:val="22"/>
        </w:rPr>
        <w:footnoteRef/>
      </w:r>
      <w:r w:rsidRPr="00843DFD">
        <w:rPr>
          <w:rFonts w:cstheme="minorHAnsi"/>
          <w:sz w:val="18"/>
          <w:szCs w:val="18"/>
        </w:rPr>
        <w:t xml:space="preserve"> </w:t>
      </w:r>
      <w:r w:rsidRPr="00F20A0A">
        <w:rPr>
          <w:rFonts w:cstheme="minorHAnsi"/>
          <w:szCs w:val="16"/>
        </w:rPr>
        <w:t>GCPEA,</w:t>
      </w:r>
      <w:r>
        <w:rPr>
          <w:rFonts w:cstheme="minorHAnsi"/>
          <w:sz w:val="18"/>
          <w:szCs w:val="18"/>
        </w:rPr>
        <w:t xml:space="preserve"> </w:t>
      </w:r>
      <w:r w:rsidRPr="00043251">
        <w:rPr>
          <w:rFonts w:cstheme="minorHAnsi"/>
          <w:szCs w:val="16"/>
        </w:rPr>
        <w:t xml:space="preserve">Guidelines for Protecting Schools and Universities from Military Use during Armed Conflict, March 18, 2014, </w:t>
      </w:r>
      <w:r w:rsidRPr="00F20A0A">
        <w:rPr>
          <w:rFonts w:cstheme="minorHAnsi"/>
          <w:szCs w:val="16"/>
        </w:rPr>
        <w:t>http://protectingeducation.org/sites/default/files/documents/guidelines_en.pdf</w:t>
      </w:r>
      <w:r w:rsidRPr="00043251">
        <w:rPr>
          <w:rFonts w:cstheme="minorHAnsi"/>
          <w:szCs w:val="16"/>
        </w:rPr>
        <w:t xml:space="preserve"> (accessed </w:t>
      </w:r>
      <w:r>
        <w:rPr>
          <w:rFonts w:cstheme="minorHAnsi"/>
          <w:szCs w:val="16"/>
        </w:rPr>
        <w:t>December 8</w:t>
      </w:r>
      <w:r w:rsidRPr="00043251">
        <w:rPr>
          <w:rFonts w:cstheme="minorHAnsi"/>
          <w:szCs w:val="16"/>
        </w:rPr>
        <w:t>, 2022).</w:t>
      </w:r>
    </w:p>
  </w:footnote>
  <w:footnote w:id="21">
    <w:p w14:paraId="2F79034E" w14:textId="203B4DB9" w:rsidR="00B14084" w:rsidRPr="00E17C96" w:rsidRDefault="00B14084" w:rsidP="00E17C96">
      <w:pPr>
        <w:pStyle w:val="FootnoteText"/>
      </w:pPr>
      <w:r w:rsidRPr="00D81D9E">
        <w:rPr>
          <w:rStyle w:val="FootnoteReference"/>
          <w:szCs w:val="22"/>
        </w:rPr>
        <w:footnoteRef/>
      </w:r>
      <w:r w:rsidRPr="0015159D">
        <w:rPr>
          <w:sz w:val="18"/>
          <w:szCs w:val="18"/>
        </w:rPr>
        <w:t xml:space="preserve"> </w:t>
      </w:r>
      <w:r w:rsidRPr="00E17C96">
        <w:t xml:space="preserve">GCPEA, “Safe Schools Declaration Endorsements,” 2022, </w:t>
      </w:r>
      <w:hyperlink r:id="rId6" w:history="1">
        <w:r w:rsidRPr="00E17C96">
          <w:rPr>
            <w:rStyle w:val="Hyperlink"/>
            <w:color w:val="auto"/>
            <w:u w:val="none"/>
          </w:rPr>
          <w:t>https://ssd.protectingeducation.org/endorsement/</w:t>
        </w:r>
      </w:hyperlink>
      <w:r w:rsidRPr="00E17C96">
        <w:t xml:space="preserve"> (accessed December 8, 2022).</w:t>
      </w:r>
    </w:p>
  </w:footnote>
  <w:footnote w:id="22">
    <w:p w14:paraId="5080A299" w14:textId="1235F6DC" w:rsidR="00B14084" w:rsidRPr="007A2D9C" w:rsidRDefault="00B14084" w:rsidP="00B14084">
      <w:pPr>
        <w:pStyle w:val="FootnoteText"/>
      </w:pPr>
      <w:r w:rsidRPr="008B7884">
        <w:rPr>
          <w:rStyle w:val="FootnoteReference"/>
          <w:szCs w:val="22"/>
        </w:rPr>
        <w:footnoteRef/>
      </w:r>
      <w:r w:rsidRPr="008B7884">
        <w:rPr>
          <w:sz w:val="18"/>
          <w:szCs w:val="18"/>
        </w:rPr>
        <w:t xml:space="preserve"> </w:t>
      </w:r>
      <w:r w:rsidRPr="008B7884">
        <w:rPr>
          <w:szCs w:val="16"/>
        </w:rPr>
        <w:t xml:space="preserve">African Committee </w:t>
      </w:r>
      <w:r w:rsidR="005F7BDA" w:rsidRPr="008B7884">
        <w:rPr>
          <w:szCs w:val="16"/>
        </w:rPr>
        <w:t xml:space="preserve">of Experts </w:t>
      </w:r>
      <w:r w:rsidRPr="008B7884">
        <w:rPr>
          <w:szCs w:val="16"/>
        </w:rPr>
        <w:t>on the Rights and Welfare of the Child, General Comment on Article 22</w:t>
      </w:r>
      <w:r w:rsidR="001D5AEA" w:rsidRPr="008B7884">
        <w:rPr>
          <w:szCs w:val="16"/>
        </w:rPr>
        <w:t xml:space="preserve"> of the African Charter on the Rights and Welfare of the Child</w:t>
      </w:r>
      <w:r w:rsidR="00E659F7" w:rsidRPr="008B7884">
        <w:rPr>
          <w:szCs w:val="16"/>
        </w:rPr>
        <w:t>, “</w:t>
      </w:r>
      <w:r w:rsidRPr="008B7884">
        <w:rPr>
          <w:szCs w:val="16"/>
        </w:rPr>
        <w:t xml:space="preserve">Children in </w:t>
      </w:r>
      <w:r w:rsidR="00E659F7" w:rsidRPr="008B7884">
        <w:rPr>
          <w:szCs w:val="16"/>
        </w:rPr>
        <w:t>Situations of</w:t>
      </w:r>
      <w:r w:rsidRPr="008B7884">
        <w:rPr>
          <w:szCs w:val="16"/>
        </w:rPr>
        <w:t xml:space="preserve"> Conflict,</w:t>
      </w:r>
      <w:r w:rsidR="00E659F7" w:rsidRPr="008B7884">
        <w:rPr>
          <w:szCs w:val="16"/>
        </w:rPr>
        <w:t>”</w:t>
      </w:r>
      <w:r w:rsidRPr="008B7884">
        <w:rPr>
          <w:szCs w:val="16"/>
        </w:rPr>
        <w:t xml:space="preserve"> </w:t>
      </w:r>
      <w:r w:rsidR="00DF202B" w:rsidRPr="008B7884">
        <w:rPr>
          <w:szCs w:val="16"/>
        </w:rPr>
        <w:t>September 2020</w:t>
      </w:r>
      <w:r w:rsidRPr="008B7884">
        <w:rPr>
          <w:szCs w:val="16"/>
        </w:rPr>
        <w:t xml:space="preserve">, para. </w:t>
      </w:r>
      <w:r w:rsidR="00DF202B" w:rsidRPr="008B7884">
        <w:rPr>
          <w:szCs w:val="16"/>
        </w:rPr>
        <w:t>77</w:t>
      </w:r>
      <w:r w:rsidRPr="008B7884">
        <w:rPr>
          <w:szCs w:val="16"/>
        </w:rPr>
        <w:t>.</w:t>
      </w:r>
    </w:p>
  </w:footnote>
  <w:footnote w:id="23">
    <w:p w14:paraId="71EAAA8F" w14:textId="77777777" w:rsidR="00B14084" w:rsidRPr="00C27ABD" w:rsidRDefault="00B14084" w:rsidP="00B14084">
      <w:pPr>
        <w:pStyle w:val="FootnoteText"/>
        <w:rPr>
          <w:sz w:val="18"/>
          <w:szCs w:val="18"/>
        </w:rPr>
      </w:pPr>
      <w:r w:rsidRPr="00D54EAC">
        <w:rPr>
          <w:rStyle w:val="FootnoteReference"/>
          <w:szCs w:val="22"/>
        </w:rPr>
        <w:footnoteRef/>
      </w:r>
      <w:r w:rsidRPr="00C27ABD">
        <w:rPr>
          <w:sz w:val="18"/>
          <w:szCs w:val="18"/>
        </w:rPr>
        <w:t xml:space="preserve"> </w:t>
      </w:r>
      <w:r w:rsidRPr="00043251">
        <w:rPr>
          <w:szCs w:val="16"/>
        </w:rPr>
        <w:t xml:space="preserve">African Union, Peace and Security Department, “International Day to Protect Education from Attack: Joint Statement by African Union Commission’s Department of Political Affairs, Peace and Security (PAPS); Department of Health, Humanitarian Affairs and Social Development and Save the Children International,” </w:t>
      </w:r>
      <w:r>
        <w:rPr>
          <w:szCs w:val="16"/>
        </w:rPr>
        <w:t xml:space="preserve">September 9, 2021, </w:t>
      </w:r>
      <w:r w:rsidRPr="003F70B1">
        <w:rPr>
          <w:szCs w:val="16"/>
        </w:rPr>
        <w:t>https://www.peaceau.org/en/article/international-day-to-protect-education-from-attack-joint-statement-by-african-union-commission-s-department-of-political-affairs-peace-and-security-paps-department-of-health-humanitarian-affairs-and-social-development-and-save-the-children-international</w:t>
      </w:r>
      <w:r w:rsidRPr="00043251">
        <w:rPr>
          <w:szCs w:val="16"/>
        </w:rPr>
        <w:t xml:space="preserve"> (accessed </w:t>
      </w:r>
      <w:r>
        <w:rPr>
          <w:szCs w:val="16"/>
        </w:rPr>
        <w:t>December 5</w:t>
      </w:r>
      <w:r w:rsidRPr="00043251">
        <w:rPr>
          <w:szCs w:val="16"/>
        </w:rPr>
        <w:t>, 2022).</w:t>
      </w:r>
    </w:p>
  </w:footnote>
  <w:footnote w:id="24">
    <w:p w14:paraId="529E2E21" w14:textId="77777777" w:rsidR="00B14084" w:rsidRPr="00843DFD" w:rsidRDefault="00B14084" w:rsidP="00B14084">
      <w:pPr>
        <w:pStyle w:val="FootnoteText"/>
        <w:rPr>
          <w:sz w:val="18"/>
          <w:szCs w:val="18"/>
        </w:rPr>
      </w:pPr>
      <w:r w:rsidRPr="00D54EAC">
        <w:rPr>
          <w:rStyle w:val="FootnoteReference"/>
          <w:szCs w:val="22"/>
        </w:rPr>
        <w:footnoteRef/>
      </w:r>
      <w:r w:rsidRPr="00843DFD">
        <w:rPr>
          <w:sz w:val="18"/>
          <w:szCs w:val="18"/>
        </w:rPr>
        <w:t xml:space="preserve"> </w:t>
      </w:r>
      <w:r w:rsidRPr="00043251">
        <w:rPr>
          <w:szCs w:val="16"/>
        </w:rPr>
        <w:t xml:space="preserve">United Nations Peacekeeping, </w:t>
      </w:r>
      <w:r>
        <w:rPr>
          <w:szCs w:val="16"/>
        </w:rPr>
        <w:t>“</w:t>
      </w:r>
      <w:r w:rsidRPr="00043251">
        <w:rPr>
          <w:szCs w:val="16"/>
        </w:rPr>
        <w:t>Troop and Police Contributors,</w:t>
      </w:r>
      <w:r>
        <w:rPr>
          <w:szCs w:val="16"/>
        </w:rPr>
        <w:t>”</w:t>
      </w:r>
      <w:r w:rsidRPr="00043251">
        <w:rPr>
          <w:szCs w:val="16"/>
        </w:rPr>
        <w:t xml:space="preserve"> </w:t>
      </w:r>
      <w:r w:rsidRPr="003F70B1">
        <w:rPr>
          <w:szCs w:val="16"/>
        </w:rPr>
        <w:t>https://peacekeeping.un.org/en/troop-and-police-contributors</w:t>
      </w:r>
      <w:r w:rsidRPr="00043251">
        <w:rPr>
          <w:szCs w:val="16"/>
        </w:rPr>
        <w:t xml:space="preserve"> (accessed </w:t>
      </w:r>
      <w:r>
        <w:rPr>
          <w:szCs w:val="16"/>
        </w:rPr>
        <w:t>December 8</w:t>
      </w:r>
      <w:r w:rsidRPr="00043251">
        <w:rPr>
          <w:szCs w:val="16"/>
        </w:rPr>
        <w:t>, 2022).</w:t>
      </w:r>
      <w:r w:rsidRPr="00843DFD">
        <w:rPr>
          <w:sz w:val="18"/>
          <w:szCs w:val="18"/>
        </w:rPr>
        <w:t xml:space="preserve"> </w:t>
      </w:r>
    </w:p>
  </w:footnote>
  <w:footnote w:id="25">
    <w:p w14:paraId="195C7D56" w14:textId="77777777" w:rsidR="00B14084" w:rsidRPr="00DD5F37" w:rsidRDefault="00B14084" w:rsidP="00B14084">
      <w:pPr>
        <w:pStyle w:val="Footer"/>
        <w:rPr>
          <w:sz w:val="18"/>
          <w:szCs w:val="18"/>
        </w:rPr>
      </w:pPr>
      <w:r w:rsidRPr="00D54EAC">
        <w:rPr>
          <w:rStyle w:val="FootnoteReference"/>
        </w:rPr>
        <w:footnoteRef/>
      </w:r>
      <w:r w:rsidRPr="00DD5F37">
        <w:rPr>
          <w:sz w:val="18"/>
          <w:szCs w:val="18"/>
        </w:rPr>
        <w:t xml:space="preserve"> </w:t>
      </w:r>
      <w:r w:rsidRPr="00B77582">
        <w:rPr>
          <w:rFonts w:ascii="MetaPro-Norm" w:hAnsi="MetaPro-Norm"/>
          <w:sz w:val="16"/>
          <w:szCs w:val="16"/>
        </w:rPr>
        <w:t>UN Department of Peacekeeping Operations, Department of Field Support and Department of Political Affairs, “Child Protection in UN Peace Operations (Policy),” June 2017.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E242E"/>
    <w:multiLevelType w:val="hybridMultilevel"/>
    <w:tmpl w:val="432C4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412676"/>
    <w:multiLevelType w:val="hybridMultilevel"/>
    <w:tmpl w:val="C9963E0E"/>
    <w:lvl w:ilvl="0" w:tplc="1BFAA6E4">
      <w:start w:val="1"/>
      <w:numFmt w:val="bullet"/>
      <w:lvlText w:val=""/>
      <w:lvlJc w:val="left"/>
      <w:pPr>
        <w:ind w:left="720" w:hanging="360"/>
      </w:pPr>
      <w:rPr>
        <w:rFonts w:ascii="Symbol" w:hAnsi="Symbol" w:hint="default"/>
      </w:rPr>
    </w:lvl>
    <w:lvl w:ilvl="1" w:tplc="24202914">
      <w:start w:val="1"/>
      <w:numFmt w:val="bullet"/>
      <w:lvlText w:val="o"/>
      <w:lvlJc w:val="left"/>
      <w:pPr>
        <w:ind w:left="1440" w:hanging="360"/>
      </w:pPr>
      <w:rPr>
        <w:rFonts w:ascii="Courier New" w:hAnsi="Courier New" w:hint="default"/>
      </w:rPr>
    </w:lvl>
    <w:lvl w:ilvl="2" w:tplc="38CE9DDC">
      <w:start w:val="1"/>
      <w:numFmt w:val="bullet"/>
      <w:lvlText w:val=""/>
      <w:lvlJc w:val="left"/>
      <w:pPr>
        <w:ind w:left="2160" w:hanging="360"/>
      </w:pPr>
      <w:rPr>
        <w:rFonts w:ascii="Wingdings" w:hAnsi="Wingdings" w:hint="default"/>
      </w:rPr>
    </w:lvl>
    <w:lvl w:ilvl="3" w:tplc="699E5870">
      <w:start w:val="1"/>
      <w:numFmt w:val="bullet"/>
      <w:lvlText w:val=""/>
      <w:lvlJc w:val="left"/>
      <w:pPr>
        <w:ind w:left="2880" w:hanging="360"/>
      </w:pPr>
      <w:rPr>
        <w:rFonts w:ascii="Symbol" w:hAnsi="Symbol" w:hint="default"/>
      </w:rPr>
    </w:lvl>
    <w:lvl w:ilvl="4" w:tplc="28301EEA">
      <w:start w:val="1"/>
      <w:numFmt w:val="bullet"/>
      <w:lvlText w:val="o"/>
      <w:lvlJc w:val="left"/>
      <w:pPr>
        <w:ind w:left="3600" w:hanging="360"/>
      </w:pPr>
      <w:rPr>
        <w:rFonts w:ascii="Courier New" w:hAnsi="Courier New" w:hint="default"/>
      </w:rPr>
    </w:lvl>
    <w:lvl w:ilvl="5" w:tplc="3CBC80EC">
      <w:start w:val="1"/>
      <w:numFmt w:val="bullet"/>
      <w:lvlText w:val=""/>
      <w:lvlJc w:val="left"/>
      <w:pPr>
        <w:ind w:left="4320" w:hanging="360"/>
      </w:pPr>
      <w:rPr>
        <w:rFonts w:ascii="Wingdings" w:hAnsi="Wingdings" w:hint="default"/>
      </w:rPr>
    </w:lvl>
    <w:lvl w:ilvl="6" w:tplc="44FE392A">
      <w:start w:val="1"/>
      <w:numFmt w:val="bullet"/>
      <w:lvlText w:val=""/>
      <w:lvlJc w:val="left"/>
      <w:pPr>
        <w:ind w:left="5040" w:hanging="360"/>
      </w:pPr>
      <w:rPr>
        <w:rFonts w:ascii="Symbol" w:hAnsi="Symbol" w:hint="default"/>
      </w:rPr>
    </w:lvl>
    <w:lvl w:ilvl="7" w:tplc="788C197A">
      <w:start w:val="1"/>
      <w:numFmt w:val="bullet"/>
      <w:lvlText w:val="o"/>
      <w:lvlJc w:val="left"/>
      <w:pPr>
        <w:ind w:left="5760" w:hanging="360"/>
      </w:pPr>
      <w:rPr>
        <w:rFonts w:ascii="Courier New" w:hAnsi="Courier New" w:hint="default"/>
      </w:rPr>
    </w:lvl>
    <w:lvl w:ilvl="8" w:tplc="BD2CC8DA">
      <w:start w:val="1"/>
      <w:numFmt w:val="bullet"/>
      <w:lvlText w:val=""/>
      <w:lvlJc w:val="left"/>
      <w:pPr>
        <w:ind w:left="6480" w:hanging="360"/>
      </w:pPr>
      <w:rPr>
        <w:rFonts w:ascii="Wingdings" w:hAnsi="Wingdings" w:hint="default"/>
      </w:rPr>
    </w:lvl>
  </w:abstractNum>
  <w:abstractNum w:abstractNumId="2" w15:restartNumberingAfterBreak="0">
    <w:nsid w:val="4B750678"/>
    <w:multiLevelType w:val="hybridMultilevel"/>
    <w:tmpl w:val="B82CF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171890"/>
    <w:multiLevelType w:val="hybridMultilevel"/>
    <w:tmpl w:val="27A64F30"/>
    <w:lvl w:ilvl="0" w:tplc="740A0EF4">
      <w:start w:val="1"/>
      <w:numFmt w:val="bullet"/>
      <w:lvlText w:val=""/>
      <w:lvlJc w:val="left"/>
      <w:pPr>
        <w:ind w:left="720" w:hanging="360"/>
      </w:pPr>
      <w:rPr>
        <w:rFonts w:ascii="Symbol" w:hAnsi="Symbol" w:hint="default"/>
      </w:rPr>
    </w:lvl>
    <w:lvl w:ilvl="1" w:tplc="1938C454">
      <w:start w:val="1"/>
      <w:numFmt w:val="bullet"/>
      <w:lvlText w:val="o"/>
      <w:lvlJc w:val="left"/>
      <w:pPr>
        <w:ind w:left="1440" w:hanging="360"/>
      </w:pPr>
      <w:rPr>
        <w:rFonts w:ascii="Courier New" w:hAnsi="Courier New" w:hint="default"/>
      </w:rPr>
    </w:lvl>
    <w:lvl w:ilvl="2" w:tplc="6748B580">
      <w:start w:val="1"/>
      <w:numFmt w:val="bullet"/>
      <w:lvlText w:val=""/>
      <w:lvlJc w:val="left"/>
      <w:pPr>
        <w:ind w:left="2160" w:hanging="360"/>
      </w:pPr>
      <w:rPr>
        <w:rFonts w:ascii="Wingdings" w:hAnsi="Wingdings" w:hint="default"/>
      </w:rPr>
    </w:lvl>
    <w:lvl w:ilvl="3" w:tplc="99B06D9E">
      <w:start w:val="1"/>
      <w:numFmt w:val="bullet"/>
      <w:lvlText w:val=""/>
      <w:lvlJc w:val="left"/>
      <w:pPr>
        <w:ind w:left="2880" w:hanging="360"/>
      </w:pPr>
      <w:rPr>
        <w:rFonts w:ascii="Symbol" w:hAnsi="Symbol" w:hint="default"/>
      </w:rPr>
    </w:lvl>
    <w:lvl w:ilvl="4" w:tplc="D6B0BF94">
      <w:start w:val="1"/>
      <w:numFmt w:val="bullet"/>
      <w:lvlText w:val="o"/>
      <w:lvlJc w:val="left"/>
      <w:pPr>
        <w:ind w:left="3600" w:hanging="360"/>
      </w:pPr>
      <w:rPr>
        <w:rFonts w:ascii="Courier New" w:hAnsi="Courier New" w:hint="default"/>
      </w:rPr>
    </w:lvl>
    <w:lvl w:ilvl="5" w:tplc="47A625BA">
      <w:start w:val="1"/>
      <w:numFmt w:val="bullet"/>
      <w:lvlText w:val=""/>
      <w:lvlJc w:val="left"/>
      <w:pPr>
        <w:ind w:left="4320" w:hanging="360"/>
      </w:pPr>
      <w:rPr>
        <w:rFonts w:ascii="Wingdings" w:hAnsi="Wingdings" w:hint="default"/>
      </w:rPr>
    </w:lvl>
    <w:lvl w:ilvl="6" w:tplc="C1AC6C8E">
      <w:start w:val="1"/>
      <w:numFmt w:val="bullet"/>
      <w:lvlText w:val=""/>
      <w:lvlJc w:val="left"/>
      <w:pPr>
        <w:ind w:left="5040" w:hanging="360"/>
      </w:pPr>
      <w:rPr>
        <w:rFonts w:ascii="Symbol" w:hAnsi="Symbol" w:hint="default"/>
      </w:rPr>
    </w:lvl>
    <w:lvl w:ilvl="7" w:tplc="F580DE32">
      <w:start w:val="1"/>
      <w:numFmt w:val="bullet"/>
      <w:lvlText w:val="o"/>
      <w:lvlJc w:val="left"/>
      <w:pPr>
        <w:ind w:left="5760" w:hanging="360"/>
      </w:pPr>
      <w:rPr>
        <w:rFonts w:ascii="Courier New" w:hAnsi="Courier New" w:hint="default"/>
      </w:rPr>
    </w:lvl>
    <w:lvl w:ilvl="8" w:tplc="B4C6A50E">
      <w:start w:val="1"/>
      <w:numFmt w:val="bullet"/>
      <w:lvlText w:val=""/>
      <w:lvlJc w:val="left"/>
      <w:pPr>
        <w:ind w:left="6480" w:hanging="360"/>
      </w:pPr>
      <w:rPr>
        <w:rFonts w:ascii="Wingdings" w:hAnsi="Wingdings" w:hint="default"/>
      </w:rPr>
    </w:lvl>
  </w:abstractNum>
  <w:abstractNum w:abstractNumId="4" w15:restartNumberingAfterBreak="0">
    <w:nsid w:val="5EE07FCE"/>
    <w:multiLevelType w:val="hybridMultilevel"/>
    <w:tmpl w:val="8F24F892"/>
    <w:lvl w:ilvl="0" w:tplc="81A408B4">
      <w:start w:val="1"/>
      <w:numFmt w:val="bullet"/>
      <w:lvlText w:val=""/>
      <w:lvlJc w:val="left"/>
      <w:pPr>
        <w:ind w:left="720" w:hanging="360"/>
      </w:pPr>
      <w:rPr>
        <w:rFonts w:ascii="Symbol" w:hAnsi="Symbol" w:hint="default"/>
      </w:rPr>
    </w:lvl>
    <w:lvl w:ilvl="1" w:tplc="22CEBF1C">
      <w:start w:val="1"/>
      <w:numFmt w:val="bullet"/>
      <w:lvlText w:val="o"/>
      <w:lvlJc w:val="left"/>
      <w:pPr>
        <w:ind w:left="1440" w:hanging="360"/>
      </w:pPr>
      <w:rPr>
        <w:rFonts w:ascii="Courier New" w:hAnsi="Courier New" w:hint="default"/>
      </w:rPr>
    </w:lvl>
    <w:lvl w:ilvl="2" w:tplc="13A02FE0">
      <w:start w:val="1"/>
      <w:numFmt w:val="bullet"/>
      <w:lvlText w:val=""/>
      <w:lvlJc w:val="left"/>
      <w:pPr>
        <w:ind w:left="2160" w:hanging="360"/>
      </w:pPr>
      <w:rPr>
        <w:rFonts w:ascii="Wingdings" w:hAnsi="Wingdings" w:hint="default"/>
      </w:rPr>
    </w:lvl>
    <w:lvl w:ilvl="3" w:tplc="134CD2BE">
      <w:start w:val="1"/>
      <w:numFmt w:val="bullet"/>
      <w:lvlText w:val=""/>
      <w:lvlJc w:val="left"/>
      <w:pPr>
        <w:ind w:left="2880" w:hanging="360"/>
      </w:pPr>
      <w:rPr>
        <w:rFonts w:ascii="Symbol" w:hAnsi="Symbol" w:hint="default"/>
      </w:rPr>
    </w:lvl>
    <w:lvl w:ilvl="4" w:tplc="6A8C0828">
      <w:start w:val="1"/>
      <w:numFmt w:val="bullet"/>
      <w:lvlText w:val="o"/>
      <w:lvlJc w:val="left"/>
      <w:pPr>
        <w:ind w:left="3600" w:hanging="360"/>
      </w:pPr>
      <w:rPr>
        <w:rFonts w:ascii="Courier New" w:hAnsi="Courier New" w:hint="default"/>
      </w:rPr>
    </w:lvl>
    <w:lvl w:ilvl="5" w:tplc="354880E2">
      <w:start w:val="1"/>
      <w:numFmt w:val="bullet"/>
      <w:lvlText w:val=""/>
      <w:lvlJc w:val="left"/>
      <w:pPr>
        <w:ind w:left="4320" w:hanging="360"/>
      </w:pPr>
      <w:rPr>
        <w:rFonts w:ascii="Wingdings" w:hAnsi="Wingdings" w:hint="default"/>
      </w:rPr>
    </w:lvl>
    <w:lvl w:ilvl="6" w:tplc="E414943A">
      <w:start w:val="1"/>
      <w:numFmt w:val="bullet"/>
      <w:lvlText w:val=""/>
      <w:lvlJc w:val="left"/>
      <w:pPr>
        <w:ind w:left="5040" w:hanging="360"/>
      </w:pPr>
      <w:rPr>
        <w:rFonts w:ascii="Symbol" w:hAnsi="Symbol" w:hint="default"/>
      </w:rPr>
    </w:lvl>
    <w:lvl w:ilvl="7" w:tplc="FACCF8A6">
      <w:start w:val="1"/>
      <w:numFmt w:val="bullet"/>
      <w:lvlText w:val="o"/>
      <w:lvlJc w:val="left"/>
      <w:pPr>
        <w:ind w:left="5760" w:hanging="360"/>
      </w:pPr>
      <w:rPr>
        <w:rFonts w:ascii="Courier New" w:hAnsi="Courier New" w:hint="default"/>
      </w:rPr>
    </w:lvl>
    <w:lvl w:ilvl="8" w:tplc="BFB62352">
      <w:start w:val="1"/>
      <w:numFmt w:val="bullet"/>
      <w:lvlText w:val=""/>
      <w:lvlJc w:val="left"/>
      <w:pPr>
        <w:ind w:left="6480" w:hanging="360"/>
      </w:pPr>
      <w:rPr>
        <w:rFonts w:ascii="Wingdings" w:hAnsi="Wingdings" w:hint="default"/>
      </w:rPr>
    </w:lvl>
  </w:abstractNum>
  <w:abstractNum w:abstractNumId="5" w15:restartNumberingAfterBreak="0">
    <w:nsid w:val="6B06B659"/>
    <w:multiLevelType w:val="hybridMultilevel"/>
    <w:tmpl w:val="D180CCF0"/>
    <w:lvl w:ilvl="0" w:tplc="9DD47148">
      <w:start w:val="1"/>
      <w:numFmt w:val="bullet"/>
      <w:lvlText w:val=""/>
      <w:lvlJc w:val="left"/>
      <w:pPr>
        <w:ind w:left="720" w:hanging="360"/>
      </w:pPr>
      <w:rPr>
        <w:rFonts w:ascii="Symbol" w:hAnsi="Symbol" w:hint="default"/>
      </w:rPr>
    </w:lvl>
    <w:lvl w:ilvl="1" w:tplc="499E9C16">
      <w:start w:val="1"/>
      <w:numFmt w:val="bullet"/>
      <w:lvlText w:val="o"/>
      <w:lvlJc w:val="left"/>
      <w:pPr>
        <w:ind w:left="1440" w:hanging="360"/>
      </w:pPr>
      <w:rPr>
        <w:rFonts w:ascii="Courier New" w:hAnsi="Courier New" w:hint="default"/>
      </w:rPr>
    </w:lvl>
    <w:lvl w:ilvl="2" w:tplc="6A82808E">
      <w:start w:val="1"/>
      <w:numFmt w:val="bullet"/>
      <w:lvlText w:val=""/>
      <w:lvlJc w:val="left"/>
      <w:pPr>
        <w:ind w:left="2160" w:hanging="360"/>
      </w:pPr>
      <w:rPr>
        <w:rFonts w:ascii="Wingdings" w:hAnsi="Wingdings" w:hint="default"/>
      </w:rPr>
    </w:lvl>
    <w:lvl w:ilvl="3" w:tplc="411AFC40">
      <w:start w:val="1"/>
      <w:numFmt w:val="bullet"/>
      <w:lvlText w:val=""/>
      <w:lvlJc w:val="left"/>
      <w:pPr>
        <w:ind w:left="2880" w:hanging="360"/>
      </w:pPr>
      <w:rPr>
        <w:rFonts w:ascii="Symbol" w:hAnsi="Symbol" w:hint="default"/>
      </w:rPr>
    </w:lvl>
    <w:lvl w:ilvl="4" w:tplc="C102DDA0">
      <w:start w:val="1"/>
      <w:numFmt w:val="bullet"/>
      <w:lvlText w:val="o"/>
      <w:lvlJc w:val="left"/>
      <w:pPr>
        <w:ind w:left="3600" w:hanging="360"/>
      </w:pPr>
      <w:rPr>
        <w:rFonts w:ascii="Courier New" w:hAnsi="Courier New" w:hint="default"/>
      </w:rPr>
    </w:lvl>
    <w:lvl w:ilvl="5" w:tplc="E034BB00">
      <w:start w:val="1"/>
      <w:numFmt w:val="bullet"/>
      <w:lvlText w:val=""/>
      <w:lvlJc w:val="left"/>
      <w:pPr>
        <w:ind w:left="4320" w:hanging="360"/>
      </w:pPr>
      <w:rPr>
        <w:rFonts w:ascii="Wingdings" w:hAnsi="Wingdings" w:hint="default"/>
      </w:rPr>
    </w:lvl>
    <w:lvl w:ilvl="6" w:tplc="8E26CF10">
      <w:start w:val="1"/>
      <w:numFmt w:val="bullet"/>
      <w:lvlText w:val=""/>
      <w:lvlJc w:val="left"/>
      <w:pPr>
        <w:ind w:left="5040" w:hanging="360"/>
      </w:pPr>
      <w:rPr>
        <w:rFonts w:ascii="Symbol" w:hAnsi="Symbol" w:hint="default"/>
      </w:rPr>
    </w:lvl>
    <w:lvl w:ilvl="7" w:tplc="46242920">
      <w:start w:val="1"/>
      <w:numFmt w:val="bullet"/>
      <w:lvlText w:val="o"/>
      <w:lvlJc w:val="left"/>
      <w:pPr>
        <w:ind w:left="5760" w:hanging="360"/>
      </w:pPr>
      <w:rPr>
        <w:rFonts w:ascii="Courier New" w:hAnsi="Courier New" w:hint="default"/>
      </w:rPr>
    </w:lvl>
    <w:lvl w:ilvl="8" w:tplc="1EB4461C">
      <w:start w:val="1"/>
      <w:numFmt w:val="bullet"/>
      <w:lvlText w:val=""/>
      <w:lvlJc w:val="left"/>
      <w:pPr>
        <w:ind w:left="6480" w:hanging="360"/>
      </w:pPr>
      <w:rPr>
        <w:rFonts w:ascii="Wingdings" w:hAnsi="Wingdings" w:hint="default"/>
      </w:rPr>
    </w:lvl>
  </w:abstractNum>
  <w:abstractNum w:abstractNumId="6" w15:restartNumberingAfterBreak="0">
    <w:nsid w:val="700C1E64"/>
    <w:multiLevelType w:val="hybridMultilevel"/>
    <w:tmpl w:val="B0985B10"/>
    <w:lvl w:ilvl="0" w:tplc="F6AA759E">
      <w:start w:val="1"/>
      <w:numFmt w:val="bullet"/>
      <w:lvlText w:val=""/>
      <w:lvlJc w:val="left"/>
      <w:pPr>
        <w:ind w:left="720" w:hanging="360"/>
      </w:pPr>
      <w:rPr>
        <w:rFonts w:ascii="Symbol" w:hAnsi="Symbol" w:hint="default"/>
      </w:rPr>
    </w:lvl>
    <w:lvl w:ilvl="1" w:tplc="BCF6A6C2">
      <w:start w:val="1"/>
      <w:numFmt w:val="bullet"/>
      <w:lvlText w:val="o"/>
      <w:lvlJc w:val="left"/>
      <w:pPr>
        <w:ind w:left="1440" w:hanging="360"/>
      </w:pPr>
      <w:rPr>
        <w:rFonts w:ascii="Courier New" w:hAnsi="Courier New" w:hint="default"/>
      </w:rPr>
    </w:lvl>
    <w:lvl w:ilvl="2" w:tplc="FB64AF1E">
      <w:start w:val="1"/>
      <w:numFmt w:val="bullet"/>
      <w:lvlText w:val=""/>
      <w:lvlJc w:val="left"/>
      <w:pPr>
        <w:ind w:left="2160" w:hanging="360"/>
      </w:pPr>
      <w:rPr>
        <w:rFonts w:ascii="Wingdings" w:hAnsi="Wingdings" w:hint="default"/>
      </w:rPr>
    </w:lvl>
    <w:lvl w:ilvl="3" w:tplc="9E0A8F3A">
      <w:start w:val="1"/>
      <w:numFmt w:val="bullet"/>
      <w:lvlText w:val=""/>
      <w:lvlJc w:val="left"/>
      <w:pPr>
        <w:ind w:left="2880" w:hanging="360"/>
      </w:pPr>
      <w:rPr>
        <w:rFonts w:ascii="Symbol" w:hAnsi="Symbol" w:hint="default"/>
      </w:rPr>
    </w:lvl>
    <w:lvl w:ilvl="4" w:tplc="0A6075A4">
      <w:start w:val="1"/>
      <w:numFmt w:val="bullet"/>
      <w:lvlText w:val="o"/>
      <w:lvlJc w:val="left"/>
      <w:pPr>
        <w:ind w:left="3600" w:hanging="360"/>
      </w:pPr>
      <w:rPr>
        <w:rFonts w:ascii="Courier New" w:hAnsi="Courier New" w:hint="default"/>
      </w:rPr>
    </w:lvl>
    <w:lvl w:ilvl="5" w:tplc="7CB25764">
      <w:start w:val="1"/>
      <w:numFmt w:val="bullet"/>
      <w:lvlText w:val=""/>
      <w:lvlJc w:val="left"/>
      <w:pPr>
        <w:ind w:left="4320" w:hanging="360"/>
      </w:pPr>
      <w:rPr>
        <w:rFonts w:ascii="Wingdings" w:hAnsi="Wingdings" w:hint="default"/>
      </w:rPr>
    </w:lvl>
    <w:lvl w:ilvl="6" w:tplc="15549AF6">
      <w:start w:val="1"/>
      <w:numFmt w:val="bullet"/>
      <w:lvlText w:val=""/>
      <w:lvlJc w:val="left"/>
      <w:pPr>
        <w:ind w:left="5040" w:hanging="360"/>
      </w:pPr>
      <w:rPr>
        <w:rFonts w:ascii="Symbol" w:hAnsi="Symbol" w:hint="default"/>
      </w:rPr>
    </w:lvl>
    <w:lvl w:ilvl="7" w:tplc="7924ECEA">
      <w:start w:val="1"/>
      <w:numFmt w:val="bullet"/>
      <w:lvlText w:val="o"/>
      <w:lvlJc w:val="left"/>
      <w:pPr>
        <w:ind w:left="5760" w:hanging="360"/>
      </w:pPr>
      <w:rPr>
        <w:rFonts w:ascii="Courier New" w:hAnsi="Courier New" w:hint="default"/>
      </w:rPr>
    </w:lvl>
    <w:lvl w:ilvl="8" w:tplc="7194CC06">
      <w:start w:val="1"/>
      <w:numFmt w:val="bullet"/>
      <w:lvlText w:val=""/>
      <w:lvlJc w:val="left"/>
      <w:pPr>
        <w:ind w:left="6480" w:hanging="360"/>
      </w:pPr>
      <w:rPr>
        <w:rFonts w:ascii="Wingdings" w:hAnsi="Wingdings" w:hint="default"/>
      </w:rPr>
    </w:lvl>
  </w:abstractNum>
  <w:num w:numId="1" w16cid:durableId="335350127">
    <w:abstractNumId w:val="6"/>
  </w:num>
  <w:num w:numId="2" w16cid:durableId="408501289">
    <w:abstractNumId w:val="3"/>
  </w:num>
  <w:num w:numId="3" w16cid:durableId="952904437">
    <w:abstractNumId w:val="5"/>
  </w:num>
  <w:num w:numId="4" w16cid:durableId="1361081620">
    <w:abstractNumId w:val="1"/>
  </w:num>
  <w:num w:numId="5" w16cid:durableId="1279988460">
    <w:abstractNumId w:val="4"/>
  </w:num>
  <w:num w:numId="6" w16cid:durableId="1336809133">
    <w:abstractNumId w:val="0"/>
  </w:num>
  <w:num w:numId="7" w16cid:durableId="18065114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78C"/>
    <w:rsid w:val="00011E75"/>
    <w:rsid w:val="00013581"/>
    <w:rsid w:val="00013AFC"/>
    <w:rsid w:val="00015941"/>
    <w:rsid w:val="000171BB"/>
    <w:rsid w:val="00026234"/>
    <w:rsid w:val="00037101"/>
    <w:rsid w:val="00044BE4"/>
    <w:rsid w:val="000536DD"/>
    <w:rsid w:val="00063237"/>
    <w:rsid w:val="000644D0"/>
    <w:rsid w:val="00075C82"/>
    <w:rsid w:val="000803BB"/>
    <w:rsid w:val="00080A2E"/>
    <w:rsid w:val="00080B5C"/>
    <w:rsid w:val="0009767B"/>
    <w:rsid w:val="000A12DB"/>
    <w:rsid w:val="000B4511"/>
    <w:rsid w:val="000B6C5C"/>
    <w:rsid w:val="000C2C49"/>
    <w:rsid w:val="000E3B53"/>
    <w:rsid w:val="000E6567"/>
    <w:rsid w:val="000F0522"/>
    <w:rsid w:val="000F066B"/>
    <w:rsid w:val="000F5629"/>
    <w:rsid w:val="001061BE"/>
    <w:rsid w:val="00106DFC"/>
    <w:rsid w:val="0010727B"/>
    <w:rsid w:val="00117498"/>
    <w:rsid w:val="00121443"/>
    <w:rsid w:val="001267AA"/>
    <w:rsid w:val="00130AEF"/>
    <w:rsid w:val="001337E3"/>
    <w:rsid w:val="00133A87"/>
    <w:rsid w:val="0014352B"/>
    <w:rsid w:val="00143976"/>
    <w:rsid w:val="001452D3"/>
    <w:rsid w:val="00161A0D"/>
    <w:rsid w:val="00163D63"/>
    <w:rsid w:val="00167DD8"/>
    <w:rsid w:val="00183818"/>
    <w:rsid w:val="00183D90"/>
    <w:rsid w:val="00186EC0"/>
    <w:rsid w:val="00187A06"/>
    <w:rsid w:val="00191E52"/>
    <w:rsid w:val="00192971"/>
    <w:rsid w:val="00193B2C"/>
    <w:rsid w:val="001955D0"/>
    <w:rsid w:val="001A6039"/>
    <w:rsid w:val="001A7FBD"/>
    <w:rsid w:val="001B09F7"/>
    <w:rsid w:val="001B6DE2"/>
    <w:rsid w:val="001B755B"/>
    <w:rsid w:val="001C2B3E"/>
    <w:rsid w:val="001C7D8D"/>
    <w:rsid w:val="001D2E04"/>
    <w:rsid w:val="001D3AA4"/>
    <w:rsid w:val="001D5AEA"/>
    <w:rsid w:val="001D6599"/>
    <w:rsid w:val="001E1AC2"/>
    <w:rsid w:val="001E1F2F"/>
    <w:rsid w:val="001F02EF"/>
    <w:rsid w:val="001F5D85"/>
    <w:rsid w:val="001F7314"/>
    <w:rsid w:val="00204B81"/>
    <w:rsid w:val="00204D96"/>
    <w:rsid w:val="00206E5E"/>
    <w:rsid w:val="00207882"/>
    <w:rsid w:val="00210BBB"/>
    <w:rsid w:val="002206A4"/>
    <w:rsid w:val="00221ED0"/>
    <w:rsid w:val="0022549D"/>
    <w:rsid w:val="002256A1"/>
    <w:rsid w:val="0023075C"/>
    <w:rsid w:val="00234079"/>
    <w:rsid w:val="00243ADB"/>
    <w:rsid w:val="002470D4"/>
    <w:rsid w:val="00251499"/>
    <w:rsid w:val="00253DC5"/>
    <w:rsid w:val="002573CA"/>
    <w:rsid w:val="0025748D"/>
    <w:rsid w:val="00260DB8"/>
    <w:rsid w:val="0026665F"/>
    <w:rsid w:val="002743C7"/>
    <w:rsid w:val="002823D0"/>
    <w:rsid w:val="002837D1"/>
    <w:rsid w:val="00283985"/>
    <w:rsid w:val="00285903"/>
    <w:rsid w:val="00287137"/>
    <w:rsid w:val="002B2CFE"/>
    <w:rsid w:val="002B4DDA"/>
    <w:rsid w:val="002B6628"/>
    <w:rsid w:val="002B7EF5"/>
    <w:rsid w:val="002C0B29"/>
    <w:rsid w:val="002C6062"/>
    <w:rsid w:val="002C6341"/>
    <w:rsid w:val="002D24D5"/>
    <w:rsid w:val="002D7379"/>
    <w:rsid w:val="002E0F1B"/>
    <w:rsid w:val="002E2F7E"/>
    <w:rsid w:val="002E606D"/>
    <w:rsid w:val="002F3873"/>
    <w:rsid w:val="0030436B"/>
    <w:rsid w:val="00314BA0"/>
    <w:rsid w:val="00315952"/>
    <w:rsid w:val="00316A51"/>
    <w:rsid w:val="00321008"/>
    <w:rsid w:val="00327B66"/>
    <w:rsid w:val="00327C59"/>
    <w:rsid w:val="0033266C"/>
    <w:rsid w:val="00332745"/>
    <w:rsid w:val="003531EF"/>
    <w:rsid w:val="00360277"/>
    <w:rsid w:val="00363D29"/>
    <w:rsid w:val="00367595"/>
    <w:rsid w:val="003724A6"/>
    <w:rsid w:val="00380979"/>
    <w:rsid w:val="003A698F"/>
    <w:rsid w:val="003B0FBA"/>
    <w:rsid w:val="003C2225"/>
    <w:rsid w:val="003C3F84"/>
    <w:rsid w:val="003C5C7C"/>
    <w:rsid w:val="003C7CE1"/>
    <w:rsid w:val="003D1BC8"/>
    <w:rsid w:val="003D765D"/>
    <w:rsid w:val="003E2BE0"/>
    <w:rsid w:val="003E4A68"/>
    <w:rsid w:val="003E68E3"/>
    <w:rsid w:val="003E7F17"/>
    <w:rsid w:val="003F08A1"/>
    <w:rsid w:val="003F7EC7"/>
    <w:rsid w:val="00401F10"/>
    <w:rsid w:val="0041044A"/>
    <w:rsid w:val="00415750"/>
    <w:rsid w:val="00416EB0"/>
    <w:rsid w:val="00422709"/>
    <w:rsid w:val="0043290A"/>
    <w:rsid w:val="00444337"/>
    <w:rsid w:val="004461FF"/>
    <w:rsid w:val="00451841"/>
    <w:rsid w:val="00462989"/>
    <w:rsid w:val="00471518"/>
    <w:rsid w:val="004724E3"/>
    <w:rsid w:val="0048305C"/>
    <w:rsid w:val="00491305"/>
    <w:rsid w:val="0049262E"/>
    <w:rsid w:val="004970A7"/>
    <w:rsid w:val="004A78A8"/>
    <w:rsid w:val="004A7BB5"/>
    <w:rsid w:val="004B2B8E"/>
    <w:rsid w:val="004B48F8"/>
    <w:rsid w:val="004B694C"/>
    <w:rsid w:val="004B7458"/>
    <w:rsid w:val="004C1F02"/>
    <w:rsid w:val="004C7343"/>
    <w:rsid w:val="004D34CB"/>
    <w:rsid w:val="004D4314"/>
    <w:rsid w:val="004D5C4C"/>
    <w:rsid w:val="004E0464"/>
    <w:rsid w:val="004E581E"/>
    <w:rsid w:val="004F007A"/>
    <w:rsid w:val="004F023C"/>
    <w:rsid w:val="00511340"/>
    <w:rsid w:val="00515A23"/>
    <w:rsid w:val="00517105"/>
    <w:rsid w:val="0052586C"/>
    <w:rsid w:val="005261A2"/>
    <w:rsid w:val="00532071"/>
    <w:rsid w:val="00541BDC"/>
    <w:rsid w:val="00541F40"/>
    <w:rsid w:val="00546E97"/>
    <w:rsid w:val="005476B2"/>
    <w:rsid w:val="00550060"/>
    <w:rsid w:val="00552A06"/>
    <w:rsid w:val="00555DBB"/>
    <w:rsid w:val="0056045B"/>
    <w:rsid w:val="005608EE"/>
    <w:rsid w:val="00561654"/>
    <w:rsid w:val="005639BB"/>
    <w:rsid w:val="00567D32"/>
    <w:rsid w:val="00581D9F"/>
    <w:rsid w:val="00585915"/>
    <w:rsid w:val="00587D27"/>
    <w:rsid w:val="0059FBA1"/>
    <w:rsid w:val="005B25D7"/>
    <w:rsid w:val="005C5635"/>
    <w:rsid w:val="005C6A96"/>
    <w:rsid w:val="005D1C7F"/>
    <w:rsid w:val="005D1EA7"/>
    <w:rsid w:val="005F7BDA"/>
    <w:rsid w:val="0060242E"/>
    <w:rsid w:val="006061AB"/>
    <w:rsid w:val="00610FE1"/>
    <w:rsid w:val="00612C24"/>
    <w:rsid w:val="006200A1"/>
    <w:rsid w:val="00624919"/>
    <w:rsid w:val="00625A4E"/>
    <w:rsid w:val="006260E3"/>
    <w:rsid w:val="0063479A"/>
    <w:rsid w:val="00653DF0"/>
    <w:rsid w:val="00654EE9"/>
    <w:rsid w:val="00660218"/>
    <w:rsid w:val="006643AF"/>
    <w:rsid w:val="00665AFE"/>
    <w:rsid w:val="00666B16"/>
    <w:rsid w:val="00667BBC"/>
    <w:rsid w:val="006719EA"/>
    <w:rsid w:val="006826A8"/>
    <w:rsid w:val="00683D0E"/>
    <w:rsid w:val="0069236C"/>
    <w:rsid w:val="0069781D"/>
    <w:rsid w:val="006A4B9B"/>
    <w:rsid w:val="006A71CB"/>
    <w:rsid w:val="006A7D3F"/>
    <w:rsid w:val="006B3992"/>
    <w:rsid w:val="006C0CE9"/>
    <w:rsid w:val="006C1585"/>
    <w:rsid w:val="006D524E"/>
    <w:rsid w:val="006E1392"/>
    <w:rsid w:val="006E2B92"/>
    <w:rsid w:val="006E63ED"/>
    <w:rsid w:val="006F2055"/>
    <w:rsid w:val="006F6FC9"/>
    <w:rsid w:val="00703A1E"/>
    <w:rsid w:val="00707C63"/>
    <w:rsid w:val="007125E2"/>
    <w:rsid w:val="00720F96"/>
    <w:rsid w:val="00724D22"/>
    <w:rsid w:val="00726887"/>
    <w:rsid w:val="00733B5B"/>
    <w:rsid w:val="0073495B"/>
    <w:rsid w:val="00737236"/>
    <w:rsid w:val="00740A9B"/>
    <w:rsid w:val="0074622C"/>
    <w:rsid w:val="00746C57"/>
    <w:rsid w:val="00752293"/>
    <w:rsid w:val="00752707"/>
    <w:rsid w:val="00753948"/>
    <w:rsid w:val="00787154"/>
    <w:rsid w:val="0079219F"/>
    <w:rsid w:val="007A0D9D"/>
    <w:rsid w:val="007A1281"/>
    <w:rsid w:val="007A5345"/>
    <w:rsid w:val="007B18FE"/>
    <w:rsid w:val="007C3A8E"/>
    <w:rsid w:val="007C6E13"/>
    <w:rsid w:val="007D3008"/>
    <w:rsid w:val="007D7584"/>
    <w:rsid w:val="007E727C"/>
    <w:rsid w:val="00810EA8"/>
    <w:rsid w:val="00813B40"/>
    <w:rsid w:val="00814AA8"/>
    <w:rsid w:val="0081513E"/>
    <w:rsid w:val="00816471"/>
    <w:rsid w:val="008232F4"/>
    <w:rsid w:val="00833DA9"/>
    <w:rsid w:val="00841BE6"/>
    <w:rsid w:val="00841F66"/>
    <w:rsid w:val="0085516D"/>
    <w:rsid w:val="0085688F"/>
    <w:rsid w:val="00865BE4"/>
    <w:rsid w:val="00876470"/>
    <w:rsid w:val="0089209C"/>
    <w:rsid w:val="00895F63"/>
    <w:rsid w:val="008A0A67"/>
    <w:rsid w:val="008A21D0"/>
    <w:rsid w:val="008A3D91"/>
    <w:rsid w:val="008A789D"/>
    <w:rsid w:val="008B1C78"/>
    <w:rsid w:val="008B7884"/>
    <w:rsid w:val="008C2FD1"/>
    <w:rsid w:val="008C73F5"/>
    <w:rsid w:val="008D0CD8"/>
    <w:rsid w:val="008E1419"/>
    <w:rsid w:val="008E1D5A"/>
    <w:rsid w:val="008E6904"/>
    <w:rsid w:val="008E718B"/>
    <w:rsid w:val="008E7B4E"/>
    <w:rsid w:val="008F7F06"/>
    <w:rsid w:val="00901EDC"/>
    <w:rsid w:val="00902A14"/>
    <w:rsid w:val="00904D92"/>
    <w:rsid w:val="00910ED9"/>
    <w:rsid w:val="0092161D"/>
    <w:rsid w:val="00930DE0"/>
    <w:rsid w:val="00933929"/>
    <w:rsid w:val="009360B4"/>
    <w:rsid w:val="00936402"/>
    <w:rsid w:val="0093783F"/>
    <w:rsid w:val="00941A6C"/>
    <w:rsid w:val="00942AEF"/>
    <w:rsid w:val="00943E3F"/>
    <w:rsid w:val="00944B3C"/>
    <w:rsid w:val="0094527E"/>
    <w:rsid w:val="00945728"/>
    <w:rsid w:val="00946403"/>
    <w:rsid w:val="009550B0"/>
    <w:rsid w:val="009708D1"/>
    <w:rsid w:val="00971521"/>
    <w:rsid w:val="0097462F"/>
    <w:rsid w:val="00976547"/>
    <w:rsid w:val="009807BA"/>
    <w:rsid w:val="0098105F"/>
    <w:rsid w:val="00990175"/>
    <w:rsid w:val="00992DFC"/>
    <w:rsid w:val="00993C11"/>
    <w:rsid w:val="009943BD"/>
    <w:rsid w:val="0099515D"/>
    <w:rsid w:val="009A0B2E"/>
    <w:rsid w:val="009A2580"/>
    <w:rsid w:val="009A2FD5"/>
    <w:rsid w:val="009B5A8B"/>
    <w:rsid w:val="009B73F5"/>
    <w:rsid w:val="009C6E2A"/>
    <w:rsid w:val="009D2410"/>
    <w:rsid w:val="009E28B5"/>
    <w:rsid w:val="009E7BDC"/>
    <w:rsid w:val="009F0CFC"/>
    <w:rsid w:val="009F1B78"/>
    <w:rsid w:val="009F3C07"/>
    <w:rsid w:val="009F3F18"/>
    <w:rsid w:val="009F5E10"/>
    <w:rsid w:val="009F7CA5"/>
    <w:rsid w:val="00A00408"/>
    <w:rsid w:val="00A01161"/>
    <w:rsid w:val="00A04A54"/>
    <w:rsid w:val="00A101EA"/>
    <w:rsid w:val="00A13F13"/>
    <w:rsid w:val="00A222F6"/>
    <w:rsid w:val="00A27471"/>
    <w:rsid w:val="00A431DC"/>
    <w:rsid w:val="00A457B8"/>
    <w:rsid w:val="00A5209C"/>
    <w:rsid w:val="00A53A6A"/>
    <w:rsid w:val="00A558AF"/>
    <w:rsid w:val="00A60665"/>
    <w:rsid w:val="00A72FC8"/>
    <w:rsid w:val="00A755B5"/>
    <w:rsid w:val="00A81E30"/>
    <w:rsid w:val="00A96331"/>
    <w:rsid w:val="00AA22B1"/>
    <w:rsid w:val="00AA45AC"/>
    <w:rsid w:val="00AA4942"/>
    <w:rsid w:val="00AC2B97"/>
    <w:rsid w:val="00AD232F"/>
    <w:rsid w:val="00AD378C"/>
    <w:rsid w:val="00AD43F5"/>
    <w:rsid w:val="00AD6168"/>
    <w:rsid w:val="00AE6BF5"/>
    <w:rsid w:val="00AF291E"/>
    <w:rsid w:val="00AF5F03"/>
    <w:rsid w:val="00AF615D"/>
    <w:rsid w:val="00AF75EC"/>
    <w:rsid w:val="00B06FF2"/>
    <w:rsid w:val="00B07BD6"/>
    <w:rsid w:val="00B14084"/>
    <w:rsid w:val="00B147A8"/>
    <w:rsid w:val="00B3056E"/>
    <w:rsid w:val="00B43B7A"/>
    <w:rsid w:val="00B46110"/>
    <w:rsid w:val="00B462DD"/>
    <w:rsid w:val="00B511F2"/>
    <w:rsid w:val="00B64391"/>
    <w:rsid w:val="00B66F95"/>
    <w:rsid w:val="00B71B19"/>
    <w:rsid w:val="00B743CC"/>
    <w:rsid w:val="00B83463"/>
    <w:rsid w:val="00B83789"/>
    <w:rsid w:val="00B87AC5"/>
    <w:rsid w:val="00B90489"/>
    <w:rsid w:val="00B91832"/>
    <w:rsid w:val="00B96756"/>
    <w:rsid w:val="00BA14EB"/>
    <w:rsid w:val="00BA1A0F"/>
    <w:rsid w:val="00BA4C89"/>
    <w:rsid w:val="00BA7B52"/>
    <w:rsid w:val="00BA7F38"/>
    <w:rsid w:val="00BC02DA"/>
    <w:rsid w:val="00BC2F7C"/>
    <w:rsid w:val="00BC720E"/>
    <w:rsid w:val="00BD0B65"/>
    <w:rsid w:val="00BE15A2"/>
    <w:rsid w:val="00BE2F9B"/>
    <w:rsid w:val="00BE4784"/>
    <w:rsid w:val="00BE5862"/>
    <w:rsid w:val="00BE5D25"/>
    <w:rsid w:val="00BF12A9"/>
    <w:rsid w:val="00BF48BC"/>
    <w:rsid w:val="00C005CA"/>
    <w:rsid w:val="00C015BB"/>
    <w:rsid w:val="00C0253C"/>
    <w:rsid w:val="00C03BA0"/>
    <w:rsid w:val="00C059FD"/>
    <w:rsid w:val="00C11B0E"/>
    <w:rsid w:val="00C214FE"/>
    <w:rsid w:val="00C21DBF"/>
    <w:rsid w:val="00C221FE"/>
    <w:rsid w:val="00C3059F"/>
    <w:rsid w:val="00C30E3C"/>
    <w:rsid w:val="00C315C6"/>
    <w:rsid w:val="00C328C5"/>
    <w:rsid w:val="00C32CF6"/>
    <w:rsid w:val="00C412F8"/>
    <w:rsid w:val="00C41FEA"/>
    <w:rsid w:val="00C473BA"/>
    <w:rsid w:val="00C57BC5"/>
    <w:rsid w:val="00C70EEF"/>
    <w:rsid w:val="00C84A13"/>
    <w:rsid w:val="00C870E2"/>
    <w:rsid w:val="00C906EA"/>
    <w:rsid w:val="00C92FA9"/>
    <w:rsid w:val="00C96E74"/>
    <w:rsid w:val="00CA7B48"/>
    <w:rsid w:val="00CB0AAD"/>
    <w:rsid w:val="00CB15C2"/>
    <w:rsid w:val="00CB1D64"/>
    <w:rsid w:val="00CB33DC"/>
    <w:rsid w:val="00CB5168"/>
    <w:rsid w:val="00CD2D87"/>
    <w:rsid w:val="00CD3616"/>
    <w:rsid w:val="00CD68C6"/>
    <w:rsid w:val="00CD705E"/>
    <w:rsid w:val="00CE342C"/>
    <w:rsid w:val="00CE72A4"/>
    <w:rsid w:val="00CF113D"/>
    <w:rsid w:val="00CF1F74"/>
    <w:rsid w:val="00CF4A4E"/>
    <w:rsid w:val="00D00A7E"/>
    <w:rsid w:val="00D14D12"/>
    <w:rsid w:val="00D164AD"/>
    <w:rsid w:val="00D24881"/>
    <w:rsid w:val="00D279FF"/>
    <w:rsid w:val="00D30F8C"/>
    <w:rsid w:val="00D320A1"/>
    <w:rsid w:val="00D350E3"/>
    <w:rsid w:val="00D5791A"/>
    <w:rsid w:val="00D615F6"/>
    <w:rsid w:val="00D62B90"/>
    <w:rsid w:val="00D62CC4"/>
    <w:rsid w:val="00D67ECD"/>
    <w:rsid w:val="00D726A8"/>
    <w:rsid w:val="00D76600"/>
    <w:rsid w:val="00D802F4"/>
    <w:rsid w:val="00D8566D"/>
    <w:rsid w:val="00D92552"/>
    <w:rsid w:val="00DA3A04"/>
    <w:rsid w:val="00DA7781"/>
    <w:rsid w:val="00DB0C39"/>
    <w:rsid w:val="00DC451D"/>
    <w:rsid w:val="00DC7402"/>
    <w:rsid w:val="00DC791C"/>
    <w:rsid w:val="00DC7FF6"/>
    <w:rsid w:val="00DD52AE"/>
    <w:rsid w:val="00DD7623"/>
    <w:rsid w:val="00DE63C9"/>
    <w:rsid w:val="00DE6E76"/>
    <w:rsid w:val="00DF10E0"/>
    <w:rsid w:val="00DF202B"/>
    <w:rsid w:val="00DF2A41"/>
    <w:rsid w:val="00E004E8"/>
    <w:rsid w:val="00E019D8"/>
    <w:rsid w:val="00E027CB"/>
    <w:rsid w:val="00E05ABA"/>
    <w:rsid w:val="00E1167E"/>
    <w:rsid w:val="00E12427"/>
    <w:rsid w:val="00E17C96"/>
    <w:rsid w:val="00E24B46"/>
    <w:rsid w:val="00E25DFF"/>
    <w:rsid w:val="00E30C94"/>
    <w:rsid w:val="00E33005"/>
    <w:rsid w:val="00E4250A"/>
    <w:rsid w:val="00E56401"/>
    <w:rsid w:val="00E65885"/>
    <w:rsid w:val="00E659F7"/>
    <w:rsid w:val="00E6738F"/>
    <w:rsid w:val="00E7243C"/>
    <w:rsid w:val="00E83A9F"/>
    <w:rsid w:val="00E8551D"/>
    <w:rsid w:val="00E90516"/>
    <w:rsid w:val="00E970C6"/>
    <w:rsid w:val="00EC40BB"/>
    <w:rsid w:val="00EC7164"/>
    <w:rsid w:val="00ED098B"/>
    <w:rsid w:val="00ED13B2"/>
    <w:rsid w:val="00ED4CA8"/>
    <w:rsid w:val="00ED4E70"/>
    <w:rsid w:val="00EE2940"/>
    <w:rsid w:val="00EF60AE"/>
    <w:rsid w:val="00EF66FA"/>
    <w:rsid w:val="00F001CC"/>
    <w:rsid w:val="00F06945"/>
    <w:rsid w:val="00F073A8"/>
    <w:rsid w:val="00F10F54"/>
    <w:rsid w:val="00F11A8A"/>
    <w:rsid w:val="00F11E7C"/>
    <w:rsid w:val="00F16817"/>
    <w:rsid w:val="00F17F8C"/>
    <w:rsid w:val="00F41614"/>
    <w:rsid w:val="00F424B7"/>
    <w:rsid w:val="00F535B3"/>
    <w:rsid w:val="00F55B78"/>
    <w:rsid w:val="00F649D5"/>
    <w:rsid w:val="00F67941"/>
    <w:rsid w:val="00F74767"/>
    <w:rsid w:val="00F76652"/>
    <w:rsid w:val="00F76711"/>
    <w:rsid w:val="00FB07FF"/>
    <w:rsid w:val="00FB39F0"/>
    <w:rsid w:val="00FB4E09"/>
    <w:rsid w:val="00FB53D9"/>
    <w:rsid w:val="00FC30B1"/>
    <w:rsid w:val="00FCDA98"/>
    <w:rsid w:val="00FD24C1"/>
    <w:rsid w:val="00FD65DB"/>
    <w:rsid w:val="00FE49E5"/>
    <w:rsid w:val="00FF71F1"/>
    <w:rsid w:val="0131EFBC"/>
    <w:rsid w:val="01D54265"/>
    <w:rsid w:val="01E27B0E"/>
    <w:rsid w:val="023851FA"/>
    <w:rsid w:val="02E00CBD"/>
    <w:rsid w:val="0319534E"/>
    <w:rsid w:val="035E6245"/>
    <w:rsid w:val="04A6B026"/>
    <w:rsid w:val="04E3AA89"/>
    <w:rsid w:val="056B0155"/>
    <w:rsid w:val="05CE3083"/>
    <w:rsid w:val="0653A689"/>
    <w:rsid w:val="0685D407"/>
    <w:rsid w:val="075C20CC"/>
    <w:rsid w:val="08051D0F"/>
    <w:rsid w:val="08560DFC"/>
    <w:rsid w:val="08585940"/>
    <w:rsid w:val="08887631"/>
    <w:rsid w:val="0996B069"/>
    <w:rsid w:val="0A402301"/>
    <w:rsid w:val="0A98B421"/>
    <w:rsid w:val="0AECE5B3"/>
    <w:rsid w:val="0B9D06C2"/>
    <w:rsid w:val="0BB3E68D"/>
    <w:rsid w:val="0C1ABC0E"/>
    <w:rsid w:val="0C34A722"/>
    <w:rsid w:val="0CD70C94"/>
    <w:rsid w:val="0CE4044F"/>
    <w:rsid w:val="0DDC2E34"/>
    <w:rsid w:val="10979116"/>
    <w:rsid w:val="10DB7152"/>
    <w:rsid w:val="10E9C716"/>
    <w:rsid w:val="110EC09C"/>
    <w:rsid w:val="12BE7518"/>
    <w:rsid w:val="1307794E"/>
    <w:rsid w:val="1319D7A4"/>
    <w:rsid w:val="13486F50"/>
    <w:rsid w:val="139048BA"/>
    <w:rsid w:val="139ED66C"/>
    <w:rsid w:val="14437E50"/>
    <w:rsid w:val="145C1E28"/>
    <w:rsid w:val="149CBF02"/>
    <w:rsid w:val="152A8DA4"/>
    <w:rsid w:val="157DFE99"/>
    <w:rsid w:val="1636C847"/>
    <w:rsid w:val="168D0346"/>
    <w:rsid w:val="1704FF68"/>
    <w:rsid w:val="17424EE9"/>
    <w:rsid w:val="18CBDB67"/>
    <w:rsid w:val="18E55EDF"/>
    <w:rsid w:val="19AE05FB"/>
    <w:rsid w:val="1AB37B0D"/>
    <w:rsid w:val="1B3C0C92"/>
    <w:rsid w:val="1BDA23F3"/>
    <w:rsid w:val="1C70E5A7"/>
    <w:rsid w:val="1CDADB6D"/>
    <w:rsid w:val="1DAD2BAB"/>
    <w:rsid w:val="1E550E4C"/>
    <w:rsid w:val="1E8C9180"/>
    <w:rsid w:val="1E98F61C"/>
    <w:rsid w:val="1FB6349E"/>
    <w:rsid w:val="1FF34C97"/>
    <w:rsid w:val="209EBE9C"/>
    <w:rsid w:val="218F1CF8"/>
    <w:rsid w:val="222BF79B"/>
    <w:rsid w:val="22D2B3E3"/>
    <w:rsid w:val="23809B90"/>
    <w:rsid w:val="242DCF1D"/>
    <w:rsid w:val="2446BA1C"/>
    <w:rsid w:val="246E755B"/>
    <w:rsid w:val="248405C3"/>
    <w:rsid w:val="26578D50"/>
    <w:rsid w:val="266383AE"/>
    <w:rsid w:val="26982389"/>
    <w:rsid w:val="27353B2B"/>
    <w:rsid w:val="273A499D"/>
    <w:rsid w:val="284426D2"/>
    <w:rsid w:val="287EC609"/>
    <w:rsid w:val="28CEAA3E"/>
    <w:rsid w:val="2AD29706"/>
    <w:rsid w:val="2B1F15D9"/>
    <w:rsid w:val="2B9CF2E4"/>
    <w:rsid w:val="2C1FFE75"/>
    <w:rsid w:val="2CD73D59"/>
    <w:rsid w:val="2D380D4A"/>
    <w:rsid w:val="2E28CACC"/>
    <w:rsid w:val="2ED87532"/>
    <w:rsid w:val="2FA3C232"/>
    <w:rsid w:val="2FAD8B46"/>
    <w:rsid w:val="2FF286FC"/>
    <w:rsid w:val="31931C6B"/>
    <w:rsid w:val="31E1575D"/>
    <w:rsid w:val="343F6693"/>
    <w:rsid w:val="3458A672"/>
    <w:rsid w:val="34B2CCFE"/>
    <w:rsid w:val="34DC5DF5"/>
    <w:rsid w:val="34F16CD9"/>
    <w:rsid w:val="362C3DAA"/>
    <w:rsid w:val="36C0E9D4"/>
    <w:rsid w:val="36DAD7EC"/>
    <w:rsid w:val="36FC45F8"/>
    <w:rsid w:val="371295B5"/>
    <w:rsid w:val="37B100F0"/>
    <w:rsid w:val="38156AE7"/>
    <w:rsid w:val="388CAE4B"/>
    <w:rsid w:val="38D60E0B"/>
    <w:rsid w:val="392A41F0"/>
    <w:rsid w:val="3934FF06"/>
    <w:rsid w:val="3A1A96FB"/>
    <w:rsid w:val="3A54B0C1"/>
    <w:rsid w:val="3B598051"/>
    <w:rsid w:val="3C1928FE"/>
    <w:rsid w:val="3CA8BEA9"/>
    <w:rsid w:val="3CC42C1A"/>
    <w:rsid w:val="3D811687"/>
    <w:rsid w:val="3E5CCAE1"/>
    <w:rsid w:val="3FE5882D"/>
    <w:rsid w:val="40DC54F0"/>
    <w:rsid w:val="40E83D8A"/>
    <w:rsid w:val="41BEE44F"/>
    <w:rsid w:val="42C666E6"/>
    <w:rsid w:val="43196BD3"/>
    <w:rsid w:val="433CF189"/>
    <w:rsid w:val="43E09F3C"/>
    <w:rsid w:val="44B92DAA"/>
    <w:rsid w:val="45B750C3"/>
    <w:rsid w:val="460B47BC"/>
    <w:rsid w:val="46510C95"/>
    <w:rsid w:val="475BBF7F"/>
    <w:rsid w:val="47D61BCA"/>
    <w:rsid w:val="484DD020"/>
    <w:rsid w:val="4884DEDC"/>
    <w:rsid w:val="48C74E0C"/>
    <w:rsid w:val="490B6181"/>
    <w:rsid w:val="4A3981B9"/>
    <w:rsid w:val="4A62DF57"/>
    <w:rsid w:val="4A802EF0"/>
    <w:rsid w:val="4C42E249"/>
    <w:rsid w:val="4D1F4882"/>
    <w:rsid w:val="4E3CCFFA"/>
    <w:rsid w:val="4E69A3FC"/>
    <w:rsid w:val="4F280A49"/>
    <w:rsid w:val="4FB1CD7B"/>
    <w:rsid w:val="506D53DE"/>
    <w:rsid w:val="50978197"/>
    <w:rsid w:val="50C8019D"/>
    <w:rsid w:val="510DD6BE"/>
    <w:rsid w:val="5114011C"/>
    <w:rsid w:val="5263D1FE"/>
    <w:rsid w:val="528CFC34"/>
    <w:rsid w:val="53067828"/>
    <w:rsid w:val="5357C7C2"/>
    <w:rsid w:val="535B72A8"/>
    <w:rsid w:val="539B90F8"/>
    <w:rsid w:val="54501AC0"/>
    <w:rsid w:val="554CEB95"/>
    <w:rsid w:val="569A52BD"/>
    <w:rsid w:val="570262F3"/>
    <w:rsid w:val="570C9760"/>
    <w:rsid w:val="596E23F8"/>
    <w:rsid w:val="59949793"/>
    <w:rsid w:val="59E4449C"/>
    <w:rsid w:val="5AE1DE67"/>
    <w:rsid w:val="5B208657"/>
    <w:rsid w:val="5B436876"/>
    <w:rsid w:val="5B5DD062"/>
    <w:rsid w:val="5B8F8D21"/>
    <w:rsid w:val="5BB983FD"/>
    <w:rsid w:val="5C25E851"/>
    <w:rsid w:val="5E4F60E0"/>
    <w:rsid w:val="5E84CDEC"/>
    <w:rsid w:val="5E9B25CA"/>
    <w:rsid w:val="5EF97CE4"/>
    <w:rsid w:val="5F26764A"/>
    <w:rsid w:val="5F76FBD5"/>
    <w:rsid w:val="5FA778A7"/>
    <w:rsid w:val="605AAE3A"/>
    <w:rsid w:val="61F51658"/>
    <w:rsid w:val="63589315"/>
    <w:rsid w:val="640AC6CD"/>
    <w:rsid w:val="642E6AF7"/>
    <w:rsid w:val="6489EEFA"/>
    <w:rsid w:val="655BC1C1"/>
    <w:rsid w:val="6598FBFD"/>
    <w:rsid w:val="668F0790"/>
    <w:rsid w:val="6732B543"/>
    <w:rsid w:val="67AF6E10"/>
    <w:rsid w:val="67E49392"/>
    <w:rsid w:val="67F3E06E"/>
    <w:rsid w:val="686DE77F"/>
    <w:rsid w:val="694E5AED"/>
    <w:rsid w:val="69F004CF"/>
    <w:rsid w:val="6A280363"/>
    <w:rsid w:val="6A4D6F98"/>
    <w:rsid w:val="6C1EB875"/>
    <w:rsid w:val="6C2EBA85"/>
    <w:rsid w:val="6C9D67E3"/>
    <w:rsid w:val="6D3218F7"/>
    <w:rsid w:val="6D3FBA07"/>
    <w:rsid w:val="6DBD0C68"/>
    <w:rsid w:val="6E493884"/>
    <w:rsid w:val="6F16267B"/>
    <w:rsid w:val="6F4868B2"/>
    <w:rsid w:val="6F58FB3A"/>
    <w:rsid w:val="6F5CD599"/>
    <w:rsid w:val="700F0DE2"/>
    <w:rsid w:val="7052B22C"/>
    <w:rsid w:val="71247A64"/>
    <w:rsid w:val="716DDA6A"/>
    <w:rsid w:val="7176C314"/>
    <w:rsid w:val="72A28EEC"/>
    <w:rsid w:val="736E14E8"/>
    <w:rsid w:val="73BB77F5"/>
    <w:rsid w:val="73E9979E"/>
    <w:rsid w:val="73F988AF"/>
    <w:rsid w:val="75B13691"/>
    <w:rsid w:val="75BF6554"/>
    <w:rsid w:val="779E4A68"/>
    <w:rsid w:val="78D55D84"/>
    <w:rsid w:val="7918F2B2"/>
    <w:rsid w:val="79F685DB"/>
    <w:rsid w:val="7B799046"/>
    <w:rsid w:val="7C11FFC5"/>
    <w:rsid w:val="7C25FBB8"/>
    <w:rsid w:val="7DA5B7B5"/>
    <w:rsid w:val="7EBE1464"/>
    <w:rsid w:val="7EE1A328"/>
    <w:rsid w:val="7F4F9D2E"/>
    <w:rsid w:val="7FCE6DF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B7CFF"/>
  <w15:chartTrackingRefBased/>
  <w15:docId w15:val="{1DE41893-B20D-4BAF-B712-6EF9C7AF5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sid w:val="00BF12A9"/>
    <w:rPr>
      <w:rFonts w:ascii="MetaPro-Medi" w:hAnsi="MetaPro-Medi"/>
      <w:sz w:val="22"/>
      <w:vertAlign w:val="superscript"/>
    </w:rPr>
  </w:style>
  <w:style w:type="paragraph" w:customStyle="1" w:styleId="Body">
    <w:name w:val="Body"/>
    <w:rsid w:val="00F4161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14:textOutline w14:w="0" w14:cap="flat" w14:cmpd="sng" w14:algn="ctr">
        <w14:noFill/>
        <w14:prstDash w14:val="solid"/>
        <w14:bevel/>
      </w14:textOutline>
    </w:rPr>
  </w:style>
  <w:style w:type="paragraph" w:styleId="FootnoteText">
    <w:name w:val="footnote text"/>
    <w:basedOn w:val="Normal"/>
    <w:link w:val="FootnoteTextChar"/>
    <w:uiPriority w:val="99"/>
    <w:unhideWhenUsed/>
    <w:rsid w:val="000F066B"/>
    <w:pPr>
      <w:spacing w:after="0" w:line="240" w:lineRule="auto"/>
    </w:pPr>
    <w:rPr>
      <w:rFonts w:ascii="MetaPro-Norm" w:hAnsi="MetaPro-Norm"/>
      <w:sz w:val="16"/>
      <w:szCs w:val="20"/>
    </w:rPr>
  </w:style>
  <w:style w:type="character" w:customStyle="1" w:styleId="FootnoteTextChar">
    <w:name w:val="Footnote Text Char"/>
    <w:basedOn w:val="DefaultParagraphFont"/>
    <w:link w:val="FootnoteText"/>
    <w:uiPriority w:val="99"/>
    <w:rsid w:val="000F066B"/>
    <w:rPr>
      <w:rFonts w:ascii="MetaPro-Norm" w:hAnsi="MetaPro-Norm"/>
      <w:sz w:val="16"/>
      <w:szCs w:val="20"/>
    </w:rPr>
  </w:style>
  <w:style w:type="character" w:styleId="CommentReference">
    <w:name w:val="annotation reference"/>
    <w:basedOn w:val="DefaultParagraphFont"/>
    <w:uiPriority w:val="99"/>
    <w:semiHidden/>
    <w:unhideWhenUsed/>
    <w:rsid w:val="007B18FE"/>
    <w:rPr>
      <w:sz w:val="16"/>
      <w:szCs w:val="16"/>
    </w:rPr>
  </w:style>
  <w:style w:type="paragraph" w:styleId="CommentText">
    <w:name w:val="annotation text"/>
    <w:basedOn w:val="Normal"/>
    <w:link w:val="CommentTextChar"/>
    <w:uiPriority w:val="99"/>
    <w:unhideWhenUsed/>
    <w:rsid w:val="007B18FE"/>
    <w:pPr>
      <w:spacing w:line="240" w:lineRule="auto"/>
    </w:pPr>
    <w:rPr>
      <w:sz w:val="20"/>
      <w:szCs w:val="20"/>
    </w:rPr>
  </w:style>
  <w:style w:type="character" w:customStyle="1" w:styleId="CommentTextChar">
    <w:name w:val="Comment Text Char"/>
    <w:basedOn w:val="DefaultParagraphFont"/>
    <w:link w:val="CommentText"/>
    <w:uiPriority w:val="99"/>
    <w:rsid w:val="007B18FE"/>
    <w:rPr>
      <w:sz w:val="20"/>
      <w:szCs w:val="20"/>
    </w:rPr>
  </w:style>
  <w:style w:type="paragraph" w:styleId="CommentSubject">
    <w:name w:val="annotation subject"/>
    <w:basedOn w:val="CommentText"/>
    <w:next w:val="CommentText"/>
    <w:link w:val="CommentSubjectChar"/>
    <w:uiPriority w:val="99"/>
    <w:semiHidden/>
    <w:unhideWhenUsed/>
    <w:rsid w:val="007B18FE"/>
    <w:rPr>
      <w:b/>
      <w:bCs/>
    </w:rPr>
  </w:style>
  <w:style w:type="character" w:customStyle="1" w:styleId="CommentSubjectChar">
    <w:name w:val="Comment Subject Char"/>
    <w:basedOn w:val="CommentTextChar"/>
    <w:link w:val="CommentSubject"/>
    <w:uiPriority w:val="99"/>
    <w:semiHidden/>
    <w:rsid w:val="007B18FE"/>
    <w:rPr>
      <w:b/>
      <w:bCs/>
      <w:sz w:val="20"/>
      <w:szCs w:val="20"/>
    </w:rPr>
  </w:style>
  <w:style w:type="character" w:styleId="Hyperlink">
    <w:name w:val="Hyperlink"/>
    <w:basedOn w:val="DefaultParagraphFont"/>
    <w:uiPriority w:val="99"/>
    <w:unhideWhenUsed/>
    <w:rsid w:val="0085516D"/>
    <w:rPr>
      <w:color w:val="0563C1" w:themeColor="hyperlink"/>
      <w:u w:val="single"/>
    </w:rPr>
  </w:style>
  <w:style w:type="character" w:styleId="UnresolvedMention">
    <w:name w:val="Unresolved Mention"/>
    <w:basedOn w:val="DefaultParagraphFont"/>
    <w:uiPriority w:val="99"/>
    <w:semiHidden/>
    <w:unhideWhenUsed/>
    <w:rsid w:val="001F7314"/>
    <w:rPr>
      <w:color w:val="605E5C"/>
      <w:shd w:val="clear" w:color="auto" w:fill="E1DFDD"/>
    </w:rPr>
  </w:style>
  <w:style w:type="paragraph" w:styleId="ListParagraph">
    <w:name w:val="List Paragraph"/>
    <w:basedOn w:val="Normal"/>
    <w:uiPriority w:val="34"/>
    <w:qFormat/>
    <w:rsid w:val="00610FE1"/>
    <w:pPr>
      <w:ind w:left="720"/>
      <w:contextualSpacing/>
    </w:pPr>
  </w:style>
  <w:style w:type="paragraph" w:styleId="Footer">
    <w:name w:val="footer"/>
    <w:basedOn w:val="Normal"/>
    <w:link w:val="FooterChar"/>
    <w:uiPriority w:val="99"/>
    <w:unhideWhenUsed/>
    <w:rsid w:val="00B140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4084"/>
  </w:style>
  <w:style w:type="character" w:customStyle="1" w:styleId="normaltextrun">
    <w:name w:val="normaltextrun"/>
    <w:basedOn w:val="DefaultParagraphFont"/>
    <w:rsid w:val="008E718B"/>
  </w:style>
  <w:style w:type="paragraph" w:styleId="Header">
    <w:name w:val="header"/>
    <w:basedOn w:val="Normal"/>
    <w:link w:val="HeaderChar"/>
    <w:uiPriority w:val="99"/>
    <w:unhideWhenUsed/>
    <w:rsid w:val="00DA77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7781"/>
  </w:style>
  <w:style w:type="paragraph" w:styleId="Revision">
    <w:name w:val="Revision"/>
    <w:hidden/>
    <w:uiPriority w:val="99"/>
    <w:semiHidden/>
    <w:rsid w:val="00DF10E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997516">
      <w:bodyDiv w:val="1"/>
      <w:marLeft w:val="0"/>
      <w:marRight w:val="0"/>
      <w:marTop w:val="0"/>
      <w:marBottom w:val="0"/>
      <w:divBdr>
        <w:top w:val="none" w:sz="0" w:space="0" w:color="auto"/>
        <w:left w:val="none" w:sz="0" w:space="0" w:color="auto"/>
        <w:bottom w:val="none" w:sz="0" w:space="0" w:color="auto"/>
        <w:right w:val="none" w:sz="0" w:space="0" w:color="auto"/>
      </w:divBdr>
      <w:divsChild>
        <w:div w:id="1609193201">
          <w:marLeft w:val="0"/>
          <w:marRight w:val="0"/>
          <w:marTop w:val="0"/>
          <w:marBottom w:val="0"/>
          <w:divBdr>
            <w:top w:val="single" w:sz="2" w:space="0" w:color="auto"/>
            <w:left w:val="single" w:sz="2" w:space="0" w:color="auto"/>
            <w:bottom w:val="single" w:sz="2" w:space="0" w:color="auto"/>
            <w:right w:val="single" w:sz="2" w:space="0" w:color="auto"/>
          </w:divBdr>
        </w:div>
        <w:div w:id="1760444743">
          <w:marLeft w:val="0"/>
          <w:marRight w:val="0"/>
          <w:marTop w:val="0"/>
          <w:marBottom w:val="0"/>
          <w:divBdr>
            <w:top w:val="single" w:sz="2" w:space="0" w:color="auto"/>
            <w:left w:val="single" w:sz="2" w:space="0" w:color="auto"/>
            <w:bottom w:val="single" w:sz="2" w:space="0" w:color="auto"/>
            <w:right w:val="single" w:sz="2" w:space="0" w:color="auto"/>
          </w:divBdr>
        </w:div>
      </w:divsChild>
    </w:div>
    <w:div w:id="158740672">
      <w:bodyDiv w:val="1"/>
      <w:marLeft w:val="0"/>
      <w:marRight w:val="0"/>
      <w:marTop w:val="0"/>
      <w:marBottom w:val="0"/>
      <w:divBdr>
        <w:top w:val="none" w:sz="0" w:space="0" w:color="auto"/>
        <w:left w:val="none" w:sz="0" w:space="0" w:color="auto"/>
        <w:bottom w:val="none" w:sz="0" w:space="0" w:color="auto"/>
        <w:right w:val="none" w:sz="0" w:space="0" w:color="auto"/>
      </w:divBdr>
    </w:div>
    <w:div w:id="246422472">
      <w:bodyDiv w:val="1"/>
      <w:marLeft w:val="0"/>
      <w:marRight w:val="0"/>
      <w:marTop w:val="0"/>
      <w:marBottom w:val="0"/>
      <w:divBdr>
        <w:top w:val="none" w:sz="0" w:space="0" w:color="auto"/>
        <w:left w:val="none" w:sz="0" w:space="0" w:color="auto"/>
        <w:bottom w:val="none" w:sz="0" w:space="0" w:color="auto"/>
        <w:right w:val="none" w:sz="0" w:space="0" w:color="auto"/>
      </w:divBdr>
    </w:div>
    <w:div w:id="294456500">
      <w:bodyDiv w:val="1"/>
      <w:marLeft w:val="0"/>
      <w:marRight w:val="0"/>
      <w:marTop w:val="0"/>
      <w:marBottom w:val="0"/>
      <w:divBdr>
        <w:top w:val="none" w:sz="0" w:space="0" w:color="auto"/>
        <w:left w:val="none" w:sz="0" w:space="0" w:color="auto"/>
        <w:bottom w:val="none" w:sz="0" w:space="0" w:color="auto"/>
        <w:right w:val="none" w:sz="0" w:space="0" w:color="auto"/>
      </w:divBdr>
    </w:div>
    <w:div w:id="411003517">
      <w:bodyDiv w:val="1"/>
      <w:marLeft w:val="0"/>
      <w:marRight w:val="0"/>
      <w:marTop w:val="0"/>
      <w:marBottom w:val="0"/>
      <w:divBdr>
        <w:top w:val="none" w:sz="0" w:space="0" w:color="auto"/>
        <w:left w:val="none" w:sz="0" w:space="0" w:color="auto"/>
        <w:bottom w:val="none" w:sz="0" w:space="0" w:color="auto"/>
        <w:right w:val="none" w:sz="0" w:space="0" w:color="auto"/>
      </w:divBdr>
    </w:div>
    <w:div w:id="449128585">
      <w:bodyDiv w:val="1"/>
      <w:marLeft w:val="0"/>
      <w:marRight w:val="0"/>
      <w:marTop w:val="0"/>
      <w:marBottom w:val="0"/>
      <w:divBdr>
        <w:top w:val="none" w:sz="0" w:space="0" w:color="auto"/>
        <w:left w:val="none" w:sz="0" w:space="0" w:color="auto"/>
        <w:bottom w:val="none" w:sz="0" w:space="0" w:color="auto"/>
        <w:right w:val="none" w:sz="0" w:space="0" w:color="auto"/>
      </w:divBdr>
    </w:div>
    <w:div w:id="504246526">
      <w:bodyDiv w:val="1"/>
      <w:marLeft w:val="0"/>
      <w:marRight w:val="0"/>
      <w:marTop w:val="0"/>
      <w:marBottom w:val="0"/>
      <w:divBdr>
        <w:top w:val="none" w:sz="0" w:space="0" w:color="auto"/>
        <w:left w:val="none" w:sz="0" w:space="0" w:color="auto"/>
        <w:bottom w:val="none" w:sz="0" w:space="0" w:color="auto"/>
        <w:right w:val="none" w:sz="0" w:space="0" w:color="auto"/>
      </w:divBdr>
      <w:divsChild>
        <w:div w:id="1408309854">
          <w:marLeft w:val="0"/>
          <w:marRight w:val="0"/>
          <w:marTop w:val="0"/>
          <w:marBottom w:val="0"/>
          <w:divBdr>
            <w:top w:val="single" w:sz="2" w:space="0" w:color="auto"/>
            <w:left w:val="single" w:sz="2" w:space="0" w:color="auto"/>
            <w:bottom w:val="single" w:sz="2" w:space="0" w:color="auto"/>
            <w:right w:val="single" w:sz="2" w:space="0" w:color="auto"/>
          </w:divBdr>
          <w:divsChild>
            <w:div w:id="155272596">
              <w:marLeft w:val="0"/>
              <w:marRight w:val="0"/>
              <w:marTop w:val="0"/>
              <w:marBottom w:val="0"/>
              <w:divBdr>
                <w:top w:val="single" w:sz="2" w:space="0" w:color="auto"/>
                <w:left w:val="single" w:sz="2" w:space="29" w:color="auto"/>
                <w:bottom w:val="single" w:sz="2" w:space="0" w:color="auto"/>
                <w:right w:val="single" w:sz="2" w:space="0" w:color="auto"/>
              </w:divBdr>
              <w:divsChild>
                <w:div w:id="1251499642">
                  <w:marLeft w:val="0"/>
                  <w:marRight w:val="0"/>
                  <w:marTop w:val="0"/>
                  <w:marBottom w:val="0"/>
                  <w:divBdr>
                    <w:top w:val="single" w:sz="2" w:space="0" w:color="auto"/>
                    <w:left w:val="single" w:sz="2" w:space="0" w:color="auto"/>
                    <w:bottom w:val="single" w:sz="2" w:space="0" w:color="auto"/>
                    <w:right w:val="single" w:sz="2" w:space="0" w:color="auto"/>
                  </w:divBdr>
                  <w:divsChild>
                    <w:div w:id="1214003996">
                      <w:marLeft w:val="0"/>
                      <w:marRight w:val="0"/>
                      <w:marTop w:val="0"/>
                      <w:marBottom w:val="0"/>
                      <w:divBdr>
                        <w:top w:val="single" w:sz="2" w:space="0" w:color="auto"/>
                        <w:left w:val="single" w:sz="2" w:space="0" w:color="auto"/>
                        <w:bottom w:val="single" w:sz="2" w:space="0" w:color="auto"/>
                        <w:right w:val="single" w:sz="2" w:space="0" w:color="auto"/>
                      </w:divBdr>
                      <w:divsChild>
                        <w:div w:id="150813090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595526643">
      <w:bodyDiv w:val="1"/>
      <w:marLeft w:val="0"/>
      <w:marRight w:val="0"/>
      <w:marTop w:val="0"/>
      <w:marBottom w:val="0"/>
      <w:divBdr>
        <w:top w:val="none" w:sz="0" w:space="0" w:color="auto"/>
        <w:left w:val="none" w:sz="0" w:space="0" w:color="auto"/>
        <w:bottom w:val="none" w:sz="0" w:space="0" w:color="auto"/>
        <w:right w:val="none" w:sz="0" w:space="0" w:color="auto"/>
      </w:divBdr>
      <w:divsChild>
        <w:div w:id="539824620">
          <w:marLeft w:val="0"/>
          <w:marRight w:val="0"/>
          <w:marTop w:val="0"/>
          <w:marBottom w:val="0"/>
          <w:divBdr>
            <w:top w:val="single" w:sz="2" w:space="0" w:color="auto"/>
            <w:left w:val="single" w:sz="2" w:space="0" w:color="auto"/>
            <w:bottom w:val="single" w:sz="2" w:space="0" w:color="auto"/>
            <w:right w:val="single" w:sz="2" w:space="0" w:color="auto"/>
          </w:divBdr>
        </w:div>
      </w:divsChild>
    </w:div>
    <w:div w:id="637076201">
      <w:bodyDiv w:val="1"/>
      <w:marLeft w:val="0"/>
      <w:marRight w:val="0"/>
      <w:marTop w:val="0"/>
      <w:marBottom w:val="0"/>
      <w:divBdr>
        <w:top w:val="none" w:sz="0" w:space="0" w:color="auto"/>
        <w:left w:val="none" w:sz="0" w:space="0" w:color="auto"/>
        <w:bottom w:val="none" w:sz="0" w:space="0" w:color="auto"/>
        <w:right w:val="none" w:sz="0" w:space="0" w:color="auto"/>
      </w:divBdr>
      <w:divsChild>
        <w:div w:id="638610854">
          <w:marLeft w:val="0"/>
          <w:marRight w:val="0"/>
          <w:marTop w:val="0"/>
          <w:marBottom w:val="0"/>
          <w:divBdr>
            <w:top w:val="none" w:sz="0" w:space="0" w:color="auto"/>
            <w:left w:val="none" w:sz="0" w:space="0" w:color="auto"/>
            <w:bottom w:val="none" w:sz="0" w:space="0" w:color="auto"/>
            <w:right w:val="none" w:sz="0" w:space="0" w:color="auto"/>
          </w:divBdr>
        </w:div>
        <w:div w:id="1045642325">
          <w:marLeft w:val="0"/>
          <w:marRight w:val="0"/>
          <w:marTop w:val="0"/>
          <w:marBottom w:val="0"/>
          <w:divBdr>
            <w:top w:val="none" w:sz="0" w:space="0" w:color="auto"/>
            <w:left w:val="none" w:sz="0" w:space="0" w:color="auto"/>
            <w:bottom w:val="none" w:sz="0" w:space="0" w:color="auto"/>
            <w:right w:val="none" w:sz="0" w:space="0" w:color="auto"/>
          </w:divBdr>
        </w:div>
        <w:div w:id="1386374960">
          <w:marLeft w:val="0"/>
          <w:marRight w:val="0"/>
          <w:marTop w:val="0"/>
          <w:marBottom w:val="0"/>
          <w:divBdr>
            <w:top w:val="none" w:sz="0" w:space="0" w:color="auto"/>
            <w:left w:val="none" w:sz="0" w:space="0" w:color="auto"/>
            <w:bottom w:val="none" w:sz="0" w:space="0" w:color="auto"/>
            <w:right w:val="none" w:sz="0" w:space="0" w:color="auto"/>
          </w:divBdr>
        </w:div>
      </w:divsChild>
    </w:div>
    <w:div w:id="706375684">
      <w:bodyDiv w:val="1"/>
      <w:marLeft w:val="0"/>
      <w:marRight w:val="0"/>
      <w:marTop w:val="0"/>
      <w:marBottom w:val="0"/>
      <w:divBdr>
        <w:top w:val="none" w:sz="0" w:space="0" w:color="auto"/>
        <w:left w:val="none" w:sz="0" w:space="0" w:color="auto"/>
        <w:bottom w:val="none" w:sz="0" w:space="0" w:color="auto"/>
        <w:right w:val="none" w:sz="0" w:space="0" w:color="auto"/>
      </w:divBdr>
    </w:div>
    <w:div w:id="734623782">
      <w:bodyDiv w:val="1"/>
      <w:marLeft w:val="0"/>
      <w:marRight w:val="0"/>
      <w:marTop w:val="0"/>
      <w:marBottom w:val="0"/>
      <w:divBdr>
        <w:top w:val="none" w:sz="0" w:space="0" w:color="auto"/>
        <w:left w:val="none" w:sz="0" w:space="0" w:color="auto"/>
        <w:bottom w:val="none" w:sz="0" w:space="0" w:color="auto"/>
        <w:right w:val="none" w:sz="0" w:space="0" w:color="auto"/>
      </w:divBdr>
    </w:div>
    <w:div w:id="761292627">
      <w:bodyDiv w:val="1"/>
      <w:marLeft w:val="0"/>
      <w:marRight w:val="0"/>
      <w:marTop w:val="0"/>
      <w:marBottom w:val="0"/>
      <w:divBdr>
        <w:top w:val="none" w:sz="0" w:space="0" w:color="auto"/>
        <w:left w:val="none" w:sz="0" w:space="0" w:color="auto"/>
        <w:bottom w:val="none" w:sz="0" w:space="0" w:color="auto"/>
        <w:right w:val="none" w:sz="0" w:space="0" w:color="auto"/>
      </w:divBdr>
    </w:div>
    <w:div w:id="828792047">
      <w:bodyDiv w:val="1"/>
      <w:marLeft w:val="0"/>
      <w:marRight w:val="0"/>
      <w:marTop w:val="0"/>
      <w:marBottom w:val="0"/>
      <w:divBdr>
        <w:top w:val="none" w:sz="0" w:space="0" w:color="auto"/>
        <w:left w:val="none" w:sz="0" w:space="0" w:color="auto"/>
        <w:bottom w:val="none" w:sz="0" w:space="0" w:color="auto"/>
        <w:right w:val="none" w:sz="0" w:space="0" w:color="auto"/>
      </w:divBdr>
    </w:div>
    <w:div w:id="898436877">
      <w:bodyDiv w:val="1"/>
      <w:marLeft w:val="0"/>
      <w:marRight w:val="0"/>
      <w:marTop w:val="0"/>
      <w:marBottom w:val="0"/>
      <w:divBdr>
        <w:top w:val="none" w:sz="0" w:space="0" w:color="auto"/>
        <w:left w:val="none" w:sz="0" w:space="0" w:color="auto"/>
        <w:bottom w:val="none" w:sz="0" w:space="0" w:color="auto"/>
        <w:right w:val="none" w:sz="0" w:space="0" w:color="auto"/>
      </w:divBdr>
      <w:divsChild>
        <w:div w:id="714505413">
          <w:marLeft w:val="0"/>
          <w:marRight w:val="0"/>
          <w:marTop w:val="0"/>
          <w:marBottom w:val="0"/>
          <w:divBdr>
            <w:top w:val="none" w:sz="0" w:space="0" w:color="auto"/>
            <w:left w:val="none" w:sz="0" w:space="0" w:color="auto"/>
            <w:bottom w:val="none" w:sz="0" w:space="0" w:color="auto"/>
            <w:right w:val="none" w:sz="0" w:space="0" w:color="auto"/>
          </w:divBdr>
        </w:div>
        <w:div w:id="903414016">
          <w:marLeft w:val="0"/>
          <w:marRight w:val="0"/>
          <w:marTop w:val="0"/>
          <w:marBottom w:val="0"/>
          <w:divBdr>
            <w:top w:val="none" w:sz="0" w:space="0" w:color="auto"/>
            <w:left w:val="none" w:sz="0" w:space="0" w:color="auto"/>
            <w:bottom w:val="none" w:sz="0" w:space="0" w:color="auto"/>
            <w:right w:val="none" w:sz="0" w:space="0" w:color="auto"/>
          </w:divBdr>
        </w:div>
        <w:div w:id="1461456154">
          <w:marLeft w:val="0"/>
          <w:marRight w:val="0"/>
          <w:marTop w:val="0"/>
          <w:marBottom w:val="0"/>
          <w:divBdr>
            <w:top w:val="none" w:sz="0" w:space="0" w:color="auto"/>
            <w:left w:val="none" w:sz="0" w:space="0" w:color="auto"/>
            <w:bottom w:val="none" w:sz="0" w:space="0" w:color="auto"/>
            <w:right w:val="none" w:sz="0" w:space="0" w:color="auto"/>
          </w:divBdr>
        </w:div>
      </w:divsChild>
    </w:div>
    <w:div w:id="899482769">
      <w:bodyDiv w:val="1"/>
      <w:marLeft w:val="0"/>
      <w:marRight w:val="0"/>
      <w:marTop w:val="0"/>
      <w:marBottom w:val="0"/>
      <w:divBdr>
        <w:top w:val="none" w:sz="0" w:space="0" w:color="auto"/>
        <w:left w:val="none" w:sz="0" w:space="0" w:color="auto"/>
        <w:bottom w:val="none" w:sz="0" w:space="0" w:color="auto"/>
        <w:right w:val="none" w:sz="0" w:space="0" w:color="auto"/>
      </w:divBdr>
    </w:div>
    <w:div w:id="1002201217">
      <w:bodyDiv w:val="1"/>
      <w:marLeft w:val="0"/>
      <w:marRight w:val="0"/>
      <w:marTop w:val="0"/>
      <w:marBottom w:val="0"/>
      <w:divBdr>
        <w:top w:val="none" w:sz="0" w:space="0" w:color="auto"/>
        <w:left w:val="none" w:sz="0" w:space="0" w:color="auto"/>
        <w:bottom w:val="none" w:sz="0" w:space="0" w:color="auto"/>
        <w:right w:val="none" w:sz="0" w:space="0" w:color="auto"/>
      </w:divBdr>
    </w:div>
    <w:div w:id="1101993954">
      <w:bodyDiv w:val="1"/>
      <w:marLeft w:val="0"/>
      <w:marRight w:val="0"/>
      <w:marTop w:val="0"/>
      <w:marBottom w:val="0"/>
      <w:divBdr>
        <w:top w:val="none" w:sz="0" w:space="0" w:color="auto"/>
        <w:left w:val="none" w:sz="0" w:space="0" w:color="auto"/>
        <w:bottom w:val="none" w:sz="0" w:space="0" w:color="auto"/>
        <w:right w:val="none" w:sz="0" w:space="0" w:color="auto"/>
      </w:divBdr>
    </w:div>
    <w:div w:id="1120488614">
      <w:bodyDiv w:val="1"/>
      <w:marLeft w:val="0"/>
      <w:marRight w:val="0"/>
      <w:marTop w:val="0"/>
      <w:marBottom w:val="0"/>
      <w:divBdr>
        <w:top w:val="none" w:sz="0" w:space="0" w:color="auto"/>
        <w:left w:val="none" w:sz="0" w:space="0" w:color="auto"/>
        <w:bottom w:val="none" w:sz="0" w:space="0" w:color="auto"/>
        <w:right w:val="none" w:sz="0" w:space="0" w:color="auto"/>
      </w:divBdr>
    </w:div>
    <w:div w:id="1382291808">
      <w:bodyDiv w:val="1"/>
      <w:marLeft w:val="0"/>
      <w:marRight w:val="0"/>
      <w:marTop w:val="0"/>
      <w:marBottom w:val="0"/>
      <w:divBdr>
        <w:top w:val="none" w:sz="0" w:space="0" w:color="auto"/>
        <w:left w:val="none" w:sz="0" w:space="0" w:color="auto"/>
        <w:bottom w:val="none" w:sz="0" w:space="0" w:color="auto"/>
        <w:right w:val="none" w:sz="0" w:space="0" w:color="auto"/>
      </w:divBdr>
    </w:div>
    <w:div w:id="1456752986">
      <w:bodyDiv w:val="1"/>
      <w:marLeft w:val="0"/>
      <w:marRight w:val="0"/>
      <w:marTop w:val="0"/>
      <w:marBottom w:val="0"/>
      <w:divBdr>
        <w:top w:val="none" w:sz="0" w:space="0" w:color="auto"/>
        <w:left w:val="none" w:sz="0" w:space="0" w:color="auto"/>
        <w:bottom w:val="none" w:sz="0" w:space="0" w:color="auto"/>
        <w:right w:val="none" w:sz="0" w:space="0" w:color="auto"/>
      </w:divBdr>
    </w:div>
    <w:div w:id="1560246051">
      <w:bodyDiv w:val="1"/>
      <w:marLeft w:val="0"/>
      <w:marRight w:val="0"/>
      <w:marTop w:val="0"/>
      <w:marBottom w:val="0"/>
      <w:divBdr>
        <w:top w:val="none" w:sz="0" w:space="0" w:color="auto"/>
        <w:left w:val="none" w:sz="0" w:space="0" w:color="auto"/>
        <w:bottom w:val="none" w:sz="0" w:space="0" w:color="auto"/>
        <w:right w:val="none" w:sz="0" w:space="0" w:color="auto"/>
      </w:divBdr>
    </w:div>
    <w:div w:id="1812942406">
      <w:bodyDiv w:val="1"/>
      <w:marLeft w:val="0"/>
      <w:marRight w:val="0"/>
      <w:marTop w:val="0"/>
      <w:marBottom w:val="0"/>
      <w:divBdr>
        <w:top w:val="none" w:sz="0" w:space="0" w:color="auto"/>
        <w:left w:val="none" w:sz="0" w:space="0" w:color="auto"/>
        <w:bottom w:val="none" w:sz="0" w:space="0" w:color="auto"/>
        <w:right w:val="none" w:sz="0" w:space="0" w:color="auto"/>
      </w:divBdr>
    </w:div>
    <w:div w:id="2026206137">
      <w:bodyDiv w:val="1"/>
      <w:marLeft w:val="0"/>
      <w:marRight w:val="0"/>
      <w:marTop w:val="0"/>
      <w:marBottom w:val="0"/>
      <w:divBdr>
        <w:top w:val="none" w:sz="0" w:space="0" w:color="auto"/>
        <w:left w:val="none" w:sz="0" w:space="0" w:color="auto"/>
        <w:bottom w:val="none" w:sz="0" w:space="0" w:color="auto"/>
        <w:right w:val="none" w:sz="0" w:space="0" w:color="auto"/>
      </w:divBdr>
    </w:div>
    <w:div w:id="2054496927">
      <w:bodyDiv w:val="1"/>
      <w:marLeft w:val="0"/>
      <w:marRight w:val="0"/>
      <w:marTop w:val="0"/>
      <w:marBottom w:val="0"/>
      <w:divBdr>
        <w:top w:val="none" w:sz="0" w:space="0" w:color="auto"/>
        <w:left w:val="none" w:sz="0" w:space="0" w:color="auto"/>
        <w:bottom w:val="none" w:sz="0" w:space="0" w:color="auto"/>
        <w:right w:val="none" w:sz="0" w:space="0" w:color="auto"/>
      </w:divBdr>
    </w:div>
    <w:div w:id="2060081545">
      <w:bodyDiv w:val="1"/>
      <w:marLeft w:val="0"/>
      <w:marRight w:val="0"/>
      <w:marTop w:val="0"/>
      <w:marBottom w:val="0"/>
      <w:divBdr>
        <w:top w:val="none" w:sz="0" w:space="0" w:color="auto"/>
        <w:left w:val="none" w:sz="0" w:space="0" w:color="auto"/>
        <w:bottom w:val="none" w:sz="0" w:space="0" w:color="auto"/>
        <w:right w:val="none" w:sz="0" w:space="0" w:color="auto"/>
      </w:divBdr>
    </w:div>
    <w:div w:id="2094544695">
      <w:bodyDiv w:val="1"/>
      <w:marLeft w:val="0"/>
      <w:marRight w:val="0"/>
      <w:marTop w:val="0"/>
      <w:marBottom w:val="0"/>
      <w:divBdr>
        <w:top w:val="none" w:sz="0" w:space="0" w:color="auto"/>
        <w:left w:val="none" w:sz="0" w:space="0" w:color="auto"/>
        <w:bottom w:val="none" w:sz="0" w:space="0" w:color="auto"/>
        <w:right w:val="none" w:sz="0" w:space="0" w:color="auto"/>
      </w:divBdr>
    </w:div>
    <w:div w:id="212719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hrw.org/report/2015/09/24/why-not-call-place-prison/unlawful-detention-and-ill-treatment-rwandas-gikondo" TargetMode="External"/><Relationship Id="rId2" Type="http://schemas.openxmlformats.org/officeDocument/2006/relationships/hyperlink" Target="https://www.hrw.org/news/2020/12/21/rwanda-should-stop-locking-poor" TargetMode="External"/><Relationship Id="rId1" Type="http://schemas.openxmlformats.org/officeDocument/2006/relationships/hyperlink" Target="https://www.topafricanews.com/2018/06/07/rwanda-pledges-to-eradicate-all-forms-of-delinquency-demands-security-forces-to-intervene/" TargetMode="External"/><Relationship Id="rId6" Type="http://schemas.openxmlformats.org/officeDocument/2006/relationships/hyperlink" Target="https://ssd.protectingeducation.org/endorsement/" TargetMode="External"/><Relationship Id="rId5" Type="http://schemas.openxmlformats.org/officeDocument/2006/relationships/hyperlink" Target="https://www.hrw.org/news/2019/03/25/submission-human-rights-watch-committee-rights-child-rwanda" TargetMode="External"/><Relationship Id="rId4" Type="http://schemas.openxmlformats.org/officeDocument/2006/relationships/hyperlink" Target="https://www.hrw.org/news/2016/07/21/rwanda-locking-po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ECEC57-C734-45B7-A840-22B7E3C40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2488</Words>
  <Characters>14183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Joya Fadel</dc:creator>
  <cp:keywords/>
  <dc:description/>
  <cp:lastModifiedBy>Joya Fadel</cp:lastModifiedBy>
  <cp:revision>18</cp:revision>
  <dcterms:created xsi:type="dcterms:W3CDTF">2023-01-11T12:49:00Z</dcterms:created>
  <dcterms:modified xsi:type="dcterms:W3CDTF">2023-03-02T14:09:00Z</dcterms:modified>
</cp:coreProperties>
</file>