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594DF6"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594DF6">
        <w:rPr>
          <w:b/>
          <w:spacing w:val="-2"/>
          <w:w w:val="103"/>
          <w:kern w:val="14"/>
          <w:sz w:val="24"/>
          <w:szCs w:val="24"/>
        </w:rPr>
        <w:t>[INFORMAL DOCUMENT]</w:t>
      </w:r>
    </w:p>
    <w:p w14:paraId="6DE656E2" w14:textId="77777777" w:rsidR="00597A6B" w:rsidRPr="00594DF6" w:rsidRDefault="00597A6B" w:rsidP="00597A6B">
      <w:pPr>
        <w:spacing w:line="240" w:lineRule="exact"/>
        <w:rPr>
          <w:spacing w:val="4"/>
          <w:w w:val="103"/>
          <w:kern w:val="14"/>
        </w:rPr>
      </w:pPr>
    </w:p>
    <w:p w14:paraId="38A00FA4" w14:textId="77777777" w:rsidR="00597A6B" w:rsidRPr="00594D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594D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6630FA83" w:rsidR="00597A6B" w:rsidRPr="00594DF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594DF6">
        <w:rPr>
          <w:b/>
          <w:spacing w:val="-2"/>
          <w:w w:val="103"/>
          <w:kern w:val="14"/>
          <w:sz w:val="24"/>
          <w:szCs w:val="24"/>
        </w:rPr>
        <w:t>CEDAW/C/20</w:t>
      </w:r>
      <w:r w:rsidR="00E041D4" w:rsidRPr="00594DF6">
        <w:rPr>
          <w:b/>
          <w:spacing w:val="-2"/>
          <w:w w:val="103"/>
          <w:kern w:val="14"/>
          <w:sz w:val="24"/>
          <w:szCs w:val="24"/>
        </w:rPr>
        <w:t>2</w:t>
      </w:r>
      <w:r w:rsidR="000C2B32" w:rsidRPr="00594DF6">
        <w:rPr>
          <w:b/>
          <w:spacing w:val="-2"/>
          <w:w w:val="103"/>
          <w:kern w:val="14"/>
          <w:sz w:val="24"/>
          <w:szCs w:val="24"/>
        </w:rPr>
        <w:t>1</w:t>
      </w:r>
      <w:r w:rsidR="00C7670E" w:rsidRPr="00594DF6">
        <w:rPr>
          <w:b/>
          <w:spacing w:val="-2"/>
          <w:w w:val="103"/>
          <w:kern w:val="14"/>
          <w:sz w:val="24"/>
          <w:szCs w:val="24"/>
        </w:rPr>
        <w:t>/</w:t>
      </w:r>
      <w:r w:rsidR="0073234D" w:rsidRPr="00594DF6">
        <w:rPr>
          <w:b/>
          <w:spacing w:val="-2"/>
          <w:w w:val="103"/>
          <w:kern w:val="14"/>
          <w:sz w:val="24"/>
          <w:szCs w:val="24"/>
        </w:rPr>
        <w:t>I</w:t>
      </w:r>
      <w:r w:rsidR="00936E95" w:rsidRPr="00594DF6">
        <w:rPr>
          <w:b/>
          <w:spacing w:val="-2"/>
          <w:w w:val="103"/>
          <w:kern w:val="14"/>
          <w:sz w:val="24"/>
          <w:szCs w:val="24"/>
        </w:rPr>
        <w:t>I</w:t>
      </w:r>
      <w:r w:rsidRPr="00594DF6">
        <w:rPr>
          <w:b/>
          <w:spacing w:val="-2"/>
          <w:w w:val="103"/>
          <w:kern w:val="14"/>
          <w:sz w:val="24"/>
          <w:szCs w:val="24"/>
        </w:rPr>
        <w:t>/CRP</w:t>
      </w:r>
    </w:p>
    <w:p w14:paraId="32E09ACA" w14:textId="77777777" w:rsidR="00597A6B" w:rsidRPr="00594DF6" w:rsidRDefault="00597A6B" w:rsidP="00597A6B">
      <w:pPr>
        <w:spacing w:line="240" w:lineRule="exact"/>
        <w:jc w:val="center"/>
        <w:rPr>
          <w:b/>
          <w:bCs/>
          <w:spacing w:val="4"/>
          <w:w w:val="103"/>
          <w:kern w:val="14"/>
          <w:sz w:val="24"/>
          <w:szCs w:val="24"/>
          <w:u w:val="single"/>
        </w:rPr>
      </w:pPr>
    </w:p>
    <w:p w14:paraId="6D9EFF29" w14:textId="77777777" w:rsidR="00597A6B" w:rsidRPr="00594DF6"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594DF6">
        <w:rPr>
          <w:b/>
          <w:spacing w:val="-2"/>
          <w:w w:val="103"/>
          <w:kern w:val="14"/>
          <w:sz w:val="28"/>
        </w:rPr>
        <w:tab/>
      </w:r>
      <w:r w:rsidRPr="00594DF6">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1F32C003"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73234D">
        <w:rPr>
          <w:b/>
          <w:spacing w:val="-2"/>
          <w:w w:val="103"/>
          <w:kern w:val="14"/>
          <w:sz w:val="28"/>
          <w:lang w:val="en-US"/>
        </w:rPr>
        <w:t xml:space="preserve">ninth </w:t>
      </w:r>
      <w:r w:rsidR="000C2B32">
        <w:rPr>
          <w:b/>
          <w:spacing w:val="-2"/>
          <w:w w:val="103"/>
          <w:kern w:val="14"/>
          <w:sz w:val="28"/>
          <w:lang w:val="en-US"/>
        </w:rPr>
        <w:t>(</w:t>
      </w:r>
      <w:r w:rsidR="008E5348">
        <w:rPr>
          <w:b/>
          <w:spacing w:val="-2"/>
          <w:w w:val="103"/>
          <w:kern w:val="14"/>
          <w:sz w:val="28"/>
          <w:lang w:val="en-US"/>
        </w:rPr>
        <w:t>online)</w:t>
      </w:r>
      <w:r w:rsidR="00E041D4">
        <w:rPr>
          <w:b/>
          <w:spacing w:val="-2"/>
          <w:w w:val="103"/>
          <w:kern w:val="14"/>
          <w:sz w:val="28"/>
          <w:lang w:val="en-US"/>
        </w:rPr>
        <w:t xml:space="preserve"> </w:t>
      </w:r>
      <w:r w:rsidR="00D44871">
        <w:rPr>
          <w:b/>
          <w:spacing w:val="-2"/>
          <w:w w:val="103"/>
          <w:kern w:val="14"/>
          <w:sz w:val="28"/>
          <w:lang w:val="en-US"/>
        </w:rPr>
        <w:t>session</w:t>
      </w:r>
    </w:p>
    <w:p w14:paraId="250F1009" w14:textId="403E0617"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73234D">
        <w:rPr>
          <w:b/>
          <w:bCs/>
          <w:spacing w:val="4"/>
          <w:w w:val="103"/>
          <w:kern w:val="14"/>
          <w:sz w:val="24"/>
          <w:szCs w:val="24"/>
          <w:lang w:val="en-US"/>
        </w:rPr>
        <w:t>21 June</w:t>
      </w:r>
      <w:r w:rsidR="008E5348">
        <w:rPr>
          <w:b/>
          <w:bCs/>
          <w:spacing w:val="4"/>
          <w:w w:val="103"/>
          <w:kern w:val="14"/>
          <w:sz w:val="24"/>
          <w:szCs w:val="24"/>
          <w:lang w:val="en-US"/>
        </w:rPr>
        <w:t xml:space="preserve"> </w:t>
      </w:r>
      <w:r>
        <w:rPr>
          <w:b/>
          <w:bCs/>
          <w:spacing w:val="4"/>
          <w:w w:val="103"/>
          <w:kern w:val="14"/>
          <w:sz w:val="24"/>
          <w:szCs w:val="24"/>
          <w:lang w:val="en-US"/>
        </w:rPr>
        <w:t xml:space="preserve">– </w:t>
      </w:r>
      <w:r w:rsidR="0073234D">
        <w:rPr>
          <w:b/>
          <w:bCs/>
          <w:spacing w:val="4"/>
          <w:w w:val="103"/>
          <w:kern w:val="14"/>
          <w:sz w:val="24"/>
          <w:szCs w:val="24"/>
          <w:lang w:val="en-US"/>
        </w:rPr>
        <w:t>1 July</w:t>
      </w:r>
      <w:r w:rsidR="000C2B32">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0C2B32">
        <w:rPr>
          <w:b/>
          <w:bCs/>
          <w:spacing w:val="4"/>
          <w:w w:val="103"/>
          <w:kern w:val="14"/>
          <w:sz w:val="24"/>
          <w:szCs w:val="24"/>
          <w:lang w:val="en-US"/>
        </w:rPr>
        <w:t>1</w:t>
      </w:r>
      <w:r w:rsidRPr="00643213">
        <w:rPr>
          <w:b/>
          <w:bCs/>
          <w:spacing w:val="4"/>
          <w:w w:val="103"/>
          <w:kern w:val="14"/>
          <w:sz w:val="24"/>
          <w:szCs w:val="24"/>
          <w:lang w:val="en-US"/>
        </w:rPr>
        <w:t>)</w:t>
      </w:r>
    </w:p>
    <w:p w14:paraId="47046ED3" w14:textId="270E4663" w:rsidR="00594DF6" w:rsidRDefault="00597A6B" w:rsidP="00594DF6">
      <w:pPr>
        <w:pStyle w:val="HChG"/>
      </w:pPr>
      <w:r w:rsidRPr="00643213">
        <w:rPr>
          <w:spacing w:val="-2"/>
          <w:w w:val="103"/>
          <w:kern w:val="14"/>
          <w:lang w:val="en-US"/>
        </w:rPr>
        <w:br w:type="page"/>
      </w:r>
    </w:p>
    <w:p w14:paraId="4CC6A02E" w14:textId="77777777" w:rsidR="00594DF6" w:rsidRPr="00812B38" w:rsidRDefault="00594DF6" w:rsidP="00594DF6">
      <w:pPr>
        <w:pStyle w:val="HChG"/>
      </w:pPr>
      <w:r w:rsidRPr="00B0468A">
        <w:lastRenderedPageBreak/>
        <w:tab/>
      </w:r>
      <w:r w:rsidRPr="00B0468A">
        <w:tab/>
      </w:r>
      <w:r w:rsidRPr="00812B38">
        <w:t>Chapter I</w:t>
      </w:r>
    </w:p>
    <w:p w14:paraId="7AFBF21A" w14:textId="77777777" w:rsidR="00594DF6" w:rsidRPr="00B0468A" w:rsidRDefault="00594DF6" w:rsidP="00594DF6">
      <w:pPr>
        <w:pStyle w:val="H1G"/>
      </w:pPr>
      <w:r w:rsidRPr="00B0468A">
        <w:tab/>
      </w:r>
      <w:r w:rsidRPr="00B0468A">
        <w:tab/>
        <w:t>Matters brought to the attention of States parties</w:t>
      </w:r>
    </w:p>
    <w:p w14:paraId="2E83D724" w14:textId="77777777" w:rsidR="00594DF6" w:rsidRPr="00820BF5" w:rsidRDefault="00594DF6" w:rsidP="00594DF6">
      <w:pPr>
        <w:pStyle w:val="H1G"/>
      </w:pPr>
      <w:r w:rsidRPr="00820BF5">
        <w:tab/>
      </w:r>
      <w:r w:rsidRPr="00820BF5">
        <w:tab/>
        <w:t>Decisions</w:t>
      </w:r>
    </w:p>
    <w:p w14:paraId="12E1581F" w14:textId="77777777" w:rsidR="00594DF6" w:rsidRPr="00B0468A" w:rsidRDefault="00594DF6" w:rsidP="00594DF6">
      <w:pPr>
        <w:pStyle w:val="H23G"/>
      </w:pPr>
      <w:r w:rsidRPr="00B0468A">
        <w:tab/>
      </w:r>
      <w:r w:rsidRPr="00B0468A">
        <w:tab/>
        <w:t>Decision 79/1</w:t>
      </w:r>
    </w:p>
    <w:p w14:paraId="69FE6125" w14:textId="77777777" w:rsidR="00594DF6" w:rsidRPr="00820BF5" w:rsidRDefault="00594DF6" w:rsidP="00594DF6">
      <w:pPr>
        <w:pStyle w:val="SingleTxtG"/>
        <w:rPr>
          <w:u w:val="single"/>
        </w:rPr>
      </w:pPr>
      <w:r>
        <w:rPr>
          <w:u w:val="single"/>
        </w:rPr>
        <w:t>Joint statement on children born of conflict-related rape and their mothers</w:t>
      </w:r>
    </w:p>
    <w:p w14:paraId="5EE1B802" w14:textId="77777777" w:rsidR="00594DF6" w:rsidRPr="00B0468A" w:rsidRDefault="00594DF6" w:rsidP="00594DF6">
      <w:pPr>
        <w:pStyle w:val="SingleTxtG"/>
      </w:pPr>
      <w:r w:rsidRPr="00B0468A">
        <w:t>On 1 July 2021, the Committee adopted the text of a joint statement on prevention, protection of and assistance to children born of conflict-related rape and their mothers, subsequently to be endorsed by the Committee on the Rights of the Child (</w:t>
      </w:r>
      <w:hyperlink r:id="rId8" w:history="1">
        <w:r w:rsidRPr="00B0468A">
          <w:rPr>
            <w:rStyle w:val="Hyperlink"/>
            <w:highlight w:val="yellow"/>
          </w:rPr>
          <w:t>future link</w:t>
        </w:r>
      </w:hyperlink>
      <w:r w:rsidRPr="00B0468A">
        <w:t>).</w:t>
      </w:r>
    </w:p>
    <w:p w14:paraId="145D1054" w14:textId="77777777" w:rsidR="00594DF6" w:rsidRPr="00B0468A" w:rsidRDefault="00594DF6" w:rsidP="00594DF6">
      <w:pPr>
        <w:pStyle w:val="H23G"/>
      </w:pPr>
      <w:r w:rsidRPr="00B0468A">
        <w:tab/>
      </w:r>
      <w:r w:rsidRPr="00B0468A">
        <w:tab/>
        <w:t>Decision 79/2</w:t>
      </w:r>
    </w:p>
    <w:p w14:paraId="514813B2" w14:textId="77777777" w:rsidR="00594DF6" w:rsidRPr="00820BF5" w:rsidRDefault="00594DF6" w:rsidP="00594DF6">
      <w:pPr>
        <w:pStyle w:val="SingleTxtG"/>
        <w:rPr>
          <w:u w:val="single"/>
        </w:rPr>
      </w:pPr>
      <w:r>
        <w:rPr>
          <w:u w:val="single"/>
        </w:rPr>
        <w:t>Statement on the withdrawal of Turkey from the Istanbul Convention</w:t>
      </w:r>
    </w:p>
    <w:p w14:paraId="552881CF" w14:textId="413594EE" w:rsidR="00594DF6" w:rsidRPr="00B0468A" w:rsidRDefault="00594DF6" w:rsidP="00594DF6">
      <w:pPr>
        <w:pStyle w:val="SingleTxtG"/>
      </w:pPr>
      <w:r w:rsidRPr="00B0468A">
        <w:t xml:space="preserve">On 30 June 2021, the Committee adopted a statement </w:t>
      </w:r>
      <w:r w:rsidRPr="00B0468A">
        <w:rPr>
          <w:rStyle w:val="h2"/>
        </w:rPr>
        <w:t>entitled “</w:t>
      </w:r>
      <w:r w:rsidRPr="007F7ED2">
        <w:rPr>
          <w:rStyle w:val="h2"/>
        </w:rPr>
        <w:t>Turkey’s withdrawal from the Istanbul Convention</w:t>
      </w:r>
      <w:r w:rsidRPr="00B0468A">
        <w:rPr>
          <w:rStyle w:val="h2"/>
        </w:rPr>
        <w:t>: A</w:t>
      </w:r>
      <w:r w:rsidRPr="00B0468A">
        <w:t xml:space="preserve"> retrogressive step back in the protection of women’s human rights enshrined in the CEDAW Convention” </w:t>
      </w:r>
      <w:r w:rsidR="007F7ED2">
        <w:t>(</w:t>
      </w:r>
      <w:hyperlink r:id="rId9" w:history="1">
        <w:r w:rsidR="007F7ED2" w:rsidRPr="007F7ED2">
          <w:rPr>
            <w:rStyle w:val="Hyperlink"/>
          </w:rPr>
          <w:t>https://urlz.fr/g7j7</w:t>
        </w:r>
      </w:hyperlink>
      <w:r w:rsidR="007F7ED2">
        <w:t>)</w:t>
      </w:r>
    </w:p>
    <w:p w14:paraId="0E08BC7E" w14:textId="77777777" w:rsidR="00594DF6" w:rsidRPr="00B0468A" w:rsidRDefault="00594DF6" w:rsidP="00594DF6">
      <w:pPr>
        <w:pStyle w:val="H23G"/>
      </w:pPr>
      <w:r w:rsidRPr="00B0468A">
        <w:tab/>
      </w:r>
      <w:r w:rsidRPr="00B0468A">
        <w:tab/>
        <w:t>Decision 79/3</w:t>
      </w:r>
    </w:p>
    <w:p w14:paraId="0033DC88" w14:textId="77777777" w:rsidR="00594DF6" w:rsidRPr="00BE621C" w:rsidRDefault="00594DF6" w:rsidP="00594DF6">
      <w:pPr>
        <w:spacing w:after="120"/>
        <w:ind w:left="1134" w:right="1134"/>
        <w:jc w:val="both"/>
        <w:rPr>
          <w:w w:val="103"/>
          <w:u w:val="single"/>
        </w:rPr>
      </w:pPr>
      <w:r>
        <w:rPr>
          <w:w w:val="103"/>
          <w:u w:val="single"/>
        </w:rPr>
        <w:t>Guidelines on reprisals</w:t>
      </w:r>
    </w:p>
    <w:p w14:paraId="60A00E11" w14:textId="7A2BD538" w:rsidR="00594DF6" w:rsidRPr="00B0468A" w:rsidRDefault="00594DF6" w:rsidP="00594DF6">
      <w:pPr>
        <w:pStyle w:val="SingleTxtG"/>
      </w:pPr>
      <w:r w:rsidRPr="00B0468A">
        <w:t>On 23 June 2021, the Committee adopted guidelines to address allegations of reprisals and acts of intimidation against individuals and organizations cooperating with the Committee (</w:t>
      </w:r>
      <w:hyperlink r:id="rId10" w:history="1">
        <w:r w:rsidR="009C3C9E" w:rsidRPr="009C3C9E">
          <w:rPr>
            <w:rStyle w:val="Hyperlink"/>
          </w:rPr>
          <w:t>https://urlz</w:t>
        </w:r>
        <w:bookmarkStart w:id="0" w:name="_GoBack"/>
        <w:bookmarkEnd w:id="0"/>
        <w:r w:rsidR="009C3C9E" w:rsidRPr="009C3C9E">
          <w:rPr>
            <w:rStyle w:val="Hyperlink"/>
          </w:rPr>
          <w:t>.</w:t>
        </w:r>
        <w:r w:rsidR="009C3C9E" w:rsidRPr="009C3C9E">
          <w:rPr>
            <w:rStyle w:val="Hyperlink"/>
          </w:rPr>
          <w:t>fr/g7Rq</w:t>
        </w:r>
      </w:hyperlink>
      <w:r w:rsidRPr="00B0468A">
        <w:t>).</w:t>
      </w:r>
    </w:p>
    <w:p w14:paraId="77489903" w14:textId="77777777" w:rsidR="00594DF6" w:rsidRPr="00B0468A" w:rsidRDefault="00594DF6" w:rsidP="00594DF6">
      <w:pPr>
        <w:pStyle w:val="H23G"/>
      </w:pPr>
      <w:r w:rsidRPr="00B0468A">
        <w:tab/>
      </w:r>
      <w:r w:rsidRPr="00B0468A">
        <w:tab/>
        <w:t>Decision 79/4</w:t>
      </w:r>
    </w:p>
    <w:p w14:paraId="3722F377" w14:textId="77777777" w:rsidR="00594DF6" w:rsidRPr="00BA1235" w:rsidRDefault="00594DF6" w:rsidP="00594DF6">
      <w:pPr>
        <w:pStyle w:val="SingleTxtG"/>
        <w:rPr>
          <w:w w:val="103"/>
          <w:u w:val="single"/>
        </w:rPr>
      </w:pPr>
      <w:r w:rsidRPr="00BA1235">
        <w:rPr>
          <w:w w:val="103"/>
          <w:u w:val="single"/>
        </w:rPr>
        <w:t>Revision of rules of procedure</w:t>
      </w:r>
    </w:p>
    <w:p w14:paraId="52E2DAF2" w14:textId="77777777" w:rsidR="00594DF6" w:rsidRPr="00452E7C" w:rsidRDefault="00594DF6" w:rsidP="00594DF6">
      <w:pPr>
        <w:pStyle w:val="SingleTxtG"/>
      </w:pPr>
      <w:r w:rsidRPr="00BB0881">
        <w:rPr>
          <w:w w:val="103"/>
        </w:rPr>
        <w:t xml:space="preserve">On 1 July 2021, the Committee amended its rules of procedure in accordance with rule 93. </w:t>
      </w:r>
      <w:r w:rsidRPr="00452E7C">
        <w:rPr>
          <w:w w:val="103"/>
        </w:rPr>
        <w:t xml:space="preserve">It decided to keep pending </w:t>
      </w:r>
      <w:r w:rsidRPr="00452E7C">
        <w:t>the publication of the revised rules of procedure until the consideration of a proposal to amend rule 24 at its eightieth session.</w:t>
      </w:r>
    </w:p>
    <w:p w14:paraId="63F65106" w14:textId="77777777" w:rsidR="00594DF6" w:rsidRPr="00BB0881" w:rsidRDefault="00594DF6" w:rsidP="00594DF6">
      <w:pPr>
        <w:pStyle w:val="H23G"/>
        <w:rPr>
          <w:w w:val="103"/>
        </w:rPr>
      </w:pPr>
      <w:r w:rsidRPr="00BB0881">
        <w:rPr>
          <w:w w:val="103"/>
        </w:rPr>
        <w:tab/>
      </w:r>
      <w:r w:rsidRPr="00BB0881">
        <w:rPr>
          <w:w w:val="103"/>
        </w:rPr>
        <w:tab/>
        <w:t>Decision 79/5</w:t>
      </w:r>
    </w:p>
    <w:p w14:paraId="7B8F4E95" w14:textId="77777777" w:rsidR="00594DF6" w:rsidRPr="00BB0881" w:rsidRDefault="00594DF6" w:rsidP="00594DF6">
      <w:pPr>
        <w:spacing w:after="120"/>
        <w:ind w:left="1134" w:right="1134"/>
        <w:jc w:val="both"/>
        <w:rPr>
          <w:w w:val="103"/>
          <w:u w:val="single"/>
        </w:rPr>
      </w:pPr>
      <w:r w:rsidRPr="00BB0881">
        <w:rPr>
          <w:w w:val="103"/>
          <w:u w:val="single"/>
        </w:rPr>
        <w:t>Temporary suspension of amended rule 67 of the rules of procedure</w:t>
      </w:r>
    </w:p>
    <w:p w14:paraId="43C6B08D" w14:textId="77777777" w:rsidR="00594DF6" w:rsidRPr="00BB0881" w:rsidRDefault="00594DF6" w:rsidP="00594DF6">
      <w:pPr>
        <w:pStyle w:val="SingleTxtG"/>
        <w:rPr>
          <w:w w:val="103"/>
        </w:rPr>
      </w:pPr>
      <w:r w:rsidRPr="00BB0881">
        <w:t xml:space="preserve">On 1 July 2021, the Committee, in accordance with rule 94 of its rules of procedure, decided to suspend until 28 June 2023 the following part of amended rule 67: “The Committee, or a working group, shall further ascertain that the communication does not constitute an abuse of the right of submission. An abuse of the right of submission is not, in principle, a basis of a decision of inadmissibility </w:t>
      </w:r>
      <w:r w:rsidRPr="00BB0881">
        <w:rPr>
          <w:i/>
          <w:iCs/>
        </w:rPr>
        <w:t>ratione temporis</w:t>
      </w:r>
      <w:r w:rsidRPr="00BB0881">
        <w:t xml:space="preserve"> 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p>
    <w:p w14:paraId="386FE5F8" w14:textId="77777777" w:rsidR="00594DF6" w:rsidRPr="00BB0881" w:rsidRDefault="00594DF6" w:rsidP="00594DF6">
      <w:pPr>
        <w:pStyle w:val="H23G"/>
        <w:rPr>
          <w:w w:val="103"/>
        </w:rPr>
      </w:pPr>
      <w:r w:rsidRPr="00BB0881">
        <w:rPr>
          <w:w w:val="103"/>
        </w:rPr>
        <w:tab/>
      </w:r>
      <w:r w:rsidRPr="00BB0881">
        <w:rPr>
          <w:w w:val="103"/>
        </w:rPr>
        <w:tab/>
        <w:t>Decision 79/6</w:t>
      </w:r>
    </w:p>
    <w:p w14:paraId="37D61F48" w14:textId="77777777" w:rsidR="00594DF6" w:rsidRPr="00BB0881" w:rsidRDefault="00594DF6" w:rsidP="00594DF6">
      <w:pPr>
        <w:spacing w:after="120"/>
        <w:ind w:left="1134" w:right="1134"/>
        <w:jc w:val="both"/>
        <w:rPr>
          <w:w w:val="103"/>
          <w:u w:val="single"/>
        </w:rPr>
      </w:pPr>
      <w:r w:rsidRPr="00BB0881">
        <w:rPr>
          <w:w w:val="103"/>
          <w:u w:val="single"/>
        </w:rPr>
        <w:t>Limitation of online sessions to two weeks and of online dialogues to very exceptional circumstances</w:t>
      </w:r>
    </w:p>
    <w:p w14:paraId="2C7ACBDF" w14:textId="77777777" w:rsidR="00594DF6" w:rsidRPr="00BB0881" w:rsidRDefault="00594DF6" w:rsidP="00594DF6">
      <w:pPr>
        <w:pStyle w:val="SingleTxtG"/>
        <w:rPr>
          <w:b/>
          <w:w w:val="103"/>
        </w:rPr>
      </w:pPr>
      <w:r w:rsidRPr="00BB0881">
        <w:t>The Committee decided that any online sessions shall be limited to two weeks. It also decided .that, except in very exceptional circumstances, it shall not hold on-line dialogues for the consideration of State party reports.</w:t>
      </w:r>
    </w:p>
    <w:p w14:paraId="7DEC051F" w14:textId="77777777" w:rsidR="00594DF6" w:rsidRPr="00BB0881" w:rsidRDefault="00594DF6" w:rsidP="00594DF6">
      <w:pPr>
        <w:spacing w:after="120"/>
        <w:ind w:left="1134" w:right="1134"/>
        <w:jc w:val="both"/>
        <w:rPr>
          <w:b/>
          <w:w w:val="103"/>
        </w:rPr>
      </w:pPr>
      <w:r w:rsidRPr="00BB0881">
        <w:rPr>
          <w:b/>
          <w:w w:val="103"/>
        </w:rPr>
        <w:t>Decision 79/7</w:t>
      </w:r>
    </w:p>
    <w:p w14:paraId="628D71AB" w14:textId="77777777" w:rsidR="00594DF6" w:rsidRPr="00BB0881" w:rsidRDefault="00594DF6" w:rsidP="00594DF6">
      <w:pPr>
        <w:spacing w:after="120"/>
        <w:ind w:left="1134" w:right="1134"/>
        <w:jc w:val="both"/>
        <w:rPr>
          <w:w w:val="103"/>
          <w:u w:val="single"/>
        </w:rPr>
      </w:pPr>
      <w:r w:rsidRPr="00BB0881">
        <w:rPr>
          <w:w w:val="103"/>
          <w:u w:val="single"/>
        </w:rPr>
        <w:t>Reduction of backlog of State party reports</w:t>
      </w:r>
    </w:p>
    <w:p w14:paraId="674E8D41" w14:textId="77777777" w:rsidR="00594DF6" w:rsidRPr="00BB0881" w:rsidRDefault="00594DF6" w:rsidP="00594DF6">
      <w:pPr>
        <w:pStyle w:val="SingleTxtG"/>
        <w:rPr>
          <w:w w:val="103"/>
        </w:rPr>
      </w:pPr>
      <w:r w:rsidRPr="00BB0881">
        <w:lastRenderedPageBreak/>
        <w:t>The Committee decided that upon the resumption of in-person sessions of the Committee, it shall, on a temporary basis, reduce the current time allocated for dialogues with State party delegations in order to consider additional State party reports, with a view to reducing the backlog of State party reports.</w:t>
      </w:r>
    </w:p>
    <w:p w14:paraId="4B8DD22D" w14:textId="77777777" w:rsidR="00594DF6" w:rsidRPr="00BB0881" w:rsidRDefault="00594DF6" w:rsidP="00594DF6">
      <w:pPr>
        <w:pStyle w:val="H23G"/>
        <w:rPr>
          <w:w w:val="103"/>
        </w:rPr>
      </w:pPr>
      <w:r w:rsidRPr="00BB0881">
        <w:rPr>
          <w:w w:val="103"/>
        </w:rPr>
        <w:tab/>
      </w:r>
      <w:r w:rsidRPr="00BB0881">
        <w:rPr>
          <w:w w:val="103"/>
        </w:rPr>
        <w:tab/>
        <w:t>Decision 79/8</w:t>
      </w:r>
    </w:p>
    <w:p w14:paraId="1AC4E0D7" w14:textId="77777777" w:rsidR="00594DF6" w:rsidRPr="00BB0881" w:rsidRDefault="00594DF6" w:rsidP="00594DF6">
      <w:pPr>
        <w:spacing w:after="120"/>
        <w:ind w:left="1134" w:right="1134"/>
        <w:jc w:val="both"/>
        <w:rPr>
          <w:w w:val="103"/>
          <w:u w:val="single"/>
        </w:rPr>
      </w:pPr>
      <w:r w:rsidRPr="00BB0881">
        <w:rPr>
          <w:w w:val="103"/>
          <w:u w:val="single"/>
        </w:rPr>
        <w:t>Additional meeting time at the eightieth session of the Committee</w:t>
      </w:r>
    </w:p>
    <w:p w14:paraId="0DF25F71" w14:textId="77777777" w:rsidR="00594DF6" w:rsidRDefault="00594DF6" w:rsidP="00594DF6">
      <w:pPr>
        <w:pStyle w:val="SingleTxtG"/>
        <w:rPr>
          <w:w w:val="103"/>
        </w:rPr>
      </w:pPr>
      <w:r w:rsidRPr="00BB0881">
        <w:t>The Committee decided to request that in the event that its eightieth session scheduled for October/November 2021 is held in-person, the session be extended to a four-week session by converting the eighty-second pre-sessional working group of the Committee into an additional week of plenary meeting time, subject to staff capacity, with a view to addressing the backlog of State party reports.</w:t>
      </w:r>
    </w:p>
    <w:p w14:paraId="26442288" w14:textId="77777777" w:rsidR="00594DF6" w:rsidRPr="00B0468A" w:rsidRDefault="00594DF6" w:rsidP="00594DF6">
      <w:pPr>
        <w:pStyle w:val="H23G"/>
      </w:pPr>
      <w:r w:rsidRPr="00B0468A">
        <w:tab/>
      </w:r>
      <w:r w:rsidRPr="00B0468A">
        <w:tab/>
        <w:t>Decision 79/9</w:t>
      </w:r>
    </w:p>
    <w:p w14:paraId="1EED82E4" w14:textId="77777777" w:rsidR="00594DF6" w:rsidRPr="00820BF5" w:rsidRDefault="00594DF6" w:rsidP="00594DF6">
      <w:pPr>
        <w:pStyle w:val="SingleTxtG"/>
        <w:rPr>
          <w:w w:val="103"/>
          <w:u w:val="single"/>
        </w:rPr>
      </w:pPr>
      <w:r w:rsidRPr="00820BF5">
        <w:rPr>
          <w:w w:val="103"/>
          <w:u w:val="single"/>
        </w:rPr>
        <w:t>Pre-Sessional Working Group</w:t>
      </w:r>
    </w:p>
    <w:p w14:paraId="18C3233F" w14:textId="77777777" w:rsidR="00594DF6" w:rsidRPr="00B0468A" w:rsidRDefault="00594DF6" w:rsidP="00594DF6">
      <w:pPr>
        <w:pStyle w:val="SingleTxtG"/>
      </w:pPr>
      <w:r w:rsidRPr="00B0468A">
        <w:t>The Committee confirmed the members of the pre-sessional working group for the eighty-first session, Tamader Al-Rammah, Marion Bethel, Ana Peláez Narváez, Elgun Safarov and Franceline Toe Bouda.</w:t>
      </w:r>
    </w:p>
    <w:p w14:paraId="112BE721" w14:textId="77777777" w:rsidR="00594DF6" w:rsidRPr="00B0468A" w:rsidRDefault="00594DF6" w:rsidP="00594DF6">
      <w:pPr>
        <w:pStyle w:val="HChG"/>
      </w:pPr>
      <w:r w:rsidRPr="00B0468A">
        <w:tab/>
      </w:r>
      <w:r w:rsidRPr="00B0468A">
        <w:tab/>
        <w:t>Chapter II</w:t>
      </w:r>
    </w:p>
    <w:p w14:paraId="5C4E9C27" w14:textId="77777777" w:rsidR="00594DF6" w:rsidRPr="00B0468A" w:rsidRDefault="00594DF6" w:rsidP="00594DF6">
      <w:pPr>
        <w:pStyle w:val="H1G"/>
        <w:rPr>
          <w:rFonts w:eastAsia="SimSun"/>
        </w:rPr>
      </w:pPr>
      <w:r w:rsidRPr="00B0468A">
        <w:rPr>
          <w:rFonts w:eastAsia="SimSun"/>
        </w:rPr>
        <w:tab/>
      </w:r>
      <w:r w:rsidRPr="00B0468A">
        <w:rPr>
          <w:rFonts w:eastAsia="SimSun"/>
        </w:rPr>
        <w:tab/>
        <w:t>Organizational and other matters</w:t>
      </w:r>
    </w:p>
    <w:p w14:paraId="4EC962BA" w14:textId="77777777" w:rsidR="00594DF6" w:rsidRPr="00B0468A" w:rsidRDefault="00594DF6" w:rsidP="00594DF6">
      <w:pPr>
        <w:pStyle w:val="H1G"/>
        <w:rPr>
          <w:rFonts w:eastAsia="SimSun"/>
        </w:rPr>
      </w:pPr>
      <w:r w:rsidRPr="00B0468A">
        <w:rPr>
          <w:rFonts w:eastAsia="SimSun"/>
        </w:rPr>
        <w:tab/>
        <w:t>A.</w:t>
      </w:r>
      <w:r w:rsidRPr="00B0468A">
        <w:rPr>
          <w:rFonts w:eastAsia="SimSun"/>
        </w:rPr>
        <w:tab/>
        <w:t>States parties to the Convention on the Elimination of All Forms of Discrimination against Women and to the Optional Protocol</w:t>
      </w:r>
    </w:p>
    <w:p w14:paraId="1EDD5C41" w14:textId="77777777" w:rsidR="00594DF6" w:rsidRPr="00B0468A" w:rsidRDefault="00594DF6" w:rsidP="00594DF6">
      <w:pPr>
        <w:pStyle w:val="SingleTxtG"/>
      </w:pPr>
      <w:r w:rsidRPr="00B0468A">
        <w:t xml:space="preserve">As at 1 July 2021, the closing date of the seventy-ninth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80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2D28E58F" w14:textId="77777777" w:rsidR="00594DF6" w:rsidRPr="00B0468A" w:rsidRDefault="00594DF6" w:rsidP="00594DF6">
      <w:pPr>
        <w:pStyle w:val="SingleTxtG"/>
      </w:pPr>
      <w:r w:rsidRPr="00B0468A">
        <w:t>At the same date, there were 114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14FB5E6B" w14:textId="77777777" w:rsidR="00594DF6" w:rsidRPr="00B0468A" w:rsidRDefault="00594DF6" w:rsidP="00594DF6">
      <w:pPr>
        <w:pStyle w:val="SingleTxtG"/>
      </w:pPr>
      <w:r w:rsidRPr="00B0468A">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0A61DC95" w14:textId="77777777" w:rsidR="00594DF6" w:rsidRPr="00B0468A" w:rsidRDefault="00594DF6" w:rsidP="00594DF6">
      <w:pPr>
        <w:pStyle w:val="H1G"/>
        <w:rPr>
          <w:rFonts w:eastAsia="SimSun"/>
        </w:rPr>
      </w:pPr>
      <w:r w:rsidRPr="00B0468A">
        <w:rPr>
          <w:rFonts w:eastAsia="SimSun"/>
        </w:rPr>
        <w:tab/>
        <w:t>B.</w:t>
      </w:r>
      <w:r w:rsidRPr="00B0468A">
        <w:rPr>
          <w:rFonts w:eastAsia="SimSun"/>
        </w:rPr>
        <w:tab/>
        <w:t>Opening of the session</w:t>
      </w:r>
    </w:p>
    <w:p w14:paraId="6757EBF6" w14:textId="77777777" w:rsidR="00594DF6" w:rsidRPr="00B0468A" w:rsidRDefault="00594DF6" w:rsidP="00594DF6">
      <w:pPr>
        <w:pStyle w:val="SingleTxtG"/>
      </w:pPr>
      <w:r w:rsidRPr="00B0468A">
        <w:t>The Committee held its seventy-ninth session from 21 June to 1 July 2021 remotely using online platforms due to the ongoing COVID-19 pandemic. In total, the Committee held 4 plenary meetings, and also held 5 meetings to discuss agenda items 5, 6, 7 and 8. A list of the documents before the Committee is contained in annex [...] to the present report.</w:t>
      </w:r>
    </w:p>
    <w:p w14:paraId="3304202C" w14:textId="77777777" w:rsidR="00594DF6" w:rsidRPr="00B0468A" w:rsidRDefault="00594DF6" w:rsidP="00594DF6">
      <w:pPr>
        <w:pStyle w:val="SingleTxtG"/>
      </w:pPr>
      <w:r w:rsidRPr="00B0468A">
        <w:t>The session was opened by the Chair of the Committee, Gladys Acosta Vargas, at its 1802nd meeting on 21 June 2021.</w:t>
      </w:r>
    </w:p>
    <w:p w14:paraId="40530FBA" w14:textId="77777777" w:rsidR="00594DF6" w:rsidRPr="00B0468A" w:rsidRDefault="00594DF6" w:rsidP="00594DF6">
      <w:pPr>
        <w:pStyle w:val="H1G"/>
        <w:rPr>
          <w:rFonts w:eastAsia="SimSun"/>
        </w:rPr>
      </w:pPr>
      <w:r w:rsidRPr="00B0468A">
        <w:rPr>
          <w:rFonts w:eastAsia="SimSun"/>
        </w:rPr>
        <w:tab/>
        <w:t>C.</w:t>
      </w:r>
      <w:r w:rsidRPr="00B0468A">
        <w:rPr>
          <w:rFonts w:eastAsia="SimSun"/>
        </w:rPr>
        <w:tab/>
        <w:t>Adoption of the agenda and organization of work</w:t>
      </w:r>
    </w:p>
    <w:p w14:paraId="4D8F20F2" w14:textId="77777777" w:rsidR="00594DF6" w:rsidRPr="00B0468A" w:rsidRDefault="00594DF6" w:rsidP="00594DF6">
      <w:pPr>
        <w:pStyle w:val="SingleTxtG"/>
      </w:pPr>
      <w:r w:rsidRPr="00B0468A">
        <w:t xml:space="preserve">The Committee adopted the provisional agenda (CEDAW/C/79/1) at its 1802nd meeting. </w:t>
      </w:r>
    </w:p>
    <w:p w14:paraId="06EFBD9B" w14:textId="77777777" w:rsidR="00594DF6" w:rsidRPr="00643213" w:rsidRDefault="00594DF6" w:rsidP="00594DF6">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3649A70B" w14:textId="77777777" w:rsidR="00594DF6" w:rsidRPr="00B0468A" w:rsidRDefault="00594DF6" w:rsidP="00594DF6">
      <w:pPr>
        <w:pStyle w:val="SingleTxtG"/>
      </w:pPr>
      <w:r w:rsidRPr="00B0468A">
        <w:t xml:space="preserve">The report of the pre-session working group (CEDAW/PSWG/79/1), which met remotely from 9 to 13 November 2020, was introduced by Bandana Rana at the 1802nd meeting. </w:t>
      </w:r>
    </w:p>
    <w:p w14:paraId="429A32A1" w14:textId="77777777" w:rsidR="00594DF6" w:rsidRDefault="00594DF6" w:rsidP="00594DF6">
      <w:pPr>
        <w:pStyle w:val="H1G"/>
      </w:pPr>
      <w:r>
        <w:rPr>
          <w:rFonts w:eastAsia="SimSun"/>
          <w:lang w:eastAsia="zh-CN"/>
        </w:rPr>
        <w:tab/>
        <w:t>E.</w:t>
      </w:r>
      <w:r>
        <w:rPr>
          <w:rFonts w:eastAsia="SimSun"/>
          <w:lang w:eastAsia="zh-CN"/>
        </w:rPr>
        <w:tab/>
      </w:r>
      <w:r w:rsidRPr="00643213">
        <w:rPr>
          <w:rFonts w:eastAsia="SimSun"/>
          <w:lang w:eastAsia="zh-CN"/>
        </w:rPr>
        <w:t>Organization of work</w:t>
      </w:r>
      <w:r>
        <w:tab/>
      </w:r>
    </w:p>
    <w:p w14:paraId="309517F7" w14:textId="77777777" w:rsidR="00594DF6" w:rsidRPr="00B0468A" w:rsidRDefault="00594DF6" w:rsidP="00594DF6">
      <w:pPr>
        <w:pStyle w:val="SingleTxtG"/>
      </w:pPr>
      <w:r>
        <w:t>O</w:t>
      </w:r>
      <w:r w:rsidRPr="00726E07">
        <w:t xml:space="preserve">n </w:t>
      </w:r>
      <w:r>
        <w:t xml:space="preserve">21 June </w:t>
      </w:r>
      <w:r w:rsidRPr="00FD1E83">
        <w:t>20</w:t>
      </w:r>
      <w:r>
        <w:t xml:space="preserve">21, in public meeting, </w:t>
      </w:r>
      <w:r w:rsidRPr="00A961F7">
        <w:rPr>
          <w:lang w:val="en-MY"/>
        </w:rPr>
        <w:t xml:space="preserve">Nadia Rasidi, </w:t>
      </w:r>
      <w:r w:rsidRPr="00A961F7">
        <w:rPr>
          <w:bCs/>
          <w:lang w:val="en-MY"/>
        </w:rPr>
        <w:t xml:space="preserve">International Women’s Rights Action </w:t>
      </w:r>
      <w:r w:rsidRPr="00B0468A">
        <w:t>Watch Asia Pacific, Patrizia Scanella, Women’s International League for Peace &amp; Freedom, Tania Agosti, International Institute on Race, Equality and Human Rights, and Ms. Mandi Mudarikwa, Women’s Legal Centre &amp; Sexual Rights Initiative, delivered a joint statement on behalf of non-governmental organizations, the preparation of which had been coordinated by IWRAW-Asia Pacific.</w:t>
      </w:r>
    </w:p>
    <w:p w14:paraId="62C53186" w14:textId="77777777" w:rsidR="00594DF6" w:rsidRPr="00B0468A" w:rsidRDefault="00594DF6" w:rsidP="00594DF6">
      <w:pPr>
        <w:pStyle w:val="SingleTxtG"/>
      </w:pPr>
      <w:r w:rsidRPr="00B0468A">
        <w:t>On 30 June 2021, in closed meeting, the Committee informally met with the Special Rapporteur on violence against women, its causes and consequences, Dubravka Simonovic, who briefed the Committee on her report to the Human Rights Council on “Rape as a grave, systematic and widespread human rights violation, a crime and a manifestation of gender-based violence against women and girls, and its prevention” (A/HRC/47/26) as well as on her proposed framework for legislation on rape (A/HRC/47/26/Add.1).</w:t>
      </w:r>
    </w:p>
    <w:p w14:paraId="4209D6DE" w14:textId="77777777" w:rsidR="00594DF6" w:rsidRPr="00B0468A" w:rsidRDefault="00594DF6" w:rsidP="00594DF6">
      <w:pPr>
        <w:pStyle w:val="H1G"/>
        <w:rPr>
          <w:rFonts w:eastAsia="SimSun"/>
        </w:rPr>
      </w:pPr>
      <w:r w:rsidRPr="00B0468A">
        <w:rPr>
          <w:rFonts w:eastAsia="SimSun"/>
        </w:rPr>
        <w:tab/>
        <w:t>F.</w:t>
      </w:r>
      <w:r w:rsidRPr="00B0468A">
        <w:rPr>
          <w:rFonts w:eastAsia="SimSun"/>
        </w:rPr>
        <w:tab/>
        <w:t>Membership of the Committee</w:t>
      </w:r>
    </w:p>
    <w:p w14:paraId="0E84DFCA" w14:textId="77777777" w:rsidR="00594DF6" w:rsidRPr="00B0468A" w:rsidRDefault="00594DF6" w:rsidP="00594DF6">
      <w:pPr>
        <w:pStyle w:val="H23G"/>
      </w:pPr>
      <w:r w:rsidRPr="00B0468A">
        <w:tab/>
      </w:r>
      <w:r w:rsidRPr="00B0468A">
        <w:tab/>
        <w:t>Attendance of the seventy-ninth session</w:t>
      </w:r>
    </w:p>
    <w:p w14:paraId="1A89F365" w14:textId="77777777" w:rsidR="00594DF6" w:rsidRPr="00B0468A" w:rsidRDefault="00594DF6" w:rsidP="00594DF6">
      <w:pPr>
        <w:pStyle w:val="SingleTxtG"/>
      </w:pPr>
      <w:r w:rsidRPr="00B0468A">
        <w:t>All members attended the seventy-ninth session remotely. A list of members of the Committee, indicating the duration of their terms of office, is annexed to the present report.</w:t>
      </w:r>
    </w:p>
    <w:p w14:paraId="394B2735" w14:textId="77777777" w:rsidR="00594DF6" w:rsidRPr="00B0468A" w:rsidRDefault="00594DF6" w:rsidP="00594DF6">
      <w:pPr>
        <w:pStyle w:val="HChG"/>
      </w:pPr>
      <w:r w:rsidRPr="00B0468A">
        <w:tab/>
      </w:r>
      <w:r w:rsidRPr="00B0468A">
        <w:tab/>
        <w:t>Chapter III</w:t>
      </w:r>
    </w:p>
    <w:p w14:paraId="132BFAF7" w14:textId="77777777" w:rsidR="00594DF6" w:rsidRPr="00B0468A" w:rsidRDefault="00594DF6" w:rsidP="00594DF6">
      <w:pPr>
        <w:pStyle w:val="H23G"/>
        <w:rPr>
          <w:rFonts w:eastAsia="SimSun"/>
        </w:rPr>
      </w:pPr>
      <w:r w:rsidRPr="00B0468A">
        <w:rPr>
          <w:rFonts w:eastAsia="SimSun"/>
        </w:rPr>
        <w:tab/>
      </w:r>
      <w:r w:rsidRPr="00B0468A">
        <w:rPr>
          <w:rFonts w:eastAsia="SimSun"/>
        </w:rPr>
        <w:tab/>
        <w:t>Report of the Chairperson on activities undertaken between the seventy-eighth and seventy-ninth sessions of the Committee</w:t>
      </w:r>
    </w:p>
    <w:p w14:paraId="19479FFD" w14:textId="77777777" w:rsidR="00594DF6" w:rsidRDefault="00594DF6" w:rsidP="00594DF6">
      <w:pPr>
        <w:pStyle w:val="SingleTxtG"/>
      </w:pPr>
      <w:r w:rsidRPr="00B0468A">
        <w:t>At the 1802nd meeting, the Chair, Gladys Acosta Vargas, presented her report on the activities she had undertaken since the seventy-eighth session of the Committee.</w:t>
      </w:r>
    </w:p>
    <w:p w14:paraId="6BD1609C" w14:textId="77777777" w:rsidR="00594DF6" w:rsidRPr="00B0468A" w:rsidRDefault="00594DF6" w:rsidP="00594DF6">
      <w:pPr>
        <w:pStyle w:val="HChG"/>
      </w:pPr>
      <w:r w:rsidRPr="00820BF5">
        <w:tab/>
      </w:r>
      <w:r>
        <w:tab/>
      </w:r>
      <w:r w:rsidRPr="00B0468A">
        <w:t>Chapter IV</w:t>
      </w:r>
    </w:p>
    <w:p w14:paraId="5A74273F" w14:textId="77777777" w:rsidR="00594DF6" w:rsidRPr="00B0468A" w:rsidRDefault="00594DF6" w:rsidP="00594DF6">
      <w:pPr>
        <w:pStyle w:val="H1G"/>
        <w:rPr>
          <w:rFonts w:eastAsia="SimSun"/>
        </w:rPr>
      </w:pPr>
      <w:r w:rsidRPr="00B0468A">
        <w:rPr>
          <w:rFonts w:eastAsia="SimSun"/>
        </w:rPr>
        <w:tab/>
        <w:t>A.</w:t>
      </w:r>
      <w:r w:rsidRPr="00B0468A">
        <w:rPr>
          <w:rFonts w:eastAsia="SimSun"/>
        </w:rPr>
        <w:tab/>
        <w:t>Consideration of reports submitted by States parties under article 18 of the Convention in light of the ongoing COVID-19 pandemic</w:t>
      </w:r>
    </w:p>
    <w:p w14:paraId="35128F5A" w14:textId="77777777" w:rsidR="00594DF6" w:rsidRPr="00B0468A" w:rsidRDefault="00594DF6" w:rsidP="00594DF6">
      <w:pPr>
        <w:pStyle w:val="SingleTxtG"/>
      </w:pPr>
      <w:r w:rsidRPr="00B0468A">
        <w:t>At its seventy-ninth session, the Committee could not review the reports of the following eight States parties submitted under article 18 of the Convention that had initially been scheduled for consideration at its seventy-ninth session: the fourth periodic report of Bahrain; the fifth periodic report of Kyrgyzstan; the sixth periodic report of Maldives; the combined seventh to tenth periodic reports of Nicaragua; the ninth periodic report of the Russian Federation; the initial report of South Sudan; the ninth periodic report of Spain, submitted under the simplified reporting procedure; and the combined seventh and eighth periodic reports of Yemen.</w:t>
      </w:r>
    </w:p>
    <w:p w14:paraId="24124604" w14:textId="77777777" w:rsidR="00594DF6" w:rsidRPr="00B0468A" w:rsidRDefault="00594DF6" w:rsidP="00594DF6">
      <w:pPr>
        <w:pStyle w:val="SingleTxtG"/>
      </w:pPr>
      <w:r w:rsidRPr="00B0468A">
        <w:t>The Committee decided to postpone the consideration of these reports in light of the ongoing COVID-19 pandemic. The sessions and dates when the aforementioned rescheduled reports will be considered will be announced on the OHCHR website for the Committee (https://tbinternet.ohchr.org/_layouts/15/TreatyBodyExternal/SessionsList.aspx?Treaty=CEDAW).</w:t>
      </w:r>
    </w:p>
    <w:p w14:paraId="6C14C484" w14:textId="77777777" w:rsidR="00594DF6" w:rsidRPr="00B0468A" w:rsidRDefault="00594DF6" w:rsidP="00594DF6">
      <w:pPr>
        <w:pStyle w:val="H1G"/>
        <w:rPr>
          <w:rFonts w:eastAsia="SimSun"/>
          <w:highlight w:val="red"/>
        </w:rPr>
      </w:pPr>
      <w:r w:rsidRPr="00B0468A">
        <w:rPr>
          <w:rFonts w:eastAsia="SimSun"/>
        </w:rPr>
        <w:tab/>
        <w:t>B.</w:t>
      </w:r>
      <w:r w:rsidRPr="00B0468A">
        <w:rPr>
          <w:rFonts w:eastAsia="SimSun"/>
        </w:rPr>
        <w:tab/>
        <w:t>Follow-up procedures relating to concluding observations</w:t>
      </w:r>
    </w:p>
    <w:p w14:paraId="73C3FD94" w14:textId="77777777" w:rsidR="00594DF6" w:rsidRDefault="00594DF6" w:rsidP="00594DF6">
      <w:pPr>
        <w:pStyle w:val="SingleTxtG"/>
      </w:pPr>
      <w:r w:rsidRPr="00737261">
        <w:t>The Committee considered the follow-up reports from the following States parties:</w:t>
      </w:r>
    </w:p>
    <w:p w14:paraId="40E3F9E5" w14:textId="23611B33" w:rsidR="00594DF6" w:rsidRPr="00AA7AF7" w:rsidRDefault="00594DF6" w:rsidP="00594DF6">
      <w:pPr>
        <w:pStyle w:val="SingleTxtG"/>
        <w:rPr>
          <w:color w:val="000000"/>
          <w:lang w:eastAsia="en-GB"/>
        </w:rPr>
      </w:pPr>
      <w:r>
        <w:rPr>
          <w:color w:val="000000"/>
          <w:lang w:eastAsia="en-GB"/>
        </w:rPr>
        <w:tab/>
      </w:r>
      <w:r>
        <w:rPr>
          <w:color w:val="000000"/>
          <w:lang w:eastAsia="en-GB"/>
        </w:rPr>
        <w:tab/>
        <w:t>(</w:t>
      </w:r>
      <w:r w:rsidRPr="00AA7AF7">
        <w:rPr>
          <w:color w:val="000000"/>
          <w:lang w:eastAsia="en-GB"/>
        </w:rPr>
        <w:t>1)</w:t>
      </w:r>
      <w:r w:rsidRPr="00AA7AF7">
        <w:rPr>
          <w:color w:val="000000"/>
          <w:lang w:eastAsia="en-GB"/>
        </w:rPr>
        <w:tab/>
        <w:t>Angola (</w:t>
      </w:r>
      <w:hyperlink r:id="rId11" w:history="1">
        <w:r w:rsidRPr="00574706">
          <w:rPr>
            <w:color w:val="000000"/>
            <w:shd w:val="clear" w:color="auto" w:fill="FFFFFF"/>
            <w:lang w:val="it-IT"/>
          </w:rPr>
          <w:t>CEDAW/C/</w:t>
        </w:r>
        <w:r>
          <w:rPr>
            <w:color w:val="000000"/>
            <w:shd w:val="clear" w:color="auto" w:fill="FFFFFF"/>
            <w:lang w:val="it-IT"/>
          </w:rPr>
          <w:t>AGO</w:t>
        </w:r>
        <w:r w:rsidRPr="00574706">
          <w:rPr>
            <w:color w:val="000000"/>
            <w:shd w:val="clear" w:color="auto" w:fill="FFFFFF"/>
            <w:lang w:val="it-IT"/>
          </w:rPr>
          <w:t>/FCO/7</w:t>
        </w:r>
      </w:hyperlink>
      <w:r w:rsidRPr="00AA7AF7">
        <w:rPr>
          <w:color w:val="000000"/>
          <w:lang w:eastAsia="en-GB"/>
        </w:rPr>
        <w:t xml:space="preserve">) </w:t>
      </w:r>
    </w:p>
    <w:p w14:paraId="04F6AC06" w14:textId="7CBABFE8" w:rsidR="00594DF6" w:rsidRDefault="00594DF6" w:rsidP="00594DF6">
      <w:pPr>
        <w:pStyle w:val="SingleTxtG"/>
        <w:rPr>
          <w:color w:val="000000"/>
          <w:lang w:val="it-IT" w:eastAsia="en-GB"/>
        </w:rPr>
      </w:pPr>
      <w:r>
        <w:rPr>
          <w:color w:val="000000"/>
          <w:lang w:eastAsia="en-GB"/>
        </w:rPr>
        <w:tab/>
      </w:r>
      <w:r>
        <w:rPr>
          <w:color w:val="000000"/>
          <w:lang w:eastAsia="en-GB"/>
        </w:rPr>
        <w:tab/>
      </w:r>
      <w:r w:rsidRPr="00B0468A">
        <w:rPr>
          <w:color w:val="000000"/>
          <w:lang w:val="pt-BR" w:eastAsia="en-GB"/>
        </w:rPr>
        <w:t>(</w:t>
      </w:r>
      <w:r>
        <w:rPr>
          <w:color w:val="000000"/>
          <w:lang w:val="it-IT" w:eastAsia="en-GB"/>
        </w:rPr>
        <w:t>2)</w:t>
      </w:r>
      <w:r>
        <w:rPr>
          <w:color w:val="000000"/>
          <w:lang w:val="it-IT" w:eastAsia="en-GB"/>
        </w:rPr>
        <w:tab/>
        <w:t>Australia (</w:t>
      </w:r>
      <w:r w:rsidRPr="00574706">
        <w:rPr>
          <w:color w:val="000000"/>
          <w:shd w:val="clear" w:color="auto" w:fill="FFFFFF"/>
          <w:lang w:val="it-IT"/>
        </w:rPr>
        <w:t>CEDAW/C/</w:t>
      </w:r>
      <w:r>
        <w:rPr>
          <w:color w:val="000000"/>
          <w:shd w:val="clear" w:color="auto" w:fill="FFFFFF"/>
          <w:lang w:val="it-IT"/>
        </w:rPr>
        <w:t>AUS</w:t>
      </w:r>
      <w:r w:rsidRPr="00574706">
        <w:rPr>
          <w:color w:val="000000"/>
          <w:shd w:val="clear" w:color="auto" w:fill="FFFFFF"/>
          <w:lang w:val="it-IT"/>
        </w:rPr>
        <w:t>/FCO/</w:t>
      </w:r>
      <w:r>
        <w:rPr>
          <w:color w:val="000000"/>
          <w:shd w:val="clear" w:color="auto" w:fill="FFFFFF"/>
          <w:lang w:val="it-IT"/>
        </w:rPr>
        <w:t>8</w:t>
      </w:r>
      <w:r>
        <w:rPr>
          <w:color w:val="000000"/>
          <w:lang w:val="it-IT" w:eastAsia="en-GB"/>
        </w:rPr>
        <w:t>)</w:t>
      </w:r>
    </w:p>
    <w:p w14:paraId="06320FE4" w14:textId="75B004F2" w:rsidR="00594DF6" w:rsidRPr="00594DF6" w:rsidRDefault="00594DF6" w:rsidP="00594DF6">
      <w:pPr>
        <w:pStyle w:val="SingleTxtG"/>
        <w:rPr>
          <w:lang w:val="it-IT" w:eastAsia="en-GB"/>
        </w:rPr>
      </w:pPr>
      <w:r>
        <w:rPr>
          <w:lang w:val="it-IT" w:eastAsia="en-GB"/>
        </w:rPr>
        <w:tab/>
      </w:r>
      <w:r>
        <w:rPr>
          <w:lang w:val="it-IT" w:eastAsia="en-GB"/>
        </w:rPr>
        <w:tab/>
        <w:t>(</w:t>
      </w:r>
      <w:r w:rsidRPr="00594DF6">
        <w:rPr>
          <w:lang w:val="it-IT" w:eastAsia="en-GB"/>
        </w:rPr>
        <w:t>3)</w:t>
      </w:r>
      <w:r w:rsidRPr="00594DF6">
        <w:rPr>
          <w:lang w:val="it-IT" w:eastAsia="en-GB"/>
        </w:rPr>
        <w:tab/>
        <w:t>The Bahamas (</w:t>
      </w:r>
      <w:r w:rsidRPr="00594DF6">
        <w:rPr>
          <w:shd w:val="clear" w:color="auto" w:fill="FFFFFF"/>
          <w:lang w:val="it-IT"/>
        </w:rPr>
        <w:t>CEDAW/C/BHS/FCO/6</w:t>
      </w:r>
      <w:r w:rsidRPr="00594DF6">
        <w:rPr>
          <w:lang w:val="it-IT" w:eastAsia="en-GB"/>
        </w:rPr>
        <w:t>)</w:t>
      </w:r>
    </w:p>
    <w:p w14:paraId="499849A9" w14:textId="53E0E4A2" w:rsidR="00594DF6" w:rsidRPr="00594DF6" w:rsidRDefault="00594DF6" w:rsidP="00594DF6">
      <w:pPr>
        <w:pStyle w:val="SingleTxtG"/>
        <w:rPr>
          <w:lang w:val="it-IT" w:eastAsia="en-GB"/>
        </w:rPr>
      </w:pPr>
      <w:r>
        <w:rPr>
          <w:lang w:val="it-IT" w:eastAsia="en-GB"/>
        </w:rPr>
        <w:tab/>
      </w:r>
      <w:r>
        <w:rPr>
          <w:lang w:val="it-IT" w:eastAsia="en-GB"/>
        </w:rPr>
        <w:tab/>
        <w:t>(</w:t>
      </w:r>
      <w:r w:rsidRPr="00594DF6">
        <w:rPr>
          <w:lang w:val="it-IT" w:eastAsia="en-GB"/>
        </w:rPr>
        <w:t>4)</w:t>
      </w:r>
      <w:r w:rsidRPr="00594DF6">
        <w:rPr>
          <w:lang w:val="it-IT" w:eastAsia="en-GB"/>
        </w:rPr>
        <w:tab/>
        <w:t>Colombia (</w:t>
      </w:r>
      <w:r w:rsidRPr="00594DF6">
        <w:rPr>
          <w:shd w:val="clear" w:color="auto" w:fill="FFFFFF"/>
          <w:lang w:val="it-IT"/>
        </w:rPr>
        <w:t>CEDAW/C/IRL/FCO/9</w:t>
      </w:r>
      <w:r w:rsidRPr="00594DF6">
        <w:rPr>
          <w:lang w:val="it-IT" w:eastAsia="en-GB"/>
        </w:rPr>
        <w:t>)</w:t>
      </w:r>
    </w:p>
    <w:p w14:paraId="724EBC32" w14:textId="0513639B" w:rsidR="00594DF6" w:rsidRPr="00594DF6" w:rsidRDefault="00594DF6" w:rsidP="00594DF6">
      <w:pPr>
        <w:pStyle w:val="SingleTxtG"/>
        <w:rPr>
          <w:lang w:val="it-IT" w:eastAsia="en-GB"/>
        </w:rPr>
      </w:pPr>
      <w:r>
        <w:rPr>
          <w:lang w:val="it-IT" w:eastAsia="en-GB"/>
        </w:rPr>
        <w:tab/>
      </w:r>
      <w:r>
        <w:rPr>
          <w:lang w:val="it-IT" w:eastAsia="en-GB"/>
        </w:rPr>
        <w:tab/>
        <w:t>(</w:t>
      </w:r>
      <w:r w:rsidRPr="00594DF6">
        <w:rPr>
          <w:lang w:val="it-IT" w:eastAsia="en-GB"/>
        </w:rPr>
        <w:t>5)</w:t>
      </w:r>
      <w:r w:rsidRPr="00594DF6">
        <w:rPr>
          <w:lang w:val="it-IT" w:eastAsia="en-GB"/>
        </w:rPr>
        <w:tab/>
        <w:t>Malaysia (CEDAW/C/MYS/FCO/3-5)</w:t>
      </w:r>
    </w:p>
    <w:p w14:paraId="5196C845" w14:textId="79EFF192" w:rsidR="00594DF6" w:rsidRDefault="00594DF6" w:rsidP="00594DF6">
      <w:pPr>
        <w:pStyle w:val="SingleTxtG"/>
        <w:rPr>
          <w:lang w:eastAsia="en-GB"/>
        </w:rPr>
      </w:pPr>
      <w:r>
        <w:rPr>
          <w:lang w:val="it-IT" w:eastAsia="en-GB"/>
        </w:rPr>
        <w:tab/>
      </w:r>
      <w:r w:rsidRPr="00B0468A">
        <w:rPr>
          <w:lang w:val="it-IT" w:eastAsia="en-GB"/>
        </w:rPr>
        <w:tab/>
      </w:r>
      <w:r>
        <w:rPr>
          <w:lang w:val="it-IT" w:eastAsia="en-GB"/>
        </w:rPr>
        <w:t>(</w:t>
      </w:r>
      <w:r>
        <w:rPr>
          <w:lang w:eastAsia="en-GB"/>
        </w:rPr>
        <w:t>6)</w:t>
      </w:r>
      <w:r>
        <w:rPr>
          <w:lang w:eastAsia="en-GB"/>
        </w:rPr>
        <w:tab/>
        <w:t>Marshall Islands</w:t>
      </w:r>
      <w:r w:rsidRPr="00574706">
        <w:rPr>
          <w:lang w:eastAsia="en-GB"/>
        </w:rPr>
        <w:t xml:space="preserve"> </w:t>
      </w:r>
      <w:r>
        <w:rPr>
          <w:lang w:eastAsia="en-GB"/>
        </w:rPr>
        <w:t>(</w:t>
      </w:r>
      <w:r w:rsidRPr="00574706">
        <w:rPr>
          <w:lang w:eastAsia="en-GB"/>
        </w:rPr>
        <w:t>CEDAW/C/</w:t>
      </w:r>
      <w:r>
        <w:rPr>
          <w:lang w:eastAsia="en-GB"/>
        </w:rPr>
        <w:t>MHL</w:t>
      </w:r>
      <w:r w:rsidRPr="00574706">
        <w:rPr>
          <w:lang w:eastAsia="en-GB"/>
        </w:rPr>
        <w:t>/FCO/</w:t>
      </w:r>
      <w:r>
        <w:rPr>
          <w:lang w:eastAsia="en-GB"/>
        </w:rPr>
        <w:t>1</w:t>
      </w:r>
      <w:r w:rsidRPr="00574706">
        <w:rPr>
          <w:lang w:eastAsia="en-GB"/>
        </w:rPr>
        <w:t>-</w:t>
      </w:r>
      <w:r>
        <w:rPr>
          <w:lang w:eastAsia="en-GB"/>
        </w:rPr>
        <w:t>3)</w:t>
      </w:r>
    </w:p>
    <w:p w14:paraId="208DCD85" w14:textId="7F7D032E" w:rsidR="00594DF6" w:rsidRPr="00594DF6" w:rsidRDefault="00594DF6" w:rsidP="00594DF6">
      <w:pPr>
        <w:pStyle w:val="SingleTxtG"/>
        <w:rPr>
          <w:lang w:val="pt-BR" w:eastAsia="en-GB"/>
        </w:rPr>
      </w:pPr>
      <w:r>
        <w:rPr>
          <w:lang w:eastAsia="en-GB"/>
        </w:rPr>
        <w:tab/>
      </w:r>
      <w:r w:rsidRPr="00B0468A">
        <w:rPr>
          <w:lang w:eastAsia="en-GB"/>
        </w:rPr>
        <w:tab/>
      </w:r>
      <w:r w:rsidRPr="00B0468A">
        <w:rPr>
          <w:lang w:val="pt-BR" w:eastAsia="en-GB"/>
        </w:rPr>
        <w:t>(</w:t>
      </w:r>
      <w:r w:rsidRPr="00594DF6">
        <w:rPr>
          <w:lang w:val="pt-BR" w:eastAsia="en-GB"/>
        </w:rPr>
        <w:t>7)</w:t>
      </w:r>
      <w:r w:rsidRPr="00594DF6">
        <w:rPr>
          <w:lang w:val="pt-BR" w:eastAsia="en-GB"/>
        </w:rPr>
        <w:tab/>
        <w:t>Mauritius (CEDAW/C/MUS/FCO/8)</w:t>
      </w:r>
    </w:p>
    <w:p w14:paraId="7B12219B" w14:textId="55A03E25" w:rsidR="00594DF6" w:rsidRPr="00594DF6" w:rsidRDefault="00594DF6" w:rsidP="00594DF6">
      <w:pPr>
        <w:pStyle w:val="SingleTxtG"/>
        <w:rPr>
          <w:lang w:val="pt-BR" w:eastAsia="en-GB"/>
        </w:rPr>
      </w:pPr>
      <w:r>
        <w:rPr>
          <w:lang w:val="pt-BR" w:eastAsia="en-GB"/>
        </w:rPr>
        <w:tab/>
      </w:r>
      <w:r>
        <w:rPr>
          <w:lang w:val="pt-BR" w:eastAsia="en-GB"/>
        </w:rPr>
        <w:tab/>
        <w:t>(</w:t>
      </w:r>
      <w:r w:rsidRPr="00594DF6">
        <w:rPr>
          <w:lang w:val="pt-BR" w:eastAsia="en-GB"/>
        </w:rPr>
        <w:t>8)</w:t>
      </w:r>
      <w:r w:rsidRPr="00594DF6">
        <w:rPr>
          <w:lang w:val="pt-BR" w:eastAsia="en-GB"/>
        </w:rPr>
        <w:tab/>
        <w:t>Nepal (CEDAW/C/NPL/FCO/6)</w:t>
      </w:r>
    </w:p>
    <w:p w14:paraId="01A043A7" w14:textId="09532432" w:rsidR="00594DF6" w:rsidRPr="0047669C" w:rsidRDefault="00594DF6" w:rsidP="00594DF6">
      <w:pPr>
        <w:pStyle w:val="SingleTxtG"/>
        <w:rPr>
          <w:lang w:eastAsia="en-GB"/>
        </w:rPr>
      </w:pPr>
      <w:r>
        <w:rPr>
          <w:lang w:val="pt-BR" w:eastAsia="en-GB"/>
        </w:rPr>
        <w:tab/>
      </w:r>
      <w:r w:rsidRPr="00B0468A">
        <w:rPr>
          <w:lang w:val="pt-BR" w:eastAsia="en-GB"/>
        </w:rPr>
        <w:tab/>
      </w:r>
      <w:r w:rsidRPr="00B0468A">
        <w:rPr>
          <w:lang w:eastAsia="en-GB"/>
        </w:rPr>
        <w:t>(</w:t>
      </w:r>
      <w:r w:rsidRPr="0047669C">
        <w:rPr>
          <w:lang w:eastAsia="en-GB"/>
        </w:rPr>
        <w:t>9)</w:t>
      </w:r>
      <w:r w:rsidRPr="0047669C">
        <w:rPr>
          <w:lang w:eastAsia="en-GB"/>
        </w:rPr>
        <w:tab/>
        <w:t>Niger (CEDAW/C/N</w:t>
      </w:r>
      <w:r w:rsidRPr="00AA7AF7">
        <w:rPr>
          <w:lang w:eastAsia="en-GB"/>
        </w:rPr>
        <w:t>ER</w:t>
      </w:r>
      <w:r w:rsidRPr="0047669C">
        <w:rPr>
          <w:lang w:eastAsia="en-GB"/>
        </w:rPr>
        <w:t>/FCO/</w:t>
      </w:r>
      <w:r>
        <w:rPr>
          <w:lang w:eastAsia="en-GB"/>
        </w:rPr>
        <w:t>3-4</w:t>
      </w:r>
      <w:r w:rsidRPr="0047669C">
        <w:rPr>
          <w:lang w:eastAsia="en-GB"/>
        </w:rPr>
        <w:t>)</w:t>
      </w:r>
    </w:p>
    <w:p w14:paraId="7C501962" w14:textId="7B085288" w:rsidR="00594DF6" w:rsidRDefault="00594DF6" w:rsidP="00594DF6">
      <w:pPr>
        <w:pStyle w:val="SingleTxtG"/>
        <w:rPr>
          <w:lang w:eastAsia="en-GB"/>
        </w:rPr>
      </w:pPr>
      <w:r>
        <w:rPr>
          <w:lang w:eastAsia="en-GB"/>
        </w:rPr>
        <w:tab/>
      </w:r>
      <w:r>
        <w:rPr>
          <w:lang w:eastAsia="en-GB"/>
        </w:rPr>
        <w:tab/>
        <w:t>(10)</w:t>
      </w:r>
      <w:r>
        <w:rPr>
          <w:lang w:eastAsia="en-GB"/>
        </w:rPr>
        <w:tab/>
        <w:t xml:space="preserve">Suriname </w:t>
      </w:r>
      <w:r w:rsidRPr="00574706">
        <w:rPr>
          <w:lang w:eastAsia="en-GB"/>
        </w:rPr>
        <w:t>(CEDAW/C/</w:t>
      </w:r>
      <w:r>
        <w:rPr>
          <w:lang w:eastAsia="en-GB"/>
        </w:rPr>
        <w:t>SUR</w:t>
      </w:r>
      <w:r w:rsidRPr="00574706">
        <w:rPr>
          <w:lang w:eastAsia="en-GB"/>
        </w:rPr>
        <w:t>/FCO/</w:t>
      </w:r>
      <w:r>
        <w:rPr>
          <w:lang w:eastAsia="en-GB"/>
        </w:rPr>
        <w:t>4-</w:t>
      </w:r>
      <w:r w:rsidRPr="00574706">
        <w:rPr>
          <w:lang w:eastAsia="en-GB"/>
        </w:rPr>
        <w:t>6)</w:t>
      </w:r>
    </w:p>
    <w:p w14:paraId="27EABBE4" w14:textId="1CF195B0" w:rsidR="00594DF6" w:rsidRPr="00B0468A" w:rsidRDefault="00594DF6" w:rsidP="00594DF6">
      <w:pPr>
        <w:pStyle w:val="SingleTxtG"/>
        <w:rPr>
          <w:lang w:eastAsia="en-GB"/>
        </w:rPr>
      </w:pPr>
      <w:r>
        <w:rPr>
          <w:lang w:eastAsia="en-GB"/>
        </w:rPr>
        <w:tab/>
      </w:r>
      <w:r>
        <w:rPr>
          <w:lang w:eastAsia="en-GB"/>
        </w:rPr>
        <w:tab/>
        <w:t>(</w:t>
      </w:r>
      <w:r w:rsidRPr="00B0468A">
        <w:rPr>
          <w:lang w:eastAsia="en-GB"/>
        </w:rPr>
        <w:t>11)</w:t>
      </w:r>
      <w:r w:rsidRPr="00B0468A">
        <w:rPr>
          <w:lang w:eastAsia="en-GB"/>
        </w:rPr>
        <w:tab/>
        <w:t>Tajikistan (CEDAW/C/TJK/FCO/6)</w:t>
      </w:r>
    </w:p>
    <w:p w14:paraId="7336DF6F" w14:textId="17A12ABF" w:rsidR="00594DF6" w:rsidRPr="00AE1521" w:rsidRDefault="00594DF6" w:rsidP="00594DF6">
      <w:pPr>
        <w:pStyle w:val="SingleTxtG"/>
        <w:rPr>
          <w:lang w:eastAsia="en-GB"/>
        </w:rPr>
      </w:pPr>
      <w:r>
        <w:rPr>
          <w:lang w:eastAsia="en-GB"/>
        </w:rPr>
        <w:tab/>
      </w:r>
      <w:r w:rsidRPr="00B0468A">
        <w:rPr>
          <w:lang w:eastAsia="en-GB"/>
        </w:rPr>
        <w:tab/>
      </w:r>
      <w:r>
        <w:rPr>
          <w:lang w:eastAsia="en-GB"/>
        </w:rPr>
        <w:t>(12)</w:t>
      </w:r>
      <w:r w:rsidRPr="00AE1521">
        <w:rPr>
          <w:lang w:eastAsia="en-GB"/>
        </w:rPr>
        <w:tab/>
        <w:t>Turkmenistan (CEDAW/C/TKM/FCO/</w:t>
      </w:r>
      <w:r w:rsidRPr="00AA7AF7">
        <w:rPr>
          <w:lang w:eastAsia="en-GB"/>
        </w:rPr>
        <w:t>5</w:t>
      </w:r>
      <w:r w:rsidRPr="00AE1521">
        <w:rPr>
          <w:lang w:eastAsia="en-GB"/>
        </w:rPr>
        <w:t>)</w:t>
      </w:r>
    </w:p>
    <w:p w14:paraId="1B269BB7" w14:textId="77777777" w:rsidR="00594DF6" w:rsidRDefault="00594DF6" w:rsidP="00594DF6">
      <w:pPr>
        <w:pStyle w:val="SingleTxtG"/>
      </w:pPr>
      <w:r w:rsidRPr="00B0468A">
        <w:t>The Committee sent first reminders to the following States parties whose follow-up reports were overdue</w:t>
      </w:r>
      <w:r w:rsidRPr="00574706">
        <w:t>:</w:t>
      </w:r>
    </w:p>
    <w:p w14:paraId="33306EA8" w14:textId="3F78C819" w:rsidR="00594DF6" w:rsidRPr="00AA7AF7" w:rsidRDefault="00594DF6" w:rsidP="00594DF6">
      <w:pPr>
        <w:pStyle w:val="SingleTxtG"/>
        <w:rPr>
          <w:lang w:eastAsia="en-GB"/>
        </w:rPr>
      </w:pPr>
      <w:r>
        <w:rPr>
          <w:lang w:eastAsia="en-GB"/>
        </w:rPr>
        <w:tab/>
      </w:r>
      <w:r>
        <w:rPr>
          <w:lang w:eastAsia="en-GB"/>
        </w:rPr>
        <w:tab/>
        <w:t>(</w:t>
      </w:r>
      <w:r w:rsidRPr="00AA7AF7">
        <w:rPr>
          <w:lang w:eastAsia="en-GB"/>
        </w:rPr>
        <w:t>1)</w:t>
      </w:r>
      <w:r w:rsidRPr="00AA7AF7">
        <w:rPr>
          <w:lang w:eastAsia="en-GB"/>
        </w:rPr>
        <w:tab/>
        <w:t>Austria</w:t>
      </w:r>
    </w:p>
    <w:p w14:paraId="6411FF31" w14:textId="2659009A" w:rsidR="00594DF6" w:rsidRDefault="00594DF6" w:rsidP="00594DF6">
      <w:pPr>
        <w:pStyle w:val="SingleTxtG"/>
        <w:rPr>
          <w:lang w:val="it-IT" w:eastAsia="en-GB"/>
        </w:rPr>
      </w:pPr>
      <w:r>
        <w:rPr>
          <w:lang w:val="it-IT" w:eastAsia="en-GB"/>
        </w:rPr>
        <w:tab/>
      </w:r>
      <w:r>
        <w:rPr>
          <w:lang w:val="it-IT" w:eastAsia="en-GB"/>
        </w:rPr>
        <w:tab/>
        <w:t>(2)</w:t>
      </w:r>
      <w:r>
        <w:rPr>
          <w:lang w:val="it-IT" w:eastAsia="en-GB"/>
        </w:rPr>
        <w:tab/>
        <w:t>Cabo Verde</w:t>
      </w:r>
    </w:p>
    <w:p w14:paraId="2177E4AD" w14:textId="392D9FD2" w:rsidR="00594DF6" w:rsidRPr="00AA7AF7" w:rsidRDefault="00594DF6" w:rsidP="00594DF6">
      <w:pPr>
        <w:pStyle w:val="SingleTxtG"/>
        <w:rPr>
          <w:lang w:eastAsia="en-GB"/>
        </w:rPr>
      </w:pPr>
      <w:r>
        <w:rPr>
          <w:lang w:eastAsia="en-GB"/>
        </w:rPr>
        <w:tab/>
      </w:r>
      <w:r>
        <w:rPr>
          <w:lang w:eastAsia="en-GB"/>
        </w:rPr>
        <w:tab/>
        <w:t>(</w:t>
      </w:r>
      <w:r w:rsidRPr="00AA7AF7">
        <w:rPr>
          <w:lang w:eastAsia="en-GB"/>
        </w:rPr>
        <w:t>3)</w:t>
      </w:r>
      <w:r w:rsidRPr="00AA7AF7">
        <w:rPr>
          <w:lang w:eastAsia="en-GB"/>
        </w:rPr>
        <w:tab/>
        <w:t xml:space="preserve">Côte d’Ivoire </w:t>
      </w:r>
    </w:p>
    <w:p w14:paraId="0F8C8D94" w14:textId="58D9DE2F" w:rsidR="00594DF6" w:rsidRPr="00AA7AF7" w:rsidRDefault="00594DF6" w:rsidP="00594DF6">
      <w:pPr>
        <w:pStyle w:val="SingleTxtG"/>
        <w:rPr>
          <w:lang w:eastAsia="en-GB"/>
        </w:rPr>
      </w:pPr>
      <w:r>
        <w:rPr>
          <w:lang w:eastAsia="en-GB"/>
        </w:rPr>
        <w:tab/>
      </w:r>
      <w:r>
        <w:rPr>
          <w:lang w:eastAsia="en-GB"/>
        </w:rPr>
        <w:tab/>
        <w:t>(</w:t>
      </w:r>
      <w:r w:rsidRPr="00AA7AF7">
        <w:rPr>
          <w:lang w:eastAsia="en-GB"/>
        </w:rPr>
        <w:t>4)</w:t>
      </w:r>
      <w:r w:rsidRPr="00AA7AF7">
        <w:rPr>
          <w:lang w:eastAsia="en-GB"/>
        </w:rPr>
        <w:tab/>
        <w:t>Democratic Republic of the Congo</w:t>
      </w:r>
    </w:p>
    <w:p w14:paraId="1E201A3E" w14:textId="46DE4A6C" w:rsidR="00594DF6" w:rsidRDefault="00594DF6" w:rsidP="00594DF6">
      <w:pPr>
        <w:pStyle w:val="SingleTxtG"/>
        <w:rPr>
          <w:lang w:eastAsia="en-GB"/>
        </w:rPr>
      </w:pPr>
      <w:r>
        <w:rPr>
          <w:lang w:eastAsia="en-GB"/>
        </w:rPr>
        <w:tab/>
      </w:r>
      <w:r>
        <w:rPr>
          <w:lang w:eastAsia="en-GB"/>
        </w:rPr>
        <w:tab/>
        <w:t>(5)</w:t>
      </w:r>
      <w:r>
        <w:rPr>
          <w:lang w:eastAsia="en-GB"/>
        </w:rPr>
        <w:tab/>
        <w:t xml:space="preserve">Guyana </w:t>
      </w:r>
    </w:p>
    <w:p w14:paraId="509B8E32" w14:textId="584414C9" w:rsidR="00594DF6" w:rsidRDefault="00594DF6" w:rsidP="00594DF6">
      <w:pPr>
        <w:pStyle w:val="SingleTxtG"/>
        <w:rPr>
          <w:lang w:eastAsia="en-GB"/>
        </w:rPr>
      </w:pPr>
      <w:r>
        <w:rPr>
          <w:lang w:eastAsia="en-GB"/>
        </w:rPr>
        <w:tab/>
      </w:r>
      <w:r>
        <w:rPr>
          <w:lang w:eastAsia="en-GB"/>
        </w:rPr>
        <w:tab/>
        <w:t>(6)</w:t>
      </w:r>
      <w:r>
        <w:rPr>
          <w:lang w:eastAsia="en-GB"/>
        </w:rPr>
        <w:tab/>
        <w:t xml:space="preserve">Mozambique </w:t>
      </w:r>
    </w:p>
    <w:p w14:paraId="7AAAED8D" w14:textId="5DF34251" w:rsidR="00594DF6" w:rsidRPr="00CB7D6A" w:rsidRDefault="00594DF6" w:rsidP="00594DF6">
      <w:pPr>
        <w:pStyle w:val="SingleTxtG"/>
        <w:rPr>
          <w:lang w:eastAsia="en-GB"/>
        </w:rPr>
      </w:pPr>
      <w:r>
        <w:rPr>
          <w:lang w:eastAsia="en-GB"/>
        </w:rPr>
        <w:tab/>
      </w:r>
      <w:r>
        <w:rPr>
          <w:lang w:eastAsia="en-GB"/>
        </w:rPr>
        <w:tab/>
        <w:t>(7)</w:t>
      </w:r>
      <w:r>
        <w:rPr>
          <w:lang w:eastAsia="en-GB"/>
        </w:rPr>
        <w:tab/>
        <w:t>Qatar</w:t>
      </w:r>
    </w:p>
    <w:p w14:paraId="0A682ED1" w14:textId="77777777" w:rsidR="00594DF6" w:rsidRPr="00B0468A" w:rsidRDefault="00594DF6" w:rsidP="00594DF6">
      <w:pPr>
        <w:pStyle w:val="HChG"/>
      </w:pPr>
      <w:r w:rsidRPr="00B0468A">
        <w:tab/>
      </w:r>
      <w:r w:rsidRPr="00B0468A">
        <w:tab/>
        <w:t>Chapter V</w:t>
      </w:r>
    </w:p>
    <w:p w14:paraId="59D8AD50" w14:textId="77777777" w:rsidR="00594DF6" w:rsidRPr="00B0468A" w:rsidRDefault="00594DF6" w:rsidP="00594DF6">
      <w:pPr>
        <w:pStyle w:val="H23G"/>
        <w:rPr>
          <w:rFonts w:eastAsia="SimSun"/>
        </w:rPr>
      </w:pPr>
      <w:r w:rsidRPr="00B0468A">
        <w:rPr>
          <w:rFonts w:eastAsia="SimSun"/>
        </w:rPr>
        <w:tab/>
      </w:r>
      <w:r w:rsidRPr="00B0468A">
        <w:rPr>
          <w:rFonts w:eastAsia="SimSun"/>
        </w:rPr>
        <w:tab/>
        <w:t>Activities carried out under the Optional Protocol to the Convention on the Elimination of All Forms of Discrimination against Women</w:t>
      </w:r>
    </w:p>
    <w:p w14:paraId="687DC867" w14:textId="77777777" w:rsidR="00594DF6" w:rsidRPr="00B0468A" w:rsidRDefault="00594DF6" w:rsidP="00594DF6">
      <w:pPr>
        <w:pStyle w:val="SingleTxtG"/>
      </w:pPr>
      <w:r w:rsidRPr="00B0468A">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3C7DF84D" w14:textId="77777777" w:rsidR="00594DF6" w:rsidRPr="00B0468A" w:rsidRDefault="00594DF6" w:rsidP="00594DF6">
      <w:pPr>
        <w:pStyle w:val="H1G"/>
        <w:rPr>
          <w:rFonts w:eastAsia="SimSun"/>
        </w:rPr>
      </w:pPr>
      <w:r w:rsidRPr="00B0468A">
        <w:rPr>
          <w:rFonts w:eastAsia="SimSun"/>
        </w:rPr>
        <w:tab/>
        <w:t>A.</w:t>
      </w:r>
      <w:r w:rsidRPr="00B0468A">
        <w:rPr>
          <w:rFonts w:eastAsia="SimSun"/>
        </w:rPr>
        <w:tab/>
        <w:t>Action taken by the Committee in respect of issues arising from article 2 of the Optional Protocol</w:t>
      </w:r>
    </w:p>
    <w:p w14:paraId="47AB767E" w14:textId="5333C052" w:rsidR="00594DF6" w:rsidRPr="00B0468A" w:rsidRDefault="00594DF6" w:rsidP="00594DF6">
      <w:pPr>
        <w:pStyle w:val="SingleTxtG"/>
      </w:pPr>
      <w:r w:rsidRPr="00B0468A">
        <w:t>The Committee discussed activities under article 2 of the Optional Protocol on 21 June 2021. It endorsed the report of the Working Group on Communications under the Optional Protocol regarding its fiftieth session (</w:t>
      </w:r>
      <w:hyperlink r:id="rId12" w:history="1">
        <w:r w:rsidRPr="007F06B0">
          <w:rPr>
            <w:rStyle w:val="Hyperlink"/>
          </w:rPr>
          <w:t>see annex 1</w:t>
        </w:r>
      </w:hyperlink>
      <w:r w:rsidRPr="00B0468A">
        <w:t>).</w:t>
      </w:r>
    </w:p>
    <w:p w14:paraId="17ED956B" w14:textId="77777777" w:rsidR="00594DF6" w:rsidRPr="00B0468A" w:rsidRDefault="00594DF6" w:rsidP="00594DF6">
      <w:pPr>
        <w:pStyle w:val="SingleTxtG"/>
      </w:pPr>
      <w:r w:rsidRPr="00B0468A">
        <w:t>The Committee examined three individual communications submitted under article 2 of the Optional Protocol. It adopted three final decisions, declaring inadmissible communication No. 125/2018 concerning Georgia (domestic violence) and finding no violation of the author’s rights in relation to communication No. 131/2018 concerning Belarus (alleged discrimination in the determination of pension benefits). It also decided to discontinue its consideration of communication No. 156/2020 concerning Switzerland (deportation to Morocco) given that the author of the communication had been granted a residence permit. All final decisions were adopted by consensus. The text of the final decisions of the Committee will be available through the Official Document System of the United Nations (</w:t>
      </w:r>
      <w:hyperlink r:id="rId13" w:history="1">
        <w:r w:rsidRPr="00B0468A">
          <w:t>http://documents.un.org/</w:t>
        </w:r>
      </w:hyperlink>
      <w:r w:rsidRPr="00B0468A">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4" w:history="1">
        <w:r w:rsidRPr="00B0468A">
          <w:t>http://juris.ohchr.org/</w:t>
        </w:r>
      </w:hyperlink>
      <w:r w:rsidRPr="00B0468A">
        <w:t xml:space="preserve">). </w:t>
      </w:r>
    </w:p>
    <w:p w14:paraId="1089F4F4" w14:textId="77777777" w:rsidR="00594DF6" w:rsidRPr="00B0468A" w:rsidRDefault="00594DF6" w:rsidP="00594DF6">
      <w:pPr>
        <w:pStyle w:val="SingleTxtG"/>
      </w:pPr>
      <w:r w:rsidRPr="00B0468A">
        <w:t xml:space="preserve">In accordance with rule 93 of its rules of procedure, the Committee by unanimous decision adopted the recommendation of the Working Group on Communications to amend rule 67 of the rules of procedure by adding the following text: “The Committee, or a working group, shall further ascertain that the communication does not constitute an abuse of the right of submission. An abuse of the right of submission is not, in principle, a basis of a decision of inadmissibility </w:t>
      </w:r>
      <w:r w:rsidRPr="00B0468A">
        <w:rPr>
          <w:i/>
        </w:rPr>
        <w:t xml:space="preserve">ratione temporis </w:t>
      </w:r>
      <w:r w:rsidRPr="00B0468A">
        <w:t>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p>
    <w:p w14:paraId="1786E845" w14:textId="77777777" w:rsidR="00594DF6" w:rsidRPr="00820BF5" w:rsidRDefault="00594DF6" w:rsidP="00594DF6">
      <w:pPr>
        <w:pStyle w:val="H1G"/>
        <w:rPr>
          <w:rFonts w:eastAsia="SimSun"/>
        </w:rPr>
      </w:pPr>
      <w:r w:rsidRPr="00820BF5">
        <w:rPr>
          <w:rFonts w:eastAsia="SimSun"/>
        </w:rPr>
        <w:tab/>
        <w:t>B.</w:t>
      </w:r>
      <w:r w:rsidRPr="00820BF5">
        <w:rPr>
          <w:rFonts w:eastAsia="SimSun"/>
        </w:rPr>
        <w:tab/>
        <w:t>Follow-up to views of the Committee on individual communications</w:t>
      </w:r>
    </w:p>
    <w:p w14:paraId="2D895850" w14:textId="77777777" w:rsidR="00594DF6" w:rsidRPr="00B0468A" w:rsidRDefault="00594DF6" w:rsidP="00594DF6">
      <w:pPr>
        <w:pStyle w:val="SingleTxtG"/>
      </w:pPr>
      <w:r w:rsidRPr="00B0468A">
        <w:t>The Committee was informed that the Working Group, during its fiftieth session, had examined the follow-up information received from the State party in relation to communication No. 138/2018 concerning Spain and had decided to keep the follow-up dialogue with the State party ongoing. It requested the Secretariat to arrange for a meeting with representatives of the Permanent Mission of Spain to the United Nations Office to discuss follow-up to views once in-person sessions of the Committee resume.</w:t>
      </w:r>
    </w:p>
    <w:p w14:paraId="090DC637" w14:textId="77777777" w:rsidR="00594DF6" w:rsidRPr="00B0468A" w:rsidRDefault="00594DF6" w:rsidP="00594DF6">
      <w:pPr>
        <w:pStyle w:val="H1G"/>
        <w:rPr>
          <w:rFonts w:eastAsia="SimSun"/>
        </w:rPr>
      </w:pPr>
      <w:r w:rsidRPr="00B0468A">
        <w:rPr>
          <w:rFonts w:eastAsia="SimSun"/>
        </w:rPr>
        <w:tab/>
        <w:t>C.</w:t>
      </w:r>
      <w:r w:rsidRPr="00B0468A">
        <w:rPr>
          <w:rFonts w:eastAsia="SimSun"/>
        </w:rPr>
        <w:tab/>
        <w:t>Action taken by the Committee in respect of issues arising from article 8 of the Optional Protocol</w:t>
      </w:r>
    </w:p>
    <w:p w14:paraId="7079D497" w14:textId="7230FAAC" w:rsidR="00594DF6" w:rsidRPr="00B0468A" w:rsidRDefault="00594DF6" w:rsidP="00594DF6">
      <w:pPr>
        <w:pStyle w:val="SingleTxtG"/>
      </w:pPr>
      <w:r w:rsidRPr="00B0468A">
        <w:t>The Committee discussed activities under article 8 of the Optional Protocol on 22 June 2021. It endorsed the report of the Working Group on Inquiries under the Optional Protocol regarding its nineteenth session (</w:t>
      </w:r>
      <w:hyperlink r:id="rId15" w:history="1">
        <w:r w:rsidRPr="007F06B0">
          <w:rPr>
            <w:rStyle w:val="Hyperlink"/>
          </w:rPr>
          <w:t>see annex 2</w:t>
        </w:r>
      </w:hyperlink>
      <w:r w:rsidRPr="00B0468A">
        <w:t>).</w:t>
      </w:r>
    </w:p>
    <w:p w14:paraId="0CDD8FEE" w14:textId="77777777" w:rsidR="00594DF6" w:rsidRPr="00B0468A" w:rsidRDefault="00594DF6" w:rsidP="00594DF6">
      <w:pPr>
        <w:pStyle w:val="SingleTxtG"/>
      </w:pPr>
      <w:r w:rsidRPr="00B0468A">
        <w:t>In relation to Inquiry No. 2011/4, the Committee decided to invite Mali to inform it of the measures taken in response to the inquiry.</w:t>
      </w:r>
    </w:p>
    <w:p w14:paraId="2AE766AB" w14:textId="77777777" w:rsidR="00594DF6" w:rsidRPr="00B0468A" w:rsidRDefault="00594DF6" w:rsidP="00594DF6">
      <w:pPr>
        <w:pStyle w:val="SingleTxtG"/>
      </w:pPr>
      <w:r w:rsidRPr="00B0468A">
        <w:t>The Committee also endorsed the following recommendation of the Working Group on Inquiries:</w:t>
      </w:r>
    </w:p>
    <w:p w14:paraId="0A5A735C" w14:textId="77777777" w:rsidR="00594DF6" w:rsidRPr="00B0468A" w:rsidRDefault="00594DF6" w:rsidP="00594DF6">
      <w:pPr>
        <w:pStyle w:val="SingleTxtG"/>
      </w:pPr>
      <w:r w:rsidRPr="00B0468A">
        <w:tab/>
        <w:t>In relation to submission No. 2020/1, that having conducted a preliminary assessment of the information received under article 8, paragraph 1, of the Optional Protocol and of the observations thereon submitted by the State party concerned, the Committee shall decide not to conduct an inquiry because the threshold has not been met.</w:t>
      </w:r>
    </w:p>
    <w:p w14:paraId="4B083D9A" w14:textId="77777777" w:rsidR="00594DF6" w:rsidRPr="00B0468A" w:rsidRDefault="00594DF6" w:rsidP="00594DF6">
      <w:pPr>
        <w:pStyle w:val="HChG"/>
      </w:pPr>
      <w:r w:rsidRPr="00B0468A">
        <w:tab/>
      </w:r>
      <w:r w:rsidRPr="00B0468A">
        <w:tab/>
        <w:t>Chapter VI</w:t>
      </w:r>
    </w:p>
    <w:p w14:paraId="16302B18" w14:textId="77777777" w:rsidR="00594DF6" w:rsidRPr="00B0468A" w:rsidRDefault="00594DF6" w:rsidP="00594DF6">
      <w:pPr>
        <w:pStyle w:val="H1G"/>
        <w:rPr>
          <w:rFonts w:eastAsia="SimSun"/>
        </w:rPr>
      </w:pPr>
      <w:r w:rsidRPr="00B0468A">
        <w:rPr>
          <w:rFonts w:eastAsia="SimSun"/>
        </w:rPr>
        <w:tab/>
        <w:t>A.</w:t>
      </w:r>
      <w:r w:rsidRPr="00B0468A">
        <w:rPr>
          <w:rFonts w:eastAsia="SimSun"/>
        </w:rPr>
        <w:tab/>
        <w:t>Ways and means of expediting the work of the Committee</w:t>
      </w:r>
    </w:p>
    <w:p w14:paraId="50F1EBA5" w14:textId="77777777" w:rsidR="00594DF6" w:rsidRPr="00B0468A" w:rsidRDefault="00594DF6" w:rsidP="00594DF6">
      <w:pPr>
        <w:pStyle w:val="SingleTxtG"/>
        <w:rPr>
          <w:rFonts w:eastAsia="SimSun"/>
        </w:rPr>
      </w:pPr>
      <w:r w:rsidRPr="00B0468A">
        <w:t>The</w:t>
      </w:r>
      <w:r w:rsidRPr="00B0468A">
        <w:rPr>
          <w:rFonts w:eastAsia="SimSun"/>
        </w:rPr>
        <w:t xml:space="preserve"> Secretariat informed the Committee about the status of submission of overdue reports by States parties under article 18 of the Convention </w:t>
      </w:r>
      <w:r w:rsidRPr="00B0468A">
        <w:rPr>
          <w:rFonts w:eastAsia="SimSun"/>
          <w:highlight w:val="yellow"/>
        </w:rPr>
        <w:t>(future link)</w:t>
      </w:r>
      <w:r w:rsidRPr="00B0468A">
        <w:rPr>
          <w:rFonts w:eastAsia="SimSun"/>
        </w:rPr>
        <w:t>.</w:t>
      </w:r>
    </w:p>
    <w:p w14:paraId="6BE9EE0F" w14:textId="77777777" w:rsidR="00594DF6" w:rsidRPr="00B0468A" w:rsidRDefault="00594DF6" w:rsidP="00594DF6">
      <w:pPr>
        <w:pStyle w:val="H1G"/>
        <w:rPr>
          <w:rFonts w:eastAsia="SimSun"/>
        </w:rPr>
      </w:pPr>
      <w:r w:rsidRPr="00B0468A">
        <w:rPr>
          <w:rFonts w:eastAsia="SimSun"/>
        </w:rPr>
        <w:tab/>
        <w:t>B.</w:t>
      </w:r>
      <w:r w:rsidRPr="00B0468A">
        <w:rPr>
          <w:rFonts w:eastAsia="SimSun"/>
        </w:rPr>
        <w:tab/>
        <w:t xml:space="preserve">Action taken by the Committee under agenda item 7 </w:t>
      </w:r>
    </w:p>
    <w:p w14:paraId="085E9C7B" w14:textId="77777777" w:rsidR="00594DF6" w:rsidRPr="00B0468A" w:rsidRDefault="00594DF6" w:rsidP="00594DF6">
      <w:pPr>
        <w:pStyle w:val="H23G"/>
      </w:pPr>
      <w:r w:rsidRPr="00B0468A">
        <w:tab/>
      </w:r>
      <w:r w:rsidRPr="00B0468A">
        <w:tab/>
        <w:t>Dates of future sessions of the Committee</w:t>
      </w:r>
    </w:p>
    <w:p w14:paraId="30A5C4DF" w14:textId="77777777" w:rsidR="00594DF6" w:rsidRPr="00B0468A" w:rsidRDefault="00594DF6" w:rsidP="00594DF6">
      <w:pPr>
        <w:pStyle w:val="SingleTxtG"/>
      </w:pPr>
      <w:r w:rsidRPr="00B0468A">
        <w:t>In accordance with the calendar of conferences, the following dates are tentatively confirmed for the Committee’s eightieth session, subject to possible restrictions on travel and physical meetings that may be required by the ongoing COVID-19 pandemic:</w:t>
      </w:r>
    </w:p>
    <w:p w14:paraId="627E5C9A" w14:textId="77777777" w:rsidR="00594DF6" w:rsidRPr="00B0468A" w:rsidRDefault="00594DF6" w:rsidP="00594DF6">
      <w:pPr>
        <w:pStyle w:val="SingleTxtG"/>
        <w:rPr>
          <w:u w:val="single"/>
        </w:rPr>
      </w:pPr>
      <w:r w:rsidRPr="00B0468A">
        <w:rPr>
          <w:u w:val="single"/>
        </w:rPr>
        <w:t>Eightieth Session</w:t>
      </w:r>
    </w:p>
    <w:p w14:paraId="24B365A0" w14:textId="77777777" w:rsidR="00594DF6" w:rsidRPr="00B0468A" w:rsidRDefault="00594DF6" w:rsidP="00594DF6">
      <w:pPr>
        <w:pStyle w:val="SingleTxtG"/>
      </w:pPr>
      <w:r w:rsidRPr="00B0468A">
        <w:t>Fifty-first session of the Working Group on Communications under the Optional Protocol: 13 to 15 October 2021</w:t>
      </w:r>
    </w:p>
    <w:p w14:paraId="114E7143" w14:textId="77777777" w:rsidR="00594DF6" w:rsidRPr="00B0468A" w:rsidRDefault="00594DF6" w:rsidP="00594DF6">
      <w:pPr>
        <w:pStyle w:val="SingleTxtG"/>
      </w:pPr>
      <w:r w:rsidRPr="00B0468A">
        <w:t>Twentieth session of the Working Group on Inquiries under the Optional Protocol: 14 and 15 October 2021</w:t>
      </w:r>
    </w:p>
    <w:p w14:paraId="095BCB6B" w14:textId="77777777" w:rsidR="00594DF6" w:rsidRPr="00B0468A" w:rsidRDefault="00594DF6" w:rsidP="00594DF6">
      <w:pPr>
        <w:pStyle w:val="SingleTxtG"/>
      </w:pPr>
      <w:r w:rsidRPr="00B0468A">
        <w:t>Eightieth session: 18 October to 12 November 2021</w:t>
      </w:r>
    </w:p>
    <w:p w14:paraId="21978491" w14:textId="77777777" w:rsidR="00594DF6" w:rsidRPr="00B0468A" w:rsidRDefault="00594DF6" w:rsidP="00594DF6">
      <w:pPr>
        <w:pStyle w:val="SingleTxtG"/>
      </w:pPr>
      <w:r w:rsidRPr="00B0468A">
        <w:t>Pre-session working group for the eighty-second session: To be converted into one additional week of plenary meeting time from 8 to 12 November 2021</w:t>
      </w:r>
    </w:p>
    <w:p w14:paraId="4CC56719" w14:textId="77777777" w:rsidR="00594DF6" w:rsidRPr="00B0468A" w:rsidRDefault="00594DF6" w:rsidP="00594DF6">
      <w:pPr>
        <w:pStyle w:val="H23G"/>
      </w:pPr>
      <w:r w:rsidRPr="00B0468A">
        <w:tab/>
      </w:r>
      <w:r w:rsidRPr="00B0468A">
        <w:tab/>
        <w:t>Reports to be considered at future sessions of the Committee</w:t>
      </w:r>
    </w:p>
    <w:p w14:paraId="4C10FB4E" w14:textId="77777777" w:rsidR="00594DF6" w:rsidRPr="00B0468A" w:rsidRDefault="00594DF6" w:rsidP="00594DF6">
      <w:pPr>
        <w:pStyle w:val="SingleTxtG"/>
      </w:pPr>
      <w:r w:rsidRPr="00B0468A">
        <w:t>Subject to possible future disruptions in the holding of physical sessions due to the ongoing COVID-19 pandemic, the Committee confirmed that it will consider the reports of the following States parties at its eightieth session:</w:t>
      </w:r>
    </w:p>
    <w:p w14:paraId="4285B547" w14:textId="77777777" w:rsidR="00594DF6" w:rsidRPr="00820BF5" w:rsidRDefault="00594DF6" w:rsidP="00594DF6">
      <w:pPr>
        <w:pStyle w:val="SingleTxtG"/>
        <w:rPr>
          <w:u w:val="single"/>
        </w:rPr>
      </w:pPr>
      <w:r>
        <w:rPr>
          <w:u w:val="single"/>
        </w:rPr>
        <w:t>Eightieth</w:t>
      </w:r>
      <w:r w:rsidRPr="00820BF5">
        <w:rPr>
          <w:u w:val="single"/>
        </w:rPr>
        <w:t xml:space="preserve"> session:</w:t>
      </w:r>
    </w:p>
    <w:p w14:paraId="1E884BBF" w14:textId="0D26E58E" w:rsidR="00594DF6" w:rsidRPr="00B0468A" w:rsidRDefault="00594DF6" w:rsidP="00594DF6">
      <w:pPr>
        <w:pStyle w:val="SingleTxtG"/>
      </w:pPr>
      <w:r>
        <w:tab/>
      </w:r>
      <w:r>
        <w:tab/>
      </w:r>
      <w:r w:rsidRPr="00B0468A">
        <w:t>(1)</w:t>
      </w:r>
      <w:r w:rsidRPr="00B0468A">
        <w:tab/>
        <w:t>Ecuador (under the simplified reporting procedure)</w:t>
      </w:r>
    </w:p>
    <w:p w14:paraId="6DCEA7E4" w14:textId="28414371" w:rsidR="00594DF6" w:rsidRPr="00B0468A" w:rsidRDefault="00594DF6" w:rsidP="00594DF6">
      <w:pPr>
        <w:pStyle w:val="SingleTxtG"/>
      </w:pPr>
      <w:r>
        <w:tab/>
      </w:r>
      <w:r>
        <w:tab/>
      </w:r>
      <w:r w:rsidRPr="00B0468A">
        <w:t>(2)</w:t>
      </w:r>
      <w:r w:rsidRPr="00B0468A">
        <w:tab/>
        <w:t>Egypt</w:t>
      </w:r>
    </w:p>
    <w:p w14:paraId="2C0BB6F0" w14:textId="6AC50B22" w:rsidR="00594DF6" w:rsidRPr="00B0468A" w:rsidRDefault="00594DF6" w:rsidP="00594DF6">
      <w:pPr>
        <w:pStyle w:val="SingleTxtG"/>
      </w:pPr>
      <w:r>
        <w:tab/>
      </w:r>
      <w:r>
        <w:tab/>
      </w:r>
      <w:r w:rsidRPr="00B0468A">
        <w:t>(3)</w:t>
      </w:r>
      <w:r w:rsidRPr="00B0468A">
        <w:tab/>
        <w:t>Indonesia</w:t>
      </w:r>
    </w:p>
    <w:p w14:paraId="5875D83F" w14:textId="24490353" w:rsidR="00594DF6" w:rsidRPr="00B0468A" w:rsidRDefault="00594DF6" w:rsidP="00594DF6">
      <w:pPr>
        <w:pStyle w:val="SingleTxtG"/>
      </w:pPr>
      <w:r>
        <w:tab/>
      </w:r>
      <w:r>
        <w:tab/>
      </w:r>
      <w:r w:rsidRPr="00B0468A">
        <w:t>(4)</w:t>
      </w:r>
      <w:r w:rsidRPr="00B0468A">
        <w:tab/>
        <w:t>Kyrgyzstan</w:t>
      </w:r>
    </w:p>
    <w:p w14:paraId="3BF5D888" w14:textId="20115741" w:rsidR="00594DF6" w:rsidRPr="00B0468A" w:rsidRDefault="00594DF6" w:rsidP="00594DF6">
      <w:pPr>
        <w:pStyle w:val="SingleTxtG"/>
      </w:pPr>
      <w:r>
        <w:tab/>
      </w:r>
      <w:r>
        <w:tab/>
      </w:r>
      <w:r w:rsidRPr="00B0468A">
        <w:t>(5)</w:t>
      </w:r>
      <w:r w:rsidRPr="00B0468A">
        <w:tab/>
        <w:t>Maldives</w:t>
      </w:r>
    </w:p>
    <w:p w14:paraId="6180A59B" w14:textId="544D12C2" w:rsidR="00594DF6" w:rsidRPr="00B0468A" w:rsidRDefault="00594DF6" w:rsidP="00594DF6">
      <w:pPr>
        <w:pStyle w:val="SingleTxtG"/>
      </w:pPr>
      <w:r>
        <w:tab/>
      </w:r>
      <w:r>
        <w:tab/>
      </w:r>
      <w:r w:rsidRPr="00B0468A">
        <w:t>(6)</w:t>
      </w:r>
      <w:r w:rsidRPr="00B0468A">
        <w:tab/>
        <w:t>Nicaragua</w:t>
      </w:r>
    </w:p>
    <w:p w14:paraId="1F5E2119" w14:textId="2BD57485" w:rsidR="00594DF6" w:rsidRPr="00B0468A" w:rsidRDefault="00594DF6" w:rsidP="00594DF6">
      <w:pPr>
        <w:pStyle w:val="SingleTxtG"/>
      </w:pPr>
      <w:r>
        <w:tab/>
      </w:r>
      <w:r>
        <w:tab/>
      </w:r>
      <w:r w:rsidRPr="00B0468A">
        <w:t>(7)</w:t>
      </w:r>
      <w:r w:rsidRPr="00B0468A">
        <w:tab/>
        <w:t>Russian Federation</w:t>
      </w:r>
    </w:p>
    <w:p w14:paraId="7928843C" w14:textId="36E3D634" w:rsidR="00594DF6" w:rsidRPr="00B0468A" w:rsidRDefault="00594DF6" w:rsidP="00594DF6">
      <w:pPr>
        <w:pStyle w:val="SingleTxtG"/>
      </w:pPr>
      <w:r>
        <w:tab/>
      </w:r>
      <w:r>
        <w:tab/>
      </w:r>
      <w:r w:rsidRPr="00B0468A">
        <w:t>(8)</w:t>
      </w:r>
      <w:r w:rsidRPr="00B0468A">
        <w:tab/>
        <w:t>South Africa</w:t>
      </w:r>
    </w:p>
    <w:p w14:paraId="2265EEEE" w14:textId="5D9D5218" w:rsidR="00594DF6" w:rsidRPr="00B0468A" w:rsidRDefault="00594DF6" w:rsidP="00594DF6">
      <w:pPr>
        <w:pStyle w:val="SingleTxtG"/>
      </w:pPr>
      <w:r>
        <w:tab/>
      </w:r>
      <w:r>
        <w:tab/>
      </w:r>
      <w:r w:rsidRPr="00B0468A">
        <w:t>(9)</w:t>
      </w:r>
      <w:r w:rsidRPr="00B0468A">
        <w:tab/>
        <w:t>South Sudan</w:t>
      </w:r>
    </w:p>
    <w:p w14:paraId="3B8BE120" w14:textId="77634E50" w:rsidR="00594DF6" w:rsidRPr="00B0468A" w:rsidRDefault="00594DF6" w:rsidP="00594DF6">
      <w:pPr>
        <w:pStyle w:val="SingleTxtG"/>
      </w:pPr>
      <w:r>
        <w:tab/>
      </w:r>
      <w:r>
        <w:tab/>
      </w:r>
      <w:r w:rsidRPr="00B0468A">
        <w:t>(10)</w:t>
      </w:r>
      <w:r w:rsidRPr="00B0468A">
        <w:tab/>
        <w:t>Spain (under the simplified reporting procedure)</w:t>
      </w:r>
    </w:p>
    <w:p w14:paraId="0048591A" w14:textId="37C04CF9" w:rsidR="00594DF6" w:rsidRPr="00B0468A" w:rsidRDefault="00594DF6" w:rsidP="00594DF6">
      <w:pPr>
        <w:pStyle w:val="SingleTxtG"/>
      </w:pPr>
      <w:r>
        <w:tab/>
      </w:r>
      <w:r>
        <w:tab/>
      </w:r>
      <w:r w:rsidRPr="00B0468A">
        <w:t>(11)</w:t>
      </w:r>
      <w:r w:rsidRPr="00B0468A">
        <w:tab/>
        <w:t>Sweden (under the simplified reporting procedure)</w:t>
      </w:r>
    </w:p>
    <w:p w14:paraId="728EF111" w14:textId="6755B450" w:rsidR="00594DF6" w:rsidRPr="00B0468A" w:rsidRDefault="00594DF6" w:rsidP="00594DF6">
      <w:pPr>
        <w:pStyle w:val="SingleTxtG"/>
      </w:pPr>
      <w:r>
        <w:tab/>
      </w:r>
      <w:r>
        <w:tab/>
      </w:r>
      <w:r w:rsidRPr="00B0468A">
        <w:t>(12)</w:t>
      </w:r>
      <w:r w:rsidRPr="00B0468A">
        <w:tab/>
        <w:t>Yemen</w:t>
      </w:r>
    </w:p>
    <w:p w14:paraId="70C302F9" w14:textId="77777777" w:rsidR="00594DF6" w:rsidRPr="00B0468A" w:rsidRDefault="00594DF6" w:rsidP="00594DF6">
      <w:pPr>
        <w:pStyle w:val="HChG"/>
      </w:pPr>
      <w:r w:rsidRPr="00B0468A">
        <w:tab/>
      </w:r>
      <w:r w:rsidRPr="00B0468A">
        <w:tab/>
        <w:t>Chapter VII</w:t>
      </w:r>
    </w:p>
    <w:p w14:paraId="045604F8" w14:textId="77777777" w:rsidR="00594DF6" w:rsidRPr="00B0468A" w:rsidRDefault="00594DF6" w:rsidP="00594DF6">
      <w:pPr>
        <w:pStyle w:val="H23G"/>
        <w:rPr>
          <w:rFonts w:eastAsia="SimSun"/>
        </w:rPr>
      </w:pPr>
      <w:r w:rsidRPr="00B0468A">
        <w:rPr>
          <w:rFonts w:eastAsia="SimSun"/>
        </w:rPr>
        <w:tab/>
      </w:r>
      <w:r w:rsidRPr="00B0468A">
        <w:rPr>
          <w:rFonts w:eastAsia="SimSun"/>
        </w:rPr>
        <w:tab/>
        <w:t>Implementation of article 21 of the Convention</w:t>
      </w:r>
    </w:p>
    <w:p w14:paraId="730950F8" w14:textId="77777777" w:rsidR="00594DF6" w:rsidRPr="00B0468A" w:rsidRDefault="00594DF6" w:rsidP="00594DF6">
      <w:pPr>
        <w:pStyle w:val="H1G"/>
      </w:pPr>
      <w:r w:rsidRPr="00B0468A">
        <w:rPr>
          <w:rFonts w:eastAsia="SimSun"/>
        </w:rPr>
        <w:tab/>
        <w:t>A.</w:t>
      </w:r>
      <w:r w:rsidRPr="00B0468A">
        <w:rPr>
          <w:rFonts w:eastAsia="SimSun"/>
        </w:rPr>
        <w:tab/>
        <w:t>Action taken by the Committee under agenda item 6</w:t>
      </w:r>
    </w:p>
    <w:p w14:paraId="477420BF" w14:textId="77777777" w:rsidR="00594DF6" w:rsidRPr="00B0468A" w:rsidRDefault="00594DF6" w:rsidP="00594DF6">
      <w:pPr>
        <w:pStyle w:val="H23G"/>
        <w:rPr>
          <w:rFonts w:eastAsia="SimSun"/>
        </w:rPr>
      </w:pPr>
      <w:r>
        <w:rPr>
          <w:rFonts w:eastAsia="SimSun"/>
        </w:rPr>
        <w:tab/>
      </w:r>
      <w:r>
        <w:rPr>
          <w:rFonts w:eastAsia="SimSun"/>
        </w:rPr>
        <w:tab/>
      </w:r>
      <w:r w:rsidRPr="00B0468A">
        <w:rPr>
          <w:rFonts w:eastAsia="SimSun"/>
        </w:rPr>
        <w:t>Working Group on working methods</w:t>
      </w:r>
    </w:p>
    <w:p w14:paraId="4D191388" w14:textId="77777777" w:rsidR="00594DF6" w:rsidRPr="00B0468A" w:rsidRDefault="00594DF6" w:rsidP="00594DF6">
      <w:pPr>
        <w:pStyle w:val="SingleTxtG"/>
      </w:pPr>
      <w:r w:rsidRPr="00B0468A">
        <w:t>The Working Group met during the session. It discussed and submitted to the Committee draft decisions concerning amendments to the rules of procedure (see decision 79/4), the limitation of online sessions to two weeks and of online dialogues to very exceptional circumstances (see decision 79/6) and ways to reduce the backlog of State party reports (see decision 79/7).</w:t>
      </w:r>
    </w:p>
    <w:p w14:paraId="560F2192" w14:textId="77777777" w:rsidR="00594DF6" w:rsidRPr="00B0468A" w:rsidRDefault="00594DF6" w:rsidP="00594DF6">
      <w:pPr>
        <w:pStyle w:val="H23G"/>
        <w:rPr>
          <w:highlight w:val="yellow"/>
        </w:rPr>
      </w:pPr>
      <w:r w:rsidRPr="00B0468A">
        <w:tab/>
      </w:r>
      <w:r w:rsidRPr="00B0468A">
        <w:tab/>
        <w:t>Working Group on gender-based violence against women</w:t>
      </w:r>
    </w:p>
    <w:p w14:paraId="1D87BDBA" w14:textId="77777777" w:rsidR="00594DF6" w:rsidRPr="00B0468A" w:rsidRDefault="00594DF6" w:rsidP="00594DF6">
      <w:pPr>
        <w:pStyle w:val="SingleTxtG"/>
      </w:pPr>
      <w:r w:rsidRPr="00B0468A">
        <w:t>The working group met during the session. The members in charge of the different sections of the draft guidance note for States parties on the implementation of their obligations and their accountability as set out in general recommendation No. 35 (2017) on gender-based violence against women, updating general recommendation No. 19, informed the other members of the working group of the latest developments in relation to their sections. The working group also discussed various issues that should be covered in the Guidance Note.</w:t>
      </w:r>
    </w:p>
    <w:p w14:paraId="7B863A52" w14:textId="77777777" w:rsidR="00594DF6" w:rsidRPr="00B0468A" w:rsidRDefault="00594DF6" w:rsidP="00594DF6">
      <w:pPr>
        <w:pStyle w:val="H23G"/>
      </w:pPr>
      <w:r w:rsidRPr="00B0468A">
        <w:tab/>
      </w:r>
      <w:r w:rsidRPr="00B0468A">
        <w:tab/>
        <w:t>Working Group on indigenous women and girls</w:t>
      </w:r>
    </w:p>
    <w:p w14:paraId="67784D01" w14:textId="77777777" w:rsidR="00594DF6" w:rsidRPr="00B0468A" w:rsidRDefault="00594DF6" w:rsidP="00594DF6">
      <w:pPr>
        <w:pStyle w:val="SingleTxtG"/>
      </w:pPr>
      <w:r w:rsidRPr="00B0468A">
        <w:t>The working group met during the session.</w:t>
      </w:r>
    </w:p>
    <w:p w14:paraId="0D2F0AE4" w14:textId="77777777" w:rsidR="00594DF6" w:rsidRPr="00B0468A" w:rsidRDefault="00594DF6" w:rsidP="00594DF6">
      <w:pPr>
        <w:pStyle w:val="SingleTxtG"/>
      </w:pPr>
      <w:r w:rsidRPr="00B0468A">
        <w:t>On 24 June 2021, the Committee held a virtual day of general discussion on the rights of indigenous women and girls, as part of the first phase in the development of a general recommendation on the topic. The discussion was opened by the Chair of the Committee, who also introduced the general recommendation. Opening remarks were delivered by Paulo David, Chief of the Indigenous Peoples and Minorities Section, OHCHR.</w:t>
      </w:r>
    </w:p>
    <w:p w14:paraId="60C1730A" w14:textId="77777777" w:rsidR="00594DF6" w:rsidRPr="00B0468A" w:rsidRDefault="00594DF6" w:rsidP="00594DF6">
      <w:pPr>
        <w:pStyle w:val="SingleTxtG"/>
      </w:pPr>
      <w:r w:rsidRPr="00B0468A">
        <w:t>The following key note speakers made presentations during the two thematic segments of the day of general discussion focusing on intersecting forms of discrimination and political participation: Francisco Calí Tzay, United Nations Special Rapporteur on the rights of indigenous peoples; Laila Vars, Chair of the United Nations Expert Mechanism on the Rights of Indigenous Peoples; Anne Nuorgam, President of the United Nations Permanent Forum on Indigenous Issues; Victoria Tauli-Corpuz, Executive Director of Tebtebba Foundation; and Tarcila Rivera Zea, President of the International Indigenous Women's Forum (FIMI) and of the Executive Council of CHIRAPAQ (Centro de Culturas Indígenas del Perú).</w:t>
      </w:r>
    </w:p>
    <w:p w14:paraId="786738E5" w14:textId="77777777" w:rsidR="00594DF6" w:rsidRPr="00B0468A" w:rsidRDefault="00594DF6" w:rsidP="00594DF6">
      <w:pPr>
        <w:pStyle w:val="SingleTxtG"/>
      </w:pPr>
      <w:r w:rsidRPr="00B0468A">
        <w:t>Statements were made by the following States parties: Argentina, Armenia, Azerbaijan, Brazil, Denmark, Ecuador, Guatemala, Norway, Peru, Philippines, Spain, Sweden, Ukraine, and United Kingdom of Great Britain and Northern Ireland. Statements were also made by the UN Women Regional Office for the Americas and the Caribbean and by a member of the United Nations Committee on the Rights of Persons with Disabilities. Further statements were made by the National Human Rights Commission of India, the Algonquin Anishinaabe-kwe indigenous people and by 21 civil society organizations (African Indigenous Women’s Organization; Article 19; Asia Indigenous Peoples Pact; Canadian Aboriginal AIDS Network; Canadian Feminist Alliance for International Action; Centre for Reproductive Rights; Colectiva IXPOP; FIMI; Grupo Santo Domingo Soriano; Human Rights Council of Greenland; Indigenous Girls and Women Collective; Indigenous Terra Madre and Rosa Luxemburg Stiftung (joint statement); International Network for Economic, Social and Cultural Rights; Maat for Peace; Organización Nacional de Mujeres Indígenas Andinas y Amazónicas del Perú; Right Livelihood Award Foundation and Centro por la Justicia y Derechos Humanos de la Costa Atlántica de Nicaragua (joint statement); National Indigenous Disabled Women Association Nepal; Tebtebba Foundation; and the Union of BC Indian Chiefs).</w:t>
      </w:r>
    </w:p>
    <w:p w14:paraId="2AFEA978" w14:textId="77777777" w:rsidR="00594DF6" w:rsidRPr="00B0468A" w:rsidRDefault="00594DF6" w:rsidP="00594DF6">
      <w:pPr>
        <w:pStyle w:val="SingleTxtG"/>
      </w:pPr>
      <w:r w:rsidRPr="00B0468A">
        <w:t>On 29 June, the working group met to discuss the outcome of the day of general discussion and to update its internal work plan and tentative timeline for drafting and adopting the general recommendation on the rights of indigenous women and girls.</w:t>
      </w:r>
    </w:p>
    <w:p w14:paraId="06B8393D" w14:textId="77777777" w:rsidR="00594DF6" w:rsidRPr="00B0468A" w:rsidRDefault="00594DF6" w:rsidP="00594DF6">
      <w:pPr>
        <w:pStyle w:val="HChG"/>
      </w:pPr>
      <w:r w:rsidRPr="00B0468A">
        <w:tab/>
      </w:r>
      <w:r w:rsidRPr="00B0468A">
        <w:tab/>
        <w:t>Chapter VIII</w:t>
      </w:r>
    </w:p>
    <w:p w14:paraId="64788810" w14:textId="77777777" w:rsidR="00594DF6" w:rsidRPr="00B0468A" w:rsidRDefault="00594DF6" w:rsidP="00594DF6">
      <w:pPr>
        <w:pStyle w:val="H23G"/>
        <w:rPr>
          <w:rFonts w:eastAsia="SimSun"/>
        </w:rPr>
      </w:pPr>
      <w:r w:rsidRPr="00B0468A">
        <w:rPr>
          <w:rFonts w:eastAsia="SimSun"/>
        </w:rPr>
        <w:tab/>
      </w:r>
      <w:r w:rsidRPr="00B0468A">
        <w:rPr>
          <w:rFonts w:eastAsia="SimSun"/>
        </w:rPr>
        <w:tab/>
        <w:t>Provisional agenda for the eightieth session</w:t>
      </w:r>
    </w:p>
    <w:p w14:paraId="7F08C2C6" w14:textId="77777777" w:rsidR="00594DF6" w:rsidRPr="00B0468A" w:rsidRDefault="00594DF6" w:rsidP="00594DF6">
      <w:pPr>
        <w:pStyle w:val="SingleTxtG"/>
      </w:pPr>
      <w:r w:rsidRPr="00B0468A">
        <w:t>On 1 July 2021, the Committee considered and approved the following provisional agenda for its eightieth session:</w:t>
      </w:r>
    </w:p>
    <w:p w14:paraId="0E251487" w14:textId="77777777" w:rsidR="00594DF6" w:rsidRPr="00B0468A" w:rsidRDefault="00594DF6" w:rsidP="00594DF6">
      <w:pPr>
        <w:pStyle w:val="SingleTxtG"/>
      </w:pPr>
      <w:r>
        <w:tab/>
      </w:r>
      <w:r w:rsidRPr="00B0468A">
        <w:t>1.</w:t>
      </w:r>
      <w:r w:rsidRPr="00B0468A">
        <w:tab/>
        <w:t>Opening of the session.</w:t>
      </w:r>
    </w:p>
    <w:p w14:paraId="3F91366A" w14:textId="77777777" w:rsidR="00594DF6" w:rsidRPr="00B0468A" w:rsidRDefault="00594DF6" w:rsidP="00594DF6">
      <w:pPr>
        <w:pStyle w:val="SingleTxtG"/>
      </w:pPr>
      <w:r>
        <w:tab/>
      </w:r>
      <w:r w:rsidRPr="00B0468A">
        <w:t>2.</w:t>
      </w:r>
      <w:r w:rsidRPr="00B0468A">
        <w:tab/>
        <w:t>Adoption of the agenda and organization of work.</w:t>
      </w:r>
    </w:p>
    <w:p w14:paraId="40E16343" w14:textId="77777777" w:rsidR="00594DF6" w:rsidRPr="00B0468A" w:rsidRDefault="00594DF6" w:rsidP="00594DF6">
      <w:pPr>
        <w:pStyle w:val="SingleTxtG"/>
      </w:pPr>
      <w:r>
        <w:tab/>
      </w:r>
      <w:r w:rsidRPr="00B0468A">
        <w:t>3.</w:t>
      </w:r>
      <w:r w:rsidRPr="00B0468A">
        <w:tab/>
        <w:t xml:space="preserve">Report of the Chair on activities undertaken between the seventy-ninth and </w:t>
      </w:r>
      <w:r>
        <w:tab/>
      </w:r>
      <w:r>
        <w:tab/>
      </w:r>
      <w:r w:rsidRPr="00B0468A">
        <w:t>eightieth sessions of the Committee.</w:t>
      </w:r>
    </w:p>
    <w:p w14:paraId="21A9EA9E" w14:textId="77777777" w:rsidR="00594DF6" w:rsidRPr="00B0468A" w:rsidRDefault="00594DF6" w:rsidP="00594DF6">
      <w:pPr>
        <w:pStyle w:val="SingleTxtG"/>
      </w:pPr>
      <w:r>
        <w:tab/>
      </w:r>
      <w:r w:rsidRPr="00B0468A">
        <w:t>4.</w:t>
      </w:r>
      <w:r w:rsidRPr="00B0468A">
        <w:tab/>
        <w:t xml:space="preserve">Consideration of reports submitted by States parties under article 18 of the </w:t>
      </w:r>
      <w:r>
        <w:tab/>
      </w:r>
      <w:r>
        <w:tab/>
      </w:r>
      <w:r w:rsidRPr="00B0468A">
        <w:t xml:space="preserve">Convention on the Elimination of All Forms of Discrimination against </w:t>
      </w:r>
      <w:r>
        <w:tab/>
      </w:r>
      <w:r>
        <w:tab/>
      </w:r>
      <w:r w:rsidRPr="00B0468A">
        <w:t>Women.</w:t>
      </w:r>
    </w:p>
    <w:p w14:paraId="0E9A6ABF" w14:textId="77777777" w:rsidR="00594DF6" w:rsidRPr="00B0468A" w:rsidRDefault="00594DF6" w:rsidP="00594DF6">
      <w:pPr>
        <w:pStyle w:val="SingleTxtG"/>
      </w:pPr>
      <w:r>
        <w:tab/>
      </w:r>
      <w:r w:rsidRPr="00B0468A">
        <w:t>5.</w:t>
      </w:r>
      <w:r w:rsidRPr="00B0468A">
        <w:tab/>
        <w:t xml:space="preserve">Follow-up to concluding observations on reports submitted by States parties </w:t>
      </w:r>
      <w:r>
        <w:tab/>
      </w:r>
      <w:r>
        <w:tab/>
      </w:r>
      <w:r w:rsidRPr="00B0468A">
        <w:t xml:space="preserve">under article 18 of the Convention on the Elimination of All Forms of </w:t>
      </w:r>
      <w:r>
        <w:tab/>
      </w:r>
      <w:r>
        <w:tab/>
      </w:r>
      <w:r>
        <w:tab/>
      </w:r>
      <w:r w:rsidRPr="00B0468A">
        <w:t xml:space="preserve">Discrimination against Women. </w:t>
      </w:r>
    </w:p>
    <w:p w14:paraId="54FDCF77" w14:textId="77777777" w:rsidR="00594DF6" w:rsidRPr="00B0468A" w:rsidRDefault="00594DF6" w:rsidP="00594DF6">
      <w:pPr>
        <w:pStyle w:val="SingleTxtG"/>
      </w:pPr>
      <w:r>
        <w:tab/>
      </w:r>
      <w:r w:rsidRPr="00B0468A">
        <w:t>6.</w:t>
      </w:r>
      <w:r w:rsidRPr="00B0468A">
        <w:tab/>
        <w:t xml:space="preserve">Implementation of articles 21 and 22 of the Convention on the Elimination of </w:t>
      </w:r>
      <w:r>
        <w:tab/>
      </w:r>
      <w:r>
        <w:tab/>
      </w:r>
      <w:r w:rsidRPr="00B0468A">
        <w:t>All Forms of Discrimination against Women.</w:t>
      </w:r>
    </w:p>
    <w:p w14:paraId="280CFD45" w14:textId="77777777" w:rsidR="00594DF6" w:rsidRPr="00B0468A" w:rsidRDefault="00594DF6" w:rsidP="00594DF6">
      <w:pPr>
        <w:pStyle w:val="SingleTxtG"/>
      </w:pPr>
      <w:r>
        <w:tab/>
      </w:r>
      <w:r w:rsidRPr="00B0468A">
        <w:t>7.</w:t>
      </w:r>
      <w:r w:rsidRPr="00B0468A">
        <w:tab/>
        <w:t>Ways and means of expediting the work of the Committee.</w:t>
      </w:r>
    </w:p>
    <w:p w14:paraId="155D0F45" w14:textId="77777777" w:rsidR="00594DF6" w:rsidRPr="00B0468A" w:rsidRDefault="00594DF6" w:rsidP="00594DF6">
      <w:pPr>
        <w:pStyle w:val="SingleTxtG"/>
      </w:pPr>
      <w:r>
        <w:tab/>
      </w:r>
      <w:r w:rsidRPr="00B0468A">
        <w:t>8.</w:t>
      </w:r>
      <w:r w:rsidRPr="00B0468A">
        <w:tab/>
        <w:t xml:space="preserve">Activities of the Committee under the Optional Protocol to the Convention </w:t>
      </w:r>
      <w:r>
        <w:tab/>
      </w:r>
      <w:r>
        <w:tab/>
      </w:r>
      <w:r w:rsidRPr="00B0468A">
        <w:t>on the Elimination of All Forms of Discrimination against Women.</w:t>
      </w:r>
    </w:p>
    <w:p w14:paraId="2E1F7D52" w14:textId="77777777" w:rsidR="00594DF6" w:rsidRPr="00B0468A" w:rsidRDefault="00594DF6" w:rsidP="00594DF6">
      <w:pPr>
        <w:pStyle w:val="SingleTxtG"/>
      </w:pPr>
      <w:r>
        <w:tab/>
      </w:r>
      <w:r w:rsidRPr="00B0468A">
        <w:t>9.</w:t>
      </w:r>
      <w:r w:rsidRPr="00B0468A">
        <w:tab/>
        <w:t>Provisional agenda for the eighty-first session of the Committee.</w:t>
      </w:r>
    </w:p>
    <w:p w14:paraId="09176F8F" w14:textId="77777777" w:rsidR="00594DF6" w:rsidRPr="00B0468A" w:rsidRDefault="00594DF6" w:rsidP="00594DF6">
      <w:pPr>
        <w:pStyle w:val="SingleTxtG"/>
      </w:pPr>
      <w:r>
        <w:tab/>
      </w:r>
      <w:r w:rsidRPr="00B0468A">
        <w:t>10.</w:t>
      </w:r>
      <w:r w:rsidRPr="00B0468A">
        <w:tab/>
        <w:t>Adoption of the report of the Committee on its eightieth session.</w:t>
      </w:r>
    </w:p>
    <w:p w14:paraId="631F8056" w14:textId="77777777" w:rsidR="00594DF6" w:rsidRPr="00DD0CCF" w:rsidRDefault="00594DF6" w:rsidP="00594DF6">
      <w:pPr>
        <w:pStyle w:val="HChG"/>
      </w:pPr>
      <w:r w:rsidRPr="00DD0CCF">
        <w:tab/>
      </w:r>
      <w:r w:rsidRPr="00DD0CCF">
        <w:tab/>
        <w:t>Chapter IX</w:t>
      </w:r>
    </w:p>
    <w:p w14:paraId="4A8B56B5" w14:textId="77777777" w:rsidR="00594DF6" w:rsidRPr="00DD0CCF" w:rsidRDefault="00594DF6" w:rsidP="00594DF6">
      <w:pPr>
        <w:pStyle w:val="H1G"/>
        <w:rPr>
          <w:rFonts w:eastAsia="SimSun"/>
        </w:rPr>
      </w:pPr>
      <w:r w:rsidRPr="00DD0CCF">
        <w:rPr>
          <w:rFonts w:eastAsia="SimSun"/>
        </w:rPr>
        <w:tab/>
        <w:t>A.</w:t>
      </w:r>
      <w:r w:rsidRPr="00DD0CCF">
        <w:rPr>
          <w:rFonts w:eastAsia="SimSun"/>
        </w:rPr>
        <w:tab/>
        <w:t>Adoption of the report</w:t>
      </w:r>
    </w:p>
    <w:p w14:paraId="5E8A3412" w14:textId="77777777" w:rsidR="00594DF6" w:rsidRPr="00DD0CCF" w:rsidRDefault="00594DF6" w:rsidP="00594DF6">
      <w:pPr>
        <w:pStyle w:val="SingleTxtG"/>
      </w:pPr>
      <w:r w:rsidRPr="00DD0CCF">
        <w:t>The Committee considered the draft report on its seventy-ninth session and addenda on 1 July 2021 and adopted it as orally revised during the discussion.</w:t>
      </w:r>
    </w:p>
    <w:p w14:paraId="76FC79F7" w14:textId="77777777" w:rsidR="00594DF6" w:rsidRPr="00DD0CCF" w:rsidRDefault="00594DF6" w:rsidP="00594DF6">
      <w:pPr>
        <w:pStyle w:val="SingleTxtG"/>
      </w:pPr>
      <w:r w:rsidRPr="00DD0CCF">
        <w:t>[Annexes will be added to the final version of the text]</w:t>
      </w:r>
    </w:p>
    <w:p w14:paraId="4EDFFA5B" w14:textId="77777777" w:rsidR="00594DF6" w:rsidRPr="00DD0CCF" w:rsidRDefault="00594DF6" w:rsidP="00594DF6">
      <w:pPr>
        <w:pStyle w:val="H1G"/>
        <w:rPr>
          <w:rFonts w:eastAsia="SimSun"/>
        </w:rPr>
      </w:pPr>
      <w:r w:rsidRPr="00DD0CCF">
        <w:rPr>
          <w:rFonts w:eastAsia="SimSun"/>
        </w:rPr>
        <w:tab/>
        <w:t>B.</w:t>
      </w:r>
      <w:r w:rsidRPr="00DD0CCF">
        <w:rPr>
          <w:rFonts w:eastAsia="SimSun"/>
        </w:rPr>
        <w:tab/>
        <w:t>Composition of the working groups of the Committee</w:t>
      </w:r>
    </w:p>
    <w:p w14:paraId="01945831" w14:textId="77777777" w:rsidR="00594DF6" w:rsidRPr="00DD0CCF" w:rsidRDefault="00594DF6" w:rsidP="00594DF6">
      <w:pPr>
        <w:pStyle w:val="SingleTxtG"/>
      </w:pPr>
      <w:r w:rsidRPr="00DD0CCF">
        <w:t>[To be added to the final version of the report]</w:t>
      </w:r>
    </w:p>
    <w:p w14:paraId="33080F31" w14:textId="77777777" w:rsidR="00594DF6" w:rsidRPr="002261BF" w:rsidRDefault="00594DF6" w:rsidP="00594DF6">
      <w:pPr>
        <w:pStyle w:val="HChG"/>
        <w:rPr>
          <w:rFonts w:eastAsia="SimSun"/>
        </w:rPr>
      </w:pPr>
      <w:r w:rsidRPr="00643213">
        <w:rPr>
          <w:rFonts w:eastAsia="SimSun"/>
          <w:lang w:eastAsia="zh-CN"/>
        </w:rPr>
        <w:br w:type="page"/>
      </w:r>
      <w:r>
        <w:rPr>
          <w:rFonts w:eastAsia="SimSun"/>
          <w:lang w:eastAsia="zh-CN"/>
        </w:rPr>
        <w:tab/>
      </w:r>
      <w:r>
        <w:rPr>
          <w:rFonts w:eastAsia="SimSun"/>
          <w:lang w:eastAsia="zh-CN"/>
        </w:rPr>
        <w:tab/>
      </w:r>
      <w:r w:rsidRPr="002261BF">
        <w:rPr>
          <w:rFonts w:eastAsia="SimSun"/>
        </w:rPr>
        <w:t>Annexes</w:t>
      </w:r>
    </w:p>
    <w:p w14:paraId="573B97E7" w14:textId="12A6C316" w:rsidR="00594DF6" w:rsidRDefault="00594DF6" w:rsidP="00594DF6">
      <w:pPr>
        <w:pStyle w:val="H1G"/>
        <w:ind w:right="0" w:firstLine="0"/>
        <w:rPr>
          <w:w w:val="103"/>
        </w:rPr>
      </w:pPr>
      <w:r>
        <w:rPr>
          <w:w w:val="103"/>
        </w:rPr>
        <w:t>Annex 1 (</w:t>
      </w:r>
      <w:hyperlink r:id="rId16" w:history="1">
        <w:r w:rsidRPr="008A07E5">
          <w:rPr>
            <w:rStyle w:val="Hyperlink"/>
            <w:w w:val="103"/>
          </w:rPr>
          <w:t>available under the 79th session webpage</w:t>
        </w:r>
      </w:hyperlink>
      <w:r>
        <w:rPr>
          <w:w w:val="103"/>
        </w:rPr>
        <w:t>)</w:t>
      </w:r>
    </w:p>
    <w:p w14:paraId="15AA718B" w14:textId="13266F1B" w:rsidR="00812B38" w:rsidRDefault="00594DF6" w:rsidP="00594DF6">
      <w:pPr>
        <w:pStyle w:val="H1G"/>
        <w:ind w:right="0" w:firstLine="0"/>
        <w:rPr>
          <w:w w:val="103"/>
        </w:rPr>
      </w:pPr>
      <w:r w:rsidRPr="005F1615">
        <w:rPr>
          <w:w w:val="103"/>
        </w:rPr>
        <w:t>Annex 2</w:t>
      </w:r>
      <w:r>
        <w:rPr>
          <w:w w:val="103"/>
        </w:rPr>
        <w:t xml:space="preserve"> (</w:t>
      </w:r>
      <w:hyperlink r:id="rId17" w:history="1">
        <w:r w:rsidRPr="008A07E5">
          <w:rPr>
            <w:rStyle w:val="Hyperlink"/>
            <w:w w:val="103"/>
          </w:rPr>
          <w:t>available under the 79th session webpage</w:t>
        </w:r>
      </w:hyperlink>
      <w:r>
        <w:rPr>
          <w:w w:val="103"/>
        </w:rPr>
        <w:t>)</w:t>
      </w:r>
    </w:p>
    <w:p w14:paraId="09D87476" w14:textId="4FF88C30" w:rsidR="00594DF6" w:rsidRPr="00594DF6" w:rsidRDefault="00594DF6" w:rsidP="00594DF6">
      <w:pPr>
        <w:spacing w:before="240"/>
        <w:ind w:left="1134" w:right="1134"/>
        <w:jc w:val="center"/>
        <w:rPr>
          <w:u w:val="single"/>
        </w:rPr>
      </w:pPr>
      <w:r>
        <w:rPr>
          <w:u w:val="single"/>
        </w:rPr>
        <w:tab/>
      </w:r>
      <w:r>
        <w:rPr>
          <w:u w:val="single"/>
        </w:rPr>
        <w:tab/>
      </w:r>
      <w:r>
        <w:rPr>
          <w:u w:val="single"/>
        </w:rPr>
        <w:tab/>
      </w:r>
    </w:p>
    <w:sectPr w:rsidR="00594DF6" w:rsidRPr="00594DF6"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598D4" w14:textId="77777777" w:rsidR="005D2325" w:rsidRDefault="005D2325" w:rsidP="00F95C08"/>
  </w:endnote>
  <w:endnote w:type="continuationSeparator" w:id="0">
    <w:p w14:paraId="224EBB5B" w14:textId="77777777" w:rsidR="005D2325" w:rsidRPr="00AC3823" w:rsidRDefault="005D2325" w:rsidP="00AC3823">
      <w:pPr>
        <w:pStyle w:val="Footer"/>
      </w:pPr>
    </w:p>
  </w:endnote>
  <w:endnote w:type="continuationNotice" w:id="1">
    <w:p w14:paraId="754A3CEA" w14:textId="77777777" w:rsidR="005D2325" w:rsidRDefault="005D23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66A01" w14:textId="77777777" w:rsidR="005D2325" w:rsidRPr="00AC3823" w:rsidRDefault="005D2325" w:rsidP="00AC3823">
      <w:pPr>
        <w:pStyle w:val="Footer"/>
        <w:tabs>
          <w:tab w:val="right" w:pos="2155"/>
        </w:tabs>
        <w:spacing w:after="80"/>
        <w:ind w:left="680"/>
        <w:rPr>
          <w:u w:val="single"/>
        </w:rPr>
      </w:pPr>
      <w:r>
        <w:rPr>
          <w:u w:val="single"/>
        </w:rPr>
        <w:tab/>
      </w:r>
    </w:p>
  </w:footnote>
  <w:footnote w:type="continuationSeparator" w:id="0">
    <w:p w14:paraId="3E5E051F" w14:textId="77777777" w:rsidR="005D2325" w:rsidRPr="00AC3823" w:rsidRDefault="005D2325" w:rsidP="00AC3823">
      <w:pPr>
        <w:pStyle w:val="Footer"/>
        <w:tabs>
          <w:tab w:val="right" w:pos="2155"/>
        </w:tabs>
        <w:spacing w:after="80"/>
        <w:ind w:left="680"/>
        <w:rPr>
          <w:u w:val="single"/>
        </w:rPr>
      </w:pPr>
      <w:r>
        <w:rPr>
          <w:u w:val="single"/>
        </w:rPr>
        <w:tab/>
      </w:r>
    </w:p>
  </w:footnote>
  <w:footnote w:type="continuationNotice" w:id="1">
    <w:p w14:paraId="23D49D9F" w14:textId="77777777" w:rsidR="005D2325" w:rsidRPr="00AC3823" w:rsidRDefault="005D2325">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9"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4"/>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0"/>
  </w:num>
  <w:num w:numId="17">
    <w:abstractNumId w:val="23"/>
  </w:num>
  <w:num w:numId="18">
    <w:abstractNumId w:val="15"/>
  </w:num>
  <w:num w:numId="19">
    <w:abstractNumId w:val="13"/>
  </w:num>
  <w:num w:numId="20">
    <w:abstractNumId w:val="25"/>
  </w:num>
  <w:num w:numId="21">
    <w:abstractNumId w:val="19"/>
  </w:num>
  <w:num w:numId="22">
    <w:abstractNumId w:val="20"/>
  </w:num>
  <w:num w:numId="23">
    <w:abstractNumId w:val="12"/>
  </w:num>
  <w:num w:numId="24">
    <w:abstractNumId w:val="1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4216"/>
    <w:rsid w:val="00045793"/>
    <w:rsid w:val="0005072C"/>
    <w:rsid w:val="00053A3F"/>
    <w:rsid w:val="00055246"/>
    <w:rsid w:val="00062B30"/>
    <w:rsid w:val="00062EF0"/>
    <w:rsid w:val="00067897"/>
    <w:rsid w:val="000777BB"/>
    <w:rsid w:val="0007796D"/>
    <w:rsid w:val="00083FB6"/>
    <w:rsid w:val="0009484C"/>
    <w:rsid w:val="000950A5"/>
    <w:rsid w:val="000A03B5"/>
    <w:rsid w:val="000B14C9"/>
    <w:rsid w:val="000B1FDB"/>
    <w:rsid w:val="000B7790"/>
    <w:rsid w:val="000B7CA4"/>
    <w:rsid w:val="000C020F"/>
    <w:rsid w:val="000C1D6B"/>
    <w:rsid w:val="000C2B32"/>
    <w:rsid w:val="000C390E"/>
    <w:rsid w:val="000C421E"/>
    <w:rsid w:val="000C4333"/>
    <w:rsid w:val="000D44BE"/>
    <w:rsid w:val="000F251C"/>
    <w:rsid w:val="000F3150"/>
    <w:rsid w:val="000F36DF"/>
    <w:rsid w:val="000F4E0A"/>
    <w:rsid w:val="000F524E"/>
    <w:rsid w:val="00100D1A"/>
    <w:rsid w:val="00111CB2"/>
    <w:rsid w:val="00111F2F"/>
    <w:rsid w:val="001122B8"/>
    <w:rsid w:val="00114537"/>
    <w:rsid w:val="0013078F"/>
    <w:rsid w:val="00133A6E"/>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92DDD"/>
    <w:rsid w:val="001964FD"/>
    <w:rsid w:val="001A2732"/>
    <w:rsid w:val="001A58DB"/>
    <w:rsid w:val="001B2688"/>
    <w:rsid w:val="001B50DB"/>
    <w:rsid w:val="001C0245"/>
    <w:rsid w:val="001C0C36"/>
    <w:rsid w:val="001C2443"/>
    <w:rsid w:val="001C5877"/>
    <w:rsid w:val="001E3012"/>
    <w:rsid w:val="001E5F68"/>
    <w:rsid w:val="001E70F9"/>
    <w:rsid w:val="001F525A"/>
    <w:rsid w:val="00204ADA"/>
    <w:rsid w:val="00214065"/>
    <w:rsid w:val="00215B77"/>
    <w:rsid w:val="0021606B"/>
    <w:rsid w:val="00220A18"/>
    <w:rsid w:val="00223272"/>
    <w:rsid w:val="00225529"/>
    <w:rsid w:val="002345DE"/>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749F5"/>
    <w:rsid w:val="0028015A"/>
    <w:rsid w:val="00283BC7"/>
    <w:rsid w:val="002904CF"/>
    <w:rsid w:val="00291F1D"/>
    <w:rsid w:val="0029407C"/>
    <w:rsid w:val="002A0B0E"/>
    <w:rsid w:val="002A531D"/>
    <w:rsid w:val="002B1ED7"/>
    <w:rsid w:val="002B56FE"/>
    <w:rsid w:val="002C3CBC"/>
    <w:rsid w:val="002C3ECE"/>
    <w:rsid w:val="002D037B"/>
    <w:rsid w:val="002D11C6"/>
    <w:rsid w:val="002D7BF2"/>
    <w:rsid w:val="002E0791"/>
    <w:rsid w:val="002E2A2C"/>
    <w:rsid w:val="002E2EB4"/>
    <w:rsid w:val="002E420F"/>
    <w:rsid w:val="002F376D"/>
    <w:rsid w:val="002F5622"/>
    <w:rsid w:val="002F7271"/>
    <w:rsid w:val="002F7DDD"/>
    <w:rsid w:val="003018D6"/>
    <w:rsid w:val="0031019B"/>
    <w:rsid w:val="00310224"/>
    <w:rsid w:val="00315FBD"/>
    <w:rsid w:val="00330F16"/>
    <w:rsid w:val="003334A4"/>
    <w:rsid w:val="0033661E"/>
    <w:rsid w:val="003406A5"/>
    <w:rsid w:val="00342833"/>
    <w:rsid w:val="00350987"/>
    <w:rsid w:val="00353ED5"/>
    <w:rsid w:val="00362E39"/>
    <w:rsid w:val="00367B88"/>
    <w:rsid w:val="003701A3"/>
    <w:rsid w:val="003801EC"/>
    <w:rsid w:val="00382A1F"/>
    <w:rsid w:val="00385E6D"/>
    <w:rsid w:val="003869A2"/>
    <w:rsid w:val="00387EF7"/>
    <w:rsid w:val="00390178"/>
    <w:rsid w:val="003954D5"/>
    <w:rsid w:val="003B3DDE"/>
    <w:rsid w:val="003C1CA5"/>
    <w:rsid w:val="003C261F"/>
    <w:rsid w:val="003D0A6E"/>
    <w:rsid w:val="003D1AD0"/>
    <w:rsid w:val="003D2A6F"/>
    <w:rsid w:val="003E6A46"/>
    <w:rsid w:val="003F0CA6"/>
    <w:rsid w:val="003F0D18"/>
    <w:rsid w:val="003F296B"/>
    <w:rsid w:val="003F2B5D"/>
    <w:rsid w:val="003F54F8"/>
    <w:rsid w:val="003F6C85"/>
    <w:rsid w:val="003F6FBF"/>
    <w:rsid w:val="003F7ED8"/>
    <w:rsid w:val="00406C65"/>
    <w:rsid w:val="00412AFB"/>
    <w:rsid w:val="0041354B"/>
    <w:rsid w:val="00414401"/>
    <w:rsid w:val="00414D03"/>
    <w:rsid w:val="004201AF"/>
    <w:rsid w:val="00420D7C"/>
    <w:rsid w:val="0042125E"/>
    <w:rsid w:val="00426029"/>
    <w:rsid w:val="00437363"/>
    <w:rsid w:val="00443EDF"/>
    <w:rsid w:val="00446FE5"/>
    <w:rsid w:val="00452396"/>
    <w:rsid w:val="00452E7C"/>
    <w:rsid w:val="00454230"/>
    <w:rsid w:val="00454239"/>
    <w:rsid w:val="004605C8"/>
    <w:rsid w:val="0046383A"/>
    <w:rsid w:val="00464F59"/>
    <w:rsid w:val="004663CA"/>
    <w:rsid w:val="0047638D"/>
    <w:rsid w:val="0047669C"/>
    <w:rsid w:val="00477514"/>
    <w:rsid w:val="00477BF8"/>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D37BD"/>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6D01"/>
    <w:rsid w:val="00547B2C"/>
    <w:rsid w:val="00547D8D"/>
    <w:rsid w:val="005505B7"/>
    <w:rsid w:val="005706C8"/>
    <w:rsid w:val="005710D7"/>
    <w:rsid w:val="00573BE5"/>
    <w:rsid w:val="00580757"/>
    <w:rsid w:val="00584196"/>
    <w:rsid w:val="005863AC"/>
    <w:rsid w:val="00586ED3"/>
    <w:rsid w:val="00592A91"/>
    <w:rsid w:val="0059371C"/>
    <w:rsid w:val="00594DF6"/>
    <w:rsid w:val="00596AA9"/>
    <w:rsid w:val="00597A6B"/>
    <w:rsid w:val="005A7A75"/>
    <w:rsid w:val="005B35A6"/>
    <w:rsid w:val="005B45A9"/>
    <w:rsid w:val="005B58C7"/>
    <w:rsid w:val="005B5DE9"/>
    <w:rsid w:val="005C0275"/>
    <w:rsid w:val="005D2325"/>
    <w:rsid w:val="005D2D60"/>
    <w:rsid w:val="005E17A9"/>
    <w:rsid w:val="005E1EB8"/>
    <w:rsid w:val="005E29E5"/>
    <w:rsid w:val="005E48B2"/>
    <w:rsid w:val="005E707B"/>
    <w:rsid w:val="005F2340"/>
    <w:rsid w:val="005F3321"/>
    <w:rsid w:val="006115B8"/>
    <w:rsid w:val="006122C4"/>
    <w:rsid w:val="00620119"/>
    <w:rsid w:val="0062042A"/>
    <w:rsid w:val="00633246"/>
    <w:rsid w:val="0063452A"/>
    <w:rsid w:val="00635D39"/>
    <w:rsid w:val="00636554"/>
    <w:rsid w:val="00640B94"/>
    <w:rsid w:val="006508E6"/>
    <w:rsid w:val="006567C0"/>
    <w:rsid w:val="00665760"/>
    <w:rsid w:val="00665C17"/>
    <w:rsid w:val="00667F43"/>
    <w:rsid w:val="0067098F"/>
    <w:rsid w:val="00687824"/>
    <w:rsid w:val="006A45AE"/>
    <w:rsid w:val="006C0359"/>
    <w:rsid w:val="006C7463"/>
    <w:rsid w:val="006D1D47"/>
    <w:rsid w:val="006D1D7D"/>
    <w:rsid w:val="006D2CEB"/>
    <w:rsid w:val="006D7086"/>
    <w:rsid w:val="006E1FCD"/>
    <w:rsid w:val="006E2C9B"/>
    <w:rsid w:val="006E665C"/>
    <w:rsid w:val="006F38F6"/>
    <w:rsid w:val="007055D2"/>
    <w:rsid w:val="00712674"/>
    <w:rsid w:val="007130C1"/>
    <w:rsid w:val="00715508"/>
    <w:rsid w:val="0071601D"/>
    <w:rsid w:val="007258B0"/>
    <w:rsid w:val="007261E4"/>
    <w:rsid w:val="00731B28"/>
    <w:rsid w:val="00731F35"/>
    <w:rsid w:val="0073234D"/>
    <w:rsid w:val="00737063"/>
    <w:rsid w:val="007447FC"/>
    <w:rsid w:val="0075302D"/>
    <w:rsid w:val="0075466D"/>
    <w:rsid w:val="0076624F"/>
    <w:rsid w:val="00766CEC"/>
    <w:rsid w:val="00770252"/>
    <w:rsid w:val="007713CC"/>
    <w:rsid w:val="00772014"/>
    <w:rsid w:val="00780B05"/>
    <w:rsid w:val="0078437E"/>
    <w:rsid w:val="00792C35"/>
    <w:rsid w:val="00795020"/>
    <w:rsid w:val="007A100B"/>
    <w:rsid w:val="007A62E6"/>
    <w:rsid w:val="007E4E10"/>
    <w:rsid w:val="007E6BF1"/>
    <w:rsid w:val="007F06B0"/>
    <w:rsid w:val="007F10F2"/>
    <w:rsid w:val="007F7ED2"/>
    <w:rsid w:val="008048CB"/>
    <w:rsid w:val="0080684C"/>
    <w:rsid w:val="008069B3"/>
    <w:rsid w:val="00812B38"/>
    <w:rsid w:val="00813DCF"/>
    <w:rsid w:val="00815502"/>
    <w:rsid w:val="00820179"/>
    <w:rsid w:val="00820BF5"/>
    <w:rsid w:val="00821936"/>
    <w:rsid w:val="00821FFA"/>
    <w:rsid w:val="00836DDC"/>
    <w:rsid w:val="00845059"/>
    <w:rsid w:val="00845D2D"/>
    <w:rsid w:val="00847924"/>
    <w:rsid w:val="00855E8D"/>
    <w:rsid w:val="008571EE"/>
    <w:rsid w:val="008609A4"/>
    <w:rsid w:val="00866768"/>
    <w:rsid w:val="00871C75"/>
    <w:rsid w:val="00873BB0"/>
    <w:rsid w:val="00874AD7"/>
    <w:rsid w:val="008776DC"/>
    <w:rsid w:val="0088018D"/>
    <w:rsid w:val="008823E6"/>
    <w:rsid w:val="008840F2"/>
    <w:rsid w:val="00887C3E"/>
    <w:rsid w:val="008A07E5"/>
    <w:rsid w:val="008A4ABC"/>
    <w:rsid w:val="008C0F7A"/>
    <w:rsid w:val="008C6AC2"/>
    <w:rsid w:val="008D213B"/>
    <w:rsid w:val="008D2899"/>
    <w:rsid w:val="008D5DFE"/>
    <w:rsid w:val="008D5E1F"/>
    <w:rsid w:val="008E0D61"/>
    <w:rsid w:val="008E5348"/>
    <w:rsid w:val="008E6A9B"/>
    <w:rsid w:val="008F0BE2"/>
    <w:rsid w:val="008F2A1D"/>
    <w:rsid w:val="008F58E0"/>
    <w:rsid w:val="008F77CE"/>
    <w:rsid w:val="00906720"/>
    <w:rsid w:val="00911A2E"/>
    <w:rsid w:val="00911AC2"/>
    <w:rsid w:val="00912CF3"/>
    <w:rsid w:val="0091785C"/>
    <w:rsid w:val="00920B06"/>
    <w:rsid w:val="00920CF2"/>
    <w:rsid w:val="0092418E"/>
    <w:rsid w:val="0093191D"/>
    <w:rsid w:val="00936E95"/>
    <w:rsid w:val="00940DF4"/>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A45D8"/>
    <w:rsid w:val="009A58C1"/>
    <w:rsid w:val="009B579C"/>
    <w:rsid w:val="009B7AF4"/>
    <w:rsid w:val="009C2821"/>
    <w:rsid w:val="009C341C"/>
    <w:rsid w:val="009C3B3B"/>
    <w:rsid w:val="009C3C9E"/>
    <w:rsid w:val="009D5560"/>
    <w:rsid w:val="009D655C"/>
    <w:rsid w:val="009E2361"/>
    <w:rsid w:val="009E33A1"/>
    <w:rsid w:val="009E3C30"/>
    <w:rsid w:val="009E6791"/>
    <w:rsid w:val="009F5F28"/>
    <w:rsid w:val="009F704D"/>
    <w:rsid w:val="00A04DD5"/>
    <w:rsid w:val="00A07EDD"/>
    <w:rsid w:val="00A10707"/>
    <w:rsid w:val="00A12AB5"/>
    <w:rsid w:val="00A250F4"/>
    <w:rsid w:val="00A405D3"/>
    <w:rsid w:val="00A420AB"/>
    <w:rsid w:val="00A4508B"/>
    <w:rsid w:val="00A546E5"/>
    <w:rsid w:val="00A60BB9"/>
    <w:rsid w:val="00A67187"/>
    <w:rsid w:val="00A726EC"/>
    <w:rsid w:val="00A81EE1"/>
    <w:rsid w:val="00A86500"/>
    <w:rsid w:val="00AA7AF7"/>
    <w:rsid w:val="00AC0E6D"/>
    <w:rsid w:val="00AC3823"/>
    <w:rsid w:val="00AD008A"/>
    <w:rsid w:val="00AD428F"/>
    <w:rsid w:val="00AE0659"/>
    <w:rsid w:val="00AE1521"/>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4615E"/>
    <w:rsid w:val="00B54511"/>
    <w:rsid w:val="00B55090"/>
    <w:rsid w:val="00B61ED5"/>
    <w:rsid w:val="00B6419A"/>
    <w:rsid w:val="00B70F87"/>
    <w:rsid w:val="00B713AA"/>
    <w:rsid w:val="00B765F7"/>
    <w:rsid w:val="00B77BAB"/>
    <w:rsid w:val="00B81393"/>
    <w:rsid w:val="00B83F88"/>
    <w:rsid w:val="00B90DA3"/>
    <w:rsid w:val="00B90DF0"/>
    <w:rsid w:val="00B91C47"/>
    <w:rsid w:val="00B93F64"/>
    <w:rsid w:val="00BA0CA9"/>
    <w:rsid w:val="00BA49CA"/>
    <w:rsid w:val="00BA5989"/>
    <w:rsid w:val="00BB01E9"/>
    <w:rsid w:val="00BB0881"/>
    <w:rsid w:val="00BB24D3"/>
    <w:rsid w:val="00BB3E59"/>
    <w:rsid w:val="00BB450D"/>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2922"/>
    <w:rsid w:val="00C63996"/>
    <w:rsid w:val="00C65434"/>
    <w:rsid w:val="00C676A2"/>
    <w:rsid w:val="00C713C2"/>
    <w:rsid w:val="00C719FF"/>
    <w:rsid w:val="00C72D67"/>
    <w:rsid w:val="00C7670E"/>
    <w:rsid w:val="00C778D7"/>
    <w:rsid w:val="00C82CE6"/>
    <w:rsid w:val="00C82E3F"/>
    <w:rsid w:val="00C82F15"/>
    <w:rsid w:val="00C91E14"/>
    <w:rsid w:val="00C96E15"/>
    <w:rsid w:val="00CA3958"/>
    <w:rsid w:val="00CA64AD"/>
    <w:rsid w:val="00CA65E6"/>
    <w:rsid w:val="00CA66A3"/>
    <w:rsid w:val="00CB099A"/>
    <w:rsid w:val="00CB7D6A"/>
    <w:rsid w:val="00CC3D75"/>
    <w:rsid w:val="00CD25F2"/>
    <w:rsid w:val="00CD416A"/>
    <w:rsid w:val="00CD60B7"/>
    <w:rsid w:val="00CD7E64"/>
    <w:rsid w:val="00CE0DA4"/>
    <w:rsid w:val="00CE215F"/>
    <w:rsid w:val="00CE4E73"/>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84709"/>
    <w:rsid w:val="00D87A7F"/>
    <w:rsid w:val="00D90473"/>
    <w:rsid w:val="00D91001"/>
    <w:rsid w:val="00D91961"/>
    <w:rsid w:val="00D97728"/>
    <w:rsid w:val="00DA06A2"/>
    <w:rsid w:val="00DA22F4"/>
    <w:rsid w:val="00DA2CED"/>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33F14"/>
    <w:rsid w:val="00E34FA6"/>
    <w:rsid w:val="00E3523F"/>
    <w:rsid w:val="00E41875"/>
    <w:rsid w:val="00E42F4E"/>
    <w:rsid w:val="00E44A12"/>
    <w:rsid w:val="00E52D9F"/>
    <w:rsid w:val="00E5313C"/>
    <w:rsid w:val="00E61037"/>
    <w:rsid w:val="00E645A1"/>
    <w:rsid w:val="00E8186C"/>
    <w:rsid w:val="00E859E9"/>
    <w:rsid w:val="00E907C5"/>
    <w:rsid w:val="00E97553"/>
    <w:rsid w:val="00EA0A58"/>
    <w:rsid w:val="00EA35C4"/>
    <w:rsid w:val="00EB07DC"/>
    <w:rsid w:val="00EB6966"/>
    <w:rsid w:val="00EC373B"/>
    <w:rsid w:val="00EC427B"/>
    <w:rsid w:val="00ED323F"/>
    <w:rsid w:val="00ED7FAF"/>
    <w:rsid w:val="00EE3120"/>
    <w:rsid w:val="00F027AD"/>
    <w:rsid w:val="00F12269"/>
    <w:rsid w:val="00F12CEE"/>
    <w:rsid w:val="00F136CC"/>
    <w:rsid w:val="00F164B0"/>
    <w:rsid w:val="00F21715"/>
    <w:rsid w:val="00F23606"/>
    <w:rsid w:val="00F27338"/>
    <w:rsid w:val="00F33871"/>
    <w:rsid w:val="00F3757F"/>
    <w:rsid w:val="00F37C47"/>
    <w:rsid w:val="00F51617"/>
    <w:rsid w:val="00F5373E"/>
    <w:rsid w:val="00F56EDF"/>
    <w:rsid w:val="00F660DF"/>
    <w:rsid w:val="00F6644A"/>
    <w:rsid w:val="00F66D7D"/>
    <w:rsid w:val="00F72F61"/>
    <w:rsid w:val="00F77FB9"/>
    <w:rsid w:val="00F80094"/>
    <w:rsid w:val="00F8021C"/>
    <w:rsid w:val="00F811A7"/>
    <w:rsid w:val="00F81D54"/>
    <w:rsid w:val="00F82AB9"/>
    <w:rsid w:val="00F83033"/>
    <w:rsid w:val="00F83461"/>
    <w:rsid w:val="00F86F7C"/>
    <w:rsid w:val="00F945E7"/>
    <w:rsid w:val="00F95C08"/>
    <w:rsid w:val="00F95DD1"/>
    <w:rsid w:val="00F97771"/>
    <w:rsid w:val="00FA4219"/>
    <w:rsid w:val="00FA7E7D"/>
    <w:rsid w:val="00FB039A"/>
    <w:rsid w:val="00FB319B"/>
    <w:rsid w:val="00FC430E"/>
    <w:rsid w:val="00FD0DF6"/>
    <w:rsid w:val="00FD196C"/>
    <w:rsid w:val="00FD6780"/>
    <w:rsid w:val="00FD6A12"/>
    <w:rsid w:val="00FE1E36"/>
    <w:rsid w:val="00FE20BC"/>
    <w:rsid w:val="00FE77B9"/>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gvYHmz" TargetMode="External"/><Relationship Id="rId13" Type="http://schemas.openxmlformats.org/officeDocument/2006/relationships/hyperlink" Target="http://documents.un.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EDAW%2fSED%2f79%20(Virtual%20session)%2f32807&amp;Lang=en" TargetMode="External"/><Relationship Id="rId17" Type="http://schemas.openxmlformats.org/officeDocument/2006/relationships/hyperlink" Target="https://tbinternet.ohchr.org/_layouts/15/treatybodyexternal/SessionDetails1.aspx?SessionID=2488&amp;Lang=en" TargetMode="External"/><Relationship Id="rId2" Type="http://schemas.openxmlformats.org/officeDocument/2006/relationships/numbering" Target="numbering.xml"/><Relationship Id="rId16" Type="http://schemas.openxmlformats.org/officeDocument/2006/relationships/hyperlink" Target="https://tbinternet.ohchr.org/_layouts/15/treatybodyexternal/SessionDetails1.aspx?SessionID=2488&amp;Lang=en"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BFA/FCO/7"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EDAW%2fSED%2f79%20(Virtual%20session)%2f32808&amp;Lang=en" TargetMode="External"/><Relationship Id="rId10" Type="http://schemas.openxmlformats.org/officeDocument/2006/relationships/hyperlink" Target="https://urlz.fr/g7R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rlz.fr/g7j7" TargetMode="External"/><Relationship Id="rId14" Type="http://schemas.openxmlformats.org/officeDocument/2006/relationships/hyperlink" Target="http://juris.ohchr.org/"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37B32-9157-41DE-9B25-668DE9ADD74B}">
  <ds:schemaRefs>
    <ds:schemaRef ds:uri="http://schemas.openxmlformats.org/officeDocument/2006/bibliography"/>
  </ds:schemaRefs>
</ds:datastoreItem>
</file>

<file path=customXml/itemProps2.xml><?xml version="1.0" encoding="utf-8"?>
<ds:datastoreItem xmlns:ds="http://schemas.openxmlformats.org/officeDocument/2006/customXml" ds:itemID="{7E01A97F-C9CC-4668-9B1F-AAF687BFAB26}"/>
</file>

<file path=customXml/itemProps3.xml><?xml version="1.0" encoding="utf-8"?>
<ds:datastoreItem xmlns:ds="http://schemas.openxmlformats.org/officeDocument/2006/customXml" ds:itemID="{B8989A05-C84D-48BA-9588-2AECE204B44E}"/>
</file>

<file path=customXml/itemProps4.xml><?xml version="1.0" encoding="utf-8"?>
<ds:datastoreItem xmlns:ds="http://schemas.openxmlformats.org/officeDocument/2006/customXml" ds:itemID="{D45C2B1A-628E-4556-AC57-92DEA5A9FDC2}"/>
</file>

<file path=docProps/app.xml><?xml version="1.0" encoding="utf-8"?>
<Properties xmlns="http://schemas.openxmlformats.org/officeDocument/2006/extended-properties" xmlns:vt="http://schemas.openxmlformats.org/officeDocument/2006/docPropsVTypes">
  <Template>Normal.dotm</Template>
  <TotalTime>16</TotalTime>
  <Pages>10</Pages>
  <Words>3318</Words>
  <Characters>18915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4</cp:revision>
  <cp:lastPrinted>2018-11-09T11:12:00Z</cp:lastPrinted>
  <dcterms:created xsi:type="dcterms:W3CDTF">2021-07-13T08:27:00Z</dcterms:created>
  <dcterms:modified xsi:type="dcterms:W3CDTF">2021-07-14T10:25:00Z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