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ind w:left="-360" w:right="-360" w:firstLine="0"/>
        <w:jc w:val="center"/>
        <w:rPr>
          <w:b w:val="1"/>
          <w:sz w:val="34"/>
          <w:szCs w:val="34"/>
        </w:rPr>
      </w:pPr>
      <w:r w:rsidDel="00000000" w:rsidR="00000000" w:rsidRPr="00000000">
        <w:rPr>
          <w:rtl w:val="0"/>
        </w:rPr>
      </w:r>
    </w:p>
    <w:p w:rsidR="00000000" w:rsidDel="00000000" w:rsidP="00000000" w:rsidRDefault="00000000" w:rsidRPr="00000000" w14:paraId="00000002">
      <w:pPr>
        <w:spacing w:after="0" w:line="360" w:lineRule="auto"/>
        <w:ind w:left="-360" w:right="-360" w:firstLine="0"/>
        <w:jc w:val="center"/>
        <w:rPr>
          <w:b w:val="1"/>
          <w:sz w:val="34"/>
          <w:szCs w:val="34"/>
        </w:rPr>
      </w:pPr>
      <w:r w:rsidDel="00000000" w:rsidR="00000000" w:rsidRPr="00000000">
        <w:rPr>
          <w:b w:val="1"/>
          <w:sz w:val="34"/>
          <w:szCs w:val="34"/>
          <w:rtl w:val="0"/>
        </w:rPr>
        <w:t xml:space="preserve">Joint Parallel Report</w:t>
      </w:r>
    </w:p>
    <w:p w:rsidR="00000000" w:rsidDel="00000000" w:rsidP="00000000" w:rsidRDefault="00000000" w:rsidRPr="00000000" w14:paraId="00000003">
      <w:pPr>
        <w:spacing w:after="0" w:line="360" w:lineRule="auto"/>
        <w:ind w:left="-360" w:right="-360" w:firstLine="0"/>
        <w:jc w:val="center"/>
        <w:rPr>
          <w:b w:val="1"/>
          <w:sz w:val="34"/>
          <w:szCs w:val="34"/>
        </w:rPr>
      </w:pPr>
      <w:r w:rsidDel="00000000" w:rsidR="00000000" w:rsidRPr="00000000">
        <w:rPr>
          <w:b w:val="1"/>
          <w:sz w:val="34"/>
          <w:szCs w:val="34"/>
          <w:rtl w:val="0"/>
        </w:rPr>
        <w:t xml:space="preserve">submitted by</w:t>
      </w:r>
    </w:p>
    <w:p w:rsidR="00000000" w:rsidDel="00000000" w:rsidP="00000000" w:rsidRDefault="00000000" w:rsidRPr="00000000" w14:paraId="00000004">
      <w:pPr>
        <w:spacing w:after="0" w:line="360" w:lineRule="auto"/>
        <w:ind w:left="-360" w:right="-360" w:firstLine="0"/>
        <w:jc w:val="center"/>
        <w:rPr>
          <w:b w:val="1"/>
          <w:sz w:val="34"/>
          <w:szCs w:val="34"/>
        </w:rPr>
      </w:pPr>
      <w:r w:rsidDel="00000000" w:rsidR="00000000" w:rsidRPr="00000000">
        <w:rPr>
          <w:b w:val="1"/>
          <w:sz w:val="34"/>
          <w:szCs w:val="34"/>
          <w:rtl w:val="0"/>
        </w:rPr>
        <w:t xml:space="preserve">the Center for International Environmental Law and</w:t>
      </w:r>
    </w:p>
    <w:p w:rsidR="00000000" w:rsidDel="00000000" w:rsidP="00000000" w:rsidRDefault="00000000" w:rsidRPr="00000000" w14:paraId="00000005">
      <w:pPr>
        <w:spacing w:after="0" w:line="360" w:lineRule="auto"/>
        <w:ind w:left="-360" w:right="-360" w:firstLine="0"/>
        <w:jc w:val="center"/>
        <w:rPr>
          <w:b w:val="1"/>
          <w:sz w:val="34"/>
          <w:szCs w:val="34"/>
        </w:rPr>
      </w:pPr>
      <w:r w:rsidDel="00000000" w:rsidR="00000000" w:rsidRPr="00000000">
        <w:rPr>
          <w:b w:val="1"/>
          <w:sz w:val="34"/>
          <w:szCs w:val="34"/>
          <w:rtl w:val="0"/>
        </w:rPr>
        <w:t xml:space="preserve">Greenpeace Norway </w:t>
      </w:r>
    </w:p>
    <w:p w:rsidR="00000000" w:rsidDel="00000000" w:rsidP="00000000" w:rsidRDefault="00000000" w:rsidRPr="00000000" w14:paraId="00000006">
      <w:pPr>
        <w:spacing w:after="0" w:line="360" w:lineRule="auto"/>
        <w:ind w:left="-360" w:right="-360" w:firstLine="0"/>
        <w:jc w:val="center"/>
        <w:rPr>
          <w:b w:val="1"/>
          <w:sz w:val="34"/>
          <w:szCs w:val="34"/>
        </w:rPr>
      </w:pPr>
      <w:r w:rsidDel="00000000" w:rsidR="00000000" w:rsidRPr="00000000">
        <w:rPr>
          <w:b w:val="1"/>
          <w:sz w:val="34"/>
          <w:szCs w:val="34"/>
          <w:rtl w:val="0"/>
        </w:rPr>
        <w:t xml:space="preserve">to the Committee on Elimination of Discrimination Against Women (CEDAW)</w:t>
      </w:r>
    </w:p>
    <w:p w:rsidR="00000000" w:rsidDel="00000000" w:rsidP="00000000" w:rsidRDefault="00000000" w:rsidRPr="00000000" w14:paraId="00000007">
      <w:pPr>
        <w:spacing w:after="0" w:line="360" w:lineRule="auto"/>
        <w:ind w:left="-360" w:right="-360" w:firstLine="0"/>
        <w:jc w:val="center"/>
        <w:rPr>
          <w:b w:val="1"/>
          <w:sz w:val="34"/>
          <w:szCs w:val="34"/>
        </w:rPr>
      </w:pPr>
      <w:r w:rsidDel="00000000" w:rsidR="00000000" w:rsidRPr="00000000">
        <w:rPr>
          <w:b w:val="1"/>
          <w:sz w:val="34"/>
          <w:szCs w:val="34"/>
          <w:rtl w:val="0"/>
        </w:rPr>
        <w:t xml:space="preserve">On the occasion of the consideration of the Concluding Observations for Norway </w:t>
      </w:r>
    </w:p>
    <w:p w:rsidR="00000000" w:rsidDel="00000000" w:rsidP="00000000" w:rsidRDefault="00000000" w:rsidRPr="00000000" w14:paraId="00000008">
      <w:pPr>
        <w:spacing w:after="0" w:line="360" w:lineRule="auto"/>
        <w:ind w:left="-360" w:right="-360" w:firstLine="0"/>
        <w:jc w:val="center"/>
        <w:rPr>
          <w:b w:val="1"/>
          <w:sz w:val="34"/>
          <w:szCs w:val="34"/>
        </w:rPr>
      </w:pPr>
      <w:r w:rsidDel="00000000" w:rsidR="00000000" w:rsidRPr="00000000">
        <w:rPr>
          <w:b w:val="1"/>
          <w:sz w:val="34"/>
          <w:szCs w:val="34"/>
          <w:rtl w:val="0"/>
        </w:rPr>
        <w:t xml:space="preserve">during the Committee’s 84th Session (6-24 February 2023)</w:t>
      </w:r>
    </w:p>
    <w:p w:rsidR="00000000" w:rsidDel="00000000" w:rsidP="00000000" w:rsidRDefault="00000000" w:rsidRPr="00000000" w14:paraId="00000009">
      <w:pPr>
        <w:spacing w:after="200" w:line="240" w:lineRule="auto"/>
        <w:ind w:left="-360" w:right="-360" w:firstLine="0"/>
        <w:jc w:val="center"/>
        <w:rPr/>
      </w:pPr>
      <w:r w:rsidDel="00000000" w:rsidR="00000000" w:rsidRPr="00000000">
        <w:rPr>
          <w:b w:val="1"/>
          <w:sz w:val="28"/>
          <w:szCs w:val="28"/>
          <w:rtl w:val="0"/>
        </w:rPr>
        <w:br w:type="textWrapping"/>
      </w:r>
      <w:r w:rsidDel="00000000" w:rsidR="00000000" w:rsidRPr="00000000">
        <w:rPr>
          <w:rtl w:val="0"/>
        </w:rPr>
        <w:t xml:space="preserve">Submitted 25 January 2023</w:t>
      </w:r>
    </w:p>
    <w:p w:rsidR="00000000" w:rsidDel="00000000" w:rsidP="00000000" w:rsidRDefault="00000000" w:rsidRPr="00000000" w14:paraId="0000000A">
      <w:pPr>
        <w:spacing w:after="200" w:line="240" w:lineRule="auto"/>
        <w:ind w:left="-360" w:right="-360" w:firstLine="0"/>
        <w:jc w:val="left"/>
        <w:rPr>
          <w:b w:val="1"/>
        </w:rPr>
      </w:pPr>
      <w:r w:rsidDel="00000000" w:rsidR="00000000" w:rsidRPr="00000000">
        <w:rPr>
          <w:rtl w:val="0"/>
        </w:rPr>
      </w:r>
    </w:p>
    <w:p w:rsidR="00000000" w:rsidDel="00000000" w:rsidP="00000000" w:rsidRDefault="00000000" w:rsidRPr="00000000" w14:paraId="0000000B">
      <w:pPr>
        <w:spacing w:after="200" w:line="240" w:lineRule="auto"/>
        <w:ind w:left="-360" w:right="-360" w:firstLine="0"/>
        <w:jc w:val="left"/>
        <w:rPr>
          <w:b w:val="1"/>
        </w:rPr>
      </w:pPr>
      <w:r w:rsidDel="00000000" w:rsidR="00000000" w:rsidRPr="00000000">
        <w:rPr>
          <w:b w:val="1"/>
          <w:rtl w:val="0"/>
        </w:rPr>
        <w:t xml:space="preserve">About the submitting organizations:</w:t>
      </w:r>
    </w:p>
    <w:p w:rsidR="00000000" w:rsidDel="00000000" w:rsidP="00000000" w:rsidRDefault="00000000" w:rsidRPr="00000000" w14:paraId="0000000C">
      <w:pPr>
        <w:spacing w:after="200" w:line="240" w:lineRule="auto"/>
        <w:ind w:left="-360" w:right="-360" w:firstLine="0"/>
        <w:jc w:val="both"/>
        <w:rPr/>
      </w:pPr>
      <w:r w:rsidDel="00000000" w:rsidR="00000000" w:rsidRPr="00000000">
        <w:rPr>
          <w:rtl w:val="0"/>
        </w:rPr>
        <w:t xml:space="preserve">The </w:t>
      </w:r>
      <w:r w:rsidDel="00000000" w:rsidR="00000000" w:rsidRPr="00000000">
        <w:rPr>
          <w:b w:val="1"/>
          <w:rtl w:val="0"/>
        </w:rPr>
        <w:t xml:space="preserve">Center for International Environmental Law (CIEL)</w:t>
      </w:r>
      <w:r w:rsidDel="00000000" w:rsidR="00000000" w:rsidRPr="00000000">
        <w:rPr>
          <w:rtl w:val="0"/>
        </w:rPr>
        <w:t xml:space="preserve"> uses the power of law to protect the environment, promote human rights, and ensure a just and sustainable society. CIEL seeks a world where the law reflects the interconnection between humans and the environment, respects the limits of the planet, protects the dignity and equality of each person, and encourages all of earth’s inhabitants to live in balance with each other.</w:t>
      </w:r>
    </w:p>
    <w:p w:rsidR="00000000" w:rsidDel="00000000" w:rsidP="00000000" w:rsidRDefault="00000000" w:rsidRPr="00000000" w14:paraId="0000000D">
      <w:pPr>
        <w:spacing w:after="200" w:line="240" w:lineRule="auto"/>
        <w:ind w:left="-360" w:right="-360" w:firstLine="0"/>
        <w:jc w:val="both"/>
        <w:rPr/>
      </w:pPr>
      <w:r w:rsidDel="00000000" w:rsidR="00000000" w:rsidRPr="00000000">
        <w:rPr>
          <w:b w:val="1"/>
          <w:rtl w:val="0"/>
        </w:rPr>
        <w:t xml:space="preserve">Greenpeace </w:t>
      </w:r>
      <w:r w:rsidDel="00000000" w:rsidR="00000000" w:rsidRPr="00000000">
        <w:rPr>
          <w:rtl w:val="0"/>
        </w:rPr>
        <w:t xml:space="preserve">is an independent campaigning organization, which uses peaceful, creative confrontation to expose global environmental problems and develop solutions for a green and peaceful future. Its core values are non-violence and financial independence. </w:t>
      </w:r>
      <w:r w:rsidDel="00000000" w:rsidR="00000000" w:rsidRPr="00000000">
        <w:rPr>
          <w:highlight w:val="white"/>
          <w:rtl w:val="0"/>
        </w:rPr>
        <w:t xml:space="preserve">Greenpeace</w:t>
      </w:r>
      <w:r w:rsidDel="00000000" w:rsidR="00000000" w:rsidRPr="00000000">
        <w:rPr>
          <w:highlight w:val="white"/>
          <w:rtl w:val="0"/>
        </w:rPr>
        <w:t xml:space="preserve"> brings about change by </w:t>
      </w:r>
      <w:r w:rsidDel="00000000" w:rsidR="00000000" w:rsidRPr="00000000">
        <w:rPr>
          <w:highlight w:val="white"/>
          <w:rtl w:val="0"/>
        </w:rPr>
        <w:t xml:space="preserve">lobbying</w:t>
      </w:r>
      <w:r w:rsidDel="00000000" w:rsidR="00000000" w:rsidRPr="00000000">
        <w:rPr>
          <w:highlight w:val="white"/>
          <w:rtl w:val="0"/>
        </w:rPr>
        <w:t xml:space="preserve">, consumer pressure and mobilizing members of the public to take action against environmental destruction.</w:t>
      </w:r>
      <w:r w:rsidDel="00000000" w:rsidR="00000000" w:rsidRPr="00000000">
        <w:rPr>
          <w:rtl w:val="0"/>
        </w:rPr>
        <w:t xml:space="preserve">It comprises 27 independent national/regional organizations in over 55 countries across Europe, the Americas, Africa, Asia and the Pacific, as well as a coordinating body, Greenpeace International. This report was prepared by Greenpeace Norway.</w:t>
      </w:r>
    </w:p>
    <w:p w:rsidR="00000000" w:rsidDel="00000000" w:rsidP="00000000" w:rsidRDefault="00000000" w:rsidRPr="00000000" w14:paraId="0000000E">
      <w:pPr>
        <w:spacing w:after="200" w:line="240" w:lineRule="auto"/>
        <w:ind w:left="-360" w:right="-360" w:firstLine="0"/>
        <w:jc w:val="left"/>
        <w:rPr/>
      </w:pPr>
      <w:r w:rsidDel="00000000" w:rsidR="00000000" w:rsidRPr="00000000">
        <w:rPr>
          <w:rtl w:val="0"/>
        </w:rPr>
      </w:r>
    </w:p>
    <w:p w:rsidR="00000000" w:rsidDel="00000000" w:rsidP="00000000" w:rsidRDefault="00000000" w:rsidRPr="00000000" w14:paraId="0000000F">
      <w:pPr>
        <w:spacing w:after="200" w:line="240" w:lineRule="auto"/>
        <w:ind w:left="-360" w:right="-360" w:firstLine="0"/>
        <w:jc w:val="left"/>
        <w:rPr/>
      </w:pPr>
      <w:r w:rsidDel="00000000" w:rsidR="00000000" w:rsidRPr="00000000">
        <w:rPr>
          <w:rtl w:val="0"/>
        </w:rPr>
      </w:r>
    </w:p>
    <w:p w:rsidR="00000000" w:rsidDel="00000000" w:rsidP="00000000" w:rsidRDefault="00000000" w:rsidRPr="00000000" w14:paraId="00000010">
      <w:pPr>
        <w:spacing w:after="200" w:line="240" w:lineRule="auto"/>
        <w:ind w:left="-360" w:right="-360" w:firstLine="0"/>
        <w:jc w:val="both"/>
        <w:rPr>
          <w:b w:val="1"/>
        </w:rPr>
      </w:pPr>
      <w:r w:rsidDel="00000000" w:rsidR="00000000" w:rsidRPr="00000000">
        <w:rPr>
          <w:b w:val="1"/>
          <w:rtl w:val="0"/>
        </w:rPr>
        <w:t xml:space="preserve">Executive Summary</w:t>
      </w:r>
    </w:p>
    <w:p w:rsidR="00000000" w:rsidDel="00000000" w:rsidP="00000000" w:rsidRDefault="00000000" w:rsidRPr="00000000" w14:paraId="00000011">
      <w:pPr>
        <w:spacing w:after="200" w:line="240" w:lineRule="auto"/>
        <w:ind w:left="-360" w:right="-360" w:firstLine="0"/>
        <w:jc w:val="both"/>
        <w:rPr>
          <w:highlight w:val="white"/>
        </w:rPr>
      </w:pPr>
      <w:r w:rsidDel="00000000" w:rsidR="00000000" w:rsidRPr="00000000">
        <w:rPr>
          <w:rtl w:val="0"/>
        </w:rPr>
        <w:t xml:space="preserve">In its 2020 List of Issues Prior to Reporting, the CEDAW asked Norway to “</w:t>
      </w:r>
      <w:r w:rsidDel="00000000" w:rsidR="00000000" w:rsidRPr="00000000">
        <w:rPr>
          <w:i w:val="1"/>
          <w:rtl w:val="0"/>
        </w:rPr>
        <w:t xml:space="preserve">provide information on measures taken to ensure that climate change and energy policies, and specifically the policy on the extraction and export of oil and gas, as well as the activities of related State-owned companies, take into account the differentiated and disproportionate impact of climate change on women in order to better integrate a gender perspective into policies and programmes on climate change and to ensure the effective participation of women in decision-making processes on climate change at the local and national levels, in line with the Committee’s general recommendation No. 37 (2018) on the gender-related dimensions of disaster risk reduction in the context of climate change</w:t>
      </w:r>
      <w:r w:rsidDel="00000000" w:rsidR="00000000" w:rsidRPr="00000000">
        <w:rPr>
          <w:rtl w:val="0"/>
        </w:rPr>
        <w:t xml:space="preserve">”. In its reply, the State party failed to adequately address its ongoing oil and gas extraction policie</w:t>
      </w:r>
      <w:r w:rsidDel="00000000" w:rsidR="00000000" w:rsidRPr="00000000">
        <w:rPr>
          <w:rtl w:val="0"/>
        </w:rPr>
        <w:t xml:space="preserve">s</w:t>
      </w:r>
      <w:r w:rsidDel="00000000" w:rsidR="00000000" w:rsidRPr="00000000">
        <w:rPr>
          <w:rtl w:val="0"/>
        </w:rPr>
        <w:t xml:space="preserve">, as well as to provide information on </w:t>
      </w:r>
      <w:r w:rsidDel="00000000" w:rsidR="00000000" w:rsidRPr="00000000">
        <w:rPr>
          <w:highlight w:val="white"/>
          <w:rtl w:val="0"/>
        </w:rPr>
        <w:t xml:space="preserve">which concrete measures have been put into place as part of the State party’s petroleum policy in order to tackle climate change challenges. Norway also did not addressits huge impact on climate change as an “emissions exporter” through its oil and gas export. Science is clear that the only means to effectively tackle climate change is by halting all fossil fuel production. </w:t>
      </w:r>
    </w:p>
    <w:p w:rsidR="00000000" w:rsidDel="00000000" w:rsidP="00000000" w:rsidRDefault="00000000" w:rsidRPr="00000000" w14:paraId="00000012">
      <w:pPr>
        <w:spacing w:after="200" w:line="240" w:lineRule="auto"/>
        <w:ind w:left="-360" w:right="-360" w:firstLine="0"/>
        <w:jc w:val="both"/>
        <w:rPr/>
      </w:pPr>
      <w:r w:rsidDel="00000000" w:rsidR="00000000" w:rsidRPr="00000000">
        <w:rPr>
          <w:highlight w:val="white"/>
          <w:rtl w:val="0"/>
        </w:rPr>
        <w:t xml:space="preserve">Norway is currently pursuing policies aimed at further expanding </w:t>
      </w:r>
      <w:r w:rsidDel="00000000" w:rsidR="00000000" w:rsidRPr="00000000">
        <w:rPr>
          <w:color w:val="222222"/>
          <w:highlight w:val="white"/>
          <w:rtl w:val="0"/>
        </w:rPr>
        <w:t xml:space="preserve">the oil and gas industry. </w:t>
      </w:r>
      <w:r w:rsidDel="00000000" w:rsidR="00000000" w:rsidRPr="00000000">
        <w:rPr>
          <w:rtl w:val="0"/>
        </w:rPr>
        <w:t xml:space="preserve">The fossil fuel industry in the country is one of the leading sources of greenhouse gas (GHG) emissions, being responsible for approximately 25% of Norway’s yearly emissions</w:t>
      </w:r>
      <w:r w:rsidDel="00000000" w:rsidR="00000000" w:rsidRPr="00000000">
        <w:rPr>
          <w:vertAlign w:val="superscript"/>
        </w:rPr>
        <w:footnoteReference w:customMarkFollows="0" w:id="0"/>
      </w:r>
      <w:r w:rsidDel="00000000" w:rsidR="00000000" w:rsidRPr="00000000">
        <w:rPr>
          <w:rtl w:val="0"/>
        </w:rPr>
        <w:t xml:space="preserve">, which is manifestly incompatible with the goal of limiting global warming to 1.5ºC set in the Paris Agreement. </w:t>
      </w:r>
      <w:r w:rsidDel="00000000" w:rsidR="00000000" w:rsidRPr="00000000">
        <w:rPr>
          <w:color w:val="222222"/>
          <w:rtl w:val="0"/>
        </w:rPr>
        <w:t xml:space="preserve">Norway is the world's largest fossil fuel exporter per capita in the world, thus contributing to GHG emissions both within and outside its jurisdiction. </w:t>
      </w:r>
      <w:r w:rsidDel="00000000" w:rsidR="00000000" w:rsidRPr="00000000">
        <w:rPr>
          <w:rtl w:val="0"/>
        </w:rPr>
        <w:t xml:space="preserve">Norway’s oil and gas extraction, consumption and export are incompatible with its obligations under Article 2 of the Convention, including with regard to extraterritorial obligations. As a State Party to the CEDAW, Norway has an obligation under the Convention to take steps to avoid exacerbating climate change and its disproportionate adverse impacts on women in Norway and abroad, including by taking all measures appropriate to reduce any threat of climate-induced harms on women rights resulting from activities taking place in its territory of Norway or under its the control, such as oil and gas extraction and export.</w:t>
      </w:r>
      <w:r w:rsidDel="00000000" w:rsidR="00000000" w:rsidRPr="00000000">
        <w:rPr>
          <w:rtl w:val="0"/>
        </w:rPr>
        <w:t xml:space="preserve"> In its 2017 Concluding Observations to Norway, the Committee had expressed “concern[s] that continuing and expanding extraction of oil and gas in the Arctic by the State party and its inevitable greenhouse gas emissions undermines its obligations to ensure women’s substantive equality with men” and consequently recommended that Norway “review its climate change and energy policies, and specifically its policy on extraction of oil and gas, to ensure it takes into account the disproportionate negative impacts of climate change on women’s rights”.</w:t>
      </w:r>
      <w:r w:rsidDel="00000000" w:rsidR="00000000" w:rsidRPr="00000000">
        <w:rPr>
          <w:rtl w:val="0"/>
        </w:rPr>
      </w:r>
    </w:p>
    <w:p w:rsidR="00000000" w:rsidDel="00000000" w:rsidP="00000000" w:rsidRDefault="00000000" w:rsidRPr="00000000" w14:paraId="00000013">
      <w:pPr>
        <w:spacing w:after="200" w:line="240" w:lineRule="auto"/>
        <w:ind w:left="-360" w:right="-360" w:firstLine="0"/>
        <w:jc w:val="both"/>
        <w:rPr/>
      </w:pPr>
      <w:r w:rsidDel="00000000" w:rsidR="00000000" w:rsidRPr="00000000">
        <w:rPr>
          <w:rtl w:val="0"/>
        </w:rPr>
        <w:t xml:space="preserve">In light of the above, the Center for International Environmental Law (CIEL) and Greenpeace Norway respectfully urge the Committee to issue the following recommendation to Norway: </w:t>
      </w:r>
    </w:p>
    <w:p w:rsidR="00000000" w:rsidDel="00000000" w:rsidP="00000000" w:rsidRDefault="00000000" w:rsidRPr="00000000" w14:paraId="00000014">
      <w:pPr>
        <w:spacing w:before="200" w:line="240" w:lineRule="auto"/>
        <w:ind w:left="-360" w:right="-360" w:firstLine="0"/>
        <w:jc w:val="both"/>
        <w:rPr>
          <w:i w:val="1"/>
        </w:rPr>
      </w:pPr>
      <w:r w:rsidDel="00000000" w:rsidR="00000000" w:rsidRPr="00000000">
        <w:rPr>
          <w:i w:val="1"/>
          <w:rtl w:val="0"/>
        </w:rPr>
        <w:t xml:space="preserve">The Committee expresses concern about Norway’s ongoing oil and gas exploration, extraction, and export, due to their contribution to climate change, which affects the rights of women within and beyond the State party’s jurisdiction. The Committee is also concerned about the State party’s current climate targets that are not in line with the Paris Agreement, and its climate and energy policies that fail to meet such targets. The Committee recommends that Norway (a) </w:t>
      </w:r>
      <w:r w:rsidDel="00000000" w:rsidR="00000000" w:rsidRPr="00000000">
        <w:rPr>
          <w:i w:val="1"/>
          <w:rtl w:val="0"/>
        </w:rPr>
        <w:t xml:space="preserve">immediately ceases all new oil and gas </w:t>
      </w:r>
      <w:r w:rsidDel="00000000" w:rsidR="00000000" w:rsidRPr="00000000">
        <w:rPr>
          <w:i w:val="1"/>
          <w:rtl w:val="0"/>
        </w:rPr>
        <w:t xml:space="preserve">developments</w:t>
      </w:r>
      <w:r w:rsidDel="00000000" w:rsidR="00000000" w:rsidRPr="00000000">
        <w:rPr>
          <w:i w:val="1"/>
          <w:rtl w:val="0"/>
        </w:rPr>
        <w:t xml:space="preserve">, (b) revises its climate and energy policies, in order to achieve a 55% emissions reduction by 2030 as per its commitments, and net-zero emissions by 2050, including by starting an effective phase out of fossil production; and (c) require State-owned companies to set a concrete goal to cut emissions in line with the Paris Agreement temperature goal in order to achieve significant emissions cuts by 2030, and reduce absolute emissions by 100% by 2050.</w:t>
      </w:r>
    </w:p>
    <w:p w:rsidR="00000000" w:rsidDel="00000000" w:rsidP="00000000" w:rsidRDefault="00000000" w:rsidRPr="00000000" w14:paraId="00000015">
      <w:pPr>
        <w:spacing w:after="200" w:line="240" w:lineRule="auto"/>
        <w:ind w:left="-360" w:right="-360" w:firstLine="0"/>
        <w:jc w:val="both"/>
        <w:rPr>
          <w:color w:val="222222"/>
        </w:rPr>
      </w:pPr>
      <w:r w:rsidDel="00000000" w:rsidR="00000000" w:rsidRPr="00000000">
        <w:rPr>
          <w:rtl w:val="0"/>
        </w:rPr>
      </w:r>
    </w:p>
    <w:p w:rsidR="00000000" w:rsidDel="00000000" w:rsidP="00000000" w:rsidRDefault="00000000" w:rsidRPr="00000000" w14:paraId="00000016">
      <w:pPr>
        <w:spacing w:after="200" w:line="240" w:lineRule="auto"/>
        <w:ind w:left="-360" w:right="-360" w:firstLine="0"/>
        <w:jc w:val="both"/>
        <w:rPr>
          <w:b w:val="1"/>
        </w:rPr>
      </w:pPr>
      <w:r w:rsidDel="00000000" w:rsidR="00000000" w:rsidRPr="00000000">
        <w:rPr>
          <w:b w:val="1"/>
          <w:rtl w:val="0"/>
        </w:rPr>
        <w:t xml:space="preserve">General context</w:t>
      </w:r>
    </w:p>
    <w:p w:rsidR="00000000" w:rsidDel="00000000" w:rsidP="00000000" w:rsidRDefault="00000000" w:rsidRPr="00000000" w14:paraId="00000017">
      <w:pPr>
        <w:spacing w:line="240" w:lineRule="auto"/>
        <w:ind w:left="-360" w:right="-360" w:firstLine="0"/>
        <w:jc w:val="both"/>
        <w:rPr>
          <w:color w:val="222222"/>
          <w:highlight w:val="white"/>
        </w:rPr>
      </w:pPr>
      <w:r w:rsidDel="00000000" w:rsidR="00000000" w:rsidRPr="00000000">
        <w:rPr>
          <w:color w:val="222222"/>
          <w:highlight w:val="white"/>
          <w:rtl w:val="0"/>
        </w:rPr>
        <w:t xml:space="preserve">The Norwegian government is promoting policies aimed at further expanding the oil and gas industry, despite claiming publicly that there is a need to reduce the production and use of fossil fuels. In 2022, the Norwegian state received a record high number of oil and gas development plans, totalling investments for around 300 billion NOK (approx. 28 billion Euros).</w:t>
      </w:r>
      <w:r w:rsidDel="00000000" w:rsidR="00000000" w:rsidRPr="00000000">
        <w:rPr>
          <w:color w:val="222222"/>
          <w:highlight w:val="white"/>
          <w:vertAlign w:val="superscript"/>
        </w:rPr>
        <w:footnoteReference w:customMarkFollows="0" w:id="1"/>
      </w:r>
      <w:r w:rsidDel="00000000" w:rsidR="00000000" w:rsidRPr="00000000">
        <w:rPr>
          <w:color w:val="222222"/>
          <w:highlight w:val="white"/>
          <w:rtl w:val="0"/>
        </w:rPr>
        <w:t xml:space="preserve"> </w:t>
      </w:r>
      <w:r w:rsidDel="00000000" w:rsidR="00000000" w:rsidRPr="00000000">
        <w:rPr>
          <w:rtl w:val="0"/>
        </w:rPr>
        <w:t xml:space="preserve">According to some estimates, the licenses that have been awarded between 2012 and 2021 resulted in “2.8 billion barrels of new oil and gas resources for potential extraction, almost 3.5 times more than Europe’s second-largest producer, the United Kingdom”</w:t>
      </w:r>
      <w:r w:rsidDel="00000000" w:rsidR="00000000" w:rsidRPr="00000000">
        <w:rPr>
          <w:vertAlign w:val="superscript"/>
        </w:rPr>
        <w:footnoteReference w:customMarkFollows="0" w:id="2"/>
      </w:r>
      <w:r w:rsidDel="00000000" w:rsidR="00000000" w:rsidRPr="00000000">
        <w:rPr>
          <w:rtl w:val="0"/>
        </w:rPr>
        <w:t xml:space="preserve">, which can lead to “an additional 3 gigatons of CO2 emissions globally”</w:t>
      </w:r>
      <w:r w:rsidDel="00000000" w:rsidR="00000000" w:rsidRPr="00000000">
        <w:rPr>
          <w:vertAlign w:val="superscript"/>
        </w:rPr>
        <w:footnoteReference w:customMarkFollows="0" w:id="3"/>
      </w:r>
      <w:r w:rsidDel="00000000" w:rsidR="00000000" w:rsidRPr="00000000">
        <w:rPr>
          <w:rtl w:val="0"/>
        </w:rPr>
        <w:t xml:space="preserve">. In 2022, Norway produced around 232 millions m³ oil equivalent. </w:t>
      </w:r>
      <w:r w:rsidDel="00000000" w:rsidR="00000000" w:rsidRPr="00000000">
        <w:rPr>
          <w:color w:val="222222"/>
          <w:highlight w:val="white"/>
          <w:rtl w:val="0"/>
        </w:rPr>
        <w:t xml:space="preserve">In that year, the minority government and their parliamentary coalition partner agreed to pause new numbered licensing rounds (normally handed out every second year) until after the next election. While this could see a positive development, the numbered licensing rounds have more or less become obsolete. </w:t>
      </w:r>
    </w:p>
    <w:p w:rsidR="00000000" w:rsidDel="00000000" w:rsidP="00000000" w:rsidRDefault="00000000" w:rsidRPr="00000000" w14:paraId="00000018">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19">
      <w:pPr>
        <w:spacing w:line="240" w:lineRule="auto"/>
        <w:ind w:left="-360" w:right="-360" w:firstLine="0"/>
        <w:jc w:val="both"/>
        <w:rPr>
          <w:color w:val="222222"/>
          <w:highlight w:val="white"/>
        </w:rPr>
      </w:pPr>
      <w:r w:rsidDel="00000000" w:rsidR="00000000" w:rsidRPr="00000000">
        <w:rPr>
          <w:rtl w:val="0"/>
        </w:rPr>
        <w:t xml:space="preserve">In January 2023, Norway awarded 47 oil and gas exploration permits, including in the </w:t>
      </w:r>
      <w:r w:rsidDel="00000000" w:rsidR="00000000" w:rsidRPr="00000000">
        <w:rPr>
          <w:color w:val="222222"/>
          <w:highlight w:val="white"/>
          <w:rtl w:val="0"/>
        </w:rPr>
        <w:t xml:space="preserve">Arctic</w:t>
      </w:r>
      <w:r w:rsidDel="00000000" w:rsidR="00000000" w:rsidRPr="00000000">
        <w:rPr>
          <w:rtl w:val="0"/>
        </w:rPr>
        <w:t xml:space="preserve"> (29 in the North Sea, 16 in the Norwegian Sea, and 2 in the Arctic Barents Sea</w:t>
      </w:r>
      <w:r w:rsidDel="00000000" w:rsidR="00000000" w:rsidRPr="00000000">
        <w:rPr>
          <w:color w:val="222222"/>
          <w:highlight w:val="white"/>
          <w:vertAlign w:val="superscript"/>
        </w:rPr>
        <w:footnoteReference w:customMarkFollows="0" w:id="4"/>
      </w:r>
      <w:r w:rsidDel="00000000" w:rsidR="00000000" w:rsidRPr="00000000">
        <w:rPr>
          <w:rtl w:val="0"/>
        </w:rPr>
        <w:t xml:space="preserve">), t</w:t>
      </w:r>
      <w:r w:rsidDel="00000000" w:rsidR="00000000" w:rsidRPr="00000000">
        <w:rPr>
          <w:color w:val="222222"/>
          <w:highlight w:val="white"/>
          <w:rtl w:val="0"/>
        </w:rPr>
        <w:t xml:space="preserve">hrough the so-called </w:t>
      </w:r>
      <w:r w:rsidDel="00000000" w:rsidR="00000000" w:rsidRPr="00000000">
        <w:rPr>
          <w:i w:val="1"/>
          <w:color w:val="222222"/>
          <w:highlight w:val="white"/>
          <w:rtl w:val="0"/>
        </w:rPr>
        <w:t xml:space="preserve">Awarding in predefined areas (APA)</w:t>
      </w:r>
      <w:r w:rsidDel="00000000" w:rsidR="00000000" w:rsidRPr="00000000">
        <w:rPr>
          <w:rtl w:val="0"/>
        </w:rPr>
        <w:t xml:space="preserve">.</w:t>
      </w:r>
      <w:r w:rsidDel="00000000" w:rsidR="00000000" w:rsidRPr="00000000">
        <w:rPr>
          <w:vertAlign w:val="superscript"/>
        </w:rPr>
        <w:footnoteReference w:customMarkFollows="0" w:id="5"/>
      </w:r>
      <w:r w:rsidDel="00000000" w:rsidR="00000000" w:rsidRPr="00000000">
        <w:rPr>
          <w:rtl w:val="0"/>
        </w:rPr>
        <w:t xml:space="preserve"> </w:t>
      </w:r>
      <w:r w:rsidDel="00000000" w:rsidR="00000000" w:rsidRPr="00000000">
        <w:rPr>
          <w:color w:val="222222"/>
          <w:highlight w:val="white"/>
          <w:rtl w:val="0"/>
        </w:rPr>
        <w:t xml:space="preserve">This awarding happens once a year, and as a result of an agreement made at the end of 2022, this will be the only way of handing out new petroleum licenses until after the 2025 parliamentary election. </w:t>
      </w:r>
      <w:r w:rsidDel="00000000" w:rsidR="00000000" w:rsidRPr="00000000">
        <w:rPr>
          <w:color w:val="222222"/>
          <w:highlight w:val="white"/>
          <w:rtl w:val="0"/>
        </w:rPr>
        <w:t xml:space="preserve">In the four last numbered licensing rounds, only 45 new licenses have been handed out, compared to 230 new licenses that were handed out in the four last APA rounds.</w:t>
      </w:r>
      <w:r w:rsidDel="00000000" w:rsidR="00000000" w:rsidRPr="00000000">
        <w:rPr>
          <w:color w:val="222222"/>
          <w:highlight w:val="white"/>
          <w:vertAlign w:val="superscript"/>
        </w:rPr>
        <w:footnoteReference w:customMarkFollows="0" w:id="6"/>
      </w:r>
      <w:r w:rsidDel="00000000" w:rsidR="00000000" w:rsidRPr="00000000">
        <w:rPr>
          <w:rtl w:val="0"/>
        </w:rPr>
      </w:r>
    </w:p>
    <w:p w:rsidR="00000000" w:rsidDel="00000000" w:rsidP="00000000" w:rsidRDefault="00000000" w:rsidRPr="00000000" w14:paraId="0000001A">
      <w:pPr>
        <w:spacing w:line="240" w:lineRule="auto"/>
        <w:ind w:left="-360" w:right="-360" w:firstLine="0"/>
        <w:jc w:val="both"/>
        <w:rPr/>
      </w:pPr>
      <w:r w:rsidDel="00000000" w:rsidR="00000000" w:rsidRPr="00000000">
        <w:rPr>
          <w:color w:val="222222"/>
          <w:highlight w:val="white"/>
          <w:rtl w:val="0"/>
        </w:rPr>
        <w:t xml:space="preserve">In ongoing discussions with the European Union (EU) about an agreement for green industry developments, the discussions have been stranded because Norway struggles to accept that the EU is seeking a ban on new Arctic oil and gas</w:t>
      </w:r>
      <w:r w:rsidDel="00000000" w:rsidR="00000000" w:rsidRPr="00000000">
        <w:rPr>
          <w:color w:val="222222"/>
          <w:highlight w:val="white"/>
          <w:rtl w:val="0"/>
        </w:rPr>
        <w:t xml:space="preserve">.</w:t>
      </w:r>
      <w:r w:rsidDel="00000000" w:rsidR="00000000" w:rsidRPr="00000000">
        <w:rPr>
          <w:color w:val="222222"/>
          <w:highlight w:val="white"/>
          <w:vertAlign w:val="superscript"/>
        </w:rPr>
        <w:footnoteReference w:customMarkFollows="0" w:id="7"/>
      </w:r>
      <w:r w:rsidDel="00000000" w:rsidR="00000000" w:rsidRPr="00000000">
        <w:rPr>
          <w:color w:val="222222"/>
          <w:highlight w:val="white"/>
          <w:rtl w:val="0"/>
        </w:rPr>
        <w:t xml:space="preserve"> Towards 2026, Norwegian oil and gas output is expected to increase even further</w:t>
      </w:r>
      <w:r w:rsidDel="00000000" w:rsidR="00000000" w:rsidRPr="00000000">
        <w:rPr>
          <w:color w:val="222222"/>
          <w:highlight w:val="white"/>
          <w:rtl w:val="0"/>
        </w:rPr>
        <w:t xml:space="preserve">.</w:t>
      </w:r>
      <w:r w:rsidDel="00000000" w:rsidR="00000000" w:rsidRPr="00000000">
        <w:rPr>
          <w:color w:val="222222"/>
          <w:highlight w:val="white"/>
          <w:vertAlign w:val="superscript"/>
        </w:rPr>
        <w:footnoteReference w:customMarkFollows="0" w:id="8"/>
      </w:r>
      <w:r w:rsidDel="00000000" w:rsidR="00000000" w:rsidRPr="00000000">
        <w:rPr>
          <w:rtl w:val="0"/>
        </w:rPr>
      </w:r>
    </w:p>
    <w:p w:rsidR="00000000" w:rsidDel="00000000" w:rsidP="00000000" w:rsidRDefault="00000000" w:rsidRPr="00000000" w14:paraId="0000001B">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1C">
      <w:pPr>
        <w:spacing w:line="240" w:lineRule="auto"/>
        <w:ind w:left="-360" w:right="-360" w:firstLine="0"/>
        <w:jc w:val="both"/>
        <w:rPr>
          <w:color w:val="222222"/>
          <w:highlight w:val="white"/>
        </w:rPr>
      </w:pPr>
      <w:r w:rsidDel="00000000" w:rsidR="00000000" w:rsidRPr="00000000">
        <w:rPr>
          <w:color w:val="222222"/>
          <w:highlight w:val="white"/>
          <w:rtl w:val="0"/>
        </w:rPr>
        <w:t xml:space="preserve">The record high number of investments into oil and gas must be understood in light of COVID-19 measures implemented by Norway. Norway did worse than the global average in channeling pandemic stimulus packages to green initiatives.</w:t>
      </w:r>
      <w:r w:rsidDel="00000000" w:rsidR="00000000" w:rsidRPr="00000000">
        <w:rPr>
          <w:color w:val="222222"/>
          <w:highlight w:val="white"/>
          <w:vertAlign w:val="superscript"/>
        </w:rPr>
        <w:footnoteReference w:customMarkFollows="0" w:id="9"/>
      </w:r>
      <w:r w:rsidDel="00000000" w:rsidR="00000000" w:rsidRPr="00000000">
        <w:rPr>
          <w:color w:val="222222"/>
          <w:highlight w:val="white"/>
          <w:rtl w:val="0"/>
        </w:rPr>
        <w:t xml:space="preserve"> In fact, a third of the Norwegian public COVID-19 stimulus packages went to the oil industry. Instead of covering the regular coverage of new oil and gas investments of 78%, a majority in the Parliament decided that the State </w:t>
      </w:r>
      <w:r w:rsidDel="00000000" w:rsidR="00000000" w:rsidRPr="00000000">
        <w:rPr>
          <w:color w:val="222222"/>
          <w:highlight w:val="white"/>
          <w:rtl w:val="0"/>
        </w:rPr>
        <w:t xml:space="preserve">should cover</w:t>
      </w:r>
      <w:r w:rsidDel="00000000" w:rsidR="00000000" w:rsidRPr="00000000">
        <w:rPr>
          <w:color w:val="222222"/>
          <w:highlight w:val="white"/>
          <w:rtl w:val="0"/>
        </w:rPr>
        <w:t xml:space="preserve"> 90% of all oil and gas investments done by the end of 2022.</w:t>
      </w:r>
      <w:r w:rsidDel="00000000" w:rsidR="00000000" w:rsidRPr="00000000">
        <w:rPr>
          <w:color w:val="222222"/>
          <w:highlight w:val="white"/>
          <w:vertAlign w:val="superscript"/>
        </w:rPr>
        <w:footnoteReference w:customMarkFollows="0" w:id="10"/>
      </w:r>
      <w:r w:rsidDel="00000000" w:rsidR="00000000" w:rsidRPr="00000000">
        <w:rPr>
          <w:color w:val="222222"/>
          <w:highlight w:val="white"/>
          <w:rtl w:val="0"/>
        </w:rPr>
        <w:t xml:space="preserve"> </w:t>
      </w:r>
    </w:p>
    <w:p w:rsidR="00000000" w:rsidDel="00000000" w:rsidP="00000000" w:rsidRDefault="00000000" w:rsidRPr="00000000" w14:paraId="0000001D">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1E">
      <w:pPr>
        <w:spacing w:line="240" w:lineRule="auto"/>
        <w:ind w:left="-360" w:right="-360" w:firstLine="0"/>
        <w:jc w:val="both"/>
        <w:rPr>
          <w:color w:val="222222"/>
          <w:highlight w:val="white"/>
        </w:rPr>
      </w:pPr>
      <w:r w:rsidDel="00000000" w:rsidR="00000000" w:rsidRPr="00000000">
        <w:rPr>
          <w:color w:val="222222"/>
          <w:highlight w:val="white"/>
          <w:rtl w:val="0"/>
        </w:rPr>
        <w:t xml:space="preserve">Furthermore the State is adding further Norwegian oil and gas into the market. This way, the state disregards the fact that there is already more oil and gas in production than the 1.5°C degrees carbon budget allows for, as stated by both the International Energy Agency (IEA)</w:t>
      </w:r>
      <w:r w:rsidDel="00000000" w:rsidR="00000000" w:rsidRPr="00000000">
        <w:rPr>
          <w:color w:val="222222"/>
          <w:highlight w:val="white"/>
          <w:vertAlign w:val="superscript"/>
        </w:rPr>
        <w:footnoteReference w:customMarkFollows="0" w:id="11"/>
      </w:r>
      <w:r w:rsidDel="00000000" w:rsidR="00000000" w:rsidRPr="00000000">
        <w:rPr>
          <w:color w:val="222222"/>
          <w:highlight w:val="white"/>
          <w:rtl w:val="0"/>
        </w:rPr>
        <w:t xml:space="preserve"> and the Intergovernmental Panel on Climate Change (IPCC)</w:t>
      </w:r>
      <w:r w:rsidDel="00000000" w:rsidR="00000000" w:rsidRPr="00000000">
        <w:rPr>
          <w:color w:val="222222"/>
          <w:highlight w:val="white"/>
          <w:vertAlign w:val="superscript"/>
        </w:rPr>
        <w:footnoteReference w:customMarkFollows="0" w:id="12"/>
      </w:r>
      <w:r w:rsidDel="00000000" w:rsidR="00000000" w:rsidRPr="00000000">
        <w:rPr>
          <w:color w:val="222222"/>
          <w:highlight w:val="white"/>
          <w:rtl w:val="0"/>
        </w:rPr>
        <w:t xml:space="preserve">. Norway has not even joined initiatives such as the </w:t>
      </w:r>
      <w:r w:rsidDel="00000000" w:rsidR="00000000" w:rsidRPr="00000000">
        <w:rPr>
          <w:i w:val="1"/>
          <w:color w:val="222222"/>
          <w:highlight w:val="white"/>
          <w:rtl w:val="0"/>
        </w:rPr>
        <w:t xml:space="preserve">Beyond Oil and Gas Alliance</w:t>
      </w:r>
      <w:r w:rsidDel="00000000" w:rsidR="00000000" w:rsidRPr="00000000">
        <w:rPr>
          <w:color w:val="222222"/>
          <w:highlight w:val="white"/>
          <w:rtl w:val="0"/>
        </w:rPr>
        <w:t xml:space="preserve"> or some other agreement with fossil fuel producers about climate compatible phase out of fossil fuel production.</w:t>
      </w:r>
      <w:r w:rsidDel="00000000" w:rsidR="00000000" w:rsidRPr="00000000">
        <w:rPr>
          <w:rtl w:val="0"/>
        </w:rPr>
      </w:r>
    </w:p>
    <w:p w:rsidR="00000000" w:rsidDel="00000000" w:rsidP="00000000" w:rsidRDefault="00000000" w:rsidRPr="00000000" w14:paraId="0000001F">
      <w:pPr>
        <w:spacing w:line="240" w:lineRule="auto"/>
        <w:ind w:left="-360" w:right="-360" w:firstLine="0"/>
        <w:jc w:val="both"/>
        <w:rPr>
          <w:color w:val="222222"/>
          <w:highlight w:val="yellow"/>
        </w:rPr>
      </w:pPr>
      <w:r w:rsidDel="00000000" w:rsidR="00000000" w:rsidRPr="00000000">
        <w:rPr>
          <w:rtl w:val="0"/>
        </w:rPr>
      </w:r>
    </w:p>
    <w:p w:rsidR="00000000" w:rsidDel="00000000" w:rsidP="00000000" w:rsidRDefault="00000000" w:rsidRPr="00000000" w14:paraId="00000020">
      <w:pPr>
        <w:spacing w:line="240" w:lineRule="auto"/>
        <w:ind w:left="-360" w:right="-360" w:firstLine="0"/>
        <w:jc w:val="both"/>
        <w:rPr>
          <w:b w:val="1"/>
          <w:color w:val="222222"/>
          <w:highlight w:val="white"/>
        </w:rPr>
      </w:pPr>
      <w:r w:rsidDel="00000000" w:rsidR="00000000" w:rsidRPr="00000000">
        <w:rPr>
          <w:b w:val="1"/>
          <w:color w:val="222222"/>
          <w:highlight w:val="white"/>
          <w:rtl w:val="0"/>
        </w:rPr>
        <w:t xml:space="preserve">Norwegian climate goals and climate policy</w:t>
      </w:r>
    </w:p>
    <w:p w:rsidR="00000000" w:rsidDel="00000000" w:rsidP="00000000" w:rsidRDefault="00000000" w:rsidRPr="00000000" w14:paraId="00000021">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22">
      <w:pPr>
        <w:spacing w:line="240" w:lineRule="auto"/>
        <w:ind w:left="-360" w:right="-360" w:firstLine="0"/>
        <w:jc w:val="both"/>
        <w:rPr>
          <w:color w:val="222222"/>
          <w:highlight w:val="white"/>
        </w:rPr>
      </w:pPr>
      <w:r w:rsidDel="00000000" w:rsidR="00000000" w:rsidRPr="00000000">
        <w:rPr>
          <w:color w:val="222222"/>
          <w:highlight w:val="white"/>
          <w:rtl w:val="0"/>
        </w:rPr>
        <w:t xml:space="preserve">In 2022, Norway updated its climate target under the Paris Agreement to cut 55% of domestic emissions by 2030, compared to 1990 levels.</w:t>
      </w:r>
      <w:r w:rsidDel="00000000" w:rsidR="00000000" w:rsidRPr="00000000">
        <w:rPr>
          <w:color w:val="222222"/>
          <w:highlight w:val="white"/>
          <w:rtl w:val="0"/>
        </w:rPr>
        <w:t xml:space="preserve"> </w:t>
      </w:r>
      <w:r w:rsidDel="00000000" w:rsidR="00000000" w:rsidRPr="00000000">
        <w:rPr>
          <w:color w:val="222222"/>
          <w:highlight w:val="white"/>
          <w:rtl w:val="0"/>
        </w:rPr>
        <w:t xml:space="preserve">As a long-term goal, Norway wishes to become a </w:t>
      </w:r>
      <w:r w:rsidDel="00000000" w:rsidR="00000000" w:rsidRPr="00000000">
        <w:rPr>
          <w:rFonts w:ascii="Roboto" w:cs="Roboto" w:eastAsia="Roboto" w:hAnsi="Roboto"/>
          <w:color w:val="222222"/>
          <w:sz w:val="21"/>
          <w:szCs w:val="21"/>
          <w:highlight w:val="white"/>
          <w:rtl w:val="0"/>
        </w:rPr>
        <w:t xml:space="preserve">"low-emission society" by 2050, cutting emissions 90-95% compared to 1990 levels</w:t>
      </w:r>
      <w:r w:rsidDel="00000000" w:rsidR="00000000" w:rsidRPr="00000000">
        <w:rPr>
          <w:rFonts w:ascii="Roboto" w:cs="Roboto" w:eastAsia="Roboto" w:hAnsi="Roboto"/>
          <w:color w:val="222222"/>
          <w:sz w:val="21"/>
          <w:szCs w:val="21"/>
          <w:highlight w:val="white"/>
          <w:rtl w:val="0"/>
        </w:rPr>
        <w:t xml:space="preserve">.</w:t>
      </w:r>
      <w:r w:rsidDel="00000000" w:rsidR="00000000" w:rsidRPr="00000000">
        <w:rPr>
          <w:rFonts w:ascii="Roboto" w:cs="Roboto" w:eastAsia="Roboto" w:hAnsi="Roboto"/>
          <w:color w:val="222222"/>
          <w:sz w:val="21"/>
          <w:szCs w:val="21"/>
          <w:highlight w:val="white"/>
          <w:vertAlign w:val="superscript"/>
        </w:rPr>
        <w:footnoteReference w:customMarkFollows="0" w:id="13"/>
      </w:r>
      <w:r w:rsidDel="00000000" w:rsidR="00000000" w:rsidRPr="00000000">
        <w:rPr>
          <w:rFonts w:ascii="Roboto" w:cs="Roboto" w:eastAsia="Roboto" w:hAnsi="Roboto"/>
          <w:color w:val="222222"/>
          <w:sz w:val="21"/>
          <w:szCs w:val="21"/>
          <w:highlight w:val="white"/>
          <w:rtl w:val="0"/>
        </w:rPr>
        <w:t xml:space="preserve"> </w:t>
      </w:r>
      <w:r w:rsidDel="00000000" w:rsidR="00000000" w:rsidRPr="00000000">
        <w:rPr>
          <w:color w:val="222222"/>
          <w:highlight w:val="white"/>
          <w:rtl w:val="0"/>
        </w:rPr>
        <w:t xml:space="preserve">One of the most positive developments is that Norway now champions doing all these cuts d</w:t>
      </w:r>
      <w:r w:rsidDel="00000000" w:rsidR="00000000" w:rsidRPr="00000000">
        <w:rPr>
          <w:color w:val="222222"/>
          <w:highlight w:val="white"/>
          <w:rtl w:val="0"/>
        </w:rPr>
        <w:t xml:space="preserve">omestically, instead of </w:t>
      </w:r>
      <w:r w:rsidDel="00000000" w:rsidR="00000000" w:rsidRPr="00000000">
        <w:rPr>
          <w:color w:val="222222"/>
          <w:highlight w:val="white"/>
          <w:rtl w:val="0"/>
        </w:rPr>
        <w:t xml:space="preserve">relying on international offsets mechanisms compensating </w:t>
      </w:r>
      <w:r w:rsidDel="00000000" w:rsidR="00000000" w:rsidRPr="00000000">
        <w:rPr>
          <w:color w:val="222222"/>
          <w:highlight w:val="white"/>
          <w:rtl w:val="0"/>
        </w:rPr>
        <w:t xml:space="preserve">insufficient</w:t>
      </w:r>
      <w:r w:rsidDel="00000000" w:rsidR="00000000" w:rsidRPr="00000000">
        <w:rPr>
          <w:color w:val="222222"/>
          <w:highlight w:val="white"/>
          <w:rtl w:val="0"/>
        </w:rPr>
        <w:t xml:space="preserve"> domestic emissions cuts through the purchase of carbon credits abroad. However, the State party does not appear to be on track to meet its own goals. The last official emissions statistics is from 2021, and it shows a total emission of 48,9 million tons of CO2.</w:t>
      </w:r>
      <w:r w:rsidDel="00000000" w:rsidR="00000000" w:rsidRPr="00000000">
        <w:rPr>
          <w:color w:val="222222"/>
          <w:highlight w:val="white"/>
          <w:vertAlign w:val="superscript"/>
        </w:rPr>
        <w:footnoteReference w:customMarkFollows="0" w:id="14"/>
      </w:r>
      <w:r w:rsidDel="00000000" w:rsidR="00000000" w:rsidRPr="00000000">
        <w:rPr>
          <w:color w:val="222222"/>
          <w:highlight w:val="white"/>
          <w:rtl w:val="0"/>
        </w:rPr>
        <w:t xml:space="preserve"> This is 4,7% less than 1990 and represents only a decrease of 0,7% since 2020. Here, it must be remarked that the latter cuts resulted from the  temporary closing of Melkøya, a LNG facility in Northern Norway</w:t>
      </w:r>
      <w:r w:rsidDel="00000000" w:rsidR="00000000" w:rsidRPr="00000000">
        <w:rPr>
          <w:color w:val="222222"/>
          <w:highlight w:val="white"/>
          <w:rtl w:val="0"/>
        </w:rPr>
        <w:t xml:space="preserve">.</w:t>
      </w:r>
      <w:r w:rsidDel="00000000" w:rsidR="00000000" w:rsidRPr="00000000">
        <w:rPr>
          <w:color w:val="222222"/>
          <w:highlight w:val="white"/>
          <w:vertAlign w:val="superscript"/>
        </w:rPr>
        <w:footnoteReference w:customMarkFollows="0" w:id="15"/>
      </w:r>
      <w:r w:rsidDel="00000000" w:rsidR="00000000" w:rsidRPr="00000000">
        <w:rPr>
          <w:color w:val="222222"/>
          <w:highlight w:val="white"/>
          <w:rtl w:val="0"/>
        </w:rPr>
        <w:t xml:space="preserve"> The facility was closed during the entirety of 2021 because of a fire. Had Melkøya, with its annual emissions of 0,9-1,1 million tons of CO2, been operating, the emissions would have been higher than in 2020</w:t>
      </w:r>
      <w:r w:rsidDel="00000000" w:rsidR="00000000" w:rsidRPr="00000000">
        <w:rPr>
          <w:color w:val="222222"/>
          <w:highlight w:val="white"/>
          <w:rtl w:val="0"/>
        </w:rPr>
        <w:t xml:space="preserve">.</w:t>
      </w:r>
      <w:r w:rsidDel="00000000" w:rsidR="00000000" w:rsidRPr="00000000">
        <w:rPr>
          <w:color w:val="222222"/>
          <w:highlight w:val="white"/>
          <w:vertAlign w:val="superscript"/>
        </w:rPr>
        <w:footnoteReference w:customMarkFollows="0" w:id="16"/>
      </w:r>
      <w:r w:rsidDel="00000000" w:rsidR="00000000" w:rsidRPr="00000000">
        <w:rPr>
          <w:color w:val="222222"/>
          <w:highlight w:val="white"/>
          <w:rtl w:val="0"/>
        </w:rPr>
        <w:t xml:space="preserve"> </w:t>
      </w:r>
      <w:r w:rsidDel="00000000" w:rsidR="00000000" w:rsidRPr="00000000">
        <w:rPr>
          <w:rtl w:val="0"/>
        </w:rPr>
      </w:r>
    </w:p>
    <w:p w:rsidR="00000000" w:rsidDel="00000000" w:rsidP="00000000" w:rsidRDefault="00000000" w:rsidRPr="00000000" w14:paraId="00000023">
      <w:pPr>
        <w:spacing w:line="240" w:lineRule="auto"/>
        <w:ind w:left="-360" w:right="-360" w:firstLine="0"/>
        <w:jc w:val="both"/>
        <w:rPr>
          <w:color w:val="222222"/>
          <w:highlight w:val="white"/>
        </w:rPr>
      </w:pPr>
      <w:r w:rsidDel="00000000" w:rsidR="00000000" w:rsidRPr="00000000">
        <w:rPr>
          <w:color w:val="222222"/>
          <w:highlight w:val="white"/>
          <w:rtl w:val="0"/>
        </w:rPr>
        <w:t xml:space="preserve">Projections in the 2023 national budget show that Norway is on the track of emitting 38,6 million tons of CO2 in 2030.</w:t>
      </w:r>
      <w:r w:rsidDel="00000000" w:rsidR="00000000" w:rsidRPr="00000000">
        <w:rPr>
          <w:color w:val="222222"/>
          <w:highlight w:val="white"/>
          <w:vertAlign w:val="superscript"/>
        </w:rPr>
        <w:footnoteReference w:customMarkFollows="0" w:id="17"/>
      </w:r>
      <w:r w:rsidDel="00000000" w:rsidR="00000000" w:rsidRPr="00000000">
        <w:rPr>
          <w:color w:val="222222"/>
          <w:highlight w:val="white"/>
          <w:rtl w:val="0"/>
        </w:rPr>
        <w:t xml:space="preserve"> This is 15.5 million tons more CO2 than the current goal of cutting 55% by 2030 compared to 1990 levels.</w:t>
      </w:r>
      <w:r w:rsidDel="00000000" w:rsidR="00000000" w:rsidRPr="00000000">
        <w:rPr>
          <w:color w:val="222222"/>
          <w:highlight w:val="white"/>
          <w:vertAlign w:val="superscript"/>
        </w:rPr>
        <w:footnoteReference w:customMarkFollows="0" w:id="18"/>
      </w:r>
      <w:r w:rsidDel="00000000" w:rsidR="00000000" w:rsidRPr="00000000">
        <w:rPr>
          <w:color w:val="222222"/>
          <w:highlight w:val="white"/>
          <w:rtl w:val="0"/>
        </w:rPr>
        <w:t xml:space="preserve"> </w:t>
      </w:r>
      <w:r w:rsidDel="00000000" w:rsidR="00000000" w:rsidRPr="00000000">
        <w:rPr>
          <w:color w:val="222222"/>
          <w:highlight w:val="white"/>
          <w:rtl w:val="0"/>
        </w:rPr>
        <w:t xml:space="preserve">A report </w:t>
      </w:r>
      <w:r w:rsidDel="00000000" w:rsidR="00000000" w:rsidRPr="00000000">
        <w:rPr>
          <w:color w:val="222222"/>
          <w:highlight w:val="white"/>
          <w:rtl w:val="0"/>
        </w:rPr>
        <w:t xml:space="preserve">from 2022 shows that Norway is not on track to net zero emissions in 2050 either</w:t>
      </w:r>
      <w:r w:rsidDel="00000000" w:rsidR="00000000" w:rsidRPr="00000000">
        <w:rPr>
          <w:color w:val="222222"/>
          <w:highlight w:val="white"/>
          <w:rtl w:val="0"/>
        </w:rPr>
        <w:t xml:space="preserve">.</w:t>
      </w:r>
      <w:r w:rsidDel="00000000" w:rsidR="00000000" w:rsidRPr="00000000">
        <w:rPr>
          <w:color w:val="222222"/>
          <w:highlight w:val="white"/>
          <w:vertAlign w:val="superscript"/>
        </w:rPr>
        <w:footnoteReference w:customMarkFollows="0" w:id="19"/>
      </w:r>
      <w:r w:rsidDel="00000000" w:rsidR="00000000" w:rsidRPr="00000000">
        <w:rPr>
          <w:color w:val="222222"/>
          <w:highlight w:val="white"/>
          <w:rtl w:val="0"/>
        </w:rPr>
        <w:t xml:space="preserve"> The report finds that Norway is on a </w:t>
      </w:r>
      <w:r w:rsidDel="00000000" w:rsidR="00000000" w:rsidRPr="00000000">
        <w:rPr>
          <w:color w:val="222222"/>
          <w:highlight w:val="white"/>
          <w:rtl w:val="0"/>
        </w:rPr>
        <w:t xml:space="preserve">path to</w:t>
      </w:r>
      <w:r w:rsidDel="00000000" w:rsidR="00000000" w:rsidRPr="00000000">
        <w:rPr>
          <w:color w:val="222222"/>
          <w:highlight w:val="white"/>
          <w:rtl w:val="0"/>
        </w:rPr>
        <w:t xml:space="preserve"> cut 79% of emissions by 2050, </w:t>
      </w:r>
      <w:r w:rsidDel="00000000" w:rsidR="00000000" w:rsidRPr="00000000">
        <w:rPr>
          <w:color w:val="222222"/>
          <w:highlight w:val="white"/>
          <w:rtl w:val="0"/>
        </w:rPr>
        <w:t xml:space="preserve">considerably</w:t>
      </w:r>
      <w:r w:rsidDel="00000000" w:rsidR="00000000" w:rsidRPr="00000000">
        <w:rPr>
          <w:color w:val="222222"/>
          <w:highlight w:val="white"/>
          <w:rtl w:val="0"/>
        </w:rPr>
        <w:t xml:space="preserve"> below the ambition codified by law (90-95%) and the EU ambition of net zero emissions by 2050.</w:t>
      </w:r>
    </w:p>
    <w:p w:rsidR="00000000" w:rsidDel="00000000" w:rsidP="00000000" w:rsidRDefault="00000000" w:rsidRPr="00000000" w14:paraId="00000024">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25">
      <w:pPr>
        <w:spacing w:line="240" w:lineRule="auto"/>
        <w:ind w:left="-360" w:right="-360" w:firstLine="0"/>
        <w:jc w:val="both"/>
        <w:rPr>
          <w:color w:val="222222"/>
          <w:highlight w:val="white"/>
        </w:rPr>
      </w:pPr>
      <w:r w:rsidDel="00000000" w:rsidR="00000000" w:rsidRPr="00000000">
        <w:rPr>
          <w:color w:val="222222"/>
          <w:highlight w:val="white"/>
          <w:rtl w:val="0"/>
        </w:rPr>
        <w:t xml:space="preserve">The energy price crisis has even led to discussions about dropping Norway's current climate commitments for 2030. A key measure among the ruling political parties for reaching those goals is to elec</w:t>
      </w:r>
      <w:r w:rsidDel="00000000" w:rsidR="00000000" w:rsidRPr="00000000">
        <w:rPr>
          <w:color w:val="222222"/>
          <w:highlight w:val="white"/>
          <w:rtl w:val="0"/>
        </w:rPr>
        <w:t xml:space="preserve">trify oil and gas productio</w:t>
      </w:r>
      <w:r w:rsidDel="00000000" w:rsidR="00000000" w:rsidRPr="00000000">
        <w:rPr>
          <w:color w:val="222222"/>
          <w:highlight w:val="white"/>
          <w:rtl w:val="0"/>
        </w:rPr>
        <w:t xml:space="preserve">n, using </w:t>
      </w:r>
      <w:r w:rsidDel="00000000" w:rsidR="00000000" w:rsidRPr="00000000">
        <w:rPr>
          <w:color w:val="222222"/>
          <w:highlight w:val="white"/>
          <w:rtl w:val="0"/>
        </w:rPr>
        <w:t xml:space="preserve">hydro energy</w:t>
      </w:r>
      <w:r w:rsidDel="00000000" w:rsidR="00000000" w:rsidRPr="00000000">
        <w:rPr>
          <w:color w:val="222222"/>
          <w:highlight w:val="white"/>
          <w:rtl w:val="0"/>
        </w:rPr>
        <w:t xml:space="preserve"> from land to power oil and gas production, leading to a minimisation of emissions from fossil fuels production.</w:t>
      </w:r>
      <w:r w:rsidDel="00000000" w:rsidR="00000000" w:rsidRPr="00000000">
        <w:rPr>
          <w:color w:val="222222"/>
          <w:highlight w:val="white"/>
          <w:vertAlign w:val="superscript"/>
        </w:rPr>
        <w:footnoteReference w:customMarkFollows="0" w:id="20"/>
      </w:r>
      <w:r w:rsidDel="00000000" w:rsidR="00000000" w:rsidRPr="00000000">
        <w:rPr>
          <w:color w:val="222222"/>
          <w:highlight w:val="white"/>
          <w:rtl w:val="0"/>
        </w:rPr>
        <w:t xml:space="preserve"> This is now being scrutinized, as the enormous need for land based electricity to power oil and gas production facilities will increase the power bill of both regular people as well as land based industries. This has in turn led to talks about </w:t>
      </w:r>
      <w:r w:rsidDel="00000000" w:rsidR="00000000" w:rsidRPr="00000000">
        <w:rPr>
          <w:color w:val="222222"/>
          <w:highlight w:val="white"/>
          <w:rtl w:val="0"/>
        </w:rPr>
        <w:t xml:space="preserve">reviewing</w:t>
      </w:r>
      <w:r w:rsidDel="00000000" w:rsidR="00000000" w:rsidRPr="00000000">
        <w:rPr>
          <w:color w:val="222222"/>
          <w:highlight w:val="white"/>
          <w:rtl w:val="0"/>
        </w:rPr>
        <w:t xml:space="preserve"> the ambition of the climate commitments . Such a measure would clearly be in violation of the principle of non-regression, however the government has so far not announced this.</w:t>
      </w:r>
    </w:p>
    <w:p w:rsidR="00000000" w:rsidDel="00000000" w:rsidP="00000000" w:rsidRDefault="00000000" w:rsidRPr="00000000" w14:paraId="00000026">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27">
      <w:pPr>
        <w:spacing w:line="240" w:lineRule="auto"/>
        <w:ind w:left="-360" w:right="-360" w:firstLine="0"/>
        <w:jc w:val="both"/>
        <w:rPr>
          <w:color w:val="222222"/>
        </w:rPr>
      </w:pPr>
      <w:r w:rsidDel="00000000" w:rsidR="00000000" w:rsidRPr="00000000">
        <w:rPr>
          <w:rtl w:val="0"/>
        </w:rPr>
        <w:t xml:space="preserve">The oil and gas industry in the country is one of the leading sources of GHG emissions, being responsible for approximately 25% of Norway’s yearly emissions</w:t>
      </w:r>
      <w:r w:rsidDel="00000000" w:rsidR="00000000" w:rsidRPr="00000000">
        <w:rPr>
          <w:vertAlign w:val="superscript"/>
        </w:rPr>
        <w:footnoteReference w:customMarkFollows="0" w:id="21"/>
      </w:r>
      <w:r w:rsidDel="00000000" w:rsidR="00000000" w:rsidRPr="00000000">
        <w:rPr>
          <w:rtl w:val="0"/>
        </w:rPr>
        <w:t xml:space="preserve">.</w:t>
      </w:r>
      <w:r w:rsidDel="00000000" w:rsidR="00000000" w:rsidRPr="00000000">
        <w:rPr>
          <w:rtl w:val="0"/>
        </w:rPr>
        <w:t xml:space="preserve"> </w:t>
      </w:r>
      <w:r w:rsidDel="00000000" w:rsidR="00000000" w:rsidRPr="00000000">
        <w:rPr>
          <w:color w:val="222222"/>
          <w:rtl w:val="0"/>
        </w:rPr>
        <w:t xml:space="preserve">Heads of the Norwegian oil giant Equinor, majority-owned by the state, have also indicated that they do not believe in the 1.5°C degree temperature limit, as they want Norway to be the country to extract the last drop of oil</w:t>
      </w:r>
      <w:r w:rsidDel="00000000" w:rsidR="00000000" w:rsidRPr="00000000">
        <w:rPr>
          <w:color w:val="222222"/>
          <w:rtl w:val="0"/>
        </w:rPr>
        <w:t xml:space="preserve">.</w:t>
      </w:r>
      <w:r w:rsidDel="00000000" w:rsidR="00000000" w:rsidRPr="00000000">
        <w:rPr>
          <w:color w:val="222222"/>
          <w:vertAlign w:val="superscript"/>
        </w:rPr>
        <w:footnoteReference w:customMarkFollows="0" w:id="22"/>
      </w:r>
      <w:r w:rsidDel="00000000" w:rsidR="00000000" w:rsidRPr="00000000">
        <w:rPr>
          <w:rtl w:val="0"/>
        </w:rPr>
      </w:r>
    </w:p>
    <w:p w:rsidR="00000000" w:rsidDel="00000000" w:rsidP="00000000" w:rsidRDefault="00000000" w:rsidRPr="00000000" w14:paraId="00000028">
      <w:pPr>
        <w:spacing w:line="240" w:lineRule="auto"/>
        <w:ind w:left="-360" w:right="-360" w:firstLine="0"/>
        <w:jc w:val="both"/>
        <w:rPr>
          <w:color w:val="222222"/>
        </w:rPr>
      </w:pPr>
      <w:r w:rsidDel="00000000" w:rsidR="00000000" w:rsidRPr="00000000">
        <w:rPr>
          <w:rtl w:val="0"/>
        </w:rPr>
      </w:r>
    </w:p>
    <w:p w:rsidR="00000000" w:rsidDel="00000000" w:rsidP="00000000" w:rsidRDefault="00000000" w:rsidRPr="00000000" w14:paraId="00000029">
      <w:pPr>
        <w:spacing w:line="240" w:lineRule="auto"/>
        <w:ind w:left="-360" w:right="-360" w:firstLine="0"/>
        <w:jc w:val="both"/>
        <w:rPr>
          <w:color w:val="222222"/>
        </w:rPr>
      </w:pPr>
      <w:r w:rsidDel="00000000" w:rsidR="00000000" w:rsidRPr="00000000">
        <w:rPr>
          <w:color w:val="222222"/>
          <w:rtl w:val="0"/>
        </w:rPr>
        <w:t xml:space="preserve">While climate target projections for Norway domestically are bleak, it is by way of its exported emissions that Norway earns the title as a true climate offender. According to the UN’s last Sustainable Development Report, Norway is the world's largest fossil fuel exporter per capita in the world.</w:t>
      </w:r>
      <w:r w:rsidDel="00000000" w:rsidR="00000000" w:rsidRPr="00000000">
        <w:rPr>
          <w:color w:val="222222"/>
          <w:vertAlign w:val="superscript"/>
        </w:rPr>
        <w:footnoteReference w:customMarkFollows="0" w:id="23"/>
      </w:r>
      <w:r w:rsidDel="00000000" w:rsidR="00000000" w:rsidRPr="00000000">
        <w:rPr>
          <w:color w:val="222222"/>
          <w:rtl w:val="0"/>
        </w:rPr>
        <w:t xml:space="preserve"> In 2022, Norway exported approx. </w:t>
      </w:r>
      <w:r w:rsidDel="00000000" w:rsidR="00000000" w:rsidRPr="00000000">
        <w:rPr>
          <w:color w:val="1d1c1d"/>
          <w:sz w:val="23"/>
          <w:szCs w:val="23"/>
          <w:shd w:fill="f8f8f8" w:val="clear"/>
          <w:rtl w:val="0"/>
        </w:rPr>
        <w:t xml:space="preserve">606</w:t>
      </w:r>
      <w:r w:rsidDel="00000000" w:rsidR="00000000" w:rsidRPr="00000000">
        <w:rPr>
          <w:color w:val="222222"/>
          <w:rtl w:val="0"/>
        </w:rPr>
        <w:t xml:space="preserve"> million tons CO2.</w:t>
      </w:r>
      <w:r w:rsidDel="00000000" w:rsidR="00000000" w:rsidRPr="00000000">
        <w:rPr>
          <w:color w:val="222222"/>
          <w:vertAlign w:val="superscript"/>
        </w:rPr>
        <w:footnoteReference w:customMarkFollows="0" w:id="24"/>
      </w:r>
      <w:r w:rsidDel="00000000" w:rsidR="00000000" w:rsidRPr="00000000">
        <w:rPr>
          <w:color w:val="1d1c1d"/>
          <w:sz w:val="23"/>
          <w:szCs w:val="23"/>
          <w:rtl w:val="0"/>
        </w:rPr>
        <w:t xml:space="preserve"> Compared to Norway’s last available data for domestic emissions from 2021, this means that Norway’s exported emissions are approx. </w:t>
      </w:r>
      <w:r w:rsidDel="00000000" w:rsidR="00000000" w:rsidRPr="00000000">
        <w:rPr>
          <w:color w:val="222222"/>
          <w:rtl w:val="0"/>
        </w:rPr>
        <w:t xml:space="preserve">12,8 times larger than its domestic. This is something Norway does little to circumvent. </w:t>
      </w:r>
    </w:p>
    <w:p w:rsidR="00000000" w:rsidDel="00000000" w:rsidP="00000000" w:rsidRDefault="00000000" w:rsidRPr="00000000" w14:paraId="0000002A">
      <w:pPr>
        <w:spacing w:line="240" w:lineRule="auto"/>
        <w:ind w:left="-360" w:right="-360" w:firstLine="0"/>
        <w:jc w:val="both"/>
        <w:rPr>
          <w:color w:val="222222"/>
        </w:rPr>
      </w:pPr>
      <w:r w:rsidDel="00000000" w:rsidR="00000000" w:rsidRPr="00000000">
        <w:rPr>
          <w:color w:val="222222"/>
        </w:rPr>
        <w:drawing>
          <wp:inline distB="114300" distT="114300" distL="114300" distR="114300">
            <wp:extent cx="5853113" cy="3341876"/>
            <wp:effectExtent b="0" l="0" r="0" t="0"/>
            <wp:docPr id="3" name="image2.png"/>
            <a:graphic>
              <a:graphicData uri="http://schemas.openxmlformats.org/drawingml/2006/picture">
                <pic:pic>
                  <pic:nvPicPr>
                    <pic:cNvPr id="0" name="image2.png"/>
                    <pic:cNvPicPr preferRelativeResize="0"/>
                  </pic:nvPicPr>
                  <pic:blipFill>
                    <a:blip r:embed="rId7"/>
                    <a:srcRect b="0" l="1442" r="16336" t="0"/>
                    <a:stretch>
                      <a:fillRect/>
                    </a:stretch>
                  </pic:blipFill>
                  <pic:spPr>
                    <a:xfrm>
                      <a:off x="0" y="0"/>
                      <a:ext cx="5853113" cy="3341876"/>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2C">
      <w:pPr>
        <w:spacing w:line="240" w:lineRule="auto"/>
        <w:ind w:left="-360" w:right="-360" w:firstLine="0"/>
        <w:jc w:val="both"/>
        <w:rPr>
          <w:color w:val="222222"/>
          <w:highlight w:val="white"/>
        </w:rPr>
      </w:pPr>
      <w:r w:rsidDel="00000000" w:rsidR="00000000" w:rsidRPr="00000000">
        <w:rPr>
          <w:color w:val="222222"/>
          <w:highlight w:val="white"/>
          <w:rtl w:val="0"/>
        </w:rPr>
        <w:t xml:space="preserve">There’s now an ongoing white paper process for state-owned companie</w:t>
      </w:r>
      <w:r w:rsidDel="00000000" w:rsidR="00000000" w:rsidRPr="00000000">
        <w:rPr>
          <w:color w:val="222222"/>
          <w:highlight w:val="white"/>
          <w:rtl w:val="0"/>
        </w:rPr>
        <w:t xml:space="preserve">s, including fossil fuel </w:t>
      </w:r>
      <w:r w:rsidDel="00000000" w:rsidR="00000000" w:rsidRPr="00000000">
        <w:rPr>
          <w:color w:val="222222"/>
          <w:highlight w:val="white"/>
          <w:rtl w:val="0"/>
        </w:rPr>
        <w:t xml:space="preserve">producers</w:t>
      </w:r>
      <w:r w:rsidDel="00000000" w:rsidR="00000000" w:rsidRPr="00000000">
        <w:rPr>
          <w:color w:val="222222"/>
          <w:highlight w:val="white"/>
          <w:rtl w:val="0"/>
        </w:rPr>
        <w:t xml:space="preserve">. </w:t>
      </w:r>
      <w:r w:rsidDel="00000000" w:rsidR="00000000" w:rsidRPr="00000000">
        <w:rPr>
          <w:color w:val="222222"/>
          <w:highlight w:val="white"/>
          <w:rtl w:val="0"/>
        </w:rPr>
        <w:t xml:space="preserve">An ambition towards state owned companies is that they will invest according to the climate goals in the Paris agreement and for net-zero emissions in 2050.</w:t>
      </w:r>
      <w:r w:rsidDel="00000000" w:rsidR="00000000" w:rsidRPr="00000000">
        <w:rPr>
          <w:color w:val="222222"/>
          <w:highlight w:val="white"/>
          <w:vertAlign w:val="superscript"/>
        </w:rPr>
        <w:footnoteReference w:customMarkFollows="0" w:id="25"/>
      </w:r>
      <w:r w:rsidDel="00000000" w:rsidR="00000000" w:rsidRPr="00000000">
        <w:rPr>
          <w:color w:val="222222"/>
          <w:highlight w:val="white"/>
          <w:rtl w:val="0"/>
        </w:rPr>
        <w:t xml:space="preserve"> At this stage, it is not clear how this will take place and how the Norwegian state will deal with its majority ownership of Equinor. At Equinor's </w:t>
      </w:r>
      <w:r w:rsidDel="00000000" w:rsidR="00000000" w:rsidRPr="00000000">
        <w:rPr>
          <w:color w:val="222222"/>
          <w:highlight w:val="white"/>
          <w:rtl w:val="0"/>
        </w:rPr>
        <w:t xml:space="preserve">Annual General Meeting (AGM)</w:t>
      </w:r>
      <w:r w:rsidDel="00000000" w:rsidR="00000000" w:rsidRPr="00000000">
        <w:rPr>
          <w:color w:val="222222"/>
          <w:highlight w:val="white"/>
          <w:rtl w:val="0"/>
        </w:rPr>
        <w:t xml:space="preserve"> last year, Equinor’s new climate and transition plan was approved by the owners</w:t>
      </w:r>
      <w:r w:rsidDel="00000000" w:rsidR="00000000" w:rsidRPr="00000000">
        <w:rPr>
          <w:color w:val="222222"/>
          <w:highlight w:val="white"/>
          <w:rtl w:val="0"/>
        </w:rPr>
        <w:t xml:space="preserve">.</w:t>
      </w:r>
      <w:r w:rsidDel="00000000" w:rsidR="00000000" w:rsidRPr="00000000">
        <w:rPr>
          <w:color w:val="222222"/>
          <w:highlight w:val="white"/>
          <w:vertAlign w:val="superscript"/>
        </w:rPr>
        <w:footnoteReference w:customMarkFollows="0" w:id="26"/>
      </w:r>
      <w:r w:rsidDel="00000000" w:rsidR="00000000" w:rsidRPr="00000000">
        <w:rPr>
          <w:color w:val="222222"/>
          <w:highlight w:val="white"/>
          <w:rtl w:val="0"/>
        </w:rPr>
        <w:t xml:space="preserve"> However, interestingly, the large investor Storebrand voted against this plan, due to a lack of concrete efforts as to how the company plans to deliver on net zero commitments.</w:t>
      </w:r>
      <w:r w:rsidDel="00000000" w:rsidR="00000000" w:rsidRPr="00000000">
        <w:rPr>
          <w:color w:val="222222"/>
          <w:highlight w:val="white"/>
          <w:vertAlign w:val="superscript"/>
        </w:rPr>
        <w:footnoteReference w:customMarkFollows="0" w:id="27"/>
      </w:r>
      <w:r w:rsidDel="00000000" w:rsidR="00000000" w:rsidRPr="00000000">
        <w:rPr>
          <w:color w:val="222222"/>
          <w:highlight w:val="white"/>
          <w:rtl w:val="0"/>
        </w:rPr>
        <w:t xml:space="preserve"> At this year’s AGM, we will see if the state votes any differently</w:t>
      </w:r>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2D">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2E">
      <w:pPr>
        <w:spacing w:line="240" w:lineRule="auto"/>
        <w:ind w:left="-360" w:right="-360" w:firstLine="0"/>
        <w:jc w:val="both"/>
        <w:rPr>
          <w:color w:val="222222"/>
          <w:highlight w:val="white"/>
        </w:rPr>
      </w:pPr>
      <w:r w:rsidDel="00000000" w:rsidR="00000000" w:rsidRPr="00000000">
        <w:rPr>
          <w:color w:val="222222"/>
          <w:highlight w:val="white"/>
          <w:rtl w:val="0"/>
        </w:rPr>
        <w:t xml:space="preserve">Norway is gearing up plans for ocean wind power. The outspoken ambition is to have installed 40 GW of ocean wind power by 2040. The first areas are to be handed out in 2023, but there are voices criticizing this for being too slow. </w:t>
      </w:r>
    </w:p>
    <w:p w:rsidR="00000000" w:rsidDel="00000000" w:rsidP="00000000" w:rsidRDefault="00000000" w:rsidRPr="00000000" w14:paraId="0000002F">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30">
      <w:pPr>
        <w:spacing w:line="240" w:lineRule="auto"/>
        <w:ind w:left="-360" w:right="-360" w:firstLine="0"/>
        <w:jc w:val="both"/>
        <w:rPr>
          <w:color w:val="222222"/>
          <w:highlight w:val="white"/>
        </w:rPr>
      </w:pPr>
      <w:r w:rsidDel="00000000" w:rsidR="00000000" w:rsidRPr="00000000">
        <w:rPr>
          <w:color w:val="222222"/>
          <w:highlight w:val="white"/>
          <w:rtl w:val="0"/>
        </w:rPr>
        <w:t xml:space="preserve">For land-based wind power, there was a full stop in new licenses, due to large protests against several projects. This ban was lifted by the government in the spring of 2022, but it will take time before any more wind power is built.</w:t>
      </w:r>
    </w:p>
    <w:p w:rsidR="00000000" w:rsidDel="00000000" w:rsidP="00000000" w:rsidRDefault="00000000" w:rsidRPr="00000000" w14:paraId="00000031">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32">
      <w:pPr>
        <w:spacing w:line="240" w:lineRule="auto"/>
        <w:ind w:left="-360" w:right="-360" w:firstLine="0"/>
        <w:jc w:val="both"/>
        <w:rPr>
          <w:color w:val="222222"/>
          <w:highlight w:val="white"/>
        </w:rPr>
      </w:pPr>
      <w:r w:rsidDel="00000000" w:rsidR="00000000" w:rsidRPr="00000000">
        <w:rPr>
          <w:color w:val="222222"/>
          <w:highlight w:val="white"/>
          <w:rtl w:val="0"/>
        </w:rPr>
        <w:t xml:space="preserve">In 2022, Norway set new records of installing solar energy, almost doubling the capacity. But this says more about how little solar energy is currently installed in Norway. Compared to its Swedish and Danish neighbors, Norway is 4-5 years behind their development. For example, only in the 2nd quarter of 2022, Denmark installed more solar capacity than the total solar capacity in Norway.</w:t>
      </w:r>
    </w:p>
    <w:p w:rsidR="00000000" w:rsidDel="00000000" w:rsidP="00000000" w:rsidRDefault="00000000" w:rsidRPr="00000000" w14:paraId="00000033">
      <w:pPr>
        <w:spacing w:line="240" w:lineRule="auto"/>
        <w:ind w:left="-360" w:right="-360" w:firstLine="0"/>
        <w:jc w:val="both"/>
        <w:rPr>
          <w:color w:val="222222"/>
          <w:highlight w:val="white"/>
        </w:rPr>
      </w:pPr>
      <w:r w:rsidDel="00000000" w:rsidR="00000000" w:rsidRPr="00000000">
        <w:rPr>
          <w:rtl w:val="0"/>
        </w:rPr>
      </w:r>
    </w:p>
    <w:p w:rsidR="00000000" w:rsidDel="00000000" w:rsidP="00000000" w:rsidRDefault="00000000" w:rsidRPr="00000000" w14:paraId="00000034">
      <w:pPr>
        <w:spacing w:line="240" w:lineRule="auto"/>
        <w:ind w:left="-360" w:right="-360" w:firstLine="0"/>
        <w:jc w:val="both"/>
        <w:rPr>
          <w:color w:val="222222"/>
          <w:highlight w:val="white"/>
        </w:rPr>
      </w:pPr>
      <w:r w:rsidDel="00000000" w:rsidR="00000000" w:rsidRPr="00000000">
        <w:rPr>
          <w:color w:val="222222"/>
          <w:highlight w:val="white"/>
          <w:rtl w:val="0"/>
        </w:rPr>
        <w:t xml:space="preserve">When it comes to energy efficiency measures, Norway set a target for reducing consumption with 10 TWh by 2030 back in 2016. Since then, little has happened and even after the energy price crisis hit, there's little to none political will to implement energy efficiency measures.</w:t>
      </w:r>
      <w:r w:rsidDel="00000000" w:rsidR="00000000" w:rsidRPr="00000000">
        <w:rPr>
          <w:color w:val="222222"/>
          <w:highlight w:val="white"/>
          <w:rtl w:val="0"/>
        </w:rPr>
        <w:t xml:space="preserve"> </w:t>
      </w:r>
      <w:r w:rsidDel="00000000" w:rsidR="00000000" w:rsidRPr="00000000">
        <w:rPr>
          <w:color w:val="222222"/>
          <w:highlight w:val="white"/>
          <w:rtl w:val="0"/>
        </w:rPr>
        <w:t xml:space="preserve">The absence of sufficient measures to scale up renewable energy deployment and to accelerate the pace of energy efficient measures contribute to </w:t>
      </w:r>
      <w:r w:rsidDel="00000000" w:rsidR="00000000" w:rsidRPr="00000000">
        <w:rPr>
          <w:color w:val="222222"/>
          <w:highlight w:val="white"/>
          <w:rtl w:val="0"/>
        </w:rPr>
        <w:t xml:space="preserve">undermining</w:t>
      </w:r>
      <w:r w:rsidDel="00000000" w:rsidR="00000000" w:rsidRPr="00000000">
        <w:rPr>
          <w:color w:val="222222"/>
          <w:highlight w:val="white"/>
          <w:rtl w:val="0"/>
        </w:rPr>
        <w:t xml:space="preserve"> the </w:t>
      </w:r>
      <w:r w:rsidDel="00000000" w:rsidR="00000000" w:rsidRPr="00000000">
        <w:rPr>
          <w:color w:val="222222"/>
          <w:highlight w:val="white"/>
          <w:rtl w:val="0"/>
        </w:rPr>
        <w:t xml:space="preserve">fulfillment</w:t>
      </w:r>
      <w:r w:rsidDel="00000000" w:rsidR="00000000" w:rsidRPr="00000000">
        <w:rPr>
          <w:color w:val="222222"/>
          <w:highlight w:val="white"/>
          <w:rtl w:val="0"/>
        </w:rPr>
        <w:t xml:space="preserve"> by the State of its domestic climate mitigation targets.</w:t>
      </w:r>
      <w:r w:rsidDel="00000000" w:rsidR="00000000" w:rsidRPr="00000000">
        <w:rPr>
          <w:rtl w:val="0"/>
        </w:rPr>
      </w:r>
    </w:p>
    <w:p w:rsidR="00000000" w:rsidDel="00000000" w:rsidP="00000000" w:rsidRDefault="00000000" w:rsidRPr="00000000" w14:paraId="00000035">
      <w:pPr>
        <w:spacing w:line="240" w:lineRule="auto"/>
        <w:ind w:left="-360" w:right="-360" w:firstLine="0"/>
        <w:jc w:val="both"/>
        <w:rPr>
          <w:color w:val="222222"/>
          <w:highlight w:val="white"/>
        </w:rPr>
      </w:pPr>
      <w:r w:rsidDel="00000000" w:rsidR="00000000" w:rsidRPr="00000000">
        <w:rPr>
          <w:color w:val="222222"/>
          <w:highlight w:val="white"/>
          <w:rtl w:val="0"/>
        </w:rPr>
        <w:t xml:space="preserve"> </w:t>
      </w:r>
    </w:p>
    <w:p w:rsidR="00000000" w:rsidDel="00000000" w:rsidP="00000000" w:rsidRDefault="00000000" w:rsidRPr="00000000" w14:paraId="00000036">
      <w:pPr>
        <w:spacing w:after="200" w:line="240" w:lineRule="auto"/>
        <w:ind w:left="-360" w:right="-360" w:firstLine="0"/>
        <w:jc w:val="both"/>
        <w:rPr>
          <w:b w:val="1"/>
        </w:rPr>
      </w:pPr>
      <w:r w:rsidDel="00000000" w:rsidR="00000000" w:rsidRPr="00000000">
        <w:rPr>
          <w:b w:val="1"/>
          <w:rtl w:val="0"/>
        </w:rPr>
        <w:t xml:space="preserve">The impacts of climate change on women’s rights</w:t>
      </w:r>
    </w:p>
    <w:p w:rsidR="00000000" w:rsidDel="00000000" w:rsidP="00000000" w:rsidRDefault="00000000" w:rsidRPr="00000000" w14:paraId="00000037">
      <w:pPr>
        <w:spacing w:after="0" w:line="240" w:lineRule="auto"/>
        <w:ind w:left="-360" w:right="-360" w:firstLine="0"/>
        <w:jc w:val="both"/>
        <w:rPr/>
      </w:pPr>
      <w:r w:rsidDel="00000000" w:rsidR="00000000" w:rsidRPr="00000000">
        <w:rPr>
          <w:rtl w:val="0"/>
        </w:rPr>
        <w:t xml:space="preserve">The joint submission by CIEL and other civil society organizations ahead of Norway’s LOIPR</w:t>
      </w:r>
      <w:r w:rsidDel="00000000" w:rsidR="00000000" w:rsidRPr="00000000">
        <w:rPr>
          <w:vertAlign w:val="superscript"/>
        </w:rPr>
        <w:footnoteReference w:customMarkFollows="0" w:id="28"/>
      </w:r>
      <w:r w:rsidDel="00000000" w:rsidR="00000000" w:rsidRPr="00000000">
        <w:rPr>
          <w:rtl w:val="0"/>
        </w:rPr>
        <w:t xml:space="preserve"> has already highlighted that the </w:t>
      </w:r>
      <w:r w:rsidDel="00000000" w:rsidR="00000000" w:rsidRPr="00000000">
        <w:rPr>
          <w:rtl w:val="0"/>
        </w:rPr>
        <w:t xml:space="preserve">impacts of climate change are felt by everyone around the globe, but these same impacts are experienced differently, depending on several factors, such as income, social group, gender, </w:t>
      </w:r>
      <w:r w:rsidDel="00000000" w:rsidR="00000000" w:rsidRPr="00000000">
        <w:rPr>
          <w:i w:val="1"/>
          <w:rtl w:val="0"/>
        </w:rPr>
        <w:t xml:space="preserve">etc</w:t>
      </w:r>
      <w:r w:rsidDel="00000000" w:rsidR="00000000" w:rsidRPr="00000000">
        <w:rPr>
          <w:rtl w:val="0"/>
        </w:rPr>
        <w:t xml:space="preserve">.. Women and girls are recurrently excluded from decision-making processes, facing unequal access to resources and being more prone to suffer from the negative impacts of disasters and natural climate events</w:t>
      </w:r>
      <w:r w:rsidDel="00000000" w:rsidR="00000000" w:rsidRPr="00000000">
        <w:rPr>
          <w:vertAlign w:val="superscript"/>
        </w:rPr>
        <w:footnoteReference w:customMarkFollows="0" w:id="29"/>
      </w:r>
      <w:r w:rsidDel="00000000" w:rsidR="00000000" w:rsidRPr="00000000">
        <w:rPr>
          <w:rtl w:val="0"/>
        </w:rPr>
        <w:t xml:space="preserve">. Climate change outcomes disproportionately affect the most vulnerable and marginalized groups, communities and ecosystems, aggravating disparities. Women are also more vulnerable to the negative impacts of disasters, which are becoming increasingly more frequent as a consequence of climate change.</w:t>
      </w:r>
      <w:r w:rsidDel="00000000" w:rsidR="00000000" w:rsidRPr="00000000">
        <w:rPr>
          <w:vertAlign w:val="superscript"/>
        </w:rPr>
        <w:footnoteReference w:customMarkFollows="0" w:id="30"/>
      </w:r>
      <w:r w:rsidDel="00000000" w:rsidR="00000000" w:rsidRPr="00000000">
        <w:rPr>
          <w:rtl w:val="0"/>
        </w:rPr>
        <w:t xml:space="preserve"> The IPCC has already reiterated that, in order to prevent further escalation of threats for those most vulnerable. countries’ climate policies must be in line with the pathways limiting the global temperature rise to 1.5ºC above pre-industrial levels.</w:t>
      </w:r>
      <w:r w:rsidDel="00000000" w:rsidR="00000000" w:rsidRPr="00000000">
        <w:rPr>
          <w:vertAlign w:val="superscript"/>
        </w:rPr>
        <w:footnoteReference w:customMarkFollows="0" w:id="31"/>
      </w:r>
      <w:r w:rsidDel="00000000" w:rsidR="00000000" w:rsidRPr="00000000">
        <w:rPr>
          <w:rtl w:val="0"/>
        </w:rPr>
        <w:t xml:space="preserve"> Global average temperature increase by 2ºC rather than 1.5ºC would lead to even greater rates of poverty, increased water stress, heightened food insecurity, more heat-related health problems, increased sea level rise, ocean acidification, species loss, greater temperature extremes, and higher rates of drought, among other impacts. These phenomena, because of their disproportionate effects on women, have the potential to increase women’s substantive inequality in respect of their human rights to food, water, an adequate standard of living, health and life. </w:t>
      </w:r>
    </w:p>
    <w:p w:rsidR="00000000" w:rsidDel="00000000" w:rsidP="00000000" w:rsidRDefault="00000000" w:rsidRPr="00000000" w14:paraId="00000038">
      <w:pPr>
        <w:spacing w:after="0" w:line="240" w:lineRule="auto"/>
        <w:ind w:left="-360" w:right="-360" w:firstLine="0"/>
        <w:jc w:val="both"/>
        <w:rPr/>
      </w:pPr>
      <w:r w:rsidDel="00000000" w:rsidR="00000000" w:rsidRPr="00000000">
        <w:rPr>
          <w:rtl w:val="0"/>
        </w:rPr>
      </w:r>
    </w:p>
    <w:p w:rsidR="00000000" w:rsidDel="00000000" w:rsidP="00000000" w:rsidRDefault="00000000" w:rsidRPr="00000000" w14:paraId="00000039">
      <w:pPr>
        <w:spacing w:after="0" w:line="240" w:lineRule="auto"/>
        <w:ind w:left="-360" w:right="-360" w:firstLine="0"/>
        <w:jc w:val="both"/>
        <w:rPr/>
      </w:pPr>
      <w:r w:rsidDel="00000000" w:rsidR="00000000" w:rsidRPr="00000000">
        <w:rPr>
          <w:rtl w:val="0"/>
        </w:rPr>
      </w:r>
    </w:p>
    <w:p w:rsidR="00000000" w:rsidDel="00000000" w:rsidP="00000000" w:rsidRDefault="00000000" w:rsidRPr="00000000" w14:paraId="0000003A">
      <w:pPr>
        <w:spacing w:after="0" w:line="240" w:lineRule="auto"/>
        <w:ind w:left="-360" w:right="-360" w:firstLine="0"/>
        <w:jc w:val="both"/>
        <w:rPr/>
      </w:pPr>
      <w:r w:rsidDel="00000000" w:rsidR="00000000" w:rsidRPr="00000000">
        <w:rPr>
          <w:rtl w:val="0"/>
        </w:rPr>
      </w:r>
    </w:p>
    <w:p w:rsidR="00000000" w:rsidDel="00000000" w:rsidP="00000000" w:rsidRDefault="00000000" w:rsidRPr="00000000" w14:paraId="0000003B">
      <w:pPr>
        <w:spacing w:after="0" w:line="240" w:lineRule="auto"/>
        <w:ind w:left="-360" w:right="-360" w:firstLine="0"/>
        <w:jc w:val="both"/>
        <w:rPr/>
      </w:pPr>
      <w:r w:rsidDel="00000000" w:rsidR="00000000" w:rsidRPr="00000000">
        <w:rPr>
          <w:rtl w:val="0"/>
        </w:rPr>
      </w:r>
    </w:p>
    <w:p w:rsidR="00000000" w:rsidDel="00000000" w:rsidP="00000000" w:rsidRDefault="00000000" w:rsidRPr="00000000" w14:paraId="0000003C">
      <w:pPr>
        <w:spacing w:after="0" w:line="240" w:lineRule="auto"/>
        <w:ind w:left="-360" w:right="-360" w:firstLine="0"/>
        <w:jc w:val="both"/>
        <w:rPr/>
      </w:pPr>
      <w:r w:rsidDel="00000000" w:rsidR="00000000" w:rsidRPr="00000000">
        <w:rPr>
          <w:rtl w:val="0"/>
        </w:rPr>
      </w:r>
    </w:p>
    <w:p w:rsidR="00000000" w:rsidDel="00000000" w:rsidP="00000000" w:rsidRDefault="00000000" w:rsidRPr="00000000" w14:paraId="0000003D">
      <w:pPr>
        <w:spacing w:after="0" w:line="240" w:lineRule="auto"/>
        <w:ind w:left="-360" w:right="-360" w:firstLine="0"/>
        <w:jc w:val="both"/>
        <w:rPr/>
      </w:pPr>
      <w:r w:rsidDel="00000000" w:rsidR="00000000" w:rsidRPr="00000000">
        <w:rPr>
          <w:rtl w:val="0"/>
        </w:rPr>
      </w:r>
    </w:p>
    <w:p w:rsidR="00000000" w:rsidDel="00000000" w:rsidP="00000000" w:rsidRDefault="00000000" w:rsidRPr="00000000" w14:paraId="0000003E">
      <w:pPr>
        <w:spacing w:after="0" w:line="240" w:lineRule="auto"/>
        <w:ind w:left="-360" w:right="-360" w:firstLine="0"/>
        <w:jc w:val="both"/>
        <w:rPr/>
      </w:pPr>
      <w:r w:rsidDel="00000000" w:rsidR="00000000" w:rsidRPr="00000000">
        <w:rPr>
          <w:rtl w:val="0"/>
        </w:rPr>
      </w:r>
    </w:p>
    <w:p w:rsidR="00000000" w:rsidDel="00000000" w:rsidP="00000000" w:rsidRDefault="00000000" w:rsidRPr="00000000" w14:paraId="0000003F">
      <w:pPr>
        <w:spacing w:after="0" w:line="240" w:lineRule="auto"/>
        <w:ind w:left="-360" w:right="-360" w:firstLine="0"/>
        <w:jc w:val="both"/>
        <w:rPr>
          <w:b w:val="1"/>
        </w:rPr>
      </w:pPr>
      <w:r w:rsidDel="00000000" w:rsidR="00000000" w:rsidRPr="00000000">
        <w:rPr>
          <w:b w:val="1"/>
          <w:rtl w:val="0"/>
        </w:rPr>
        <w:t xml:space="preserve">Norway’s reply to the Committee's LOIPR and its obligations under CEDAW</w:t>
      </w:r>
    </w:p>
    <w:p w:rsidR="00000000" w:rsidDel="00000000" w:rsidP="00000000" w:rsidRDefault="00000000" w:rsidRPr="00000000" w14:paraId="00000040">
      <w:pPr>
        <w:spacing w:after="0" w:line="240" w:lineRule="auto"/>
        <w:ind w:left="-360" w:right="-360" w:firstLine="0"/>
        <w:jc w:val="both"/>
        <w:rPr>
          <w:b w:val="1"/>
        </w:rPr>
      </w:pPr>
      <w:r w:rsidDel="00000000" w:rsidR="00000000" w:rsidRPr="00000000">
        <w:rPr>
          <w:rtl w:val="0"/>
        </w:rPr>
      </w:r>
    </w:p>
    <w:p w:rsidR="00000000" w:rsidDel="00000000" w:rsidP="00000000" w:rsidRDefault="00000000" w:rsidRPr="00000000" w14:paraId="00000041">
      <w:pPr>
        <w:spacing w:after="200" w:line="240" w:lineRule="auto"/>
        <w:ind w:left="-360" w:right="-360" w:firstLine="0"/>
        <w:jc w:val="both"/>
        <w:rPr/>
      </w:pPr>
      <w:r w:rsidDel="00000000" w:rsidR="00000000" w:rsidRPr="00000000">
        <w:rPr>
          <w:rtl w:val="0"/>
        </w:rPr>
        <w:t xml:space="preserve">In its List of Issues prior to reporting</w:t>
      </w:r>
      <w:r w:rsidDel="00000000" w:rsidR="00000000" w:rsidRPr="00000000">
        <w:rPr>
          <w:vertAlign w:val="superscript"/>
        </w:rPr>
        <w:footnoteReference w:customMarkFollows="0" w:id="32"/>
      </w:r>
      <w:r w:rsidDel="00000000" w:rsidR="00000000" w:rsidRPr="00000000">
        <w:rPr>
          <w:rtl w:val="0"/>
        </w:rPr>
        <w:t xml:space="preserve">, the CEDAW asked Norway to “provide information on measures taken to ensure that climate change and energy policies, and specifically the policy on the extraction and export of oil and gas, as well as the activities of related State-owned companies, take into account the differentiated and disproportionate impact of climate change on women in order to better integrate a gender perspective into policies and programmes on climate change and to ensure the effective participation of women in decision-making processes on climate change at the local and national levels, in line with the Committee’s general recommendation No. 37 (2018) on the gender-related dimensions of disaster risk reduction in the context of climate change”. In its reply, the State party failed to adequately address its ongoing oil and gas extraction policie</w:t>
      </w:r>
      <w:r w:rsidDel="00000000" w:rsidR="00000000" w:rsidRPr="00000000">
        <w:rPr>
          <w:rtl w:val="0"/>
        </w:rPr>
        <w:t xml:space="preserve">s</w:t>
      </w:r>
      <w:r w:rsidDel="00000000" w:rsidR="00000000" w:rsidRPr="00000000">
        <w:rPr>
          <w:rtl w:val="0"/>
        </w:rPr>
        <w:t xml:space="preserve">, stating that the government is committed to a “</w:t>
      </w:r>
      <w:r w:rsidDel="00000000" w:rsidR="00000000" w:rsidRPr="00000000">
        <w:rPr>
          <w:highlight w:val="white"/>
          <w:rtl w:val="0"/>
        </w:rPr>
        <w:t xml:space="preserve">responsible, predictable petroleum policy in its encounter with climate change challenges”.</w:t>
      </w:r>
      <w:r w:rsidDel="00000000" w:rsidR="00000000" w:rsidRPr="00000000">
        <w:rPr>
          <w:vertAlign w:val="superscript"/>
        </w:rPr>
        <w:footnoteReference w:customMarkFollows="0" w:id="33"/>
      </w:r>
      <w:r w:rsidDel="00000000" w:rsidR="00000000" w:rsidRPr="00000000">
        <w:rPr>
          <w:highlight w:val="white"/>
          <w:rtl w:val="0"/>
        </w:rPr>
        <w:t xml:space="preserve">However, there is little mention as to how this is achieved in practice and what concrete measures have been put into place as part of the state’s petroleum policy in order to tackle climate change challenges. There is also no mention of Norway’s huge impact as an emissions exporter. Science is clear that the only means to effectively tackle climate change is by halting all fossil fuel production. </w:t>
      </w:r>
      <w:r w:rsidDel="00000000" w:rsidR="00000000" w:rsidRPr="00000000">
        <w:rPr>
          <w:rtl w:val="0"/>
        </w:rPr>
      </w:r>
    </w:p>
    <w:p w:rsidR="00000000" w:rsidDel="00000000" w:rsidP="00000000" w:rsidRDefault="00000000" w:rsidRPr="00000000" w14:paraId="00000042">
      <w:pPr>
        <w:spacing w:after="200" w:line="240" w:lineRule="auto"/>
        <w:ind w:left="-360" w:right="-360" w:firstLine="0"/>
        <w:jc w:val="both"/>
        <w:rPr/>
      </w:pPr>
      <w:r w:rsidDel="00000000" w:rsidR="00000000" w:rsidRPr="00000000">
        <w:rPr>
          <w:rtl w:val="0"/>
        </w:rPr>
        <w:t xml:space="preserve">Article 2 of CEDAW requires Parties to respect women’s right to non-discrimination and to the enjoyment of equality. This means that States must ‘refrain from making laws, policies, regulations, programmes, administrative procedures and institutional structures that directly or indirectly result in the denial of the equal enjoyment by women of their civil, political, economic, social and cultural rights’.</w:t>
      </w:r>
      <w:r w:rsidDel="00000000" w:rsidR="00000000" w:rsidRPr="00000000">
        <w:rPr>
          <w:vertAlign w:val="superscript"/>
        </w:rPr>
        <w:footnoteReference w:customMarkFollows="0" w:id="34"/>
      </w:r>
      <w:r w:rsidDel="00000000" w:rsidR="00000000" w:rsidRPr="00000000">
        <w:rPr>
          <w:rtl w:val="0"/>
        </w:rPr>
        <w:t xml:space="preserve"> In the context of the disproportionate effects of climate change on women, States have the obligation to take steps to prevent the further violation of women’s rights and the undermining of women’s substantive equality, caused by the impacts of climate change, which encompasses both mitigation and adaptation measures.</w:t>
      </w:r>
      <w:r w:rsidDel="00000000" w:rsidR="00000000" w:rsidRPr="00000000">
        <w:rPr>
          <w:vertAlign w:val="superscript"/>
        </w:rPr>
        <w:footnoteReference w:customMarkFollows="0" w:id="35"/>
      </w:r>
      <w:r w:rsidDel="00000000" w:rsidR="00000000" w:rsidRPr="00000000">
        <w:rPr>
          <w:rtl w:val="0"/>
        </w:rPr>
      </w:r>
    </w:p>
    <w:p w:rsidR="00000000" w:rsidDel="00000000" w:rsidP="00000000" w:rsidRDefault="00000000" w:rsidRPr="00000000" w14:paraId="00000043">
      <w:pPr>
        <w:spacing w:after="200" w:line="240" w:lineRule="auto"/>
        <w:ind w:left="-360" w:right="-360" w:firstLine="0"/>
        <w:jc w:val="both"/>
        <w:rPr/>
      </w:pPr>
      <w:r w:rsidDel="00000000" w:rsidR="00000000" w:rsidRPr="00000000">
        <w:rPr>
          <w:rtl w:val="0"/>
        </w:rPr>
        <w:t xml:space="preserve">The CEDAW has stressed that Article 2 also relates to human rights violations occurring outside national borders, arguing that ‘States parties are responsible for all their actions affecting human rights, regardless of whether the affected persons are in their territory’.</w:t>
      </w:r>
      <w:r w:rsidDel="00000000" w:rsidR="00000000" w:rsidRPr="00000000">
        <w:rPr>
          <w:vertAlign w:val="superscript"/>
        </w:rPr>
        <w:footnoteReference w:customMarkFollows="0" w:id="36"/>
      </w:r>
      <w:r w:rsidDel="00000000" w:rsidR="00000000" w:rsidRPr="00000000">
        <w:rPr>
          <w:rtl w:val="0"/>
        </w:rPr>
        <w:t xml:space="preserve"> </w:t>
      </w:r>
      <w:r w:rsidDel="00000000" w:rsidR="00000000" w:rsidRPr="00000000">
        <w:rPr>
          <w:rtl w:val="0"/>
        </w:rPr>
        <w:t xml:space="preserve">In its 2017 Concluding Observations to Norway, the Committee had already expressed “concern[s] that continuing and expanding extraction of oil and gas in the Arctic by the State party and its inevitable greenhouse gas emissions undermines its obligations to ensure women’s substantive equality with men”</w:t>
      </w:r>
      <w:r w:rsidDel="00000000" w:rsidR="00000000" w:rsidRPr="00000000">
        <w:rPr>
          <w:rtl w:val="0"/>
        </w:rPr>
        <w:t xml:space="preserve">.</w:t>
      </w:r>
      <w:r w:rsidDel="00000000" w:rsidR="00000000" w:rsidRPr="00000000">
        <w:rPr>
          <w:vertAlign w:val="superscript"/>
        </w:rPr>
        <w:footnoteReference w:customMarkFollows="0" w:id="37"/>
      </w:r>
      <w:r w:rsidDel="00000000" w:rsidR="00000000" w:rsidRPr="00000000">
        <w:rPr>
          <w:rtl w:val="0"/>
        </w:rPr>
        <w:t xml:space="preserve"> </w:t>
      </w:r>
      <w:r w:rsidDel="00000000" w:rsidR="00000000" w:rsidRPr="00000000">
        <w:rPr>
          <w:rtl w:val="0"/>
        </w:rPr>
        <w:t xml:space="preserve">In its 2018 General Recommendation No. 37, the Committee further explained that ‘measures such as limiting fossil fuel use, reducing transboundary pollution and greenhouse gas emissions and promoting the transition to renewable energies are regarded as crucial steps in mitigating the negative human rights impact of climate change and disasters globally’.</w:t>
      </w:r>
      <w:r w:rsidDel="00000000" w:rsidR="00000000" w:rsidRPr="00000000">
        <w:rPr>
          <w:vertAlign w:val="superscript"/>
        </w:rPr>
        <w:footnoteReference w:customMarkFollows="0" w:id="38"/>
      </w:r>
      <w:r w:rsidDel="00000000" w:rsidR="00000000" w:rsidRPr="00000000">
        <w:rPr>
          <w:rtl w:val="0"/>
        </w:rPr>
        <w:t xml:space="preserve"> In its joint statement on climate change issued in 2019 along with four other human rights treaty bodies, the CEDAW also affirmed the following: “In relation to efforts to reduce emissions, States parties should effectively contribute to phasing out fossils fuels, promoting renewable energy and addressing emissions from the land sector, including by combating deforestation. Additionally, States must regulate private actors, including by holding them accountable for harm they generate both domestically and extraterritorially. States should also discontinue financial incentives or investments in activities and infrastructure which are not consistent with low greenhouse gas emissions pathways, whether undertaken by public or private actors as a mitigation measure to prevent further damage and risk”.</w:t>
      </w:r>
      <w:r w:rsidDel="00000000" w:rsidR="00000000" w:rsidRPr="00000000">
        <w:rPr>
          <w:vertAlign w:val="superscript"/>
        </w:rPr>
        <w:footnoteReference w:customMarkFollows="0" w:id="39"/>
      </w:r>
      <w:r w:rsidDel="00000000" w:rsidR="00000000" w:rsidRPr="00000000">
        <w:rPr>
          <w:rtl w:val="0"/>
        </w:rPr>
      </w:r>
    </w:p>
    <w:p w:rsidR="00000000" w:rsidDel="00000000" w:rsidP="00000000" w:rsidRDefault="00000000" w:rsidRPr="00000000" w14:paraId="00000044">
      <w:pPr>
        <w:spacing w:after="200" w:line="240" w:lineRule="auto"/>
        <w:ind w:left="-360" w:right="-360" w:firstLine="0"/>
        <w:jc w:val="both"/>
        <w:rPr/>
      </w:pPr>
      <w:r w:rsidDel="00000000" w:rsidR="00000000" w:rsidRPr="00000000">
        <w:rPr>
          <w:rtl w:val="0"/>
        </w:rPr>
        <w:t xml:space="preserve">Therefore, as a State Party to the CEDAW, Norway has obligations under the Convention to take steps to avoid exacerbating climate change and its disproportionate adverse impacts on women in Norway and abroad - including by adequately regulating business actors operating in the country. This obligation requires Norway not only to reduce its domestic emissions, but also to take all measures appropriate to reduce any threat of climate-induced harms on women rights resulting from activities taking place in the territory of Norway or under the control of the Norwegian State - including by State owned enterprises, such as oil and gas extraction and export.</w:t>
      </w:r>
    </w:p>
    <w:p w:rsidR="00000000" w:rsidDel="00000000" w:rsidP="00000000" w:rsidRDefault="00000000" w:rsidRPr="00000000" w14:paraId="00000045">
      <w:pPr>
        <w:spacing w:after="200" w:line="240" w:lineRule="auto"/>
        <w:ind w:left="-360" w:right="-360" w:firstLine="0"/>
        <w:jc w:val="both"/>
        <w:rPr/>
      </w:pPr>
      <w:r w:rsidDel="00000000" w:rsidR="00000000" w:rsidRPr="00000000">
        <w:rPr>
          <w:rtl w:val="0"/>
        </w:rPr>
        <w:t xml:space="preserve">Norway’s activities such as furthering oil and gas extraction by issuing new licenses, as well as their consumption and export, are incompatible with its obligations under the CEDAW - </w:t>
      </w:r>
      <w:r w:rsidDel="00000000" w:rsidR="00000000" w:rsidRPr="00000000">
        <w:rPr>
          <w:rtl w:val="0"/>
        </w:rPr>
        <w:t xml:space="preserve">including </w:t>
      </w:r>
      <w:r w:rsidDel="00000000" w:rsidR="00000000" w:rsidRPr="00000000">
        <w:rPr>
          <w:rtl w:val="0"/>
        </w:rPr>
        <w:t xml:space="preserve">extraterritorial obligations (ETOs) - </w:t>
      </w:r>
      <w:r w:rsidDel="00000000" w:rsidR="00000000" w:rsidRPr="00000000">
        <w:rPr>
          <w:rtl w:val="0"/>
        </w:rPr>
        <w:t xml:space="preserve">as the greenhouse gas emissions deriving from the aforementioned activities contribute to an aggravation of climate change-related events and further exacerbate pre-existing gender gaps between men and women. Thus, Norway’s obligations include pursuing strong mitigation policies nationally, and halting all fossil fuel exploration and exports.</w:t>
      </w:r>
      <w:r w:rsidDel="00000000" w:rsidR="00000000" w:rsidRPr="00000000">
        <w:rPr>
          <w:rtl w:val="0"/>
        </w:rPr>
      </w:r>
    </w:p>
    <w:p w:rsidR="00000000" w:rsidDel="00000000" w:rsidP="00000000" w:rsidRDefault="00000000" w:rsidRPr="00000000" w14:paraId="00000046">
      <w:pPr>
        <w:spacing w:after="200" w:line="240" w:lineRule="auto"/>
        <w:ind w:left="-360" w:right="-360" w:firstLine="0"/>
        <w:jc w:val="both"/>
        <w:rPr/>
      </w:pPr>
      <w:r w:rsidDel="00000000" w:rsidR="00000000" w:rsidRPr="00000000">
        <w:rPr>
          <w:rtl w:val="0"/>
        </w:rPr>
        <w:t xml:space="preserve">CEDAW already addressed Norway’s extraterritorial obligations with regard to climate change in its 2017 Concluding Observations, where it requested the country to ‘review its climate change and energy policies, specifically its policy on the extraction of oil and gas, to ensure that they take into account the disproportionate negative effects of climate change on the rights of women’.</w:t>
      </w:r>
      <w:r w:rsidDel="00000000" w:rsidR="00000000" w:rsidRPr="00000000">
        <w:rPr>
          <w:vertAlign w:val="superscript"/>
        </w:rPr>
        <w:footnoteReference w:customMarkFollows="0" w:id="40"/>
      </w:r>
      <w:r w:rsidDel="00000000" w:rsidR="00000000" w:rsidRPr="00000000">
        <w:rPr>
          <w:rtl w:val="0"/>
        </w:rPr>
        <w:t xml:space="preserve"> Also the CRC and the CESCR</w:t>
      </w:r>
      <w:r w:rsidDel="00000000" w:rsidR="00000000" w:rsidRPr="00000000">
        <w:rPr>
          <w:vertAlign w:val="superscript"/>
        </w:rPr>
        <w:footnoteReference w:customMarkFollows="0" w:id="41"/>
      </w:r>
      <w:r w:rsidDel="00000000" w:rsidR="00000000" w:rsidRPr="00000000">
        <w:rPr>
          <w:rtl w:val="0"/>
        </w:rPr>
        <w:t xml:space="preserve"> explicitly called upon Norway to review its ongoing fossil fuels extraction policies to comply with its international human rights obligations. </w:t>
      </w:r>
    </w:p>
    <w:p w:rsidR="00000000" w:rsidDel="00000000" w:rsidP="00000000" w:rsidRDefault="00000000" w:rsidRPr="00000000" w14:paraId="00000047">
      <w:pPr>
        <w:spacing w:after="200" w:line="240" w:lineRule="auto"/>
        <w:ind w:left="-360" w:right="-360" w:firstLine="0"/>
        <w:jc w:val="both"/>
        <w:rPr/>
      </w:pPr>
      <w:r w:rsidDel="00000000" w:rsidR="00000000" w:rsidRPr="00000000">
        <w:rPr>
          <w:rtl w:val="0"/>
        </w:rPr>
        <w:t xml:space="preserve">The CEDAW also addressed fossil fuel extraction in more recent reviews of other State. For instance, in its 2020 COB to Guyana, the Committee expressed concern about the continuing and expanding extraction of oil and gas in the State party and the resulting greenhouse gas emissions, and recommended reviewing “its climate change and energy policies, particularly those relating to the extraction of oil and gas”.</w:t>
      </w:r>
      <w:r w:rsidDel="00000000" w:rsidR="00000000" w:rsidRPr="00000000">
        <w:rPr>
          <w:vertAlign w:val="superscript"/>
        </w:rPr>
        <w:footnoteReference w:customMarkFollows="0" w:id="42"/>
      </w:r>
      <w:r w:rsidDel="00000000" w:rsidR="00000000" w:rsidRPr="00000000">
        <w:rPr>
          <w:rtl w:val="0"/>
        </w:rPr>
        <w:t xml:space="preserve">In its 2022 COB to Namibia, the Committee expressed concerns about the State party’s extraction policies, especially with regard to the lack of information on “(a)[t]he measures taken by the State party to ensure that climate change and energy policies, and specifically the policy on the extraction and export of oil and gas, take into account the differentiated and disproportionate impact of climate change and environmental degradation on women, especially on rural and indigenous women; (b) [t]he insufficient measures taken to ensure that the authorization of oil and gas exploration and development in the Kavango region does not violate the rights of rural women and girls to access to clean water, food and health care.” It thus recommended environmental and human rights impact assessments in relation to oil and gas exploration activities in Namibia,and ensuring that “any decisions on oil and gas exploitation in the Kavango region are subject to the full, prior and informed consent of local communities, including women and girls”.</w:t>
      </w:r>
    </w:p>
    <w:p w:rsidR="00000000" w:rsidDel="00000000" w:rsidP="00000000" w:rsidRDefault="00000000" w:rsidRPr="00000000" w14:paraId="00000048">
      <w:pPr>
        <w:spacing w:after="200" w:line="240" w:lineRule="auto"/>
        <w:ind w:left="-360" w:right="-360" w:firstLine="0"/>
        <w:jc w:val="both"/>
        <w:rPr/>
      </w:pPr>
      <w:r w:rsidDel="00000000" w:rsidR="00000000" w:rsidRPr="00000000">
        <w:rPr>
          <w:rtl w:val="0"/>
        </w:rPr>
        <w:t xml:space="preserve">Other Committees reiterated States’ obligations to prevent and mitigate climate-induced harms by phasing out fossil fuel extraction and export.In 2018, the CESCR expressed concern on the Argentinian large-scale exploitation of fossil fuels in the Neuquén region</w:t>
      </w:r>
      <w:r w:rsidDel="00000000" w:rsidR="00000000" w:rsidRPr="00000000">
        <w:rPr>
          <w:vertAlign w:val="superscript"/>
        </w:rPr>
        <w:footnoteReference w:customMarkFollows="0" w:id="43"/>
      </w:r>
      <w:r w:rsidDel="00000000" w:rsidR="00000000" w:rsidRPr="00000000">
        <w:rPr>
          <w:rtl w:val="0"/>
        </w:rPr>
        <w:t xml:space="preserve">; and, in 2019, recommended Ecuador to reconsider the increase of large-scale mining and oil exploitation, in the light of the commitments of the Paris Agreement</w:t>
      </w:r>
      <w:r w:rsidDel="00000000" w:rsidR="00000000" w:rsidRPr="00000000">
        <w:rPr>
          <w:vertAlign w:val="superscript"/>
        </w:rPr>
        <w:footnoteReference w:customMarkFollows="0" w:id="44"/>
      </w:r>
      <w:r w:rsidDel="00000000" w:rsidR="00000000" w:rsidRPr="00000000">
        <w:rPr>
          <w:rtl w:val="0"/>
        </w:rPr>
        <w:t xml:space="preserve">. Similarly, in 2020, the same committee expressed concern on the licenses issued by Norway for the exploration and exploitation of petroleum and natural gas in the Arctic and the Barents Sea</w:t>
      </w:r>
      <w:r w:rsidDel="00000000" w:rsidR="00000000" w:rsidRPr="00000000">
        <w:rPr>
          <w:vertAlign w:val="superscript"/>
        </w:rPr>
        <w:footnoteReference w:customMarkFollows="0" w:id="45"/>
      </w:r>
      <w:r w:rsidDel="00000000" w:rsidR="00000000" w:rsidRPr="00000000">
        <w:rPr>
          <w:rtl w:val="0"/>
        </w:rPr>
        <w:t xml:space="preserve">. In 2022, the CESCR asked Australia to indicate the “efforts made to reconcile its continuing support of coal mines and coal exports and its obligations under the Covenant, both in the State party and extraterritorially”.</w:t>
      </w:r>
      <w:r w:rsidDel="00000000" w:rsidR="00000000" w:rsidRPr="00000000">
        <w:rPr>
          <w:vertAlign w:val="superscript"/>
        </w:rPr>
        <w:footnoteReference w:customMarkFollows="0" w:id="46"/>
      </w:r>
      <w:r w:rsidDel="00000000" w:rsidR="00000000" w:rsidRPr="00000000">
        <w:rPr>
          <w:rtl w:val="0"/>
        </w:rPr>
        <w:t xml:space="preserve"> In its COB to Bahrain, the Committee noted “with particular concern at reports on human rights impact assessment of business activities conducted in the oil and gas industry”, recommending that the State party adopt frameworks to require “business entities to exercise human rights due diligence in their business activities at home and abroad and ensure that businesses entities operating in the State party and those domiciled under its jurisdiction and acting abroad, irrespective of whether they are privately or State-owned, are held accountable for economic, social and cultural rights violations for which they are responsible, and that victims of such violations have access to effective remedies.”</w:t>
      </w:r>
      <w:r w:rsidDel="00000000" w:rsidR="00000000" w:rsidRPr="00000000">
        <w:rPr>
          <w:vertAlign w:val="superscript"/>
        </w:rPr>
        <w:footnoteReference w:customMarkFollows="0" w:id="47"/>
      </w:r>
      <w:r w:rsidDel="00000000" w:rsidR="00000000" w:rsidRPr="00000000">
        <w:rPr>
          <w:rtl w:val="0"/>
        </w:rPr>
        <w:t xml:space="preserve"> </w:t>
      </w:r>
    </w:p>
    <w:p w:rsidR="00000000" w:rsidDel="00000000" w:rsidP="00000000" w:rsidRDefault="00000000" w:rsidRPr="00000000" w14:paraId="00000049">
      <w:pPr>
        <w:spacing w:after="200" w:line="240" w:lineRule="auto"/>
        <w:ind w:left="-360" w:right="-360" w:firstLine="0"/>
        <w:jc w:val="both"/>
        <w:rPr/>
      </w:pPr>
      <w:r w:rsidDel="00000000" w:rsidR="00000000" w:rsidRPr="00000000">
        <w:rPr>
          <w:rtl w:val="0"/>
        </w:rPr>
        <w:t xml:space="preserve">In its 2022 COB to the Netherlands, the CRCrecommended that the State party “ensure the legal accountability of business enterprises and their subsidiaries operating in or managed from the State party’s territory, including companies that deal with the extraction of oil… in relation to international and national human rights, labour, environmental and other standards”.</w:t>
      </w:r>
      <w:r w:rsidDel="00000000" w:rsidR="00000000" w:rsidRPr="00000000">
        <w:rPr>
          <w:vertAlign w:val="superscript"/>
        </w:rPr>
        <w:footnoteReference w:customMarkFollows="0" w:id="48"/>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A">
      <w:pPr>
        <w:spacing w:after="200" w:line="240" w:lineRule="auto"/>
        <w:ind w:left="-360" w:right="-360" w:firstLine="0"/>
        <w:jc w:val="both"/>
        <w:rPr/>
      </w:pPr>
      <w:r w:rsidDel="00000000" w:rsidR="00000000" w:rsidRPr="00000000">
        <w:rPr>
          <w:rtl w:val="0"/>
        </w:rPr>
        <w:t xml:space="preserve">In addition, in 2020, the Court of Appeal of Oslo found that the responsibility of the State to protect the environment for the sake of present and future generations is also engaged in the context of exports of fossil fuels to third countries given the </w:t>
      </w:r>
      <w:r w:rsidDel="00000000" w:rsidR="00000000" w:rsidRPr="00000000">
        <w:rPr>
          <w:rtl w:val="0"/>
        </w:rPr>
        <w:t xml:space="preserve">clear relationship between the production and the combustion</w:t>
      </w:r>
      <w:r w:rsidDel="00000000" w:rsidR="00000000" w:rsidRPr="00000000">
        <w:rPr>
          <w:rtl w:val="0"/>
        </w:rPr>
        <w:t xml:space="preserve">.</w:t>
      </w:r>
      <w:r w:rsidDel="00000000" w:rsidR="00000000" w:rsidRPr="00000000">
        <w:rPr>
          <w:vertAlign w:val="superscript"/>
        </w:rPr>
        <w:footnoteReference w:customMarkFollows="0" w:id="49"/>
      </w:r>
      <w:r w:rsidDel="00000000" w:rsidR="00000000" w:rsidRPr="00000000">
        <w:rPr>
          <w:rtl w:val="0"/>
        </w:rPr>
      </w:r>
    </w:p>
    <w:p w:rsidR="00000000" w:rsidDel="00000000" w:rsidP="00000000" w:rsidRDefault="00000000" w:rsidRPr="00000000" w14:paraId="0000004B">
      <w:pPr>
        <w:spacing w:after="200" w:line="240" w:lineRule="auto"/>
        <w:ind w:left="-360" w:right="-360" w:firstLine="0"/>
        <w:jc w:val="both"/>
        <w:rPr>
          <w:b w:val="1"/>
        </w:rPr>
      </w:pPr>
      <w:r w:rsidDel="00000000" w:rsidR="00000000" w:rsidRPr="00000000">
        <w:rPr>
          <w:rtl w:val="0"/>
        </w:rPr>
        <w:t xml:space="preserve">Granting new licenses for oil and gas exploration in the country not only undermines all the efforts done so far in the country to overcome gender inequality, but also jeopardizes the global efforts to achieve gender equality and to curb the impacts of climate change. Following this argument, it is evident why the planet needs to limit fossil fuel and GHG emissions: “Limiting fossil fuel use and greenhouse gas emissions and the harmful environmental effects of extractive industries such as mining and fracking, and the allocation of climate financing, are regarded as crucial steps in mitigating the negative human rights impacts of climate change and disasters.”</w:t>
      </w:r>
      <w:r w:rsidDel="00000000" w:rsidR="00000000" w:rsidRPr="00000000">
        <w:rPr>
          <w:vertAlign w:val="superscript"/>
        </w:rPr>
        <w:footnoteReference w:customMarkFollows="0" w:id="50"/>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C">
      <w:pPr>
        <w:spacing w:after="200" w:line="240" w:lineRule="auto"/>
        <w:ind w:left="-360" w:right="-360" w:firstLine="0"/>
        <w:jc w:val="both"/>
        <w:rPr>
          <w:b w:val="1"/>
        </w:rPr>
      </w:pPr>
      <w:r w:rsidDel="00000000" w:rsidR="00000000" w:rsidRPr="00000000">
        <w:rPr>
          <w:b w:val="1"/>
          <w:rtl w:val="0"/>
        </w:rPr>
        <w:t xml:space="preserve">Suggested recommendation </w:t>
      </w:r>
    </w:p>
    <w:p w:rsidR="00000000" w:rsidDel="00000000" w:rsidP="00000000" w:rsidRDefault="00000000" w:rsidRPr="00000000" w14:paraId="0000004D">
      <w:pPr>
        <w:spacing w:line="240" w:lineRule="auto"/>
        <w:ind w:left="-360" w:right="-360" w:firstLine="0"/>
        <w:jc w:val="both"/>
        <w:rPr/>
      </w:pPr>
      <w:r w:rsidDel="00000000" w:rsidR="00000000" w:rsidRPr="00000000">
        <w:rPr>
          <w:rtl w:val="0"/>
        </w:rPr>
        <w:t xml:space="preserve">In light of the impacts described above and considering that the Norwegian government has taken steps that are further undermining the concerns highlighted by the Committee in its latest country review and has failed to answer adequately to the Committee's question, we  call upon the Committee to provide the following recommendation to Norway: </w:t>
      </w:r>
    </w:p>
    <w:p w:rsidR="00000000" w:rsidDel="00000000" w:rsidP="00000000" w:rsidRDefault="00000000" w:rsidRPr="00000000" w14:paraId="0000004E">
      <w:pPr>
        <w:spacing w:before="200" w:line="240" w:lineRule="auto"/>
        <w:ind w:left="-360" w:right="-360" w:firstLine="0"/>
        <w:jc w:val="both"/>
        <w:rPr>
          <w:b w:val="1"/>
        </w:rPr>
      </w:pPr>
      <w:r w:rsidDel="00000000" w:rsidR="00000000" w:rsidRPr="00000000">
        <w:rPr>
          <w:b w:val="1"/>
          <w:rtl w:val="0"/>
        </w:rPr>
        <w:t xml:space="preserve">The Committee expresses concern about Norway’s ongoing oil and gas exploration, extraction, and export, due to their contribution to climate change, which affects the rights of women within and beyond the State party’s jurisdiction. The Committee is also concerned about the State party’s current climate targets that are not in line with the Paris Agreement, and its climate and energy policies that fail to meet such targets. The Committee recommends that Norway (a) </w:t>
      </w:r>
      <w:r w:rsidDel="00000000" w:rsidR="00000000" w:rsidRPr="00000000">
        <w:rPr>
          <w:b w:val="1"/>
          <w:rtl w:val="0"/>
        </w:rPr>
        <w:t xml:space="preserve">immediately ceases all new oil and gas </w:t>
      </w:r>
      <w:r w:rsidDel="00000000" w:rsidR="00000000" w:rsidRPr="00000000">
        <w:rPr>
          <w:b w:val="1"/>
          <w:rtl w:val="0"/>
        </w:rPr>
        <w:t xml:space="preserve">developments</w:t>
      </w:r>
      <w:r w:rsidDel="00000000" w:rsidR="00000000" w:rsidRPr="00000000">
        <w:rPr>
          <w:b w:val="1"/>
          <w:rtl w:val="0"/>
        </w:rPr>
        <w:t xml:space="preserve">, (b) revises its climate and energy policies, in order to achieve a 55% emissions reduction by 2030 as per its commitments, and net-zero emissions by 2050, including by starting an effective phase out of fossil production; and (c) require State-owned companies to set a concrete goal to cut emissions in line with the Paris Agreement temperature goal in order to achieve significant emissions cuts by 2030, and reduce absolute emissions by 100% by 2050.</w:t>
      </w:r>
    </w:p>
    <w:p w:rsidR="00000000" w:rsidDel="00000000" w:rsidP="00000000" w:rsidRDefault="00000000" w:rsidRPr="00000000" w14:paraId="0000004F">
      <w:pPr>
        <w:spacing w:before="200" w:line="240" w:lineRule="auto"/>
        <w:ind w:left="-360" w:right="-360" w:firstLine="0"/>
        <w:rPr/>
      </w:pPr>
      <w:r w:rsidDel="00000000" w:rsidR="00000000" w:rsidRPr="00000000">
        <w:rPr>
          <w:rtl w:val="0"/>
        </w:rPr>
      </w:r>
    </w:p>
    <w:sectPr>
      <w:headerReference r:id="rId8" w:type="default"/>
      <w:headerReference r:id="rId9" w:type="first"/>
      <w:footerReference r:id="rId10"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9">
    <w:p w:rsidR="00000000" w:rsidDel="00000000" w:rsidP="00000000" w:rsidRDefault="00000000" w:rsidRPr="00000000" w14:paraId="00000050">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Alejandra Borunda, </w:t>
      </w:r>
      <w:r w:rsidDel="00000000" w:rsidR="00000000" w:rsidRPr="00000000">
        <w:rPr>
          <w:sz w:val="20"/>
          <w:szCs w:val="20"/>
          <w:rtl w:val="0"/>
        </w:rPr>
        <w:t xml:space="preserve">‘</w:t>
      </w:r>
      <w:r w:rsidDel="00000000" w:rsidR="00000000" w:rsidRPr="00000000">
        <w:rPr>
          <w:sz w:val="20"/>
          <w:szCs w:val="20"/>
          <w:rtl w:val="0"/>
        </w:rPr>
        <w:t xml:space="preserve">The origins of environmental justice—and why it’s finally getting the attention it deserves’ (</w:t>
      </w:r>
      <w:r w:rsidDel="00000000" w:rsidR="00000000" w:rsidRPr="00000000">
        <w:rPr>
          <w:i w:val="1"/>
          <w:sz w:val="20"/>
          <w:szCs w:val="20"/>
          <w:rtl w:val="0"/>
        </w:rPr>
        <w:t xml:space="preserve">Natural Geographic</w:t>
      </w:r>
      <w:r w:rsidDel="00000000" w:rsidR="00000000" w:rsidRPr="00000000">
        <w:rPr>
          <w:sz w:val="20"/>
          <w:szCs w:val="20"/>
          <w:rtl w:val="0"/>
        </w:rPr>
        <w:t xml:space="preserve">, 2021), available at </w:t>
      </w:r>
      <w:r w:rsidDel="00000000" w:rsidR="00000000" w:rsidRPr="00000000">
        <w:rPr>
          <w:sz w:val="20"/>
          <w:szCs w:val="20"/>
          <w:rtl w:val="0"/>
        </w:rPr>
        <w:t xml:space="preserve">https://www.nationalgeographic.com/environment/article/environmental-justice-origins-why-finally-getting-the-attention-it-deserves</w:t>
      </w:r>
      <w:r w:rsidDel="00000000" w:rsidR="00000000" w:rsidRPr="00000000">
        <w:rPr>
          <w:sz w:val="20"/>
          <w:szCs w:val="20"/>
          <w:rtl w:val="0"/>
        </w:rPr>
        <w:t xml:space="preserve"> (last accessed on 10 January 2023)</w:t>
      </w:r>
    </w:p>
  </w:footnote>
  <w:footnote w:id="31">
    <w:p w:rsidR="00000000" w:rsidDel="00000000" w:rsidP="00000000" w:rsidRDefault="00000000" w:rsidRPr="00000000" w14:paraId="00000051">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IPCC’s Sixth Assessment Report, ‘Climate Change 2022: Impacts, Adaptation and Vulnerability’ (2022), available at </w:t>
      </w:r>
      <w:r w:rsidDel="00000000" w:rsidR="00000000" w:rsidRPr="00000000">
        <w:rPr>
          <w:sz w:val="20"/>
          <w:szCs w:val="20"/>
          <w:rtl w:val="0"/>
        </w:rPr>
        <w:t xml:space="preserve">https://www.ipcc.ch/report/sixth-assessment-report-working-group-ii/</w:t>
      </w:r>
      <w:r w:rsidDel="00000000" w:rsidR="00000000" w:rsidRPr="00000000">
        <w:rPr>
          <w:sz w:val="20"/>
          <w:szCs w:val="20"/>
          <w:rtl w:val="0"/>
        </w:rPr>
        <w:t xml:space="preserve"> </w:t>
      </w:r>
    </w:p>
  </w:footnote>
  <w:footnote w:id="50">
    <w:p w:rsidR="00000000" w:rsidDel="00000000" w:rsidP="00000000" w:rsidRDefault="00000000" w:rsidRPr="00000000" w14:paraId="00000052">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‘General recommendation No. 37 (2018) on the gender-related dimensions of disaster risk reduction in the context of climate change’ [UN Doc. CEDAW/C/GC/37] (2018), available at </w:t>
      </w:r>
      <w:r w:rsidDel="00000000" w:rsidR="00000000" w:rsidRPr="00000000">
        <w:rPr>
          <w:sz w:val="20"/>
          <w:szCs w:val="20"/>
          <w:rtl w:val="0"/>
        </w:rPr>
        <w:t xml:space="preserve">https://documents-dds-ny.un.org/doc/UNDOC/GEN/N18/068/98/PDF/N1806898.pdf?OpenElem</w:t>
      </w:r>
      <w:r w:rsidDel="00000000" w:rsidR="00000000" w:rsidRPr="00000000">
        <w:rPr>
          <w:sz w:val="20"/>
          <w:szCs w:val="20"/>
          <w:rtl w:val="0"/>
        </w:rPr>
        <w:t xml:space="preserve"> </w:t>
      </w:r>
    </w:p>
  </w:footnote>
  <w:footnote w:id="1">
    <w:p w:rsidR="00000000" w:rsidDel="00000000" w:rsidP="00000000" w:rsidRDefault="00000000" w:rsidRPr="00000000" w14:paraId="00000053">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Kari Lundgren, ‘</w:t>
      </w:r>
      <w:r w:rsidDel="00000000" w:rsidR="00000000" w:rsidRPr="00000000">
        <w:rPr>
          <w:sz w:val="20"/>
          <w:szCs w:val="20"/>
          <w:rtl w:val="0"/>
        </w:rPr>
        <w:t xml:space="preserve">Norway’s $30 Billion of Projects to Sustain Gas Flow to 2026’ (</w:t>
      </w:r>
      <w:r w:rsidDel="00000000" w:rsidR="00000000" w:rsidRPr="00000000">
        <w:rPr>
          <w:i w:val="1"/>
          <w:sz w:val="20"/>
          <w:szCs w:val="20"/>
          <w:rtl w:val="0"/>
        </w:rPr>
        <w:t xml:space="preserve">Bloomberg</w:t>
      </w:r>
      <w:r w:rsidDel="00000000" w:rsidR="00000000" w:rsidRPr="00000000">
        <w:rPr>
          <w:sz w:val="20"/>
          <w:szCs w:val="20"/>
          <w:rtl w:val="0"/>
        </w:rPr>
        <w:t xml:space="preserve">, 2023), available at </w:t>
      </w:r>
      <w:r w:rsidDel="00000000" w:rsidR="00000000" w:rsidRPr="00000000">
        <w:rPr>
          <w:sz w:val="20"/>
          <w:szCs w:val="20"/>
          <w:rtl w:val="0"/>
        </w:rPr>
        <w:t xml:space="preserve">https://www.bloomberg.com/news/articles/2023-01-09/norway-s-30-billion-of-new-projects-to-sustain-gas-flow-to-2026</w:t>
      </w:r>
      <w:r w:rsidDel="00000000" w:rsidR="00000000" w:rsidRPr="00000000">
        <w:rPr>
          <w:sz w:val="20"/>
          <w:szCs w:val="20"/>
          <w:rtl w:val="0"/>
        </w:rPr>
        <w:t xml:space="preserve"> (last accessed on 20 January 2023) </w:t>
      </w:r>
      <w:r w:rsidDel="00000000" w:rsidR="00000000" w:rsidRPr="00000000">
        <w:rPr>
          <w:rtl w:val="0"/>
        </w:rPr>
      </w:r>
    </w:p>
  </w:footnote>
  <w:footnote w:id="9">
    <w:p w:rsidR="00000000" w:rsidDel="00000000" w:rsidP="00000000" w:rsidRDefault="00000000" w:rsidRPr="00000000" w14:paraId="00000054">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Ibid. </w:t>
      </w:r>
    </w:p>
  </w:footnote>
  <w:footnote w:id="10">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2">
    <w:p w:rsidR="00000000" w:rsidDel="00000000" w:rsidP="00000000" w:rsidRDefault="00000000" w:rsidRPr="00000000" w14:paraId="00000056">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Andy Rowell</w:t>
      </w:r>
      <w:r w:rsidDel="00000000" w:rsidR="00000000" w:rsidRPr="00000000">
        <w:rPr>
          <w:sz w:val="20"/>
          <w:szCs w:val="20"/>
          <w:rtl w:val="0"/>
        </w:rPr>
        <w:t xml:space="preserve">, ‘Climate hypocrite: Norway has opened up billions of barrels of new oil and gas resources’ (</w:t>
      </w:r>
      <w:r w:rsidDel="00000000" w:rsidR="00000000" w:rsidRPr="00000000">
        <w:rPr>
          <w:i w:val="1"/>
          <w:sz w:val="20"/>
          <w:szCs w:val="20"/>
          <w:rtl w:val="0"/>
        </w:rPr>
        <w:t xml:space="preserve">Oil Change International</w:t>
      </w:r>
      <w:r w:rsidDel="00000000" w:rsidR="00000000" w:rsidRPr="00000000">
        <w:rPr>
          <w:sz w:val="20"/>
          <w:szCs w:val="20"/>
          <w:rtl w:val="0"/>
        </w:rPr>
        <w:t xml:space="preserve">, 2022), available at</w:t>
      </w:r>
      <w:r w:rsidDel="00000000" w:rsidR="00000000" w:rsidRPr="00000000">
        <w:rPr>
          <w:sz w:val="20"/>
          <w:szCs w:val="20"/>
          <w:rtl w:val="0"/>
        </w:rPr>
        <w:t xml:space="preserve">https://priceofoil.org/2022/02/08/climate-hypocrite-norway-has-opened-up-billions-of-barrels-of-new-oil-and-gas-resources/</w:t>
      </w:r>
      <w:r w:rsidDel="00000000" w:rsidR="00000000" w:rsidRPr="00000000">
        <w:rPr>
          <w:sz w:val="20"/>
          <w:szCs w:val="20"/>
          <w:rtl w:val="0"/>
        </w:rPr>
        <w:t xml:space="preserve"> (last accessed on 6 January 2023)</w:t>
      </w:r>
    </w:p>
  </w:footnote>
  <w:footnote w:id="3">
    <w:p w:rsidR="00000000" w:rsidDel="00000000" w:rsidP="00000000" w:rsidRDefault="00000000" w:rsidRPr="00000000" w14:paraId="0000005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r w:rsidDel="00000000" w:rsidR="00000000" w:rsidRPr="00000000">
        <w:rPr>
          <w:rtl w:val="0"/>
        </w:rPr>
      </w:r>
    </w:p>
  </w:footnote>
  <w:footnote w:id="5">
    <w:p w:rsidR="00000000" w:rsidDel="00000000" w:rsidP="00000000" w:rsidRDefault="00000000" w:rsidRPr="00000000" w14:paraId="0000005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Reuters, ‘Norway awards 47 oil and gas exploration permits’, (</w:t>
      </w:r>
      <w:r w:rsidDel="00000000" w:rsidR="00000000" w:rsidRPr="00000000">
        <w:rPr>
          <w:i w:val="1"/>
          <w:sz w:val="20"/>
          <w:szCs w:val="20"/>
          <w:rtl w:val="0"/>
        </w:rPr>
        <w:t xml:space="preserve">Reuters</w:t>
      </w:r>
      <w:r w:rsidDel="00000000" w:rsidR="00000000" w:rsidRPr="00000000">
        <w:rPr>
          <w:sz w:val="20"/>
          <w:szCs w:val="20"/>
          <w:rtl w:val="0"/>
        </w:rPr>
        <w:t xml:space="preserve">, 2023) available at: </w:t>
      </w:r>
      <w:r w:rsidDel="00000000" w:rsidR="00000000" w:rsidRPr="00000000">
        <w:rPr>
          <w:sz w:val="20"/>
          <w:szCs w:val="20"/>
          <w:rtl w:val="0"/>
        </w:rPr>
        <w:t xml:space="preserve">https://www.reuters.com/business/energy/norway-awards-47-oil-gas-exploration-permits-2023-01-10/</w:t>
      </w:r>
      <w:r w:rsidDel="00000000" w:rsidR="00000000" w:rsidRPr="00000000">
        <w:rPr>
          <w:sz w:val="20"/>
          <w:szCs w:val="20"/>
          <w:rtl w:val="0"/>
        </w:rPr>
        <w:t xml:space="preserve"> (last accessed on 12 January 2023)</w:t>
      </w:r>
    </w:p>
  </w:footnote>
  <w:footnote w:id="11">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See country page: </w:t>
      </w:r>
      <w:hyperlink r:id="rId1">
        <w:r w:rsidDel="00000000" w:rsidR="00000000" w:rsidRPr="00000000">
          <w:rPr>
            <w:color w:val="1155cc"/>
            <w:sz w:val="20"/>
            <w:szCs w:val="20"/>
            <w:u w:val="single"/>
            <w:rtl w:val="0"/>
          </w:rPr>
          <w:t xml:space="preserve">https://www.iea.org/countries/norway</w:t>
        </w:r>
      </w:hyperlink>
      <w:r w:rsidDel="00000000" w:rsidR="00000000" w:rsidRPr="00000000">
        <w:rPr>
          <w:sz w:val="20"/>
          <w:szCs w:val="20"/>
          <w:rtl w:val="0"/>
        </w:rPr>
        <w:t xml:space="preserve"> </w:t>
      </w:r>
    </w:p>
  </w:footnote>
  <w:footnote w:id="12">
    <w:p w:rsidR="00000000" w:rsidDel="00000000" w:rsidP="00000000" w:rsidRDefault="00000000" w:rsidRPr="00000000" w14:paraId="0000005A">
      <w:pPr>
        <w:spacing w:line="240" w:lineRule="auto"/>
        <w:rPr>
          <w:sz w:val="20"/>
          <w:szCs w:val="20"/>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IPCC, Special Report, Summary for policy makers in ‘Global warming of 1.5°C (2018)</w:t>
      </w:r>
      <w:r w:rsidDel="00000000" w:rsidR="00000000" w:rsidRPr="00000000">
        <w:rPr>
          <w:sz w:val="20"/>
          <w:szCs w:val="20"/>
          <w:rtl w:val="0"/>
        </w:rPr>
        <w:t xml:space="preserve"> </w:t>
      </w:r>
      <w:r w:rsidDel="00000000" w:rsidR="00000000" w:rsidRPr="00000000">
        <w:rPr>
          <w:rtl w:val="0"/>
        </w:rPr>
      </w:r>
    </w:p>
  </w:footnote>
  <w:footnote w:id="30">
    <w:p w:rsidR="00000000" w:rsidDel="00000000" w:rsidP="00000000" w:rsidRDefault="00000000" w:rsidRPr="00000000" w14:paraId="0000005B">
      <w:pPr>
        <w:spacing w:line="240" w:lineRule="auto"/>
        <w:jc w:val="both"/>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IPCC, Special Report, Summary for policy makers in ‘Global warming of 1.5°C. An IPCC special report on the impacts of global warming of 1.5 °C above pre-industrial levels and related global greenhouse gas emission pathways, in the context of strengthening the global response to the threat of climate change, sustainable development, and efforts to eradicate poverty’ Summary for Policymakers (2018), page 7-10</w:t>
      </w:r>
      <w:r w:rsidDel="00000000" w:rsidR="00000000" w:rsidRPr="00000000">
        <w:rPr>
          <w:sz w:val="20"/>
          <w:szCs w:val="20"/>
          <w:rtl w:val="0"/>
        </w:rPr>
        <w:t xml:space="preserve">, available at </w:t>
      </w:r>
      <w:r w:rsidDel="00000000" w:rsidR="00000000" w:rsidRPr="00000000">
        <w:rPr>
          <w:sz w:val="20"/>
          <w:szCs w:val="20"/>
          <w:rtl w:val="0"/>
        </w:rPr>
        <w:t xml:space="preserve">https://www.ipcc.ch/site/assets/uploads/sites/2/2022/06/SPM_version_report_LR.pdf</w:t>
      </w:r>
      <w:r w:rsidDel="00000000" w:rsidR="00000000" w:rsidRPr="00000000">
        <w:rPr>
          <w:sz w:val="20"/>
          <w:szCs w:val="20"/>
          <w:rtl w:val="0"/>
        </w:rPr>
        <w:t xml:space="preserve"> </w:t>
      </w:r>
      <w:r w:rsidDel="00000000" w:rsidR="00000000" w:rsidRPr="00000000">
        <w:rPr>
          <w:rtl w:val="0"/>
        </w:rPr>
      </w:r>
    </w:p>
  </w:footnote>
  <w:footnote w:id="34">
    <w:p w:rsidR="00000000" w:rsidDel="00000000" w:rsidP="00000000" w:rsidRDefault="00000000" w:rsidRPr="00000000" w14:paraId="0000005C">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‘General Recommendation No. 28 on the Core Obligations of States Parties under Article 2 of the Convention on the Elimination of All Forms of Discrimination against Women’ [UN Doc. CEDAW/C/GC/28] (2010), para. 9, available at https://documents-dds-ny.un.org/doc/UNDOC/GEN/G10/472/60/PDF/G1047260.pdf?OpenElement</w:t>
      </w:r>
    </w:p>
  </w:footnote>
  <w:footnote w:id="35">
    <w:p w:rsidR="00000000" w:rsidDel="00000000" w:rsidP="00000000" w:rsidRDefault="00000000" w:rsidRPr="00000000" w14:paraId="0000005D">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Office of the High Commissioner for Human Rights, ‘Understanding human rights and climate change’ (2015), available at https://www.ohchr.org/Documents/Issues/ClimateChange/COP21.pdf </w:t>
      </w:r>
    </w:p>
  </w:footnote>
  <w:footnote w:id="36">
    <w:p w:rsidR="00000000" w:rsidDel="00000000" w:rsidP="00000000" w:rsidRDefault="00000000" w:rsidRPr="00000000" w14:paraId="0000005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CEDAW, 'General Recommendation No. 28 on the Core Obligations of States Parties under Article 2 of the Convention on the Elimination of All Forms of Discrimination against Women' [UN Doc CEDAW/C/GC/28] (2010) available at https://documents-dds-ny.un.org/doc/UNDOC/GEN/G10/472/60/PDF/G1047260.pdf?OpenElement</w:t>
      </w:r>
      <w:r w:rsidDel="00000000" w:rsidR="00000000" w:rsidRPr="00000000">
        <w:rPr>
          <w:rtl w:val="0"/>
        </w:rPr>
      </w:r>
    </w:p>
  </w:footnote>
  <w:footnote w:id="38">
    <w:p w:rsidR="00000000" w:rsidDel="00000000" w:rsidP="00000000" w:rsidRDefault="00000000" w:rsidRPr="00000000" w14:paraId="0000005F">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‘General Recommendation No. 37 on Gender-related dimensions of disaster risk reduction in the context of climate change’, [UN Doc. CEDAW/C/GC/37] (2018), para. 43, available at </w:t>
      </w:r>
      <w:r w:rsidDel="00000000" w:rsidR="00000000" w:rsidRPr="00000000">
        <w:rPr>
          <w:sz w:val="20"/>
          <w:szCs w:val="20"/>
          <w:rtl w:val="0"/>
        </w:rPr>
        <w:t xml:space="preserve">https://documents-dds-ny.un.org/doc/UNDOC/GEN/N18/068/98/PDF/N1806898.pdf?OpenElement</w:t>
      </w:r>
      <w:r w:rsidDel="00000000" w:rsidR="00000000" w:rsidRPr="00000000">
        <w:rPr>
          <w:sz w:val="20"/>
          <w:szCs w:val="20"/>
          <w:rtl w:val="0"/>
        </w:rPr>
        <w:t xml:space="preserve"> </w:t>
      </w:r>
    </w:p>
  </w:footnote>
  <w:footnote w:id="39">
    <w:p w:rsidR="00000000" w:rsidDel="00000000" w:rsidP="00000000" w:rsidRDefault="00000000" w:rsidRPr="00000000" w14:paraId="00000060">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‘Joint Statement on "Human Rights and Climate Change"’ (</w:t>
      </w:r>
      <w:r w:rsidDel="00000000" w:rsidR="00000000" w:rsidRPr="00000000">
        <w:rPr>
          <w:i w:val="1"/>
          <w:sz w:val="20"/>
          <w:szCs w:val="20"/>
          <w:rtl w:val="0"/>
        </w:rPr>
        <w:t xml:space="preserve">OHCHR</w:t>
      </w:r>
      <w:r w:rsidDel="00000000" w:rsidR="00000000" w:rsidRPr="00000000">
        <w:rPr>
          <w:sz w:val="20"/>
          <w:szCs w:val="20"/>
          <w:rtl w:val="0"/>
        </w:rPr>
        <w:t xml:space="preserve">, 2019), available at</w:t>
      </w:r>
    </w:p>
    <w:p w:rsidR="00000000" w:rsidDel="00000000" w:rsidP="00000000" w:rsidRDefault="00000000" w:rsidRPr="00000000" w14:paraId="00000061">
      <w:pPr>
        <w:spacing w:line="240" w:lineRule="auto"/>
        <w:jc w:val="both"/>
        <w:rPr>
          <w:sz w:val="20"/>
          <w:szCs w:val="20"/>
        </w:rPr>
      </w:pPr>
      <w:r w:rsidDel="00000000" w:rsidR="00000000" w:rsidRPr="00000000">
        <w:rPr>
          <w:sz w:val="20"/>
          <w:szCs w:val="20"/>
          <w:rtl w:val="0"/>
        </w:rPr>
        <w:t xml:space="preserve">https://www.ohchr.org/en/NewsEvents/Pages/DisplayNews.aspx?NewsID=24998&amp;LangID=E </w:t>
      </w:r>
    </w:p>
  </w:footnote>
  <w:footnote w:id="40">
    <w:p w:rsidR="00000000" w:rsidDel="00000000" w:rsidP="00000000" w:rsidRDefault="00000000" w:rsidRPr="00000000" w14:paraId="00000062">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‘Concluding observations on the ninth periodic report of Norway’ [UN Doc. CEDAW/C/NOR/CO/9] (2017), available at https://documents-dds-ny.un.org/doc/UNDOC/GEN/N17/394/14/PDF/N1739414.pdf?OpenElement</w:t>
      </w:r>
    </w:p>
  </w:footnote>
  <w:footnote w:id="49">
    <w:p w:rsidR="00000000" w:rsidDel="00000000" w:rsidP="00000000" w:rsidRDefault="00000000" w:rsidRPr="00000000" w14:paraId="00000063">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Unofficial English translation of Judgement of the Borgarting Court of Appeal, [Case No. 18-060499ASD-BORG/03] (2020), available at http://blogs2.law.columbia.edu/climate-change-litigation/wp-content/uploads/sites/16/non-us-case-documents/2020/20200123_HR-2020-846-J_judgment.pdf </w:t>
      </w:r>
    </w:p>
  </w:footnote>
  <w:footnote w:id="41">
    <w:p w:rsidR="00000000" w:rsidDel="00000000" w:rsidP="00000000" w:rsidRDefault="00000000" w:rsidRPr="00000000" w14:paraId="00000064">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CRC, ‘Concluding observations on the combined fifth and sixth periodic reports of Norway’ [UN Doc. CRC/C/NOR/CO/5-6] (2018), available at https://documents-dds-ny.un.org/doc/UNDOC/GEN/G18/203/32/PDF/G1820332.pdf?OpenElement; CESCR, ‘Concluding observations on the sixth periodic report of Norway’ [UN Doc. E/C.12/NOR/CO/6] (2020), available at https://documents-dds-ny.un.org/doc/UNDOC/GEN/G20/079/78/PDF/G2007978.pdf?OpenElement</w:t>
      </w:r>
    </w:p>
  </w:footnote>
  <w:footnote w:id="43">
    <w:p w:rsidR="00000000" w:rsidDel="00000000" w:rsidP="00000000" w:rsidRDefault="00000000" w:rsidRPr="00000000" w14:paraId="00000065">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CESCR, ‘Concluding Observations - Argentina’ [UN Doc. E/C.12/ARG/CO/4] (2018), available at </w:t>
      </w:r>
      <w:r w:rsidDel="00000000" w:rsidR="00000000" w:rsidRPr="00000000">
        <w:rPr>
          <w:sz w:val="20"/>
          <w:szCs w:val="20"/>
          <w:rtl w:val="0"/>
        </w:rPr>
        <w:t xml:space="preserve">https://digitallibrary.un.org/record/1656196/files/E_C-12_ARG_CO_4-EN.pdf?ln=en</w:t>
      </w:r>
      <w:r w:rsidDel="00000000" w:rsidR="00000000" w:rsidRPr="00000000">
        <w:rPr>
          <w:sz w:val="20"/>
          <w:szCs w:val="20"/>
          <w:rtl w:val="0"/>
        </w:rPr>
        <w:t xml:space="preserve"> </w:t>
      </w:r>
    </w:p>
  </w:footnote>
  <w:footnote w:id="44">
    <w:p w:rsidR="00000000" w:rsidDel="00000000" w:rsidP="00000000" w:rsidRDefault="00000000" w:rsidRPr="00000000" w14:paraId="00000066">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CESCR, ‘Concluding Observations - Ecuador’ [UN Doc. E/C.12/ECU/CO/4] (2019), available at </w:t>
      </w:r>
      <w:r w:rsidDel="00000000" w:rsidR="00000000" w:rsidRPr="00000000">
        <w:rPr>
          <w:sz w:val="20"/>
          <w:szCs w:val="20"/>
          <w:rtl w:val="0"/>
        </w:rPr>
        <w:t xml:space="preserve">https://documents-dds-ny.un.org/doc/UNDOC/GEN/G19/324/87/PDF/G1932487.pdf?OpenElement</w:t>
      </w:r>
      <w:r w:rsidDel="00000000" w:rsidR="00000000" w:rsidRPr="00000000">
        <w:rPr>
          <w:sz w:val="20"/>
          <w:szCs w:val="20"/>
          <w:rtl w:val="0"/>
        </w:rPr>
        <w:t xml:space="preserve"> </w:t>
      </w:r>
    </w:p>
  </w:footnote>
  <w:footnote w:id="45">
    <w:p w:rsidR="00000000" w:rsidDel="00000000" w:rsidP="00000000" w:rsidRDefault="00000000" w:rsidRPr="00000000" w14:paraId="00000067">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CESCR, ‘Concluding Observations - Norway’ [ UN Doc. E/C.12/NOR/CO/6] (2020), available at </w:t>
      </w:r>
      <w:r w:rsidDel="00000000" w:rsidR="00000000" w:rsidRPr="00000000">
        <w:rPr>
          <w:sz w:val="20"/>
          <w:szCs w:val="20"/>
          <w:rtl w:val="0"/>
        </w:rPr>
        <w:t xml:space="preserve">https://digitallibrary.un.org/record/3865967/files/E_C.12_NOR_CO_6-EN.pdf?ln=en</w:t>
      </w:r>
      <w:r w:rsidDel="00000000" w:rsidR="00000000" w:rsidRPr="00000000">
        <w:rPr>
          <w:sz w:val="20"/>
          <w:szCs w:val="20"/>
          <w:rtl w:val="0"/>
        </w:rPr>
        <w:t xml:space="preserve"> </w:t>
      </w:r>
    </w:p>
  </w:footnote>
  <w:footnote w:id="21">
    <w:p w:rsidR="00000000" w:rsidDel="00000000" w:rsidP="00000000" w:rsidRDefault="00000000" w:rsidRPr="00000000" w14:paraId="0000006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International Energy Agency, ‘Norway’ (</w:t>
      </w:r>
      <w:r w:rsidDel="00000000" w:rsidR="00000000" w:rsidRPr="00000000">
        <w:rPr>
          <w:i w:val="1"/>
          <w:sz w:val="20"/>
          <w:szCs w:val="20"/>
          <w:rtl w:val="0"/>
        </w:rPr>
        <w:t xml:space="preserve">IAE</w:t>
      </w:r>
      <w:r w:rsidDel="00000000" w:rsidR="00000000" w:rsidRPr="00000000">
        <w:rPr>
          <w:sz w:val="20"/>
          <w:szCs w:val="20"/>
          <w:rtl w:val="0"/>
        </w:rPr>
        <w:t xml:space="preserve">, 2022), available at https://www.iea.org/reports/norway-2022/executive-summary (last accessed on 6th January 2023)</w:t>
      </w:r>
    </w:p>
  </w:footnote>
  <w:footnote w:id="23">
    <w:p w:rsidR="00000000" w:rsidDel="00000000" w:rsidP="00000000" w:rsidRDefault="00000000" w:rsidRPr="00000000" w14:paraId="00000069">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 Sustainable Development Report 2022, ‘Country profile Norway’ (</w:t>
      </w:r>
      <w:r w:rsidDel="00000000" w:rsidR="00000000" w:rsidRPr="00000000">
        <w:rPr>
          <w:i w:val="1"/>
          <w:sz w:val="20"/>
          <w:szCs w:val="20"/>
          <w:rtl w:val="0"/>
        </w:rPr>
        <w:t xml:space="preserve">Sustainable Development Report</w:t>
      </w:r>
      <w:r w:rsidDel="00000000" w:rsidR="00000000" w:rsidRPr="00000000">
        <w:rPr>
          <w:sz w:val="20"/>
          <w:szCs w:val="20"/>
          <w:rtl w:val="0"/>
        </w:rPr>
        <w:t xml:space="preserve">), available at </w:t>
      </w:r>
      <w:hyperlink r:id="rId2">
        <w:r w:rsidDel="00000000" w:rsidR="00000000" w:rsidRPr="00000000">
          <w:rPr>
            <w:sz w:val="20"/>
            <w:szCs w:val="20"/>
            <w:rtl w:val="0"/>
          </w:rPr>
          <w:t xml:space="preserve">https://dashboards.sdgindex.org/profiles/norway</w:t>
        </w:r>
      </w:hyperlink>
      <w:r w:rsidDel="00000000" w:rsidR="00000000" w:rsidRPr="00000000">
        <w:rPr>
          <w:sz w:val="20"/>
          <w:szCs w:val="20"/>
          <w:rtl w:val="0"/>
        </w:rPr>
        <w:t xml:space="preserve"> (</w:t>
      </w:r>
      <w:r w:rsidDel="00000000" w:rsidR="00000000" w:rsidRPr="00000000">
        <w:rPr>
          <w:sz w:val="20"/>
          <w:szCs w:val="20"/>
          <w:rtl w:val="0"/>
        </w:rPr>
        <w:t xml:space="preserve">last accessed 23 January 2023</w:t>
      </w:r>
      <w:r w:rsidDel="00000000" w:rsidR="00000000" w:rsidRPr="00000000">
        <w:rPr>
          <w:sz w:val="20"/>
          <w:szCs w:val="20"/>
          <w:rtl w:val="0"/>
        </w:rPr>
        <w:t xml:space="preserve">); UN Sustainable Development Report 2022, ‘</w:t>
      </w:r>
      <w:r w:rsidDel="00000000" w:rsidR="00000000" w:rsidRPr="00000000">
        <w:rPr>
          <w:sz w:val="20"/>
          <w:szCs w:val="20"/>
          <w:rtl w:val="0"/>
        </w:rPr>
        <w:t xml:space="preserve">CO2 emissions embodied in fossil fuel exports’ (Sustainable Development Report), available at </w:t>
      </w:r>
      <w:r w:rsidDel="00000000" w:rsidR="00000000" w:rsidRPr="00000000">
        <w:rPr>
          <w:sz w:val="20"/>
          <w:szCs w:val="20"/>
          <w:rtl w:val="0"/>
        </w:rPr>
        <w:t xml:space="preserve">https://dashboards.sdgindex.org/explorer?metric=co2-emissions-embodied-in-fossil-fuel-exports&amp;visualization=bar </w:t>
      </w:r>
      <w:r w:rsidDel="00000000" w:rsidR="00000000" w:rsidRPr="00000000">
        <w:rPr>
          <w:sz w:val="20"/>
          <w:szCs w:val="20"/>
          <w:rtl w:val="0"/>
        </w:rPr>
        <w:t xml:space="preserve">(last accessed 23 January 2023)</w:t>
      </w:r>
    </w:p>
  </w:footnote>
  <w:footnote w:id="24">
    <w:p w:rsidR="00000000" w:rsidDel="00000000" w:rsidP="00000000" w:rsidRDefault="00000000" w:rsidRPr="00000000" w14:paraId="0000006A">
      <w:pPr>
        <w:spacing w:line="240" w:lineRule="auto"/>
        <w:jc w:val="both"/>
        <w:rPr>
          <w:sz w:val="20"/>
          <w:szCs w:val="20"/>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Exported emissions were calculated by subtracting the volumes of petroleum consumed in Norway in 2022 (and thus covered by domestic emissions) from the total amount of oil and gas produced in Norway in 2022. We then apply CO2 emissions factors. NPD, ‘Det investeres for framtiden på sokkelen’ (</w:t>
      </w:r>
      <w:r w:rsidDel="00000000" w:rsidR="00000000" w:rsidRPr="00000000">
        <w:rPr>
          <w:i w:val="1"/>
          <w:sz w:val="20"/>
          <w:szCs w:val="20"/>
          <w:rtl w:val="0"/>
        </w:rPr>
        <w:t xml:space="preserve">NPD</w:t>
      </w:r>
      <w:r w:rsidDel="00000000" w:rsidR="00000000" w:rsidRPr="00000000">
        <w:rPr>
          <w:sz w:val="20"/>
          <w:szCs w:val="20"/>
          <w:rtl w:val="0"/>
        </w:rPr>
        <w:t xml:space="preserve">, 2023), available at https://www.npd.no/fakta/nyheter/generelle-nyheter/2023/det-investeres-for-framtiden-pa-sokkelen/; Norwegian Environment Agency, ‘Greenhouse Gas Emissions 1990- 2014, National Inventory Report’ (2016), page 87, available at https://www.miljodirektoratet.no/globalassets/publikasjoner/M534/M534.pdf</w:t>
      </w:r>
      <w:r w:rsidDel="00000000" w:rsidR="00000000" w:rsidRPr="00000000">
        <w:rPr>
          <w:rtl w:val="0"/>
        </w:rPr>
      </w:r>
    </w:p>
  </w:footnote>
  <w:footnote w:id="42">
    <w:p w:rsidR="00000000" w:rsidDel="00000000" w:rsidP="00000000" w:rsidRDefault="00000000" w:rsidRPr="00000000" w14:paraId="0000006B">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‘Concluding Observations - Guyana’ [UN Doc. CEDAW/C/GUY/CO/9] (2019), available at: </w:t>
      </w:r>
      <w:r w:rsidDel="00000000" w:rsidR="00000000" w:rsidRPr="00000000">
        <w:rPr>
          <w:sz w:val="20"/>
          <w:szCs w:val="20"/>
          <w:rtl w:val="0"/>
        </w:rPr>
        <w:t xml:space="preserve">https://digitallibrary.un.org/record/3827972/files/CEDAW_C_GUY_CO_9-EN.pdf?ln=en</w:t>
      </w:r>
      <w:r w:rsidDel="00000000" w:rsidR="00000000" w:rsidRPr="00000000">
        <w:rPr>
          <w:rtl w:val="0"/>
        </w:rPr>
      </w:r>
    </w:p>
  </w:footnote>
  <w:footnote w:id="46">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CESCR, 'List of issues prior to submission of the sixth periodic report of Australia' [UN Doc. </w:t>
      </w:r>
    </w:p>
    <w:p w:rsidR="00000000" w:rsidDel="00000000" w:rsidP="00000000" w:rsidRDefault="00000000" w:rsidRPr="00000000" w14:paraId="0000006D">
      <w:pPr>
        <w:spacing w:line="240" w:lineRule="auto"/>
        <w:rPr>
          <w:sz w:val="20"/>
          <w:szCs w:val="20"/>
        </w:rPr>
      </w:pPr>
      <w:r w:rsidDel="00000000" w:rsidR="00000000" w:rsidRPr="00000000">
        <w:rPr>
          <w:sz w:val="20"/>
          <w:szCs w:val="20"/>
          <w:rtl w:val="0"/>
        </w:rPr>
        <w:t xml:space="preserve">E/C.12/AUS/QPR/6] (2022), available at https://docstore.ohchr.org/SelfServices/FilesHandler.ashx?enc=4slQ6QSmlBEDzFEovLCuW9RFfyUl9z%2BWiZSaFYknZJO6hi9FKDrosYbuJGrQzWRjRhxB1zF0zdsaaxjOVKkthMp2jKd2g5F7pNCsoE8DI7BQAVRVuQTd52C2UsHC5Stk</w:t>
      </w:r>
    </w:p>
  </w:footnote>
  <w:footnote w:id="48">
    <w:p w:rsidR="00000000" w:rsidDel="00000000" w:rsidP="00000000" w:rsidRDefault="00000000" w:rsidRPr="00000000" w14:paraId="0000006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CRC, ‘Concluding observations - the Netherlands’ [UN Doc. CRC/C/NLD/CO/5-6] (2022), available at </w:t>
      </w:r>
      <w:r w:rsidDel="00000000" w:rsidR="00000000" w:rsidRPr="00000000">
        <w:rPr>
          <w:sz w:val="20"/>
          <w:szCs w:val="20"/>
          <w:rtl w:val="0"/>
        </w:rPr>
        <w:t xml:space="preserve">https://tbinternet.ohchr.org/_layouts/15/treatybodyexternal/Download.aspx?symbolno=CRC%2FC%2FNLD%2FCO%2F5-6&amp;Lang=en</w:t>
      </w:r>
      <w:r w:rsidDel="00000000" w:rsidR="00000000" w:rsidRPr="00000000">
        <w:rPr>
          <w:rtl w:val="0"/>
        </w:rPr>
      </w:r>
    </w:p>
  </w:footnote>
  <w:footnote w:id="47">
    <w:p w:rsidR="00000000" w:rsidDel="00000000" w:rsidP="00000000" w:rsidRDefault="00000000" w:rsidRPr="00000000" w14:paraId="0000006F">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CESCR, ‘Concluding observations - Bahrain’ [UN Doc. E/C.12/BHR/CO/1] (2022), available at </w:t>
      </w:r>
      <w:r w:rsidDel="00000000" w:rsidR="00000000" w:rsidRPr="00000000">
        <w:rPr>
          <w:sz w:val="20"/>
          <w:szCs w:val="20"/>
          <w:rtl w:val="0"/>
        </w:rPr>
        <w:t xml:space="preserve">https://tbinternet.ohchr.org/_layouts/15/treatybodyexternal/Download.aspx?symbolno=E%2FC.12%2FBHR%2FCO%2F1&amp;Lang=en</w:t>
      </w:r>
      <w:r w:rsidDel="00000000" w:rsidR="00000000" w:rsidRPr="00000000">
        <w:rPr>
          <w:sz w:val="20"/>
          <w:szCs w:val="20"/>
          <w:rtl w:val="0"/>
        </w:rPr>
        <w:t xml:space="preserve"> </w:t>
      </w:r>
    </w:p>
  </w:footnote>
  <w:footnote w:id="26">
    <w:p w:rsidR="00000000" w:rsidDel="00000000" w:rsidP="00000000" w:rsidRDefault="00000000" w:rsidRPr="00000000" w14:paraId="00000070">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Finansavisen, ‘Equinor har godkjent omstillingsplan’, (</w:t>
      </w:r>
      <w:r w:rsidDel="00000000" w:rsidR="00000000" w:rsidRPr="00000000">
        <w:rPr>
          <w:i w:val="1"/>
          <w:sz w:val="20"/>
          <w:szCs w:val="20"/>
          <w:rtl w:val="0"/>
        </w:rPr>
        <w:t xml:space="preserve">Finansavisen</w:t>
      </w:r>
      <w:r w:rsidDel="00000000" w:rsidR="00000000" w:rsidRPr="00000000">
        <w:rPr>
          <w:sz w:val="20"/>
          <w:szCs w:val="20"/>
          <w:rtl w:val="0"/>
        </w:rPr>
        <w:t xml:space="preserve">, 2022), available at </w:t>
      </w:r>
      <w:r w:rsidDel="00000000" w:rsidR="00000000" w:rsidRPr="00000000">
        <w:rPr>
          <w:sz w:val="20"/>
          <w:szCs w:val="20"/>
          <w:rtl w:val="0"/>
        </w:rPr>
        <w:t xml:space="preserve">https://www.finansavisen.no/nyheter/energi/2022/05/11/7865378/equinor-har-godkjent-omstillingsplan?zephr_sso_ott=5uzICx</w:t>
      </w:r>
      <w:r w:rsidDel="00000000" w:rsidR="00000000" w:rsidRPr="00000000">
        <w:rPr>
          <w:rtl w:val="0"/>
        </w:rPr>
      </w:r>
    </w:p>
  </w:footnote>
  <w:footnote w:id="27">
    <w:p w:rsidR="00000000" w:rsidDel="00000000" w:rsidP="00000000" w:rsidRDefault="00000000" w:rsidRPr="00000000" w14:paraId="00000071">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Kjetil Malkenes Hovland,</w:t>
      </w:r>
      <w:r w:rsidDel="00000000" w:rsidR="00000000" w:rsidRPr="00000000">
        <w:rPr>
          <w:sz w:val="20"/>
          <w:szCs w:val="20"/>
          <w:rtl w:val="0"/>
        </w:rPr>
        <w:t xml:space="preserve"> ‘Storebrand stemmer mot Equinors omstillingsplan: – Har svakheter’(E24, 2022), available at </w:t>
      </w:r>
      <w:r w:rsidDel="00000000" w:rsidR="00000000" w:rsidRPr="00000000">
        <w:rPr>
          <w:sz w:val="20"/>
          <w:szCs w:val="20"/>
          <w:rtl w:val="0"/>
        </w:rPr>
        <w:t xml:space="preserve">https://e24.no/olje-og-energi/i/7dzzlW/storebrand-stemmer-mot-equinors-omstillingsplan-har-svakheter</w:t>
      </w:r>
      <w:r w:rsidDel="00000000" w:rsidR="00000000" w:rsidRPr="00000000">
        <w:rPr>
          <w:rtl w:val="0"/>
        </w:rPr>
      </w:r>
    </w:p>
  </w:footnote>
  <w:footnote w:id="8">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Vivideconomics, Finance for Biodiversity Initiative, </w:t>
      </w:r>
      <w:r w:rsidDel="00000000" w:rsidR="00000000" w:rsidRPr="00000000">
        <w:rPr>
          <w:i w:val="1"/>
          <w:sz w:val="20"/>
          <w:szCs w:val="20"/>
          <w:rtl w:val="0"/>
        </w:rPr>
        <w:t xml:space="preserve">‘</w:t>
      </w:r>
      <w:r w:rsidDel="00000000" w:rsidR="00000000" w:rsidRPr="00000000">
        <w:rPr>
          <w:sz w:val="20"/>
          <w:szCs w:val="20"/>
          <w:rtl w:val="0"/>
        </w:rPr>
        <w:t xml:space="preserve">Greenness of Stimulus Index’</w:t>
      </w:r>
      <w:r w:rsidDel="00000000" w:rsidR="00000000" w:rsidRPr="00000000">
        <w:rPr>
          <w:i w:val="1"/>
          <w:sz w:val="20"/>
          <w:szCs w:val="20"/>
          <w:rtl w:val="0"/>
        </w:rPr>
        <w:t xml:space="preserve"> </w:t>
      </w:r>
      <w:r w:rsidDel="00000000" w:rsidR="00000000" w:rsidRPr="00000000">
        <w:rPr>
          <w:sz w:val="20"/>
          <w:szCs w:val="20"/>
          <w:rtl w:val="0"/>
        </w:rPr>
        <w:t xml:space="preserve">(2021)</w:t>
      </w:r>
      <w:r w:rsidDel="00000000" w:rsidR="00000000" w:rsidRPr="00000000">
        <w:rPr>
          <w:i w:val="1"/>
          <w:sz w:val="20"/>
          <w:szCs w:val="20"/>
          <w:rtl w:val="0"/>
        </w:rPr>
        <w:t xml:space="preserve">, </w:t>
      </w:r>
      <w:r w:rsidDel="00000000" w:rsidR="00000000" w:rsidRPr="00000000">
        <w:rPr>
          <w:sz w:val="20"/>
          <w:szCs w:val="20"/>
          <w:rtl w:val="0"/>
        </w:rPr>
        <w:t xml:space="preserve">available at https://643e8587-b887-4b39-86d3-edefb98f6abf.usrfiles.com/ugd/643e85_ff2e6bc7fbd242e7bcb50d05b7219e8b.pdf</w:t>
      </w:r>
    </w:p>
  </w:footnote>
  <w:footnote w:id="7">
    <w:p w:rsidR="00000000" w:rsidDel="00000000" w:rsidP="00000000" w:rsidRDefault="00000000" w:rsidRPr="00000000" w14:paraId="00000073">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High Representative of the Union for Foreign Affairs and Security Policy, ‘</w:t>
      </w:r>
      <w:r w:rsidDel="00000000" w:rsidR="00000000" w:rsidRPr="00000000">
        <w:rPr>
          <w:sz w:val="20"/>
          <w:szCs w:val="20"/>
          <w:rtl w:val="0"/>
        </w:rPr>
        <w:t xml:space="preserve">Joint Communication to the European Parliament, The Council, the European Economic and Social Committee and the Committee of the Regions: “A stronger EU engagement for a peaceful, sustainable and prosperous Arctic”’ 13 October 2021, available at </w:t>
      </w:r>
      <w:r w:rsidDel="00000000" w:rsidR="00000000" w:rsidRPr="00000000">
        <w:rPr>
          <w:sz w:val="20"/>
          <w:szCs w:val="20"/>
          <w:rtl w:val="0"/>
        </w:rPr>
        <w:t xml:space="preserve">https://eur-lex.europa.eu/legal-content/EN/TXT/PDF/?uri=CELEX:52021JC0027&amp;from=EN</w:t>
      </w:r>
      <w:r w:rsidDel="00000000" w:rsidR="00000000" w:rsidRPr="00000000">
        <w:rPr>
          <w:sz w:val="20"/>
          <w:szCs w:val="20"/>
          <w:rtl w:val="0"/>
        </w:rPr>
        <w:t xml:space="preserve"> </w:t>
      </w:r>
    </w:p>
  </w:footnote>
  <w:footnote w:id="4">
    <w:p w:rsidR="00000000" w:rsidDel="00000000" w:rsidP="00000000" w:rsidRDefault="00000000" w:rsidRPr="00000000" w14:paraId="00000074">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NPD, ‘APA 2022: Map awards offered’ (</w:t>
      </w:r>
      <w:r w:rsidDel="00000000" w:rsidR="00000000" w:rsidRPr="00000000">
        <w:rPr>
          <w:i w:val="1"/>
          <w:sz w:val="20"/>
          <w:szCs w:val="20"/>
          <w:rtl w:val="0"/>
        </w:rPr>
        <w:t xml:space="preserve">NPD</w:t>
      </w:r>
      <w:r w:rsidDel="00000000" w:rsidR="00000000" w:rsidRPr="00000000">
        <w:rPr>
          <w:sz w:val="20"/>
          <w:szCs w:val="20"/>
          <w:rtl w:val="0"/>
        </w:rPr>
        <w:t xml:space="preserve">, 2023), available at </w:t>
      </w:r>
      <w:r w:rsidDel="00000000" w:rsidR="00000000" w:rsidRPr="00000000">
        <w:rPr>
          <w:sz w:val="20"/>
          <w:szCs w:val="20"/>
          <w:rtl w:val="0"/>
        </w:rPr>
        <w:t xml:space="preserve">https://www.npd.no/globalassets/1-npd/fakta/utvinningstillatelser/konsesjonsrunder-eng/apa-2022/offered-ownership-interest/map-awards-offered.pdf</w:t>
      </w:r>
      <w:r w:rsidDel="00000000" w:rsidR="00000000" w:rsidRPr="00000000">
        <w:rPr>
          <w:sz w:val="20"/>
          <w:szCs w:val="20"/>
          <w:rtl w:val="0"/>
        </w:rPr>
        <w:t xml:space="preserve"> (last accessed on 20th January 2023)</w:t>
      </w:r>
    </w:p>
  </w:footnote>
  <w:footnote w:id="22">
    <w:p w:rsidR="00000000" w:rsidDel="00000000" w:rsidP="00000000" w:rsidRDefault="00000000" w:rsidRPr="00000000" w14:paraId="00000075">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Jonas Henmo,</w:t>
      </w:r>
      <w:r w:rsidDel="00000000" w:rsidR="00000000" w:rsidRPr="00000000">
        <w:rPr>
          <w:sz w:val="20"/>
          <w:szCs w:val="20"/>
          <w:rtl w:val="0"/>
        </w:rPr>
        <w:t xml:space="preserve"> ‘Vil pumpe til siste dråpe’, (</w:t>
      </w:r>
      <w:r w:rsidDel="00000000" w:rsidR="00000000" w:rsidRPr="00000000">
        <w:rPr>
          <w:i w:val="1"/>
          <w:sz w:val="20"/>
          <w:szCs w:val="20"/>
          <w:rtl w:val="0"/>
        </w:rPr>
        <w:t xml:space="preserve">Klassekampen</w:t>
      </w:r>
      <w:r w:rsidDel="00000000" w:rsidR="00000000" w:rsidRPr="00000000">
        <w:rPr>
          <w:sz w:val="20"/>
          <w:szCs w:val="20"/>
          <w:rtl w:val="0"/>
        </w:rPr>
        <w:t xml:space="preserve">, 2022), available at </w:t>
      </w:r>
      <w:r w:rsidDel="00000000" w:rsidR="00000000" w:rsidRPr="00000000">
        <w:rPr>
          <w:sz w:val="20"/>
          <w:szCs w:val="20"/>
          <w:rtl w:val="0"/>
        </w:rPr>
        <w:t xml:space="preserve">https://klassekampen.no/utgave/2022-05-05/vil-pumpe-til-siste-drape</w:t>
      </w:r>
      <w:r w:rsidDel="00000000" w:rsidR="00000000" w:rsidRPr="00000000">
        <w:rPr>
          <w:sz w:val="20"/>
          <w:szCs w:val="20"/>
          <w:rtl w:val="0"/>
        </w:rPr>
        <w:t xml:space="preserve"> </w:t>
      </w:r>
    </w:p>
  </w:footnote>
  <w:footnote w:id="17">
    <w:p w:rsidR="00000000" w:rsidDel="00000000" w:rsidP="00000000" w:rsidRDefault="00000000" w:rsidRPr="00000000" w14:paraId="00000076">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Christian Bjørnæs,</w:t>
      </w:r>
      <w:r w:rsidDel="00000000" w:rsidR="00000000" w:rsidRPr="00000000">
        <w:rPr>
          <w:sz w:val="20"/>
          <w:szCs w:val="20"/>
          <w:rtl w:val="0"/>
        </w:rPr>
        <w:t xml:space="preserve"> ‘Statsbudsjettet 2030’ (</w:t>
      </w:r>
      <w:r w:rsidDel="00000000" w:rsidR="00000000" w:rsidRPr="00000000">
        <w:rPr>
          <w:i w:val="1"/>
          <w:sz w:val="20"/>
          <w:szCs w:val="20"/>
          <w:rtl w:val="0"/>
        </w:rPr>
        <w:t xml:space="preserve">CICERO</w:t>
      </w:r>
      <w:r w:rsidDel="00000000" w:rsidR="00000000" w:rsidRPr="00000000">
        <w:rPr>
          <w:sz w:val="20"/>
          <w:szCs w:val="20"/>
          <w:rtl w:val="0"/>
        </w:rPr>
        <w:t xml:space="preserve">, 2022), available at </w:t>
      </w:r>
      <w:hyperlink r:id="rId3">
        <w:r w:rsidDel="00000000" w:rsidR="00000000" w:rsidRPr="00000000">
          <w:rPr>
            <w:sz w:val="20"/>
            <w:szCs w:val="20"/>
            <w:rtl w:val="0"/>
          </w:rPr>
          <w:t xml:space="preserve">https://cicero.oslo.no/no/artikler/statsbudsjettet-2023</w:t>
        </w:r>
      </w:hyperlink>
      <w:r w:rsidDel="00000000" w:rsidR="00000000" w:rsidRPr="00000000">
        <w:rPr>
          <w:sz w:val="20"/>
          <w:szCs w:val="20"/>
          <w:rtl w:val="0"/>
        </w:rPr>
        <w:t xml:space="preserve"> </w:t>
      </w:r>
    </w:p>
  </w:footnote>
  <w:footnote w:id="18">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9">
    <w:p w:rsidR="00000000" w:rsidDel="00000000" w:rsidP="00000000" w:rsidRDefault="00000000" w:rsidRPr="00000000" w14:paraId="0000007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shd w:fill="fefefe" w:val="clear"/>
          <w:rtl w:val="0"/>
        </w:rPr>
        <w:t xml:space="preserve">Anne Vandbakk, </w:t>
      </w:r>
      <w:r w:rsidDel="00000000" w:rsidR="00000000" w:rsidRPr="00000000">
        <w:rPr>
          <w:sz w:val="20"/>
          <w:szCs w:val="20"/>
          <w:rtl w:val="0"/>
        </w:rPr>
        <w:t xml:space="preserve">‘</w:t>
      </w:r>
      <w:r w:rsidDel="00000000" w:rsidR="00000000" w:rsidRPr="00000000">
        <w:rPr>
          <w:sz w:val="20"/>
          <w:szCs w:val="20"/>
          <w:rtl w:val="0"/>
        </w:rPr>
        <w:t xml:space="preserve">Ny rapport om Norges energiomstilling frem mot 2050’ (</w:t>
      </w:r>
      <w:r w:rsidDel="00000000" w:rsidR="00000000" w:rsidRPr="00000000">
        <w:rPr>
          <w:i w:val="1"/>
          <w:sz w:val="20"/>
          <w:szCs w:val="20"/>
          <w:rtl w:val="0"/>
        </w:rPr>
        <w:t xml:space="preserve">DNV</w:t>
      </w:r>
      <w:r w:rsidDel="00000000" w:rsidR="00000000" w:rsidRPr="00000000">
        <w:rPr>
          <w:sz w:val="20"/>
          <w:szCs w:val="20"/>
          <w:rtl w:val="0"/>
        </w:rPr>
        <w:t xml:space="preserve">, 2022), available at https://www.dnv.no/news/ny-rapport-om-norges-energiomstilling-frem-mot-2050-235812 </w:t>
      </w:r>
    </w:p>
  </w:footnote>
  <w:footnote w:id="14">
    <w:p w:rsidR="00000000" w:rsidDel="00000000" w:rsidP="00000000" w:rsidRDefault="00000000" w:rsidRPr="00000000" w14:paraId="00000079">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sz w:val="20"/>
            <w:szCs w:val="20"/>
            <w:rtl w:val="0"/>
          </w:rPr>
          <w:t xml:space="preserve">Olav A. Øvrebø</w:t>
        </w:r>
      </w:hyperlink>
      <w:r w:rsidDel="00000000" w:rsidR="00000000" w:rsidRPr="00000000">
        <w:rPr>
          <w:sz w:val="20"/>
          <w:szCs w:val="20"/>
          <w:rtl w:val="0"/>
        </w:rPr>
        <w:t xml:space="preserve">,</w:t>
      </w:r>
      <w:r w:rsidDel="00000000" w:rsidR="00000000" w:rsidRPr="00000000">
        <w:rPr>
          <w:sz w:val="20"/>
          <w:szCs w:val="20"/>
          <w:rtl w:val="0"/>
        </w:rPr>
        <w:t xml:space="preserve">, ‘Norges Utslipp’ (</w:t>
      </w:r>
      <w:r w:rsidDel="00000000" w:rsidR="00000000" w:rsidRPr="00000000">
        <w:rPr>
          <w:i w:val="1"/>
          <w:sz w:val="20"/>
          <w:szCs w:val="20"/>
          <w:rtl w:val="0"/>
        </w:rPr>
        <w:t xml:space="preserve">Energi og Klima</w:t>
      </w:r>
      <w:r w:rsidDel="00000000" w:rsidR="00000000" w:rsidRPr="00000000">
        <w:rPr>
          <w:sz w:val="20"/>
          <w:szCs w:val="20"/>
          <w:rtl w:val="0"/>
        </w:rPr>
        <w:t xml:space="preserve">, 2022), available at </w:t>
      </w:r>
      <w:r w:rsidDel="00000000" w:rsidR="00000000" w:rsidRPr="00000000">
        <w:rPr>
          <w:sz w:val="20"/>
          <w:szCs w:val="20"/>
          <w:rtl w:val="0"/>
        </w:rPr>
        <w:t xml:space="preserve">https://energiogklima.no/klimavakten/norges-utslipp/</w:t>
      </w:r>
      <w:r w:rsidDel="00000000" w:rsidR="00000000" w:rsidRPr="00000000">
        <w:rPr>
          <w:sz w:val="20"/>
          <w:szCs w:val="20"/>
          <w:rtl w:val="0"/>
        </w:rPr>
        <w:t xml:space="preserve"> </w:t>
      </w:r>
    </w:p>
  </w:footnote>
  <w:footnote w:id="15">
    <w:p w:rsidR="00000000" w:rsidDel="00000000" w:rsidP="00000000" w:rsidRDefault="00000000" w:rsidRPr="00000000" w14:paraId="0000007A">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Kjetil Malkenes Hovland, ‘</w:t>
      </w:r>
      <w:r w:rsidDel="00000000" w:rsidR="00000000" w:rsidRPr="00000000">
        <w:rPr>
          <w:sz w:val="20"/>
          <w:szCs w:val="20"/>
          <w:rtl w:val="0"/>
        </w:rPr>
        <w:t xml:space="preserve">Stengt Equinor-anlegg bidro til lavere utslipp i fjor’ (</w:t>
      </w:r>
      <w:r w:rsidDel="00000000" w:rsidR="00000000" w:rsidRPr="00000000">
        <w:rPr>
          <w:i w:val="1"/>
          <w:sz w:val="20"/>
          <w:szCs w:val="20"/>
          <w:rtl w:val="0"/>
        </w:rPr>
        <w:t xml:space="preserve">E24</w:t>
      </w:r>
      <w:r w:rsidDel="00000000" w:rsidR="00000000" w:rsidRPr="00000000">
        <w:rPr>
          <w:sz w:val="20"/>
          <w:szCs w:val="20"/>
          <w:rtl w:val="0"/>
        </w:rPr>
        <w:t xml:space="preserve">, 2022), available at https://e24.no/olje-og-energi/i/bGP9Kk/stengt-equinor-anlegg-bidro-til-lavere-utslipp-i-fjor</w:t>
      </w:r>
    </w:p>
    <w:p w:rsidR="00000000" w:rsidDel="00000000" w:rsidP="00000000" w:rsidRDefault="00000000" w:rsidRPr="00000000" w14:paraId="0000007B">
      <w:pPr>
        <w:spacing w:line="240" w:lineRule="auto"/>
        <w:rPr>
          <w:sz w:val="20"/>
          <w:szCs w:val="20"/>
        </w:rPr>
      </w:pPr>
      <w:r w:rsidDel="00000000" w:rsidR="00000000" w:rsidRPr="00000000">
        <w:rPr>
          <w:sz w:val="20"/>
          <w:szCs w:val="20"/>
          <w:rtl w:val="0"/>
        </w:rPr>
        <w:t xml:space="preserve">(last accessed 20 January 2023)</w:t>
      </w:r>
    </w:p>
  </w:footnote>
  <w:footnote w:id="16">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28">
    <w:p w:rsidR="00000000" w:rsidDel="00000000" w:rsidP="00000000" w:rsidRDefault="00000000" w:rsidRPr="00000000" w14:paraId="0000007D">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w:t>
      </w:r>
      <w:r w:rsidDel="00000000" w:rsidR="00000000" w:rsidRPr="00000000">
        <w:rPr>
          <w:sz w:val="20"/>
          <w:szCs w:val="20"/>
          <w:rtl w:val="0"/>
        </w:rPr>
        <w:t xml:space="preserve">Joint Parallel Report Pre-Sessional Working Group of the Committee on the Elimination of all forms of Discrimination against Womenon the occasion of the consideration of the List of Issues Prior to Reporting on Norway’ (</w:t>
      </w:r>
      <w:r w:rsidDel="00000000" w:rsidR="00000000" w:rsidRPr="00000000">
        <w:rPr>
          <w:i w:val="1"/>
          <w:sz w:val="20"/>
          <w:szCs w:val="20"/>
          <w:rtl w:val="0"/>
        </w:rPr>
        <w:t xml:space="preserve">UN Treaty Body Database</w:t>
      </w:r>
      <w:r w:rsidDel="00000000" w:rsidR="00000000" w:rsidRPr="00000000">
        <w:rPr>
          <w:sz w:val="20"/>
          <w:szCs w:val="20"/>
          <w:rtl w:val="0"/>
        </w:rPr>
        <w:t xml:space="preserve">, 2022), available at</w:t>
      </w:r>
    </w:p>
    <w:p w:rsidR="00000000" w:rsidDel="00000000" w:rsidP="00000000" w:rsidRDefault="00000000" w:rsidRPr="00000000" w14:paraId="0000007E">
      <w:pPr>
        <w:spacing w:line="240" w:lineRule="auto"/>
        <w:jc w:val="both"/>
        <w:rPr>
          <w:sz w:val="20"/>
          <w:szCs w:val="20"/>
        </w:rPr>
      </w:pPr>
      <w:r w:rsidDel="00000000" w:rsidR="00000000" w:rsidRPr="00000000">
        <w:rPr>
          <w:sz w:val="20"/>
          <w:szCs w:val="20"/>
          <w:rtl w:val="0"/>
        </w:rPr>
        <w:t xml:space="preserve">https://tbinternet.ohchr.org/_layouts/15/treatybodyexternal/Download.aspx?symbolno=INT%2FCEDAW%2FICS%2FNOR%2F42603&amp;Lang=en</w:t>
      </w:r>
      <w:r w:rsidDel="00000000" w:rsidR="00000000" w:rsidRPr="00000000">
        <w:rPr>
          <w:sz w:val="20"/>
          <w:szCs w:val="20"/>
          <w:rtl w:val="0"/>
        </w:rPr>
        <w:t xml:space="preserve"> </w:t>
      </w:r>
    </w:p>
  </w:footnote>
  <w:footnote w:id="33">
    <w:p w:rsidR="00000000" w:rsidDel="00000000" w:rsidP="00000000" w:rsidRDefault="00000000" w:rsidRPr="00000000" w14:paraId="0000007F">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‘Tenth periodic report submitted by Norway under article 18 of the Convention, due in 2021’ [UN Doc. CEDAW/C/NOR/10] (2021), available at </w:t>
      </w:r>
      <w:r w:rsidDel="00000000" w:rsidR="00000000" w:rsidRPr="00000000">
        <w:rPr>
          <w:sz w:val="20"/>
          <w:szCs w:val="20"/>
          <w:rtl w:val="0"/>
        </w:rPr>
        <w:t xml:space="preserve">https://docstore.ohchr.org/SelfServices/FilesHandler.ashx?enc=6QkG1d%2FPPRiCAqhKb7yhsqMFgv33OTgoZv7ZAgL6thDXI9%2Fym5TpGApp4xZRb5zrXpOP%2BbTf2C0PJE6%2BCTX2pA%2Fkre8HKoyepoBRh5TXuEIzmM%2Fi%2FCX9URqmiM5wJZOT</w:t>
      </w:r>
      <w:r w:rsidDel="00000000" w:rsidR="00000000" w:rsidRPr="00000000">
        <w:rPr>
          <w:sz w:val="20"/>
          <w:szCs w:val="20"/>
          <w:rtl w:val="0"/>
        </w:rPr>
        <w:t xml:space="preserve"> </w:t>
      </w:r>
    </w:p>
  </w:footnote>
  <w:footnote w:id="32">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‘List of issues and questions prior to the submission of the seventh periodic report of Norway’ </w:t>
      </w:r>
      <w:r w:rsidDel="00000000" w:rsidR="00000000" w:rsidRPr="00000000">
        <w:rPr>
          <w:sz w:val="20"/>
          <w:szCs w:val="20"/>
          <w:rtl w:val="0"/>
        </w:rPr>
        <w:t xml:space="preserve">CEDAW/C/NOR/QPR/10</w:t>
      </w:r>
    </w:p>
  </w:footnote>
  <w:footnote w:id="0">
    <w:p w:rsidR="00000000" w:rsidDel="00000000" w:rsidP="00000000" w:rsidRDefault="00000000" w:rsidRPr="00000000" w14:paraId="00000089">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International Energy Agency, ‘Norway’ (</w:t>
      </w:r>
      <w:r w:rsidDel="00000000" w:rsidR="00000000" w:rsidRPr="00000000">
        <w:rPr>
          <w:i w:val="1"/>
          <w:sz w:val="20"/>
          <w:szCs w:val="20"/>
          <w:rtl w:val="0"/>
        </w:rPr>
        <w:t xml:space="preserve">iae</w:t>
      </w:r>
      <w:r w:rsidDel="00000000" w:rsidR="00000000" w:rsidRPr="00000000">
        <w:rPr>
          <w:sz w:val="20"/>
          <w:szCs w:val="20"/>
          <w:rtl w:val="0"/>
        </w:rPr>
        <w:t xml:space="preserve">, 2022), available at https://www.iea.org/reports/norway-2022/executive-summary (last accessed on 6 January 2023)</w:t>
      </w:r>
    </w:p>
  </w:footnote>
  <w:footnote w:id="13">
    <w:p w:rsidR="00000000" w:rsidDel="00000000" w:rsidP="00000000" w:rsidRDefault="00000000" w:rsidRPr="00000000" w14:paraId="0000008A">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Norway’s Climate Change Act (2018), available at </w:t>
      </w:r>
      <w:r w:rsidDel="00000000" w:rsidR="00000000" w:rsidRPr="00000000">
        <w:rPr>
          <w:sz w:val="20"/>
          <w:szCs w:val="20"/>
          <w:rtl w:val="0"/>
        </w:rPr>
        <w:t xml:space="preserve">https://lovdata.no/dokument/NLE/lov/2017-06-16-60</w:t>
      </w:r>
      <w:r w:rsidDel="00000000" w:rsidR="00000000" w:rsidRPr="00000000">
        <w:rPr>
          <w:sz w:val="20"/>
          <w:szCs w:val="20"/>
          <w:rtl w:val="0"/>
        </w:rPr>
        <w:t xml:space="preserve"> </w:t>
      </w:r>
    </w:p>
  </w:footnote>
  <w:footnote w:id="20">
    <w:p w:rsidR="00000000" w:rsidDel="00000000" w:rsidP="00000000" w:rsidRDefault="00000000" w:rsidRPr="00000000" w14:paraId="0000008B">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NTB, ‘Splid blant regjeringspartiene om elektrifisering’ (</w:t>
      </w:r>
      <w:r w:rsidDel="00000000" w:rsidR="00000000" w:rsidRPr="00000000">
        <w:rPr>
          <w:i w:val="1"/>
          <w:sz w:val="20"/>
          <w:szCs w:val="20"/>
          <w:rtl w:val="0"/>
        </w:rPr>
        <w:t xml:space="preserve">E24</w:t>
      </w:r>
      <w:r w:rsidDel="00000000" w:rsidR="00000000" w:rsidRPr="00000000">
        <w:rPr>
          <w:sz w:val="20"/>
          <w:szCs w:val="20"/>
          <w:rtl w:val="0"/>
        </w:rPr>
        <w:t xml:space="preserve">, 2022), available at </w:t>
      </w:r>
      <w:r w:rsidDel="00000000" w:rsidR="00000000" w:rsidRPr="00000000">
        <w:rPr>
          <w:sz w:val="20"/>
          <w:szCs w:val="20"/>
          <w:rtl w:val="0"/>
        </w:rPr>
        <w:t xml:space="preserve">https://e24.no/olje-og-energi/i/BjAL1g/splid-blant-regjeringspartiene-om-elektrifisering</w:t>
      </w:r>
      <w:r w:rsidDel="00000000" w:rsidR="00000000" w:rsidRPr="00000000">
        <w:rPr>
          <w:sz w:val="20"/>
          <w:szCs w:val="20"/>
          <w:rtl w:val="0"/>
        </w:rPr>
        <w:t xml:space="preserve"> </w:t>
      </w:r>
    </w:p>
  </w:footnote>
  <w:footnote w:id="25">
    <w:p w:rsidR="00000000" w:rsidDel="00000000" w:rsidP="00000000" w:rsidRDefault="00000000" w:rsidRPr="00000000" w14:paraId="0000008C">
      <w:pPr>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White Paper 6 (2022-2023) (</w:t>
      </w:r>
      <w:hyperlink r:id="rId5">
        <w:r w:rsidDel="00000000" w:rsidR="00000000" w:rsidRPr="00000000">
          <w:rPr>
            <w:i w:val="1"/>
            <w:sz w:val="20"/>
            <w:szCs w:val="20"/>
            <w:rtl w:val="0"/>
          </w:rPr>
          <w:t xml:space="preserve">Reggeringen.no</w:t>
        </w:r>
      </w:hyperlink>
      <w:r w:rsidDel="00000000" w:rsidR="00000000" w:rsidRPr="00000000">
        <w:rPr>
          <w:sz w:val="20"/>
          <w:szCs w:val="20"/>
          <w:rtl w:val="0"/>
        </w:rPr>
        <w:t xml:space="preserve">), available at </w:t>
      </w:r>
      <w:r w:rsidDel="00000000" w:rsidR="00000000" w:rsidRPr="00000000">
        <w:rPr>
          <w:sz w:val="20"/>
          <w:szCs w:val="20"/>
          <w:rtl w:val="0"/>
        </w:rPr>
        <w:t xml:space="preserve">https://www.regjeringen.no/no/dokumenter/meld.-st.-6-20222023/id2937164/?ch=1 </w:t>
      </w:r>
    </w:p>
  </w:footnote>
  <w:footnote w:id="6">
    <w:p w:rsidR="00000000" w:rsidDel="00000000" w:rsidP="00000000" w:rsidRDefault="00000000" w:rsidRPr="00000000" w14:paraId="0000008D">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Norwegian Petroleum Directorate (NPD), ‘APA 2019’ (</w:t>
      </w:r>
      <w:r w:rsidDel="00000000" w:rsidR="00000000" w:rsidRPr="00000000">
        <w:rPr>
          <w:i w:val="1"/>
          <w:sz w:val="20"/>
          <w:szCs w:val="20"/>
          <w:rtl w:val="0"/>
        </w:rPr>
        <w:t xml:space="preserve">NPD</w:t>
      </w:r>
      <w:r w:rsidDel="00000000" w:rsidR="00000000" w:rsidRPr="00000000">
        <w:rPr>
          <w:sz w:val="20"/>
          <w:szCs w:val="20"/>
          <w:rtl w:val="0"/>
        </w:rPr>
        <w:t xml:space="preserve">, 2021), available at https://www.npd.no/en/facts/production-licences/licensing-rounds/apa-2019/; NPD, ‘APA 2020’ (</w:t>
      </w:r>
      <w:r w:rsidDel="00000000" w:rsidR="00000000" w:rsidRPr="00000000">
        <w:rPr>
          <w:i w:val="1"/>
          <w:sz w:val="20"/>
          <w:szCs w:val="20"/>
          <w:rtl w:val="0"/>
        </w:rPr>
        <w:t xml:space="preserve">NPD</w:t>
      </w:r>
      <w:r w:rsidDel="00000000" w:rsidR="00000000" w:rsidRPr="00000000">
        <w:rPr>
          <w:sz w:val="20"/>
          <w:szCs w:val="20"/>
          <w:rtl w:val="0"/>
        </w:rPr>
        <w:t xml:space="preserve">, 2021), available at https://www.npd.no/en/facts/production-licences/licensing-rounds/apa-2020/#; NPD, ‘APA 2021’ (</w:t>
      </w:r>
      <w:r w:rsidDel="00000000" w:rsidR="00000000" w:rsidRPr="00000000">
        <w:rPr>
          <w:i w:val="1"/>
          <w:sz w:val="20"/>
          <w:szCs w:val="20"/>
          <w:rtl w:val="0"/>
        </w:rPr>
        <w:t xml:space="preserve">NPD</w:t>
      </w:r>
      <w:r w:rsidDel="00000000" w:rsidR="00000000" w:rsidRPr="00000000">
        <w:rPr>
          <w:sz w:val="20"/>
          <w:szCs w:val="20"/>
          <w:rtl w:val="0"/>
        </w:rPr>
        <w:t xml:space="preserve">, 2022) , available at https://www.npd.no/en/facts/production-licences/licensing-rounds/apa-2021/; NPD, ‘APA 2022’ (</w:t>
      </w:r>
      <w:r w:rsidDel="00000000" w:rsidR="00000000" w:rsidRPr="00000000">
        <w:rPr>
          <w:i w:val="1"/>
          <w:sz w:val="20"/>
          <w:szCs w:val="20"/>
          <w:rtl w:val="0"/>
        </w:rPr>
        <w:t xml:space="preserve">NPD</w:t>
      </w:r>
      <w:r w:rsidDel="00000000" w:rsidR="00000000" w:rsidRPr="00000000">
        <w:rPr>
          <w:sz w:val="20"/>
          <w:szCs w:val="20"/>
          <w:rtl w:val="0"/>
        </w:rPr>
        <w:t xml:space="preserve">, 2023), available at https://www.npd.no/en/facts/production-licences/licensing-rounds/apa-2022/ (last accessed on 23 January 2023)</w:t>
      </w:r>
    </w:p>
  </w:footnote>
  <w:footnote w:id="37">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 ‘Concluding observations on the ninth periodic report of Norway’ [UN Doc. CEDAW/C/NOR/CO/9] (2017), available at https://documents-dds-ny.un.org/doc/UNDOC/GEN/N17/394/14/PDF/N1739414.pdf?OpenElement</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2343150</wp:posOffset>
          </wp:positionH>
          <wp:positionV relativeFrom="paragraph">
            <wp:posOffset>-209549</wp:posOffset>
          </wp:positionV>
          <wp:extent cx="2900363" cy="1142567"/>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900363" cy="114256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647700</wp:posOffset>
          </wp:positionH>
          <wp:positionV relativeFrom="paragraph">
            <wp:posOffset>-57149</wp:posOffset>
          </wp:positionV>
          <wp:extent cx="1566863" cy="833651"/>
          <wp:effectExtent b="0" l="0" r="0" t="0"/>
          <wp:wrapNone/>
          <wp:docPr id="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1566863" cy="833651"/>
                  </a:xfrm>
                  <a:prstGeom prst="rect"/>
                  <a:ln/>
                </pic:spPr>
              </pic:pic>
            </a:graphicData>
          </a:graphic>
        </wp:anchor>
      </w:drawing>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iea.org/countries/norway" TargetMode="External"/><Relationship Id="rId2" Type="http://schemas.openxmlformats.org/officeDocument/2006/relationships/hyperlink" Target="https://dashboards.sdgindex.org/profiles/norway" TargetMode="External"/><Relationship Id="rId3" Type="http://schemas.openxmlformats.org/officeDocument/2006/relationships/hyperlink" Target="https://cicero.oslo.no/no/artikler/statsbudsjettet-2023" TargetMode="External"/><Relationship Id="rId4" Type="http://schemas.openxmlformats.org/officeDocument/2006/relationships/hyperlink" Target="https://energiogklima.no/author/oovrebo/" TargetMode="External"/><Relationship Id="rId5" Type="http://schemas.openxmlformats.org/officeDocument/2006/relationships/hyperlink" Target="https://www.regjeringen.no/no/id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