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endnotes.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Open Sans" w:hAnsi="Open Sans" w:cs="Open Sans"/>
          <w:sz w:val="36"/>
          <w:szCs w:val="36"/>
        </w:rPr>
      </w:pPr>
      <w:r>
        <w:rPr>
          <w:rFonts w:cs="Open Sans" w:ascii="Open Sans" w:hAnsi="Open Sans"/>
          <w:sz w:val="36"/>
          <w:szCs w:val="36"/>
        </w:rPr>
      </w:r>
    </w:p>
    <w:p>
      <w:pPr>
        <w:pStyle w:val="Normal"/>
        <w:jc w:val="end"/>
        <w:rPr>
          <w:rFonts w:ascii="Open Sans" w:hAnsi="Open Sans" w:cs="Open Sans"/>
          <w:color w:val="481D32"/>
          <w:sz w:val="36"/>
          <w:szCs w:val="36"/>
        </w:rPr>
      </w:pPr>
      <w:r>
        <w:drawing>
          <wp:anchor behindDoc="0" distT="0" distB="0" distL="0" distR="0" simplePos="0" locked="0" layoutInCell="0" allowOverlap="1" relativeHeight="12">
            <wp:simplePos x="0" y="0"/>
            <wp:positionH relativeFrom="page">
              <wp:posOffset>471805</wp:posOffset>
            </wp:positionH>
            <wp:positionV relativeFrom="page">
              <wp:posOffset>589280</wp:posOffset>
            </wp:positionV>
            <wp:extent cx="2727325" cy="1032510"/>
            <wp:effectExtent l="0" t="0" r="0" b="0"/>
            <wp:wrapSquare wrapText="largest"/>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rcRect l="-274" t="-720" r="-274" b="-720"/>
                    <a:stretch>
                      <a:fillRect/>
                    </a:stretch>
                  </pic:blipFill>
                  <pic:spPr bwMode="auto">
                    <a:xfrm>
                      <a:off x="0" y="0"/>
                      <a:ext cx="2727325" cy="1032510"/>
                    </a:xfrm>
                    <a:prstGeom prst="rect">
                      <a:avLst/>
                    </a:prstGeom>
                  </pic:spPr>
                </pic:pic>
              </a:graphicData>
            </a:graphic>
          </wp:anchor>
        </w:drawing>
      </w:r>
      <w:r>
        <w:rPr>
          <w:rFonts w:cs="Open Sans" w:ascii="Open Sans" w:hAnsi="Open Sans"/>
          <w:color w:val="481D32"/>
          <w:sz w:val="36"/>
          <w:szCs w:val="36"/>
        </w:rPr>
        <w:t>January 2025</w:t>
      </w:r>
    </w:p>
    <w:p>
      <w:pPr>
        <w:pStyle w:val="Normal"/>
        <w:rPr>
          <w:rFonts w:ascii="Open Sans" w:hAnsi="Open Sans" w:cs="Open Sans"/>
          <w:color w:val="481D32"/>
          <w:sz w:val="36"/>
          <w:szCs w:val="36"/>
        </w:rPr>
      </w:pPr>
      <w:r>
        <w:rPr>
          <w:rFonts w:cs="Open Sans" w:ascii="Open Sans" w:hAnsi="Open Sans"/>
          <w:color w:val="481D32"/>
          <w:sz w:val="36"/>
          <w:szCs w:val="36"/>
        </w:rPr>
      </w:r>
    </w:p>
    <w:p>
      <w:pPr>
        <w:pStyle w:val="Normal"/>
        <w:jc w:val="center"/>
        <w:rPr>
          <w:rFonts w:ascii="Open Sans" w:hAnsi="Open Sans" w:cs="Open Sans"/>
          <w:color w:val="481D32"/>
          <w:sz w:val="36"/>
          <w:szCs w:val="36"/>
        </w:rPr>
      </w:pPr>
      <w:r>
        <w:rPr>
          <w:rFonts w:cs="Open Sans" w:ascii="Open Sans" w:hAnsi="Open Sans"/>
          <w:color w:val="481D32"/>
          <w:sz w:val="36"/>
          <w:szCs w:val="36"/>
        </w:rPr>
      </w:r>
    </w:p>
    <w:p>
      <w:pPr>
        <w:pStyle w:val="Normal"/>
        <w:jc w:val="center"/>
        <w:rPr>
          <w:rFonts w:ascii="Open Sans" w:hAnsi="Open Sans" w:cs="Open Sans"/>
          <w:b/>
          <w:bCs/>
          <w:color w:val="481D32"/>
          <w:sz w:val="36"/>
          <w:szCs w:val="36"/>
        </w:rPr>
      </w:pPr>
      <w:r>
        <w:rPr>
          <w:rFonts w:cs="Open Sans" w:ascii="Open Sans" w:hAnsi="Open Sans"/>
          <w:b/>
          <w:bCs/>
          <w:color w:val="481D32"/>
          <w:sz w:val="36"/>
          <w:szCs w:val="36"/>
        </w:rPr>
        <w:t xml:space="preserve">Submission for the Examination </w:t>
      </w:r>
    </w:p>
    <w:p>
      <w:pPr>
        <w:pStyle w:val="Normal"/>
        <w:jc w:val="center"/>
        <w:rPr>
          <w:rFonts w:ascii="Open Sans" w:hAnsi="Open Sans" w:cs="Open Sans"/>
          <w:b/>
          <w:bCs/>
          <w:color w:val="481D32"/>
          <w:sz w:val="36"/>
          <w:szCs w:val="36"/>
        </w:rPr>
      </w:pPr>
      <w:r>
        <w:rPr>
          <w:rFonts w:cs="Open Sans" w:ascii="Open Sans" w:hAnsi="Open Sans"/>
          <w:b/>
          <w:bCs/>
          <w:color w:val="481D32"/>
          <w:sz w:val="36"/>
          <w:szCs w:val="36"/>
        </w:rPr>
        <w:t>of the UK’s 7</w:t>
      </w:r>
      <w:r>
        <w:rPr>
          <w:rFonts w:cs="Open Sans" w:ascii="Open Sans" w:hAnsi="Open Sans"/>
          <w:b/>
          <w:bCs/>
          <w:color w:val="481D32"/>
          <w:sz w:val="36"/>
          <w:szCs w:val="36"/>
          <w:vertAlign w:val="superscript"/>
        </w:rPr>
        <w:t>th</w:t>
      </w:r>
      <w:r>
        <w:rPr>
          <w:rFonts w:cs="Open Sans" w:ascii="Open Sans" w:hAnsi="Open Sans"/>
          <w:b/>
          <w:bCs/>
          <w:color w:val="481D32"/>
          <w:sz w:val="36"/>
          <w:szCs w:val="36"/>
        </w:rPr>
        <w:t xml:space="preserve"> periodic report to the UN Committee </w:t>
      </w:r>
    </w:p>
    <w:p>
      <w:pPr>
        <w:pStyle w:val="Normal"/>
        <w:spacing w:before="0" w:after="170"/>
        <w:jc w:val="center"/>
        <w:rPr>
          <w:rFonts w:ascii="Open Sans" w:hAnsi="Open Sans" w:cs="Open Sans"/>
          <w:b/>
          <w:bCs/>
          <w:color w:val="481D32"/>
          <w:sz w:val="36"/>
          <w:szCs w:val="36"/>
        </w:rPr>
      </w:pPr>
      <w:r>
        <w:rPr>
          <w:rFonts w:cs="Open Sans" w:ascii="Open Sans" w:hAnsi="Open Sans"/>
          <w:b/>
          <w:bCs/>
          <w:color w:val="481D32"/>
          <w:sz w:val="36"/>
          <w:szCs w:val="36"/>
        </w:rPr>
        <w:t>on Economic, Social and Cultural Rights</w:t>
      </w:r>
    </w:p>
    <w:p>
      <w:pPr>
        <w:pStyle w:val="Normal"/>
        <w:spacing w:before="0" w:after="170"/>
        <w:jc w:val="center"/>
        <w:rPr>
          <w:rFonts w:ascii="Open Sans" w:hAnsi="Open Sans" w:cs="Open Sans"/>
          <w:b/>
          <w:bCs/>
          <w:color w:val="481D32"/>
          <w:sz w:val="36"/>
          <w:szCs w:val="36"/>
        </w:rPr>
      </w:pPr>
      <w:r>
        <w:rPr>
          <w:rFonts w:cs="Open Sans" w:ascii="Open Sans" w:hAnsi="Open Sans"/>
          <w:b/>
          <w:bCs/>
          <w:color w:val="481D32"/>
          <w:sz w:val="36"/>
          <w:szCs w:val="36"/>
        </w:rPr>
        <w:t xml:space="preserve">from </w:t>
      </w:r>
    </w:p>
    <w:p>
      <w:pPr>
        <w:pStyle w:val="Normal"/>
        <w:spacing w:before="0" w:after="397"/>
        <w:jc w:val="center"/>
        <w:rPr>
          <w:rFonts w:ascii="Open Sans" w:hAnsi="Open Sans" w:cs="Open Sans"/>
          <w:b/>
          <w:bCs/>
          <w:color w:val="481D32"/>
          <w:sz w:val="36"/>
          <w:szCs w:val="36"/>
        </w:rPr>
      </w:pPr>
      <w:r>
        <w:rPr>
          <w:rFonts w:cs="Open Sans" w:ascii="Open Sans" w:hAnsi="Open Sans"/>
          <w:b/>
          <w:bCs/>
          <w:color w:val="481D32"/>
          <w:sz w:val="36"/>
          <w:szCs w:val="36"/>
        </w:rPr>
        <w:t>ATD Fourth World</w:t>
      </w:r>
    </w:p>
    <w:p>
      <w:pPr>
        <w:pStyle w:val="Normal"/>
        <w:jc w:val="center"/>
        <w:rPr>
          <w:rFonts w:ascii="Open Sans" w:hAnsi="Open Sans" w:cs="Open Sans"/>
          <w:b/>
          <w:bCs/>
          <w:color w:val="481D32"/>
          <w:sz w:val="36"/>
          <w:szCs w:val="36"/>
        </w:rPr>
      </w:pPr>
      <w:r>
        <w:rPr>
          <w:rFonts w:cs="Open Sans" w:ascii="Open Sans" w:hAnsi="Open Sans"/>
          <w:b/>
          <w:bCs/>
          <w:color w:val="481D32"/>
          <w:sz w:val="36"/>
          <w:szCs w:val="36"/>
        </w:rPr>
        <w:t>The University of Birmingham</w:t>
      </w:r>
    </w:p>
    <w:p>
      <w:pPr>
        <w:pStyle w:val="Normal"/>
        <w:jc w:val="center"/>
        <w:rPr>
          <w:rFonts w:ascii="Open Sans" w:hAnsi="Open Sans" w:cs="Open Sans"/>
          <w:b/>
          <w:bCs/>
          <w:color w:val="481D32"/>
          <w:sz w:val="36"/>
          <w:szCs w:val="36"/>
        </w:rPr>
      </w:pPr>
      <w:r>
        <w:rPr>
          <w:rFonts w:cs="Open Sans" w:ascii="Open Sans" w:hAnsi="Open Sans"/>
          <w:b/>
          <w:bCs/>
          <w:color w:val="481D32"/>
          <w:sz w:val="36"/>
          <w:szCs w:val="36"/>
        </w:rPr>
        <w:t>&amp;</w:t>
      </w:r>
    </w:p>
    <w:p>
      <w:pPr>
        <w:pStyle w:val="Normal"/>
        <w:jc w:val="center"/>
        <w:rPr>
          <w:rFonts w:ascii="Open Sans" w:hAnsi="Open Sans" w:cs="Open Sans"/>
          <w:b/>
          <w:bCs/>
          <w:i/>
          <w:i/>
          <w:iCs/>
          <w:color w:val="481D32"/>
          <w:sz w:val="32"/>
          <w:szCs w:val="32"/>
        </w:rPr>
      </w:pPr>
      <w:r>
        <w:rPr>
          <w:rFonts w:cs="Open Sans" w:ascii="Open Sans" w:hAnsi="Open Sans"/>
          <w:b/>
          <w:bCs/>
          <w:color w:val="481D32"/>
          <w:sz w:val="36"/>
          <w:szCs w:val="36"/>
        </w:rPr>
        <w:t xml:space="preserve">Human Rights Local </w:t>
      </w:r>
    </w:p>
    <w:p>
      <w:pPr>
        <w:pStyle w:val="Normal"/>
        <w:jc w:val="center"/>
        <w:rPr>
          <w:rFonts w:ascii="Open Sans" w:hAnsi="Open Sans" w:cs="Open Sans"/>
          <w:b/>
          <w:bCs/>
          <w:i/>
          <w:i/>
          <w:iCs/>
          <w:color w:val="481D32"/>
          <w:sz w:val="32"/>
          <w:szCs w:val="32"/>
        </w:rPr>
      </w:pPr>
      <w:r>
        <w:rPr>
          <w:rFonts w:cs="Open Sans" w:ascii="Open Sans" w:hAnsi="Open Sans"/>
          <w:b/>
          <w:bCs/>
          <w:i/>
          <w:iCs/>
          <w:color w:val="481D32"/>
          <w:sz w:val="32"/>
          <w:szCs w:val="32"/>
        </w:rPr>
        <w:t>(a project of the Human Rights Centre of the University of Essex)</w:t>
      </w:r>
    </w:p>
    <w:p>
      <w:pPr>
        <w:pStyle w:val="Normal"/>
        <w:ind w:start="754" w:end="0"/>
        <w:rPr>
          <w:rFonts w:ascii="Open Sans" w:hAnsi="Open Sans" w:cs="Open Sans"/>
        </w:rPr>
      </w:pPr>
      <w:r>
        <w:rPr>
          <w:rFonts w:cs="Open Sans" w:ascii="Open Sans" w:hAnsi="Open Sans"/>
        </w:rPr>
        <w:drawing>
          <wp:anchor behindDoc="0" distT="0" distB="0" distL="0" distR="0" simplePos="0" locked="0" layoutInCell="0" allowOverlap="1" relativeHeight="13">
            <wp:simplePos x="0" y="0"/>
            <wp:positionH relativeFrom="column">
              <wp:posOffset>311785</wp:posOffset>
            </wp:positionH>
            <wp:positionV relativeFrom="paragraph">
              <wp:posOffset>153035</wp:posOffset>
            </wp:positionV>
            <wp:extent cx="5947410" cy="3959225"/>
            <wp:effectExtent l="0" t="0" r="0" b="0"/>
            <wp:wrapSquare wrapText="bothSides"/>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3"/>
                    <a:srcRect l="-77" t="-112" r="-77" b="-112"/>
                    <a:stretch>
                      <a:fillRect/>
                    </a:stretch>
                  </pic:blipFill>
                  <pic:spPr bwMode="auto">
                    <a:xfrm>
                      <a:off x="0" y="0"/>
                      <a:ext cx="5947410" cy="3959225"/>
                    </a:xfrm>
                    <a:prstGeom prst="rect">
                      <a:avLst/>
                    </a:prstGeom>
                  </pic:spPr>
                </pic:pic>
              </a:graphicData>
            </a:graphic>
          </wp:anchor>
        </w:drawing>
      </w:r>
      <w:r>
        <w:br w:type="page"/>
      </w:r>
    </w:p>
    <w:p>
      <w:pPr>
        <w:pStyle w:val="Normal"/>
        <w:pBdr>
          <w:top w:val="single" w:sz="2" w:space="1" w:color="650953"/>
          <w:left w:val="single" w:sz="2" w:space="1" w:color="650953"/>
          <w:bottom w:val="single" w:sz="2" w:space="1" w:color="650953"/>
          <w:right w:val="single" w:sz="2" w:space="1" w:color="650953"/>
        </w:pBdr>
        <w:shd w:val="clear" w:fill="E0C2CD"/>
        <w:spacing w:before="0" w:after="170"/>
        <w:jc w:val="center"/>
        <w:rPr>
          <w:rFonts w:ascii="Open Sans" w:hAnsi="Open Sans" w:cs="Open Sans"/>
          <w:b/>
          <w:bCs/>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About Us </w:t>
      </w:r>
    </w:p>
    <w:p>
      <w:pPr>
        <w:pStyle w:val="Normal"/>
        <w:widowControl w:val="false"/>
        <w:numPr>
          <w:ilvl w:val="0"/>
          <w:numId w:val="2"/>
        </w:numPr>
        <w:tabs>
          <w:tab w:val="clear" w:pos="709"/>
          <w:tab w:val="left" w:pos="720" w:leader="none"/>
        </w:tabs>
        <w:spacing w:before="0" w:after="113"/>
        <w:ind w:hanging="360" w:start="360" w:end="0"/>
        <w:jc w:val="both"/>
        <w:rPr>
          <w:rFonts w:ascii="Open Sans" w:hAnsi="Open Sans" w:cs="Open Sans"/>
          <w:sz w:val="20"/>
          <w:szCs w:val="20"/>
        </w:rPr>
      </w:pPr>
      <w:r>
        <w:rPr>
          <w:rFonts w:cs="Open Sans" w:ascii="Open Sans" w:hAnsi="Open Sans"/>
          <w:b/>
          <w:bCs/>
          <w:sz w:val="20"/>
          <w:szCs w:val="20"/>
        </w:rPr>
        <w:t>ATD (All Together in Dignity) Fourth World</w:t>
      </w:r>
      <w:r>
        <w:rPr>
          <w:rFonts w:cs="Open Sans" w:ascii="Open Sans" w:hAnsi="Open Sans"/>
          <w:sz w:val="20"/>
          <w:szCs w:val="20"/>
        </w:rPr>
        <w:t xml:space="preserve"> </w:t>
      </w:r>
      <w:hyperlink r:id="rId4">
        <w:r>
          <w:rPr>
            <w:rStyle w:val="Hyperlink"/>
            <w:rFonts w:cs="Open Sans" w:ascii="Open Sans" w:hAnsi="Open Sans"/>
            <w:sz w:val="20"/>
            <w:szCs w:val="20"/>
          </w:rPr>
          <w:t>https://atd-uk.org/</w:t>
        </w:r>
      </w:hyperlink>
      <w:r>
        <w:rPr>
          <w:rFonts w:cs="Open Sans" w:ascii="Open Sans" w:hAnsi="Open Sans"/>
          <w:sz w:val="20"/>
          <w:szCs w:val="20"/>
        </w:rPr>
        <w:t xml:space="preserve"> is a human rights-based anti-poverty organisation with 60 years of experience tackling inequality and promoting social justice in the UK. Our </w:t>
      </w:r>
      <w:hyperlink r:id="rId5">
        <w:r>
          <w:rPr>
            <w:rStyle w:val="Hyperlink"/>
            <w:rFonts w:cs="Open Sans" w:ascii="Open Sans" w:hAnsi="Open Sans"/>
            <w:b/>
            <w:sz w:val="20"/>
            <w:szCs w:val="20"/>
          </w:rPr>
          <w:t>family support programme</w:t>
        </w:r>
      </w:hyperlink>
      <w:r>
        <w:rPr>
          <w:rFonts w:cs="Open Sans" w:ascii="Open Sans" w:hAnsi="Open Sans"/>
          <w:sz w:val="20"/>
          <w:szCs w:val="20"/>
        </w:rPr>
        <w:t xml:space="preserve"> offers time, space, and resources to vulnerable and excluded families so that they can build upon their strengths, develop their support networks, and access public services in their community. Our </w:t>
      </w:r>
      <w:hyperlink r:id="rId6">
        <w:r>
          <w:rPr>
            <w:rStyle w:val="Hyperlink"/>
            <w:rFonts w:cs="Open Sans" w:ascii="Open Sans" w:hAnsi="Open Sans"/>
            <w:sz w:val="20"/>
            <w:szCs w:val="20"/>
          </w:rPr>
          <w:t>“</w:t>
        </w:r>
        <w:r>
          <w:rPr>
            <w:rStyle w:val="Hyperlink"/>
            <w:rFonts w:cs="Open Sans" w:ascii="Open Sans" w:hAnsi="Open Sans"/>
            <w:b/>
            <w:sz w:val="20"/>
            <w:szCs w:val="20"/>
          </w:rPr>
          <w:t>Giving Poverty a Voice” programme</w:t>
        </w:r>
      </w:hyperlink>
      <w:r>
        <w:rPr>
          <w:rFonts w:cs="Open Sans" w:ascii="Open Sans" w:hAnsi="Open Sans"/>
          <w:sz w:val="20"/>
          <w:szCs w:val="20"/>
        </w:rPr>
        <w:t xml:space="preserve"> empowers people in poverty to express their views and offer solutions to the problems affecting their lives, while offering policy makers an invaluable insight into overcoming poverty from the bottom up. The UK Equality and Human Rights Commission has awarded a travel grant to ATD to participate in the UK’s 7th periodic ICESCR review. In addition to writing this submission, we have contributed to two group submissions, one by </w:t>
      </w:r>
      <w:hyperlink r:id="rId7">
        <w:r>
          <w:rPr>
            <w:rStyle w:val="Hyperlink"/>
            <w:rFonts w:cs="Open Sans" w:ascii="Open Sans" w:hAnsi="Open Sans"/>
            <w:sz w:val="20"/>
            <w:szCs w:val="20"/>
          </w:rPr>
          <w:t>GRIPP</w:t>
        </w:r>
      </w:hyperlink>
      <w:r>
        <w:rPr>
          <w:rFonts w:cs="Open Sans" w:ascii="Open Sans" w:hAnsi="Open Sans"/>
          <w:sz w:val="20"/>
          <w:szCs w:val="20"/>
        </w:rPr>
        <w:t xml:space="preserve"> and one by the </w:t>
      </w:r>
      <w:hyperlink r:id="rId8">
        <w:r>
          <w:rPr>
            <w:rStyle w:val="Hyperlink"/>
            <w:rFonts w:cs="Open Sans" w:ascii="Open Sans" w:hAnsi="Open Sans"/>
            <w:sz w:val="20"/>
            <w:szCs w:val="20"/>
          </w:rPr>
          <w:t>End Child Poverty Coalition</w:t>
        </w:r>
      </w:hyperlink>
      <w:r>
        <w:rPr>
          <w:rFonts w:cs="Open Sans" w:ascii="Open Sans" w:hAnsi="Open Sans"/>
          <w:sz w:val="20"/>
          <w:szCs w:val="20"/>
        </w:rPr>
        <w:t xml:space="preserve">. </w:t>
      </w:r>
    </w:p>
    <w:p>
      <w:pPr>
        <w:pStyle w:val="Normal"/>
        <w:widowControl w:val="false"/>
        <w:numPr>
          <w:ilvl w:val="0"/>
          <w:numId w:val="2"/>
        </w:numPr>
        <w:tabs>
          <w:tab w:val="clear" w:pos="709"/>
          <w:tab w:val="left" w:pos="720" w:leader="none"/>
        </w:tabs>
        <w:spacing w:before="0" w:after="113"/>
        <w:ind w:hanging="360" w:start="360" w:end="0"/>
        <w:jc w:val="both"/>
        <w:rPr>
          <w:rFonts w:ascii="Open Sans" w:hAnsi="Open Sans" w:cs="Open Sans"/>
          <w:b/>
          <w:bCs/>
          <w:sz w:val="20"/>
          <w:szCs w:val="20"/>
        </w:rPr>
      </w:pPr>
      <w:r>
        <w:rPr>
          <w:rFonts w:cs="Open Sans" w:ascii="Open Sans" w:hAnsi="Open Sans"/>
          <w:sz w:val="20"/>
          <w:szCs w:val="20"/>
        </w:rPr>
        <w:t xml:space="preserve">On behalf of the </w:t>
      </w:r>
      <w:r>
        <w:rPr>
          <w:rFonts w:cs="Open Sans" w:ascii="Open Sans" w:hAnsi="Open Sans"/>
          <w:b/>
          <w:bCs/>
          <w:sz w:val="20"/>
          <w:szCs w:val="20"/>
        </w:rPr>
        <w:t xml:space="preserve">University of Birmingham, </w:t>
      </w:r>
      <w:r>
        <w:rPr>
          <w:rFonts w:cs="Open Sans" w:ascii="Open Sans" w:hAnsi="Open Sans"/>
          <w:sz w:val="20"/>
          <w:szCs w:val="20"/>
        </w:rPr>
        <w:t>Dr Simon Haworth is an academic who teaches and sees social work as a value-based activity focussed on challenging oppressions and genuinely promoting social justice. Simon Haworth is also involved with ATD Fourth World, the Children and Families Truth Commission (</w:t>
      </w:r>
      <w:hyperlink r:id="rId9">
        <w:r>
          <w:rPr>
            <w:rStyle w:val="Hyperlink"/>
            <w:rFonts w:cs="Open Sans" w:ascii="Open Sans" w:hAnsi="Open Sans"/>
            <w:sz w:val="20"/>
            <w:szCs w:val="20"/>
            <w:lang w:val="en-GB" w:bidi="hi-IN"/>
          </w:rPr>
          <w:t>https://childrenfamiliestruth.com/</w:t>
        </w:r>
      </w:hyperlink>
      <w:r>
        <w:rPr>
          <w:rFonts w:cs="Open Sans" w:ascii="Open Sans" w:hAnsi="Open Sans"/>
          <w:sz w:val="20"/>
          <w:szCs w:val="20"/>
        </w:rPr>
        <w:t>) and the Parents, Families and Allies Network (</w:t>
      </w:r>
      <w:hyperlink r:id="rId10">
        <w:r>
          <w:rPr>
            <w:rStyle w:val="Hyperlink"/>
            <w:rFonts w:cs="Open Sans" w:ascii="Open Sans" w:hAnsi="Open Sans"/>
            <w:sz w:val="20"/>
            <w:szCs w:val="20"/>
            <w:lang w:val="en-GB" w:bidi="hi-IN"/>
          </w:rPr>
          <w:t>PFAN – Parent, Family and Allies Network</w:t>
        </w:r>
      </w:hyperlink>
      <w:r>
        <w:rPr>
          <w:rFonts w:cs="Open Sans" w:ascii="Open Sans" w:hAnsi="Open Sans"/>
          <w:sz w:val="20"/>
          <w:szCs w:val="20"/>
        </w:rPr>
        <w:t>).</w:t>
      </w:r>
    </w:p>
    <w:p>
      <w:pPr>
        <w:pStyle w:val="Normal"/>
        <w:widowControl w:val="false"/>
        <w:numPr>
          <w:ilvl w:val="0"/>
          <w:numId w:val="2"/>
        </w:numPr>
        <w:tabs>
          <w:tab w:val="clear" w:pos="709"/>
          <w:tab w:val="left" w:pos="720" w:leader="none"/>
        </w:tabs>
        <w:spacing w:before="0" w:after="113"/>
        <w:ind w:hanging="360" w:start="360" w:end="0"/>
        <w:jc w:val="both"/>
        <w:rPr>
          <w:rFonts w:ascii="Open Sans" w:hAnsi="Open Sans" w:cs="Open Sans"/>
          <w:b/>
          <w:bCs/>
          <w:color w:val="650953"/>
          <w:sz w:val="20"/>
          <w:szCs w:val="20"/>
        </w:rPr>
      </w:pPr>
      <w:r>
        <w:rPr>
          <w:rFonts w:cs="Open Sans" w:ascii="Open Sans" w:hAnsi="Open Sans"/>
          <w:b/>
          <w:bCs/>
          <w:sz w:val="20"/>
          <w:szCs w:val="20"/>
        </w:rPr>
        <w:t>Human Rights Local</w:t>
      </w:r>
      <w:r>
        <w:rPr>
          <w:rFonts w:cs="Open Sans" w:ascii="Open Sans" w:hAnsi="Open Sans"/>
          <w:sz w:val="20"/>
          <w:szCs w:val="20"/>
        </w:rPr>
        <w:t xml:space="preserve"> is a project of the Human Rights Centre of the University of Essex to identify opportunities to make human rights locally relevant. Human Rights Local shows that human rights are closely linked to everyday life by establishing effective relationships with local and community groups, bringing human rights closer to the ground and adapting international standards and principles to the local context. For more information, visit: </w:t>
      </w:r>
      <w:hyperlink r:id="rId11">
        <w:r>
          <w:rPr>
            <w:rStyle w:val="Hyperlink"/>
            <w:rFonts w:cs="Open Sans" w:ascii="Open Sans" w:hAnsi="Open Sans"/>
            <w:sz w:val="20"/>
            <w:szCs w:val="20"/>
            <w:lang w:val="en-GB" w:bidi="hi-IN"/>
          </w:rPr>
          <w:t>https://www.essex.ac.uk/reasearch-projects/human-rights-local</w:t>
        </w:r>
      </w:hyperlink>
      <w:r>
        <w:rPr>
          <w:rFonts w:cs="Open Sans" w:ascii="Open Sans" w:hAnsi="Open Sans"/>
          <w:sz w:val="20"/>
          <w:szCs w:val="20"/>
        </w:rPr>
        <w:t xml:space="preserve"> Project Lead: Dr Koldo Casla. Research Officer: Lyle Barker.</w:t>
      </w:r>
    </w:p>
    <w:p>
      <w:pPr>
        <w:pStyle w:val="Normal"/>
        <w:ind w:start="720" w:end="0"/>
        <w:rPr>
          <w:rFonts w:ascii="Open Sans" w:hAnsi="Open Sans" w:cs="Open Sans"/>
          <w:b/>
          <w:bCs/>
          <w:color w:val="650953"/>
          <w:sz w:val="20"/>
          <w:szCs w:val="20"/>
        </w:rPr>
      </w:pPr>
      <w:r>
        <w:rPr>
          <w:rFonts w:cs="Open Sans" w:ascii="Open Sans" w:hAnsi="Open Sans"/>
          <w:b/>
          <w:bCs/>
          <w:color w:val="650953"/>
          <w:sz w:val="20"/>
          <w:szCs w:val="20"/>
        </w:rPr>
      </w:r>
    </w:p>
    <w:p>
      <w:pPr>
        <w:pStyle w:val="Normal"/>
        <w:pBdr>
          <w:top w:val="single" w:sz="2" w:space="1" w:color="650953"/>
          <w:left w:val="single" w:sz="2" w:space="1" w:color="650953"/>
          <w:bottom w:val="single" w:sz="2" w:space="1" w:color="650953"/>
          <w:right w:val="single" w:sz="2" w:space="1" w:color="650953"/>
        </w:pBdr>
        <w:shd w:val="clear" w:fill="E0C2CD"/>
        <w:spacing w:before="0" w:after="170"/>
        <w:jc w:val="center"/>
        <w:rPr>
          <w:rFonts w:ascii="Open Sans" w:hAnsi="Open Sans" w:cs="Open Sans"/>
          <w:color w:val="000000"/>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Overview and recommendations </w:t>
      </w:r>
    </w:p>
    <w:p>
      <w:pPr>
        <w:pStyle w:val="Normal"/>
        <w:numPr>
          <w:ilvl w:val="0"/>
          <w:numId w:val="2"/>
        </w:numPr>
        <w:spacing w:before="0" w:after="170"/>
        <w:ind w:hanging="360" w:start="360" w:end="0"/>
        <w:jc w:val="both"/>
        <w:rPr>
          <w:rFonts w:ascii="Open Sans" w:hAnsi="Open Sans" w:cs="Open Sans"/>
          <w:b/>
          <w:bCs/>
          <w:color w:val="000000"/>
          <w:sz w:val="20"/>
          <w:szCs w:val="20"/>
        </w:rPr>
      </w:pPr>
      <w:r>
        <w:rPr>
          <w:rFonts w:cs="Open Sans" w:ascii="Open Sans" w:hAnsi="Open Sans"/>
          <w:color w:val="000000"/>
          <w:sz w:val="20"/>
          <w:szCs w:val="20"/>
        </w:rPr>
        <w:t>Poverty shipwrecks loving families, stranding parents and children apart from one another and causing lifelong damage in their lives. Vulnerable families in poverty in the UK can often be subjected by children’s social care to harsh interventions that are discriminatory and driven by a concept of risk-aversion that is inconsistent and fails to fully consider the harm done by removing children into state care or contested closed adoptions that permanently sever relationship among siblings and with the entire extended family. These issues will be discussed in depth in the main body of our report, below.</w:t>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b/>
          <w:bCs/>
          <w:color w:val="000000"/>
          <w:sz w:val="20"/>
          <w:szCs w:val="20"/>
        </w:rPr>
        <w:t>Families deserve support</w:t>
      </w:r>
      <w:r>
        <w:rPr>
          <w:rFonts w:cs="Open Sans" w:ascii="Open Sans" w:hAnsi="Open Sans"/>
          <w:color w:val="000000"/>
          <w:sz w:val="20"/>
          <w:szCs w:val="20"/>
        </w:rPr>
        <w:t>: In its Concluding observations of the 6</w:t>
      </w:r>
      <w:r>
        <w:rPr>
          <w:rFonts w:cs="Open Sans" w:ascii="Open Sans" w:hAnsi="Open Sans"/>
          <w:color w:val="000000"/>
          <w:sz w:val="20"/>
          <w:szCs w:val="20"/>
          <w:vertAlign w:val="superscript"/>
        </w:rPr>
        <w:t>th</w:t>
      </w:r>
      <w:r>
        <w:rPr>
          <w:rFonts w:cs="Open Sans" w:ascii="Open Sans" w:hAnsi="Open Sans"/>
          <w:color w:val="000000"/>
          <w:sz w:val="20"/>
          <w:szCs w:val="20"/>
        </w:rPr>
        <w:t xml:space="preserve"> periodic report, CESCR recommended that the United Kingdom “introduce measures to guarantee targeted support to all those living in poverty or at risk of poverty, in particular [...] families with children”.</w:t>
      </w:r>
      <w:r>
        <w:rPr>
          <w:rStyle w:val="EndnoteReference"/>
          <w:rFonts w:cs="Open Sans" w:ascii="Open Sans" w:hAnsi="Open Sans"/>
          <w:color w:val="000000"/>
          <w:sz w:val="20"/>
          <w:szCs w:val="20"/>
        </w:rPr>
        <w:endnoteReference w:id="2"/>
      </w:r>
      <w:r>
        <w:rPr>
          <w:rFonts w:cs="Open Sans" w:ascii="Open Sans" w:hAnsi="Open Sans"/>
          <w:color w:val="000000"/>
          <w:sz w:val="20"/>
          <w:szCs w:val="20"/>
        </w:rPr>
        <w:t xml:space="preserve"> This bears reiterating; but in addition we are asking CESCR to go further. Policies such as the Children and Social Work Act 2017, the Statutory guidance on </w:t>
      </w:r>
      <w:r>
        <w:rPr>
          <w:rFonts w:cs="Open Sans" w:ascii="Open Sans" w:hAnsi="Open Sans"/>
          <w:sz w:val="20"/>
          <w:szCs w:val="20"/>
        </w:rPr>
        <w:t>Working together to safeguard children 2015, and the</w:t>
      </w:r>
      <w:r>
        <w:rPr>
          <w:rFonts w:cs="Open Sans" w:ascii="Open Sans" w:hAnsi="Open Sans"/>
          <w:color w:val="000000"/>
          <w:sz w:val="20"/>
          <w:szCs w:val="20"/>
        </w:rPr>
        <w:t xml:space="preserve"> Children's Well-being and Schools Bill currently before Parliament should be amended in order to:</w:t>
      </w:r>
    </w:p>
    <w:p>
      <w:pPr>
        <w:pStyle w:val="Normal"/>
        <w:numPr>
          <w:ilvl w:val="0"/>
          <w:numId w:val="5"/>
        </w:numPr>
        <w:spacing w:before="0" w:after="170"/>
        <w:jc w:val="both"/>
        <w:rPr>
          <w:rFonts w:ascii="Open Sans" w:hAnsi="Open Sans" w:cs="Open Sans"/>
          <w:color w:val="000000"/>
          <w:sz w:val="20"/>
          <w:szCs w:val="20"/>
        </w:rPr>
      </w:pPr>
      <w:r>
        <w:rPr>
          <w:rFonts w:cs="Open Sans" w:ascii="Open Sans" w:hAnsi="Open Sans"/>
          <w:color w:val="000000"/>
          <w:sz w:val="20"/>
          <w:szCs w:val="20"/>
        </w:rPr>
        <w:t xml:space="preserve">Move away from the current aim of negating risk to children, and viewing this aim as separate to family support. Instead, policies should refocus on </w:t>
      </w:r>
      <w:r>
        <w:rPr>
          <w:rFonts w:cs="Open Sans" w:ascii="Open Sans" w:hAnsi="Open Sans"/>
          <w:b/>
          <w:bCs/>
          <w:color w:val="000000"/>
          <w:sz w:val="20"/>
          <w:szCs w:val="20"/>
        </w:rPr>
        <w:t>meeting the needs of families</w:t>
      </w:r>
      <w:r>
        <w:rPr>
          <w:rFonts w:cs="Open Sans" w:ascii="Open Sans" w:hAnsi="Open Sans"/>
          <w:color w:val="000000"/>
          <w:sz w:val="20"/>
          <w:szCs w:val="20"/>
        </w:rPr>
        <w:t xml:space="preserve"> so that parents can provide for their own children. This means offering access to the material and social resources needed to function and thrive, rather than breaking families apart. Specifically, a legal duty should be placed on local authorities to provide timely and accurate needs-based assessments and support within a human rights framework when families reach out for help. Shifting child welfare policy and practice towards working with families to identify and meet their needs is crucial in improving outcomes. </w:t>
      </w:r>
    </w:p>
    <w:p>
      <w:pPr>
        <w:pStyle w:val="Normal"/>
        <w:numPr>
          <w:ilvl w:val="0"/>
          <w:numId w:val="5"/>
        </w:numPr>
        <w:spacing w:before="0" w:after="170"/>
        <w:jc w:val="both"/>
        <w:rPr>
          <w:rFonts w:ascii="Open Sans" w:hAnsi="Open Sans" w:cs="Open Sans"/>
          <w:color w:val="000000"/>
          <w:sz w:val="20"/>
          <w:szCs w:val="20"/>
        </w:rPr>
      </w:pPr>
      <w:r>
        <w:rPr>
          <w:rFonts w:cs="Open Sans" w:ascii="Open Sans" w:hAnsi="Open Sans"/>
          <w:color w:val="000000"/>
          <w:sz w:val="20"/>
          <w:szCs w:val="20"/>
        </w:rPr>
        <w:t xml:space="preserve">Ensure that social care professionals stop discounting families in poverty in order to support these families’ own aspirations and to have greater aspirations for them. Child protection social work should be reformed through </w:t>
      </w:r>
      <w:r>
        <w:rPr>
          <w:rFonts w:cs="Open Sans" w:ascii="Open Sans" w:hAnsi="Open Sans"/>
          <w:b/>
          <w:bCs/>
          <w:color w:val="000000"/>
          <w:sz w:val="20"/>
          <w:szCs w:val="20"/>
        </w:rPr>
        <w:t>the development of a 'community workers' profession focussed on family life</w:t>
      </w:r>
      <w:r>
        <w:rPr>
          <w:rFonts w:cs="Open Sans" w:ascii="Open Sans" w:hAnsi="Open Sans"/>
          <w:color w:val="000000"/>
          <w:sz w:val="20"/>
          <w:szCs w:val="20"/>
        </w:rPr>
        <w:t xml:space="preserve"> within its wider settings, including the community. This would support both families’ and communities’ agency and resources and would recognise children as members of extended families and communities.</w:t>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color w:val="000000"/>
          <w:sz w:val="20"/>
          <w:szCs w:val="20"/>
        </w:rPr>
        <w:t>The UK Government should</w:t>
      </w:r>
      <w:r>
        <w:rPr>
          <w:rFonts w:cs="Open Sans" w:ascii="Open Sans" w:hAnsi="Open Sans"/>
          <w:sz w:val="20"/>
          <w:szCs w:val="20"/>
        </w:rPr>
        <w:t xml:space="preserve"> </w:t>
      </w:r>
      <w:r>
        <w:rPr>
          <w:rFonts w:cs="Open Sans" w:ascii="Open Sans" w:hAnsi="Open Sans"/>
          <w:b/>
          <w:bCs/>
          <w:sz w:val="20"/>
          <w:szCs w:val="20"/>
        </w:rPr>
        <w:t>link anti-poverty policies with child welfare policies</w:t>
      </w:r>
      <w:r>
        <w:rPr>
          <w:rFonts w:cs="Open Sans" w:ascii="Open Sans" w:hAnsi="Open Sans"/>
          <w:sz w:val="20"/>
          <w:szCs w:val="20"/>
        </w:rPr>
        <w:t xml:space="preserve"> because child poverty is never “fixed” by plucking children out of their homes. This should begin with the statutory guidance for the socio-economic duty to be commenced by the Government. The guidance should prescribe anti-poverty practice training to be delivered by people with lived experience of poverty for children’s hearing panels, police, the National Health Service, school/education staff, social work staff, and all supporting services that make referrals to social work. </w:t>
      </w:r>
    </w:p>
    <w:p>
      <w:pPr>
        <w:pStyle w:val="Normal"/>
        <w:numPr>
          <w:ilvl w:val="0"/>
          <w:numId w:val="2"/>
        </w:numPr>
        <w:spacing w:before="0" w:after="170"/>
        <w:ind w:hanging="360" w:start="360" w:end="0"/>
        <w:jc w:val="both"/>
        <w:rPr>
          <w:rFonts w:ascii="Open Sans" w:hAnsi="Open Sans" w:cs="Open Sans"/>
          <w:b/>
          <w:bCs/>
          <w:color w:val="000000"/>
          <w:sz w:val="20"/>
          <w:szCs w:val="20"/>
        </w:rPr>
      </w:pPr>
      <w:r>
        <w:rPr>
          <w:rFonts w:cs="Open Sans" w:ascii="Open Sans" w:hAnsi="Open Sans"/>
          <w:sz w:val="20"/>
          <w:szCs w:val="20"/>
        </w:rPr>
        <w:t>To prevent and eradicate cultures of risk-aversion, the UK Government should reform the legislation of its child protection system to ensure that:</w:t>
      </w:r>
    </w:p>
    <w:p>
      <w:pPr>
        <w:pStyle w:val="Normal"/>
        <w:numPr>
          <w:ilvl w:val="0"/>
          <w:numId w:val="5"/>
        </w:numPr>
        <w:spacing w:before="0" w:after="170"/>
        <w:jc w:val="both"/>
        <w:rPr>
          <w:rStyle w:val="EndnoteReference2"/>
          <w:rFonts w:ascii="Open Sans" w:hAnsi="Open Sans" w:cs="Open Sans"/>
          <w:color w:val="000000"/>
          <w:position w:val="0"/>
          <w:sz w:val="20"/>
          <w:sz w:val="20"/>
          <w:szCs w:val="20"/>
          <w:vertAlign w:val="baseline"/>
        </w:rPr>
      </w:pPr>
      <w:r>
        <w:rPr>
          <w:rFonts w:cs="Open Sans" w:ascii="Open Sans" w:hAnsi="Open Sans"/>
          <w:b/>
          <w:bCs/>
          <w:color w:val="000000"/>
          <w:sz w:val="20"/>
          <w:szCs w:val="20"/>
        </w:rPr>
        <w:t>Kinship care</w:t>
      </w:r>
      <w:r>
        <w:rPr>
          <w:rFonts w:cs="Open Sans" w:ascii="Open Sans" w:hAnsi="Open Sans"/>
          <w:color w:val="000000"/>
          <w:sz w:val="20"/>
          <w:szCs w:val="20"/>
        </w:rPr>
        <w:t xml:space="preserve">, unless contrary to the best interests of the child, is pursued at all available opportunities and those wishing to undertake this model of care are adequately supported. </w:t>
      </w:r>
    </w:p>
    <w:p>
      <w:pPr>
        <w:pStyle w:val="Normal"/>
        <w:numPr>
          <w:ilvl w:val="0"/>
          <w:numId w:val="5"/>
        </w:numPr>
        <w:spacing w:before="0" w:after="170"/>
        <w:jc w:val="both"/>
        <w:rPr>
          <w:rFonts w:ascii="Open Sans" w:hAnsi="Open Sans" w:cs="Open Sans"/>
          <w:color w:val="000000"/>
          <w:sz w:val="20"/>
          <w:szCs w:val="20"/>
        </w:rPr>
      </w:pPr>
      <w:r>
        <w:rPr>
          <w:rStyle w:val="EndnoteReference2"/>
          <w:rFonts w:cs="Open Sans" w:ascii="Open Sans" w:hAnsi="Open Sans"/>
          <w:color w:val="000000"/>
          <w:position w:val="0"/>
          <w:sz w:val="20"/>
          <w:sz w:val="20"/>
          <w:szCs w:val="20"/>
          <w:vertAlign w:val="baseline"/>
        </w:rPr>
        <w:t xml:space="preserve">Adoptions should no longer be forced when parents contest them, and in all cases, </w:t>
      </w:r>
      <w:r>
        <w:rPr>
          <w:rStyle w:val="EndnoteReference2"/>
          <w:rFonts w:cs="Open Sans" w:ascii="Open Sans" w:hAnsi="Open Sans"/>
          <w:b/>
          <w:bCs/>
          <w:color w:val="000000"/>
          <w:position w:val="0"/>
          <w:sz w:val="20"/>
          <w:sz w:val="20"/>
          <w:szCs w:val="20"/>
          <w:vertAlign w:val="baseline"/>
        </w:rPr>
        <w:t>closed adoptions should be ended</w:t>
      </w:r>
      <w:r>
        <w:rPr>
          <w:rStyle w:val="EndnoteReference2"/>
          <w:rFonts w:cs="Open Sans" w:ascii="Open Sans" w:hAnsi="Open Sans"/>
          <w:color w:val="000000"/>
          <w:position w:val="0"/>
          <w:sz w:val="20"/>
          <w:sz w:val="20"/>
          <w:szCs w:val="20"/>
          <w:vertAlign w:val="baseline"/>
        </w:rPr>
        <w:t xml:space="preserve">, as </w:t>
      </w:r>
      <w:r>
        <w:rPr>
          <w:rStyle w:val="Hyperlink"/>
          <w:rFonts w:cs="Open Sans" w:ascii="Open Sans" w:hAnsi="Open Sans"/>
          <w:sz w:val="20"/>
          <w:szCs w:val="20"/>
        </w:rPr>
        <w:t>recommended by the President of the Family Division</w:t>
      </w:r>
      <w:r>
        <w:rPr>
          <w:rStyle w:val="EndnoteReference2"/>
          <w:rFonts w:cs="Open Sans" w:ascii="Open Sans" w:hAnsi="Open Sans"/>
          <w:color w:val="000000"/>
          <w:sz w:val="20"/>
          <w:szCs w:val="20"/>
        </w:rPr>
        <w:t xml:space="preserve"> </w:t>
      </w:r>
      <w:r>
        <w:rPr>
          <w:rStyle w:val="EndnoteReference2"/>
          <w:rFonts w:cs="Open Sans" w:ascii="Open Sans" w:hAnsi="Open Sans"/>
          <w:color w:val="000000"/>
          <w:position w:val="0"/>
          <w:sz w:val="20"/>
          <w:sz w:val="20"/>
          <w:szCs w:val="20"/>
          <w:vertAlign w:val="baseline"/>
        </w:rPr>
        <w:t>of the Courts and Tribunals Judiciary, Sir Andrew McFarlane.</w:t>
      </w:r>
      <w:r>
        <w:rPr>
          <w:rStyle w:val="EndnoteReference"/>
          <w:rFonts w:cs="Open Sans" w:ascii="Open Sans" w:hAnsi="Open Sans"/>
          <w:color w:val="000000"/>
          <w:sz w:val="20"/>
          <w:szCs w:val="20"/>
        </w:rPr>
        <w:endnoteReference w:id="3"/>
      </w:r>
      <w:r>
        <w:rPr>
          <w:rStyle w:val="EndnoteReference2"/>
          <w:rFonts w:cs="Open Sans" w:ascii="Open Sans" w:hAnsi="Open Sans"/>
          <w:color w:val="000000"/>
          <w:position w:val="0"/>
          <w:sz w:val="20"/>
          <w:sz w:val="20"/>
          <w:szCs w:val="20"/>
          <w:vertAlign w:val="baseline"/>
        </w:rPr>
        <w:t xml:space="preserve"> Legislation must be amended to make open and voluntary adoption a legal presumption unless there is clear evidence that it would be an unsafe option.</w:t>
      </w:r>
    </w:p>
    <w:p>
      <w:pPr>
        <w:pStyle w:val="Normal"/>
        <w:numPr>
          <w:ilvl w:val="0"/>
          <w:numId w:val="2"/>
        </w:numPr>
        <w:spacing w:before="0" w:after="170"/>
        <w:ind w:hanging="360" w:start="360" w:end="0"/>
        <w:jc w:val="both"/>
        <w:rPr>
          <w:rFonts w:ascii="Open Sans" w:hAnsi="Open Sans" w:cs="Open Sans"/>
          <w:b/>
          <w:bCs/>
          <w:sz w:val="20"/>
          <w:szCs w:val="20"/>
        </w:rPr>
      </w:pPr>
      <w:r>
        <w:rPr>
          <w:rFonts w:cs="Open Sans" w:ascii="Open Sans" w:hAnsi="Open Sans"/>
          <w:color w:val="000000"/>
          <w:sz w:val="20"/>
          <w:szCs w:val="20"/>
        </w:rPr>
        <w:t xml:space="preserve">Government services like children’s social care must be directly accountable to families themselves. This means restructuring support for families towards community-based solutions such as </w:t>
      </w:r>
      <w:r>
        <w:rPr>
          <w:rFonts w:cs="Open Sans" w:ascii="Open Sans" w:hAnsi="Open Sans"/>
          <w:b/>
          <w:bCs/>
          <w:color w:val="000000"/>
          <w:sz w:val="20"/>
          <w:szCs w:val="20"/>
        </w:rPr>
        <w:t xml:space="preserve">Family Group Conferences, </w:t>
      </w:r>
      <w:r>
        <w:rPr>
          <w:rFonts w:cs="Open Sans" w:ascii="Open Sans" w:hAnsi="Open Sans"/>
          <w:color w:val="000000"/>
          <w:sz w:val="20"/>
          <w:szCs w:val="20"/>
        </w:rPr>
        <w:t>which have shown very positive results: “Over 2000 children per year could avoid going into care and instead safely remain with their families if FGCs are rolled out across England.”</w:t>
      </w:r>
      <w:r>
        <w:rPr>
          <w:rStyle w:val="EndnoteReference"/>
          <w:rFonts w:cs="Open Sans" w:ascii="Open Sans" w:hAnsi="Open Sans"/>
          <w:sz w:val="20"/>
          <w:szCs w:val="20"/>
        </w:rPr>
        <w:endnoteReference w:id="4"/>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b/>
          <w:bCs/>
          <w:sz w:val="20"/>
          <w:szCs w:val="20"/>
        </w:rPr>
        <w:t>Financial reform</w:t>
      </w:r>
      <w:r>
        <w:rPr>
          <w:rFonts w:cs="Open Sans" w:ascii="Open Sans" w:hAnsi="Open Sans"/>
          <w:sz w:val="20"/>
          <w:szCs w:val="20"/>
        </w:rPr>
        <w:t xml:space="preserve"> is crucial: Currently, large for-profit organisations are being commissioned within children’s social care for a range of services. Tens of thousands of pounds are seeping out of the system to these for-profit providers while economically disadvantaged families are not being supported with basics and told by children’s social care that they can’t be provided with something as basic as a fridge, a decent mattress, or other white goods. While it might not work for all families’ problems, simple solutions costing only a few hundred pounds a month have been shown to have a huge and positive impact. The NSPCC cites the positive financial impact in </w:t>
      </w:r>
      <w:r>
        <w:rPr>
          <w:rStyle w:val="Hyperlink"/>
          <w:rFonts w:cs="Open Sans" w:ascii="Open Sans" w:hAnsi="Open Sans"/>
          <w:color w:val="000000"/>
          <w:sz w:val="20"/>
          <w:szCs w:val="20"/>
          <w:u w:val="none"/>
        </w:rPr>
        <w:t>its call for the UK government</w:t>
      </w:r>
      <w:r>
        <w:rPr>
          <w:rFonts w:cs="Open Sans" w:ascii="Open Sans" w:hAnsi="Open Sans"/>
          <w:sz w:val="20"/>
          <w:szCs w:val="20"/>
        </w:rPr>
        <w:t xml:space="preserve"> to invest in improved longer-term support services to help families reunite and stay together when it is safe to do so.</w:t>
      </w:r>
      <w:r>
        <w:rPr>
          <w:rStyle w:val="EndnoteReference"/>
          <w:rFonts w:cs="Open Sans" w:ascii="Open Sans" w:hAnsi="Open Sans"/>
          <w:sz w:val="20"/>
          <w:szCs w:val="20"/>
        </w:rPr>
        <w:endnoteReference w:id="5"/>
      </w:r>
      <w:r>
        <w:rPr>
          <w:rFonts w:cs="Open Sans" w:ascii="Open Sans" w:hAnsi="Open Sans"/>
          <w:color w:val="000000"/>
          <w:sz w:val="20"/>
          <w:szCs w:val="20"/>
        </w:rPr>
        <w:t xml:space="preserve"> The government should mandate that local authorities must divert funds away from late interventions (such as court applications, foster care, and residential care) to instead invest a significant proportion of their budget towards collaborative early support for families of children in need before crises arise.</w:t>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color w:val="000000"/>
          <w:sz w:val="20"/>
          <w:szCs w:val="20"/>
        </w:rPr>
        <w:t xml:space="preserve">Local authorities should ensure that </w:t>
      </w:r>
      <w:r>
        <w:rPr>
          <w:rFonts w:cs="Open Sans" w:ascii="Open Sans" w:hAnsi="Open Sans"/>
          <w:b/>
          <w:bCs/>
          <w:color w:val="000000"/>
          <w:sz w:val="20"/>
          <w:szCs w:val="20"/>
        </w:rPr>
        <w:t xml:space="preserve">parent-to-parent advocacy schemes </w:t>
      </w:r>
      <w:r>
        <w:rPr>
          <w:rFonts w:cs="Open Sans" w:ascii="Open Sans" w:hAnsi="Open Sans"/>
          <w:color w:val="000000"/>
          <w:sz w:val="20"/>
          <w:szCs w:val="20"/>
        </w:rPr>
        <w:t>provided by people with lived experience of children’s social care and of poverty are in place in their social work departments to deter cultures of risk-aversion and povertyism.</w:t>
      </w:r>
      <w:r>
        <w:rPr>
          <w:rFonts w:cs="Open Sans" w:ascii="Open Sans" w:hAnsi="Open Sans"/>
          <w:b/>
          <w:bCs/>
          <w:color w:val="000000"/>
          <w:sz w:val="20"/>
          <w:szCs w:val="20"/>
        </w:rPr>
        <w:t xml:space="preserve"> </w:t>
      </w:r>
      <w:r>
        <w:rPr>
          <w:rFonts w:cs="Open Sans" w:ascii="Open Sans" w:hAnsi="Open Sans"/>
          <w:color w:val="000000"/>
          <w:sz w:val="20"/>
          <w:szCs w:val="20"/>
        </w:rPr>
        <w:t>The UK Government should promote these schemes locally and monitor local authorities to ensure that such schemes are in place</w:t>
      </w:r>
      <w:r>
        <w:rPr>
          <w:rFonts w:cs="Open Sans" w:ascii="Open Sans" w:hAnsi="Open Sans"/>
          <w:sz w:val="20"/>
          <w:szCs w:val="20"/>
        </w:rPr>
        <w:t xml:space="preserve"> from the first point of contact with families right through to closure of their case.</w:t>
      </w:r>
      <w:r>
        <w:rPr>
          <w:rStyle w:val="EndnoteReference"/>
          <w:rFonts w:cs="Open Sans" w:ascii="Open Sans" w:hAnsi="Open Sans"/>
          <w:sz w:val="20"/>
          <w:szCs w:val="20"/>
        </w:rPr>
        <w:endnoteReference w:id="6"/>
      </w:r>
      <w:r>
        <w:rPr>
          <w:rStyle w:val="EndnoteReference2"/>
          <w:rFonts w:cs="Open Sans" w:ascii="Open Sans" w:hAnsi="Open Sans"/>
        </w:rPr>
        <w:t xml:space="preserve">  </w:t>
      </w:r>
      <w:r>
        <w:rPr>
          <w:rStyle w:val="EndnoteReference2"/>
          <w:rFonts w:cs="Open Sans" w:ascii="Open Sans" w:hAnsi="Open Sans"/>
          <w:position w:val="0"/>
          <w:sz w:val="20"/>
          <w:sz w:val="20"/>
          <w:vertAlign w:val="baseline"/>
        </w:rPr>
        <w:t>See page 10 for a detailed example of how this can work.</w:t>
      </w:r>
    </w:p>
    <w:p>
      <w:pPr>
        <w:pStyle w:val="Normal"/>
        <w:ind w:start="720" w:end="0"/>
        <w:rPr>
          <w:rFonts w:ascii="Open Sans" w:hAnsi="Open Sans" w:cs="Open Sans"/>
        </w:rPr>
      </w:pPr>
      <w:r>
        <w:rPr>
          <w:rFonts w:cs="Open Sans" w:ascii="Open Sans" w:hAnsi="Open Sans"/>
        </w:rPr>
      </w:r>
    </w:p>
    <w:p>
      <w:pPr>
        <w:pStyle w:val="Normal"/>
        <w:pBdr>
          <w:top w:val="single" w:sz="2" w:space="1" w:color="650953"/>
          <w:left w:val="single" w:sz="2" w:space="1" w:color="650953"/>
          <w:bottom w:val="single" w:sz="2" w:space="1" w:color="650953"/>
          <w:right w:val="single" w:sz="2" w:space="1" w:color="650953"/>
        </w:pBdr>
        <w:shd w:val="clear" w:fill="E0C2CD"/>
        <w:spacing w:before="0" w:after="170"/>
        <w:jc w:val="center"/>
        <w:rPr>
          <w:rFonts w:ascii="Open Sans" w:hAnsi="Open Sans" w:cs="Open Sans"/>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Human Rights Framework </w:t>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sz w:val="20"/>
          <w:szCs w:val="20"/>
        </w:rPr>
        <w:t xml:space="preserve">The issues raised in this submission raise concerns from the perspective of the </w:t>
      </w:r>
      <w:r>
        <w:rPr>
          <w:rFonts w:cs="Open Sans" w:ascii="Open Sans" w:hAnsi="Open Sans"/>
          <w:b/>
          <w:bCs/>
          <w:sz w:val="20"/>
          <w:szCs w:val="20"/>
        </w:rPr>
        <w:t>right to protection and assistance to the family</w:t>
      </w:r>
      <w:r>
        <w:rPr>
          <w:rFonts w:cs="Open Sans" w:ascii="Open Sans" w:hAnsi="Open Sans"/>
          <w:sz w:val="20"/>
          <w:szCs w:val="20"/>
        </w:rPr>
        <w:t>, recognised in Article 10 ICESCR.</w:t>
      </w:r>
      <w:r>
        <w:rPr>
          <w:rStyle w:val="EndnoteReference"/>
          <w:rFonts w:cs="Open Sans" w:ascii="Open Sans" w:hAnsi="Open Sans"/>
          <w:sz w:val="20"/>
          <w:szCs w:val="20"/>
        </w:rPr>
        <w:endnoteReference w:id="7"/>
      </w:r>
      <w:r>
        <w:rPr>
          <w:rFonts w:cs="Open Sans" w:ascii="Open Sans" w:hAnsi="Open Sans"/>
          <w:sz w:val="20"/>
          <w:szCs w:val="20"/>
        </w:rPr>
        <w:t xml:space="preserve"> The right to protection and assistance to the family must be secured for everyone with </w:t>
      </w:r>
      <w:r>
        <w:rPr>
          <w:rFonts w:cs="Open Sans" w:ascii="Open Sans" w:hAnsi="Open Sans"/>
          <w:b/>
          <w:bCs/>
          <w:sz w:val="20"/>
          <w:szCs w:val="20"/>
        </w:rPr>
        <w:t>no discrimination</w:t>
      </w:r>
      <w:r>
        <w:rPr>
          <w:rFonts w:cs="Open Sans" w:ascii="Open Sans" w:hAnsi="Open Sans"/>
          <w:sz w:val="20"/>
          <w:szCs w:val="20"/>
        </w:rPr>
        <w:t xml:space="preserve"> of any kind (Article 2(2) ICESCR), including on the ground of socio-economic status. </w:t>
      </w:r>
      <w:r>
        <w:rPr>
          <w:rFonts w:cs="Open Sans" w:ascii="Open Sans" w:hAnsi="Open Sans"/>
          <w:color w:val="000000"/>
          <w:sz w:val="20"/>
          <w:szCs w:val="20"/>
        </w:rPr>
        <w:t xml:space="preserve">In line with Article 10(3) ICESCR, any intervention and assessment of risk made by child protection services must be </w:t>
      </w:r>
      <w:r>
        <w:rPr>
          <w:rFonts w:cs="Open Sans" w:ascii="Open Sans" w:hAnsi="Open Sans"/>
          <w:b/>
          <w:bCs/>
          <w:color w:val="000000"/>
          <w:sz w:val="20"/>
          <w:szCs w:val="20"/>
        </w:rPr>
        <w:t>proportionate and free from discrimination</w:t>
      </w:r>
      <w:r>
        <w:rPr>
          <w:rFonts w:cs="Open Sans" w:ascii="Open Sans" w:hAnsi="Open Sans"/>
          <w:color w:val="000000"/>
          <w:sz w:val="20"/>
          <w:szCs w:val="20"/>
        </w:rPr>
        <w:t xml:space="preserve">. </w:t>
      </w:r>
      <w:r>
        <w:rPr>
          <w:rFonts w:cs="Open Sans" w:ascii="Open Sans" w:hAnsi="Open Sans"/>
          <w:sz w:val="20"/>
          <w:szCs w:val="20"/>
        </w:rPr>
        <w:t>As observed by the CESCR in General Comment No. 20, “a person’s social and economic situation when living in poverty or being homeless may result in pervasive discrimination, stigmatization and negative stereotyping which can lead to the refusal of, or unequal access to, the same quality of education and health care as others, as well as the denial of or unequal access to public places”.</w:t>
      </w:r>
      <w:r>
        <w:rPr>
          <w:rStyle w:val="EndnoteReference"/>
          <w:rFonts w:cs="Open Sans" w:ascii="Open Sans" w:hAnsi="Open Sans"/>
          <w:sz w:val="20"/>
          <w:szCs w:val="20"/>
        </w:rPr>
        <w:endnoteReference w:id="8"/>
      </w:r>
      <w:r>
        <w:rPr>
          <w:rFonts w:cs="Open Sans" w:ascii="Open Sans" w:hAnsi="Open Sans"/>
          <w:sz w:val="20"/>
          <w:szCs w:val="20"/>
        </w:rPr>
        <w:t xml:space="preserve"> The issues raised in this report are also an expression of negative stereotyping against people in poverty, which the UN Special Rapporteur on Extreme Poverty and Human Rights calls “</w:t>
      </w:r>
      <w:r>
        <w:rPr>
          <w:rFonts w:cs="Open Sans" w:ascii="Open Sans" w:hAnsi="Open Sans"/>
          <w:b/>
          <w:bCs/>
          <w:sz w:val="20"/>
          <w:szCs w:val="20"/>
        </w:rPr>
        <w:t>povertyism</w:t>
      </w:r>
      <w:r>
        <w:rPr>
          <w:rFonts w:cs="Open Sans" w:ascii="Open Sans" w:hAnsi="Open Sans"/>
          <w:sz w:val="20"/>
          <w:szCs w:val="20"/>
        </w:rPr>
        <w:t>”.</w:t>
      </w:r>
      <w:r>
        <w:rPr>
          <w:rStyle w:val="EndnoteReference"/>
          <w:rFonts w:cs="Open Sans" w:ascii="Open Sans" w:hAnsi="Open Sans"/>
          <w:sz w:val="20"/>
          <w:szCs w:val="20"/>
        </w:rPr>
        <w:endnoteReference w:id="9"/>
      </w:r>
      <w:r>
        <w:rPr>
          <w:rFonts w:cs="Open Sans" w:ascii="Open Sans" w:hAnsi="Open Sans"/>
          <w:sz w:val="20"/>
          <w:szCs w:val="20"/>
        </w:rPr>
        <w:t xml:space="preserve"> Consequently, the right to protection and assistance to the family would mandate the recognition of socio-economic status as a protected characteristic under domestic equality legislation. It would also require States to take active measures to prevent and tackle negative stereotyping against the poor in child protection services.</w:t>
      </w:r>
      <w:r>
        <w:rPr>
          <w:rStyle w:val="EndnoteReference"/>
          <w:rFonts w:cs="Open Sans" w:ascii="Open Sans" w:hAnsi="Open Sans"/>
          <w:sz w:val="20"/>
          <w:szCs w:val="20"/>
        </w:rPr>
        <w:endnoteReference w:id="10"/>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color w:val="000000"/>
          <w:sz w:val="20"/>
          <w:szCs w:val="20"/>
        </w:rPr>
        <w:t>Public authorities, such as local authority social work departments, have a legal duty to respect, protect and fulfil the right to protect and provide assistance to all families. Any actions they take to interfere with this right must be legitimate, proportionate, and fully inclusive of options to support family life and preserve family relationships. Supporting human rights means supporting dignity and agency, showing respect and treating people fairly.</w:t>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color w:val="000000"/>
          <w:sz w:val="20"/>
          <w:szCs w:val="20"/>
        </w:rPr>
        <w:t>In several cases the European Court of Human Rights has censured child protection services for punishing parents — primarily lone mothers — by removing their children simply because they lived in poverty. The European Court of Human Rights has held that poverty must not be conflated with neglect, and it cannot be the sole ground for separating children from their families.</w:t>
      </w:r>
      <w:r>
        <w:rPr>
          <w:rStyle w:val="EndnoteReference"/>
          <w:rFonts w:cs="Open Sans" w:ascii="Open Sans" w:hAnsi="Open Sans"/>
          <w:color w:val="000000"/>
          <w:sz w:val="20"/>
          <w:szCs w:val="20"/>
        </w:rPr>
        <w:endnoteReference w:id="11"/>
      </w:r>
      <w:r>
        <w:rPr>
          <w:rFonts w:cs="Open Sans" w:ascii="Open Sans" w:hAnsi="Open Sans"/>
          <w:color w:val="000000"/>
          <w:sz w:val="20"/>
          <w:szCs w:val="20"/>
        </w:rPr>
        <w:t xml:space="preserve"> The principles that poverty is not equal to neglect, and that family separations must be exceptional and preferably temporary, are reinforced by the case-law of the European Committee of Social Rights and of the Inter-American Court of Human Rights.</w:t>
      </w:r>
      <w:r>
        <w:rPr>
          <w:rStyle w:val="EndnoteReference"/>
          <w:rFonts w:cs="Open Sans" w:ascii="Open Sans" w:hAnsi="Open Sans"/>
          <w:color w:val="000000"/>
          <w:sz w:val="20"/>
          <w:szCs w:val="20"/>
        </w:rPr>
        <w:endnoteReference w:id="12"/>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color w:val="000000"/>
          <w:sz w:val="20"/>
          <w:szCs w:val="20"/>
        </w:rPr>
        <w:t>Article 16 of the European Social Charter also protects the right of the family to social, legal and economic protection, not dissimilar to Article 10 ICESCR. The European Committee of Social Rights has established that “financial conditions or material circumstances” are not by themselves sufficient reasons to interfere with the right to protection and assistance to the family. Placement of children outside of the home should be an exceptional and temporary measure, and in all circumstances appropriate alternatives to placement should first be explored, considering the views and wishes expressed by the child, their parents and other members of the family.</w:t>
      </w:r>
      <w:r>
        <w:rPr>
          <w:rStyle w:val="EndnoteReference"/>
          <w:rFonts w:cs="Open Sans" w:ascii="Open Sans" w:hAnsi="Open Sans"/>
          <w:color w:val="000000"/>
          <w:sz w:val="20"/>
          <w:szCs w:val="20"/>
        </w:rPr>
        <w:endnoteReference w:id="13"/>
      </w:r>
      <w:r>
        <w:rPr>
          <w:rFonts w:cs="Open Sans" w:ascii="Open Sans" w:hAnsi="Open Sans"/>
          <w:color w:val="000000"/>
          <w:sz w:val="20"/>
          <w:szCs w:val="20"/>
        </w:rPr>
        <w:t xml:space="preserve"> Reintegration with the family should always be a goal, ensuring contact with the family during the placement outside the home, unless contrary to the best interests of the child, and “[w]henever possible, placement in a foster family or in a family-type environment should have preference over placement in an institution.”</w:t>
      </w:r>
      <w:r>
        <w:rPr>
          <w:rStyle w:val="EndnoteReference"/>
          <w:rFonts w:cs="Open Sans" w:ascii="Open Sans" w:hAnsi="Open Sans"/>
          <w:color w:val="000000"/>
          <w:sz w:val="20"/>
          <w:szCs w:val="20"/>
        </w:rPr>
        <w:endnoteReference w:id="14"/>
      </w:r>
      <w:r>
        <w:rPr>
          <w:rFonts w:cs="Open Sans" w:ascii="Open Sans" w:hAnsi="Open Sans"/>
          <w:color w:val="000000"/>
          <w:sz w:val="20"/>
          <w:szCs w:val="20"/>
        </w:rPr>
        <w:t xml:space="preserve"> </w:t>
      </w:r>
    </w:p>
    <w:p>
      <w:pPr>
        <w:pStyle w:val="Normal"/>
        <w:spacing w:before="0" w:after="170"/>
        <w:ind w:start="360" w:end="0"/>
        <w:jc w:val="both"/>
        <w:rPr>
          <w:rFonts w:ascii="Open Sans" w:hAnsi="Open Sans" w:cs="Open Sans"/>
          <w:color w:val="000000"/>
          <w:sz w:val="20"/>
          <w:szCs w:val="20"/>
        </w:rPr>
      </w:pPr>
      <w:r>
        <w:rPr>
          <w:rFonts w:cs="Open Sans" w:ascii="Open Sans" w:hAnsi="Open Sans"/>
          <w:color w:val="000000"/>
          <w:sz w:val="20"/>
          <w:szCs w:val="20"/>
        </w:rPr>
      </w:r>
    </w:p>
    <w:p>
      <w:pPr>
        <w:pStyle w:val="Normal"/>
        <w:pBdr>
          <w:top w:val="single" w:sz="2" w:space="1" w:color="650953"/>
          <w:left w:val="single" w:sz="2" w:space="1" w:color="650953"/>
          <w:bottom w:val="single" w:sz="2" w:space="1" w:color="650953"/>
          <w:right w:val="single" w:sz="2" w:space="1" w:color="650953"/>
        </w:pBdr>
        <w:shd w:val="clear" w:fill="E0C2CD"/>
        <w:spacing w:before="0" w:after="170"/>
        <w:jc w:val="center"/>
        <w:rPr>
          <w:rFonts w:ascii="Open Sans" w:hAnsi="Open Sans" w:cs="Open Sans"/>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Povertyism, Prejudice and Discrimination in the UK </w:t>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sz w:val="20"/>
          <w:szCs w:val="20"/>
        </w:rPr>
        <w:t>The complex and multidimensional nature of poverty impacts family life severely. In addition to material deprivation, poverty means social and institutional maltreatment, disempowerment, and suffering in heart, body and mind.</w:t>
      </w:r>
      <w:r>
        <w:rPr>
          <w:rStyle w:val="EndnoteReference"/>
          <w:rFonts w:cs="Open Sans" w:ascii="Open Sans" w:hAnsi="Open Sans"/>
          <w:sz w:val="20"/>
          <w:szCs w:val="20"/>
        </w:rPr>
        <w:endnoteReference w:id="15"/>
      </w:r>
      <w:r>
        <w:rPr>
          <w:rFonts w:cs="Open Sans" w:ascii="Open Sans" w:hAnsi="Open Sans"/>
          <w:sz w:val="20"/>
          <w:szCs w:val="20"/>
        </w:rPr>
        <w:t xml:space="preserve"> Parenting in poverty is inherently challenging.</w:t>
      </w:r>
      <w:r>
        <w:rPr>
          <w:rStyle w:val="EndnoteReference"/>
          <w:rFonts w:cs="Open Sans" w:ascii="Open Sans" w:hAnsi="Open Sans"/>
          <w:sz w:val="20"/>
          <w:szCs w:val="20"/>
        </w:rPr>
        <w:endnoteReference w:id="16"/>
      </w:r>
      <w:r>
        <w:rPr>
          <w:rFonts w:cs="Open Sans" w:ascii="Open Sans" w:hAnsi="Open Sans"/>
          <w:sz w:val="20"/>
          <w:szCs w:val="20"/>
        </w:rPr>
        <w:t xml:space="preserve"> In the UK, the protection of family life is under attack via a range of factors. Some 1.3 million children live in households subject to the two-child limit to benefit payments. Low pay and insecure work make it increasingly harder for parents to cope with the spiralling costs of housing, transportation, digital access, energy and food, while the poverty premium means that those who can least afford it pay the highest rates.</w:t>
      </w:r>
      <w:r>
        <w:rPr>
          <w:rStyle w:val="EndnoteReference"/>
          <w:rFonts w:cs="Open Sans" w:ascii="Open Sans" w:hAnsi="Open Sans"/>
          <w:sz w:val="20"/>
          <w:szCs w:val="20"/>
        </w:rPr>
        <w:endnoteReference w:id="17"/>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sz w:val="20"/>
          <w:szCs w:val="20"/>
        </w:rPr>
        <w:t>Family separation by children’s social care can be understood as ongoing state-sanctioned harm for families living in poverty. The 2024 Children and Families Truth Commission Report calls children’s social care in the UK “draconian and punitive in nature”. This report cites legal experts specialising in human rights and duties of care in child protection and family law. For example, Grégory Thuan Dit Dieudonné, President of the Human Rights Commission of the European Lawyers Union and a former Senior Lawyer at the European Court of Human Rights criticises “the terrifying figures for child protection in the UK” and calls for “the balanced notion of the child's best interests" in order to “end the harmful effects of the child welfare system on families”.</w:t>
      </w:r>
      <w:r>
        <w:rPr>
          <w:rStyle w:val="EndnoteReference"/>
          <w:rFonts w:cs="Open Sans" w:ascii="Open Sans" w:hAnsi="Open Sans"/>
          <w:sz w:val="20"/>
          <w:szCs w:val="20"/>
        </w:rPr>
        <w:endnoteReference w:id="18"/>
      </w:r>
      <w:r>
        <w:rPr>
          <w:rFonts w:cs="Open Sans" w:ascii="Open Sans" w:hAnsi="Open Sans"/>
          <w:sz w:val="20"/>
          <w:szCs w:val="20"/>
        </w:rPr>
        <w:t xml:space="preserve"> </w:t>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sz w:val="20"/>
          <w:szCs w:val="20"/>
        </w:rPr>
        <w:t>The approach of UK child protection systems is particularly authoritarian when interacting with families in poverty.</w:t>
      </w:r>
      <w:r>
        <w:rPr>
          <w:rStyle w:val="EndnoteReference"/>
          <w:rFonts w:cs="Open Sans" w:ascii="Open Sans" w:hAnsi="Open Sans"/>
          <w:sz w:val="20"/>
          <w:szCs w:val="20"/>
        </w:rPr>
        <w:endnoteReference w:id="19"/>
      </w:r>
      <w:r>
        <w:rPr>
          <w:rFonts w:cs="Open Sans" w:ascii="Open Sans" w:hAnsi="Open Sans"/>
          <w:sz w:val="20"/>
          <w:szCs w:val="20"/>
        </w:rPr>
        <w:t xml:space="preserve"> These systems form especially brutal and severe examples of these ongoing attacks on the right to protection and assistance to the family. The risk-averse nature of UK child protection systems leads to failures to meet families’ needs, and to recognise and respond to the evident relationships between deeply unequal societies, deprived communities, and children’s needs</w:t>
      </w:r>
      <w:bookmarkStart w:id="0" w:name="_Hlk165641303"/>
      <w:r>
        <w:rPr>
          <w:rFonts w:cs="Open Sans" w:ascii="Open Sans" w:hAnsi="Open Sans"/>
          <w:sz w:val="20"/>
          <w:szCs w:val="20"/>
        </w:rPr>
        <w:t>.</w:t>
      </w:r>
      <w:r>
        <w:rPr>
          <w:rStyle w:val="EndnoteReference"/>
          <w:rFonts w:cs="Open Sans" w:ascii="Open Sans" w:hAnsi="Open Sans"/>
          <w:sz w:val="20"/>
          <w:szCs w:val="20"/>
        </w:rPr>
        <w:endnoteReference w:id="20"/>
      </w:r>
      <w:r>
        <w:rPr>
          <w:rFonts w:cs="Open Sans" w:ascii="Open Sans" w:hAnsi="Open Sans"/>
          <w:sz w:val="20"/>
          <w:szCs w:val="20"/>
        </w:rPr>
        <w:t xml:space="preserve"> Rather, they individualise the causes of child neglect and abuse to the family home and position neglect of children in particular as an affliction of the poor.</w:t>
      </w:r>
      <w:r>
        <w:rPr>
          <w:rStyle w:val="EndnoteReference"/>
          <w:rFonts w:cs="Open Sans" w:ascii="Open Sans" w:hAnsi="Open Sans"/>
          <w:sz w:val="20"/>
          <w:szCs w:val="20"/>
        </w:rPr>
        <w:endnoteReference w:id="21"/>
      </w:r>
      <w:r>
        <w:rPr>
          <w:rStyle w:val="CommentReference"/>
          <w:rFonts w:cs="Open Sans" w:ascii="Open Sans" w:hAnsi="Open Sans"/>
          <w:sz w:val="20"/>
          <w:szCs w:val="20"/>
        </w:rPr>
        <w:t xml:space="preserve">  A large-scale study found that there is no clear evidence that these systems and policies focussed on safeguarding children decrease child maltreatment.</w:t>
      </w:r>
      <w:r>
        <w:rPr>
          <w:rStyle w:val="EndnoteReference"/>
          <w:rFonts w:cs="Open Sans" w:ascii="Open Sans" w:hAnsi="Open Sans"/>
          <w:sz w:val="20"/>
          <w:szCs w:val="20"/>
        </w:rPr>
        <w:endnoteReference w:id="22"/>
      </w:r>
      <w:r>
        <w:rPr>
          <w:rStyle w:val="CommentReference"/>
          <w:rFonts w:cs="Open Sans" w:ascii="Open Sans" w:hAnsi="Open Sans"/>
          <w:sz w:val="20"/>
          <w:szCs w:val="20"/>
        </w:rPr>
        <w:t xml:space="preserve"> </w:t>
      </w:r>
    </w:p>
    <w:p>
      <w:pPr>
        <w:pStyle w:val="Normal"/>
        <w:numPr>
          <w:ilvl w:val="0"/>
          <w:numId w:val="2"/>
        </w:numPr>
        <w:spacing w:before="0" w:after="170"/>
        <w:ind w:hanging="360" w:start="360" w:end="0"/>
        <w:jc w:val="both"/>
        <w:rPr>
          <w:rFonts w:ascii="Open Sans" w:hAnsi="Open Sans" w:cs="Open Sans"/>
          <w:sz w:val="20"/>
          <w:szCs w:val="20"/>
        </w:rPr>
      </w:pPr>
      <w:r>
        <w:drawing>
          <wp:anchor behindDoc="0" distT="0" distB="0" distL="0" distR="0" simplePos="0" locked="0" layoutInCell="0" allowOverlap="1" relativeHeight="15">
            <wp:simplePos x="0" y="0"/>
            <wp:positionH relativeFrom="column">
              <wp:posOffset>-304165</wp:posOffset>
            </wp:positionH>
            <wp:positionV relativeFrom="paragraph">
              <wp:posOffset>109855</wp:posOffset>
            </wp:positionV>
            <wp:extent cx="4229100" cy="2941955"/>
            <wp:effectExtent l="0" t="0" r="0" b="0"/>
            <wp:wrapSquare wrapText="largest"/>
            <wp:docPr id="3"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title=""/>
                    <pic:cNvPicPr>
                      <a:picLocks noChangeAspect="1" noChangeArrowheads="1"/>
                    </pic:cNvPicPr>
                  </pic:nvPicPr>
                  <pic:blipFill>
                    <a:blip r:embed="rId12"/>
                    <a:srcRect l="-3488" t="-5019" r="-3488" b="-5019"/>
                    <a:stretch>
                      <a:fillRect/>
                    </a:stretch>
                  </pic:blipFill>
                  <pic:spPr bwMode="auto">
                    <a:xfrm>
                      <a:off x="0" y="0"/>
                      <a:ext cx="4229100" cy="2941955"/>
                    </a:xfrm>
                    <a:prstGeom prst="rect">
                      <a:avLst/>
                    </a:prstGeom>
                    <a:ln w="9525">
                      <a:solidFill>
                        <a:srgbClr val="FFFFFF"/>
                      </a:solidFill>
                    </a:ln>
                  </pic:spPr>
                </pic:pic>
              </a:graphicData>
            </a:graphic>
          </wp:anchor>
        </w:drawing>
      </w:r>
      <w:r>
        <w:rPr>
          <w:rFonts w:cs="Open Sans" w:ascii="Open Sans" w:hAnsi="Open Sans"/>
          <w:sz w:val="20"/>
          <w:szCs w:val="20"/>
        </w:rPr>
        <w:t>These failures have been amplified by significant reductions in spending on early interventions and family support and increases in spending on child protection and care proceedings.</w:t>
      </w:r>
      <w:r>
        <w:rPr>
          <w:rFonts w:cs="Open Sans" w:ascii="Open Sans" w:hAnsi="Open Sans"/>
          <w:color w:val="FF0000"/>
          <w:sz w:val="20"/>
          <w:szCs w:val="20"/>
        </w:rPr>
        <w:t xml:space="preserve"> </w:t>
      </w:r>
      <w:r>
        <w:rPr>
          <w:rFonts w:cs="Open Sans" w:ascii="Open Sans" w:hAnsi="Open Sans"/>
          <w:color w:val="000000"/>
          <w:sz w:val="20"/>
          <w:szCs w:val="20"/>
        </w:rPr>
        <w:t>Recent data show that this is worsening: “Declining spending on early intervention services means many families are not receiving support before they reach crisis point. For the first time, more money is being spent on children's residential care than on early intervention services to prevent children needing to go into care.”</w:t>
      </w:r>
      <w:r>
        <w:rPr>
          <w:rStyle w:val="EndnoteReference"/>
          <w:rFonts w:cs="Open Sans" w:ascii="Open Sans" w:hAnsi="Open Sans"/>
          <w:color w:val="000000"/>
          <w:sz w:val="20"/>
          <w:szCs w:val="20"/>
        </w:rPr>
        <w:endnoteReference w:id="23"/>
      </w:r>
      <w:bookmarkEnd w:id="0"/>
    </w:p>
    <w:p>
      <w:pPr>
        <w:pStyle w:val="Normal"/>
        <w:numPr>
          <w:ilvl w:val="0"/>
          <w:numId w:val="2"/>
        </w:numPr>
        <w:spacing w:before="0" w:after="170"/>
        <w:ind w:hanging="360" w:start="360" w:end="0"/>
        <w:jc w:val="both"/>
        <w:rPr>
          <w:rFonts w:ascii="Open Sans" w:hAnsi="Open Sans" w:eastAsia="Open Sans" w:cs="Open Sans"/>
          <w:b/>
          <w:bCs/>
          <w:i/>
          <w:i/>
          <w:iCs/>
          <w:color w:val="FFFFFF"/>
          <w:shd w:fill="650953" w:val="clear"/>
        </w:rPr>
      </w:pPr>
      <w:r>
        <w:rPr>
          <w:rFonts w:cs="Open Sans" w:ascii="Open Sans" w:hAnsi="Open Sans"/>
          <w:sz w:val="20"/>
          <w:szCs w:val="20"/>
        </w:rPr>
        <w:t>For an increasing number of families in poverty, the right to protection and assistance to the family is further endangered by the risk-</w:t>
      </w:r>
      <w:r>
        <w:rPr>
          <w:rFonts w:cs="Open Sans" w:ascii="Open Sans" w:hAnsi="Open Sans"/>
          <w:color w:val="000000"/>
          <w:sz w:val="20"/>
          <w:szCs w:val="20"/>
        </w:rPr>
        <w:t>averse nature of UK child protection systems, and their failure to respond to the impact of poverty on parenting and family functioning. It can therefore be argued that families in poverty suffer a twofold assault on their right to protection and assistance to the family. Firstly, they are neglected by society and provided with insufficient resources to effectively meet children’s needs.</w:t>
      </w:r>
      <w:r>
        <w:rPr>
          <w:rStyle w:val="EndnoteReference"/>
          <w:rFonts w:cs="Open Sans" w:ascii="Open Sans" w:hAnsi="Open Sans"/>
          <w:color w:val="000000"/>
          <w:sz w:val="20"/>
          <w:szCs w:val="20"/>
        </w:rPr>
        <w:endnoteReference w:id="24"/>
      </w:r>
      <w:r>
        <w:rPr>
          <w:rStyle w:val="WW8Num4z0"/>
          <w:rFonts w:cs="Open Sans" w:ascii="Open Sans" w:hAnsi="Open Sans"/>
          <w:color w:val="000000"/>
          <w:sz w:val="20"/>
          <w:szCs w:val="20"/>
        </w:rPr>
        <w:t xml:space="preserve"> Secondly, the State, through risk-averse child protection social work, sanctions them, restricts their autonomy to function as families, and removes their children into care or adoption. </w:t>
      </w:r>
      <w:r>
        <w:rPr>
          <w:rStyle w:val="EndnoteReference"/>
          <w:rFonts w:cs="Open Sans" w:ascii="Open Sans" w:hAnsi="Open Sans"/>
          <w:color w:val="000000"/>
          <w:sz w:val="20"/>
          <w:szCs w:val="20"/>
        </w:rPr>
        <w:endnoteReference w:id="25"/>
      </w:r>
    </w:p>
    <w:p>
      <w:pPr>
        <w:pStyle w:val="Normal"/>
        <w:pBdr>
          <w:top w:val="single" w:sz="2" w:space="1" w:color="55215B"/>
          <w:left w:val="single" w:sz="2" w:space="1" w:color="55215B"/>
          <w:bottom w:val="single" w:sz="2" w:space="1" w:color="55215B"/>
          <w:right w:val="single" w:sz="2" w:space="1" w:color="55215B"/>
        </w:pBdr>
        <w:shd w:val="clear" w:fill="E0C2CD"/>
        <w:spacing w:before="0" w:after="170"/>
        <w:jc w:val="center"/>
        <w:rPr>
          <w:rFonts w:ascii="Open Sans" w:hAnsi="Open Sans" w:cs="Open Sans"/>
          <w:color w:val="000000"/>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The UK Government’s Response to the List of Issues </w:t>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color w:val="000000"/>
          <w:sz w:val="20"/>
          <w:szCs w:val="20"/>
        </w:rPr>
        <w:t>We welcome the Government’s 2023 introduction of regulations to mandate national standards,</w:t>
      </w:r>
      <w:r>
        <w:rPr>
          <w:rFonts w:cs="Open Sans" w:ascii="Open Sans" w:hAnsi="Open Sans"/>
          <w:sz w:val="20"/>
          <w:szCs w:val="20"/>
        </w:rPr>
        <w:t xml:space="preserve"> registration and inspection for what were unregulated supported accommodation for 16- and 17-year-old looked-after children and care leavers, and we look forward to the follow-through to make this commitment a reality. In addition, we are hopeful about the new Government’s pledge to commence the socio-economic duty (s.1 Equality Act 2010), following the example of Scotland and Wales, and to bring to life the dual discrimination provision in the Act. </w:t>
      </w:r>
    </w:p>
    <w:p>
      <w:pPr>
        <w:pStyle w:val="Normal"/>
        <w:numPr>
          <w:ilvl w:val="0"/>
          <w:numId w:val="2"/>
        </w:numPr>
        <w:spacing w:before="0" w:after="170"/>
        <w:ind w:hanging="360" w:start="360" w:end="0"/>
        <w:jc w:val="both"/>
        <w:rPr>
          <w:rFonts w:ascii="Open Sans" w:hAnsi="Open Sans" w:cs="Open Sans"/>
          <w:color w:val="000000"/>
          <w:sz w:val="20"/>
          <w:szCs w:val="20"/>
        </w:rPr>
      </w:pPr>
      <w:r>
        <w:rPr>
          <w:rFonts w:cs="Open Sans" w:ascii="Open Sans" w:hAnsi="Open Sans"/>
          <w:sz w:val="20"/>
          <w:szCs w:val="20"/>
        </w:rPr>
        <w:t xml:space="preserve">Regrettably however, their response failed to address other key questions, namely: </w:t>
      </w:r>
    </w:p>
    <w:p>
      <w:pPr>
        <w:pStyle w:val="Normal"/>
        <w:numPr>
          <w:ilvl w:val="0"/>
          <w:numId w:val="3"/>
        </w:numPr>
        <w:spacing w:lineRule="atLeast" w:line="100"/>
        <w:jc w:val="both"/>
        <w:rPr>
          <w:rFonts w:ascii="Open Sans" w:hAnsi="Open Sans" w:cs="Open Sans"/>
          <w:color w:val="000000"/>
          <w:sz w:val="20"/>
          <w:szCs w:val="20"/>
        </w:rPr>
      </w:pPr>
      <w:r>
        <w:rPr>
          <w:rFonts w:cs="Open Sans" w:ascii="Open Sans" w:hAnsi="Open Sans"/>
          <w:color w:val="000000"/>
          <w:sz w:val="20"/>
          <w:szCs w:val="20"/>
        </w:rPr>
        <w:t xml:space="preserve">What measures does the UK Government take to prevent povertyism from skewing children’s social care interventions towards harsh investigations that disproportionately affect families in poverty and deprived areas? </w:t>
      </w:r>
    </w:p>
    <w:p>
      <w:pPr>
        <w:pStyle w:val="Normal"/>
        <w:numPr>
          <w:ilvl w:val="0"/>
          <w:numId w:val="3"/>
        </w:numPr>
        <w:spacing w:lineRule="atLeast" w:line="100"/>
        <w:jc w:val="both"/>
        <w:rPr>
          <w:rFonts w:ascii="Open Sans" w:hAnsi="Open Sans" w:cs="Open Sans"/>
          <w:color w:val="000000"/>
          <w:sz w:val="20"/>
          <w:szCs w:val="20"/>
        </w:rPr>
      </w:pPr>
      <w:r>
        <w:rPr>
          <w:rFonts w:cs="Open Sans" w:ascii="Open Sans" w:hAnsi="Open Sans"/>
          <w:color w:val="000000"/>
          <w:sz w:val="20"/>
          <w:szCs w:val="20"/>
        </w:rPr>
        <w:t xml:space="preserve">Why are contested closed adoptions so common in the UK when kinship care can protect children’s well-being without permanently severing their ties with their entire extended families and communities? </w:t>
      </w:r>
    </w:p>
    <w:p>
      <w:pPr>
        <w:pStyle w:val="Normal"/>
        <w:numPr>
          <w:ilvl w:val="0"/>
          <w:numId w:val="3"/>
        </w:numPr>
        <w:spacing w:lineRule="atLeast" w:line="100"/>
        <w:jc w:val="both"/>
        <w:rPr>
          <w:rFonts w:ascii="Open Sans" w:hAnsi="Open Sans" w:cs="Open Sans"/>
          <w:color w:val="000000"/>
          <w:sz w:val="20"/>
          <w:szCs w:val="20"/>
        </w:rPr>
      </w:pPr>
      <w:r>
        <w:rPr>
          <w:rFonts w:cs="Open Sans" w:ascii="Open Sans" w:hAnsi="Open Sans"/>
          <w:color w:val="000000"/>
          <w:sz w:val="20"/>
          <w:szCs w:val="20"/>
        </w:rPr>
        <w:t xml:space="preserve">What impact assessment has the Government carried out to ensure that cuts to family support services (including youth services), community-based resources and housing support services do not affect disproportionately families in poverty leading to increased removals of children from their homes? </w:t>
      </w:r>
    </w:p>
    <w:p>
      <w:pPr>
        <w:pStyle w:val="Normal"/>
        <w:numPr>
          <w:ilvl w:val="0"/>
          <w:numId w:val="3"/>
        </w:numPr>
        <w:spacing w:lineRule="atLeast" w:line="100"/>
        <w:jc w:val="both"/>
        <w:rPr>
          <w:rFonts w:ascii="Open Sans" w:hAnsi="Open Sans" w:cs="Open Sans"/>
          <w:color w:val="000000"/>
          <w:sz w:val="20"/>
          <w:szCs w:val="20"/>
        </w:rPr>
      </w:pPr>
      <w:r>
        <w:rPr>
          <w:rFonts w:cs="Open Sans" w:ascii="Open Sans" w:hAnsi="Open Sans"/>
          <w:color w:val="000000"/>
          <w:sz w:val="20"/>
          <w:szCs w:val="20"/>
        </w:rPr>
        <w:t xml:space="preserve">How do children’s social services ensure consistency in the assessment of possible future neglect or emotional harm to children? How do these assessments include the emotional harm involved in removing children from their parents? </w:t>
      </w:r>
    </w:p>
    <w:p>
      <w:pPr>
        <w:pStyle w:val="Normal"/>
        <w:numPr>
          <w:ilvl w:val="0"/>
          <w:numId w:val="3"/>
        </w:numPr>
        <w:spacing w:lineRule="atLeast" w:line="100"/>
        <w:jc w:val="both"/>
        <w:rPr>
          <w:rFonts w:ascii="Open Sans" w:hAnsi="Open Sans" w:cs="Open Sans"/>
          <w:color w:val="000000"/>
          <w:sz w:val="20"/>
          <w:szCs w:val="20"/>
        </w:rPr>
      </w:pPr>
      <w:r>
        <w:rPr>
          <w:rFonts w:cs="Open Sans" w:ascii="Open Sans" w:hAnsi="Open Sans"/>
          <w:color w:val="000000"/>
          <w:sz w:val="20"/>
          <w:szCs w:val="20"/>
        </w:rPr>
        <w:t xml:space="preserve">What measures is the UK Government taking to implement parent-to-parent advocacy at the national level? </w:t>
      </w:r>
    </w:p>
    <w:p>
      <w:pPr>
        <w:pStyle w:val="Normal"/>
        <w:spacing w:lineRule="atLeast" w:line="100"/>
        <w:jc w:val="both"/>
        <w:rPr>
          <w:rFonts w:ascii="Open Sans" w:hAnsi="Open Sans" w:cs="Open Sans"/>
          <w:color w:val="000000"/>
          <w:sz w:val="20"/>
          <w:szCs w:val="20"/>
        </w:rPr>
      </w:pPr>
      <w:r>
        <w:rPr>
          <w:rFonts w:cs="Open Sans" w:ascii="Open Sans" w:hAnsi="Open Sans"/>
          <w:color w:val="000000"/>
          <w:sz w:val="20"/>
          <w:szCs w:val="20"/>
        </w:rPr>
      </w:r>
    </w:p>
    <w:p>
      <w:pPr>
        <w:pStyle w:val="Normal"/>
        <w:spacing w:lineRule="atLeast" w:line="100"/>
        <w:jc w:val="both"/>
        <w:rPr>
          <w:rFonts w:ascii="Open Sans" w:hAnsi="Open Sans" w:cs="Open Sans"/>
          <w:color w:val="000000"/>
          <w:sz w:val="20"/>
          <w:szCs w:val="20"/>
        </w:rPr>
      </w:pPr>
      <w:r>
        <w:rPr>
          <w:rFonts w:cs="Open Sans" w:ascii="Open Sans" w:hAnsi="Open Sans"/>
          <w:color w:val="000000"/>
          <w:sz w:val="20"/>
          <w:szCs w:val="20"/>
        </w:rPr>
      </w:r>
    </w:p>
    <w:p>
      <w:pPr>
        <w:pStyle w:val="Normal"/>
        <w:pBdr>
          <w:top w:val="single" w:sz="2" w:space="1" w:color="650953"/>
          <w:left w:val="single" w:sz="2" w:space="1" w:color="650953"/>
          <w:bottom w:val="single" w:sz="2" w:space="1" w:color="650953"/>
          <w:right w:val="single" w:sz="2" w:space="1" w:color="650953"/>
        </w:pBdr>
        <w:shd w:val="clear" w:fill="E0C2CD"/>
        <w:spacing w:lineRule="atLeast" w:line="100"/>
        <w:jc w:val="center"/>
        <w:rPr>
          <w:rFonts w:ascii="Open Sans" w:hAnsi="Open Sans" w:cs="Open Sans"/>
          <w:i/>
          <w:i/>
          <w:iCs/>
          <w:sz w:val="20"/>
          <w:szCs w:val="20"/>
        </w:rPr>
      </w:pPr>
      <w:r>
        <w:rPr>
          <w:rFonts w:eastAsia="Open Sans" w:cs="Open Sans" w:ascii="Open Sans" w:hAnsi="Open Sans"/>
          <w:b/>
          <w:bCs/>
          <w:i/>
          <w:iCs/>
          <w:color w:val="FFFFFF"/>
          <w:shd w:fill="650953" w:val="clear"/>
        </w:rPr>
        <w:t xml:space="preserve"> </w:t>
      </w:r>
      <w:r>
        <w:rPr>
          <w:rFonts w:cs="Open Sans" w:ascii="Open Sans" w:hAnsi="Open Sans"/>
          <w:b/>
          <w:bCs/>
          <w:i/>
          <w:iCs/>
          <w:color w:val="FFFFFF"/>
          <w:shd w:fill="650953" w:val="clear"/>
        </w:rPr>
        <w:t xml:space="preserve">The Current Situation for Families in Poverty Interacting with the Social Care System </w:t>
      </w:r>
    </w:p>
    <w:p>
      <w:pPr>
        <w:pStyle w:val="Normal"/>
        <w:spacing w:lineRule="atLeast" w:line="100"/>
        <w:rPr>
          <w:rFonts w:ascii="Open Sans" w:hAnsi="Open Sans" w:cs="Open Sans"/>
          <w:i/>
          <w:i/>
          <w:iCs/>
          <w:sz w:val="20"/>
          <w:szCs w:val="20"/>
        </w:rPr>
      </w:pPr>
      <w:r>
        <w:rPr>
          <w:rFonts w:cs="Open Sans" w:ascii="Open Sans" w:hAnsi="Open Sans"/>
          <w:i/>
          <w:iCs/>
          <w:sz w:val="20"/>
          <w:szCs w:val="20"/>
        </w:rPr>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Normal"/>
              <w:spacing w:lineRule="atLeast" w:line="100"/>
              <w:rPr>
                <w:rFonts w:ascii="Open Sans" w:hAnsi="Open Sans" w:cs="Open Sans"/>
                <w:color w:val="000000"/>
                <w:sz w:val="20"/>
                <w:szCs w:val="20"/>
              </w:rPr>
            </w:pPr>
            <w:r>
              <w:rPr>
                <w:rFonts w:cs="Open Sans" w:ascii="Open Sans" w:hAnsi="Open Sans"/>
                <w:i/>
                <w:iCs/>
                <w:sz w:val="20"/>
                <w:szCs w:val="20"/>
              </w:rPr>
              <w:t>“</w:t>
            </w:r>
            <w:r>
              <w:rPr>
                <w:rFonts w:cs="Open Sans" w:ascii="Open Sans" w:hAnsi="Open Sans"/>
                <w:i/>
                <w:iCs/>
                <w:sz w:val="20"/>
                <w:szCs w:val="20"/>
              </w:rPr>
              <w:t>Forced adoptions are horrendous. […] It is shameful that the poorer you are in this country, the more likely you are to have children forcibly taken from you. You see this around the number of children placed in care or put up for forced adoptions. […] Poverty gets confused with neglect. […] You often get judged by social workers instead of supported to have what you need to raise your children decently. When you’re scrimping on the basics, you don’t have the money to cover up the cracks. The state spends money on foster care that could instead be used to help prevent the need for it.”</w:t>
            </w:r>
          </w:p>
          <w:p>
            <w:pPr>
              <w:pStyle w:val="Normal"/>
              <w:spacing w:lineRule="atLeast" w:line="100"/>
              <w:jc w:val="end"/>
              <w:rPr>
                <w:rFonts w:ascii="Open Sans" w:hAnsi="Open Sans" w:cs="Open Sans"/>
                <w:i/>
                <w:i/>
                <w:iCs/>
                <w:color w:val="000000"/>
                <w:sz w:val="20"/>
                <w:szCs w:val="20"/>
              </w:rPr>
            </w:pPr>
            <w:r>
              <w:rPr>
                <w:rFonts w:cs="Open Sans" w:ascii="Open Sans" w:hAnsi="Open Sans"/>
                <w:color w:val="000000"/>
                <w:sz w:val="20"/>
                <w:szCs w:val="20"/>
              </w:rPr>
              <w:t xml:space="preserve">- expert-by-experience Patricia Bailey, quoted in </w:t>
            </w:r>
            <w:hyperlink r:id="rId13">
              <w:r>
                <w:rPr>
                  <w:rStyle w:val="Hyperlink"/>
                  <w:rFonts w:cs="Open Sans" w:ascii="Open Sans" w:hAnsi="Open Sans"/>
                  <w:color w:val="000000"/>
                  <w:sz w:val="20"/>
                  <w:szCs w:val="20"/>
                </w:rPr>
                <w:t>Amnesty UK's Summer 2023 magazine issue</w:t>
              </w:r>
            </w:hyperlink>
          </w:p>
          <w:p>
            <w:pPr>
              <w:pStyle w:val="Normal"/>
              <w:spacing w:lineRule="atLeast" w:line="100"/>
              <w:rPr>
                <w:rFonts w:ascii="Open Sans" w:hAnsi="Open Sans" w:cs="Open Sans"/>
                <w:color w:val="000000"/>
                <w:sz w:val="20"/>
                <w:szCs w:val="20"/>
              </w:rPr>
            </w:pPr>
            <w:r>
              <w:rPr>
                <w:rFonts w:cs="Open Sans" w:ascii="Open Sans" w:hAnsi="Open Sans"/>
                <w:i/>
                <w:iCs/>
                <w:color w:val="000000"/>
                <w:sz w:val="20"/>
                <w:szCs w:val="20"/>
              </w:rPr>
              <w:t>It is absolutely awful, soul-crushing, to have to hand your child over, crying for you, calling out, ‘Mummy!’ and you are court ordered to walk away. […] You end up feeling guilt for pretending to be okay. Because, if you show you are not feeling great, it will be used against you. You end up feeling like a fraud no matter what you do. Guilt will swallow you whole if you let it. It ravages your soul and steal away what little sunlight remains as you walk through the hell that is child protection. […] You have to climb out of the crumbled, wreck of your soul.”</w:t>
            </w:r>
          </w:p>
          <w:p>
            <w:pPr>
              <w:pStyle w:val="Normal"/>
              <w:spacing w:lineRule="atLeast" w:line="100"/>
              <w:jc w:val="end"/>
              <w:rPr/>
            </w:pPr>
            <w:r>
              <w:rPr>
                <w:rFonts w:cs="Open Sans" w:ascii="Open Sans" w:hAnsi="Open Sans"/>
                <w:color w:val="000000"/>
                <w:sz w:val="20"/>
                <w:szCs w:val="20"/>
              </w:rPr>
              <w:t>- expert-by-experience Taliah Drayak</w:t>
            </w:r>
            <w:r>
              <w:rPr>
                <w:rStyle w:val="EndnoteReference"/>
                <w:rFonts w:cs="Open Sans" w:ascii="Open Sans" w:hAnsi="Open Sans"/>
                <w:color w:val="000000"/>
                <w:sz w:val="20"/>
                <w:szCs w:val="20"/>
              </w:rPr>
              <w:endnoteReference w:id="26"/>
            </w:r>
          </w:p>
        </w:tc>
      </w:tr>
    </w:tbl>
    <w:p>
      <w:pPr>
        <w:pStyle w:val="Normal"/>
        <w:spacing w:lineRule="atLeast" w:line="100"/>
        <w:rPr>
          <w:rFonts w:ascii="Open Sans" w:hAnsi="Open Sans" w:cs="Open Sans"/>
          <w:i/>
          <w:i/>
          <w:iCs/>
          <w:sz w:val="20"/>
          <w:szCs w:val="20"/>
        </w:rPr>
      </w:pPr>
      <w:r>
        <w:rPr>
          <w:rFonts w:cs="Open Sans" w:ascii="Open Sans" w:hAnsi="Open Sans"/>
          <w:i/>
          <w:iCs/>
          <w:sz w:val="20"/>
          <w:szCs w:val="20"/>
        </w:rPr>
      </w:r>
    </w:p>
    <w:p>
      <w:pPr>
        <w:pStyle w:val="Normal"/>
        <w:spacing w:lineRule="atLeast" w:line="100"/>
        <w:ind w:start="720" w:end="0"/>
        <w:rPr>
          <w:rFonts w:ascii="Open Sans" w:hAnsi="Open Sans" w:cs="Open Sans"/>
          <w:i/>
          <w:i/>
          <w:iCs/>
          <w:sz w:val="20"/>
          <w:szCs w:val="20"/>
        </w:rPr>
      </w:pPr>
      <w:r>
        <w:rPr>
          <w:rFonts w:cs="Open Sans" w:ascii="Open Sans" w:hAnsi="Open Sans"/>
          <w:i/>
          <w:iCs/>
          <w:sz w:val="20"/>
          <w:szCs w:val="20"/>
        </w:rPr>
      </w:r>
    </w:p>
    <w:p>
      <w:pPr>
        <w:pStyle w:val="Normal"/>
        <w:numPr>
          <w:ilvl w:val="0"/>
          <w:numId w:val="2"/>
        </w:numPr>
        <w:spacing w:before="0" w:after="170"/>
        <w:ind w:hanging="360" w:start="360" w:end="0"/>
        <w:jc w:val="both"/>
        <w:rPr>
          <w:rFonts w:ascii="Open Sans" w:hAnsi="Open Sans" w:cs="Open Sans"/>
          <w:sz w:val="20"/>
          <w:szCs w:val="20"/>
        </w:rPr>
      </w:pPr>
      <w:r>
        <w:rPr>
          <w:rFonts w:cs="Open Sans" w:ascii="Open Sans" w:hAnsi="Open Sans"/>
          <w:sz w:val="20"/>
          <w:szCs w:val="20"/>
        </w:rPr>
        <w:t xml:space="preserve">There is </w:t>
      </w:r>
      <w:r>
        <w:rPr>
          <w:rFonts w:cs="Open Sans" w:ascii="Open Sans" w:hAnsi="Open Sans"/>
          <w:b/>
          <w:bCs/>
          <w:sz w:val="20"/>
          <w:szCs w:val="20"/>
        </w:rPr>
        <w:t>daily discrimination</w:t>
      </w:r>
      <w:r>
        <w:rPr>
          <w:rFonts w:cs="Open Sans" w:ascii="Open Sans" w:hAnsi="Open Sans"/>
          <w:sz w:val="20"/>
          <w:szCs w:val="20"/>
        </w:rPr>
        <w:t xml:space="preserve"> against families in poverty within the child protection system. ‘The Child Welfare Inequalities Project’ 2018 report by Prof. Bywaters et al states that “[c]hildren who live in the most deprived 10% of neighbourhoods are ten times more likely to be looked after or on a child protection plan, than children in the least deprived 10% of areas.” They go on to report that: “Each 10% increase in deprivation rates saw a 30% rise in a child’s chances of entering care. […] Relative to demand, more deprived councils have less funding to allocate to children’s social care.”</w:t>
      </w:r>
      <w:r>
        <w:rPr>
          <w:rStyle w:val="EndnoteReference"/>
          <w:rFonts w:cs="Open Sans" w:ascii="Open Sans" w:hAnsi="Open Sans"/>
          <w:sz w:val="20"/>
          <w:szCs w:val="20"/>
        </w:rPr>
        <w:endnoteReference w:id="27"/>
      </w:r>
      <w:r>
        <w:rPr>
          <w:rStyle w:val="EndnoteCharacters"/>
          <w:rFonts w:cs="Open Sans" w:ascii="Open Sans" w:hAnsi="Open Sans"/>
          <w:sz w:val="20"/>
          <w:szCs w:val="20"/>
        </w:rPr>
        <w:t xml:space="preserve"> </w:t>
      </w:r>
    </w:p>
    <w:p>
      <w:pPr>
        <w:pStyle w:val="Normal"/>
        <w:numPr>
          <w:ilvl w:val="0"/>
          <w:numId w:val="2"/>
        </w:numPr>
        <w:spacing w:lineRule="atLeast" w:line="100" w:before="0" w:after="113"/>
        <w:ind w:hanging="360" w:start="360" w:end="0"/>
        <w:jc w:val="both"/>
        <w:rPr>
          <w:rFonts w:ascii="Open Sans" w:hAnsi="Open Sans" w:cs="Open Sans"/>
          <w:sz w:val="20"/>
          <w:szCs w:val="20"/>
        </w:rPr>
      </w:pPr>
      <w:r>
        <w:rPr>
          <w:rFonts w:cs="Open Sans" w:ascii="Open Sans" w:hAnsi="Open Sans"/>
          <w:sz w:val="20"/>
          <w:szCs w:val="20"/>
        </w:rPr>
        <w:t xml:space="preserve">Povertyism is also seen in specific regions and ethnic communities: </w:t>
      </w:r>
    </w:p>
    <w:p>
      <w:pPr>
        <w:pStyle w:val="Normal"/>
        <w:numPr>
          <w:ilvl w:val="0"/>
          <w:numId w:val="4"/>
        </w:numPr>
        <w:spacing w:lineRule="atLeast" w:line="100" w:before="0" w:after="113"/>
        <w:jc w:val="both"/>
        <w:rPr>
          <w:rFonts w:ascii="Open Sans" w:hAnsi="Open Sans" w:cs="Open Sans"/>
          <w:sz w:val="20"/>
          <w:szCs w:val="20"/>
        </w:rPr>
      </w:pPr>
      <w:r>
        <w:rPr>
          <w:rFonts w:cs="Open Sans" w:ascii="Open Sans" w:hAnsi="Open Sans"/>
          <w:sz w:val="20"/>
          <w:szCs w:val="20"/>
        </w:rPr>
        <w:t>In Scotland, “[c]hildren in the most deprived small neighbourhoods are nearly 20 times more likely to be in the care system or on the child protection register than children in the least deprived neighbourhoods.”</w:t>
      </w:r>
      <w:r>
        <w:rPr>
          <w:rStyle w:val="EndnoteReference"/>
          <w:rFonts w:cs="Open Sans" w:ascii="Open Sans" w:hAnsi="Open Sans"/>
          <w:sz w:val="20"/>
          <w:szCs w:val="20"/>
        </w:rPr>
        <w:endnoteReference w:id="28"/>
      </w:r>
      <w:r>
        <w:rPr>
          <w:rFonts w:cs="Open Sans" w:ascii="Open Sans" w:hAnsi="Open Sans"/>
          <w:sz w:val="20"/>
          <w:szCs w:val="20"/>
        </w:rPr>
        <w:t xml:space="preserve"> </w:t>
      </w:r>
    </w:p>
    <w:p>
      <w:pPr>
        <w:pStyle w:val="Normal"/>
        <w:numPr>
          <w:ilvl w:val="0"/>
          <w:numId w:val="4"/>
        </w:numPr>
        <w:spacing w:lineRule="atLeast" w:line="100" w:before="0" w:after="113"/>
        <w:jc w:val="both"/>
        <w:rPr>
          <w:rStyle w:val="EndnoteCharacters"/>
          <w:rFonts w:ascii="Open Sans" w:hAnsi="Open Sans" w:eastAsia="Open Sans" w:cs="Open Sans"/>
          <w:i/>
          <w:i/>
          <w:iCs/>
          <w:position w:val="0"/>
          <w:sz w:val="20"/>
          <w:sz w:val="20"/>
          <w:szCs w:val="20"/>
          <w:vertAlign w:val="baseline"/>
        </w:rPr>
      </w:pPr>
      <w:r>
        <w:rPr>
          <w:rFonts w:cs="Open Sans" w:ascii="Open Sans" w:hAnsi="Open Sans"/>
          <w:sz w:val="20"/>
          <w:szCs w:val="20"/>
        </w:rPr>
        <w:t>With “increasing numbers of Gypsy/Roma children in care, […] discrimination plays a significant role. […] The impact of inequality and socio-economic circumstances is visible, and often affects Roma parents’ ability to meet expected standards of care. […] Our research also highlighted a concerning pattern where social workers, especially when dealing with Roma children, tend to conflate poverty with neglect.”</w:t>
      </w:r>
      <w:r>
        <w:rPr>
          <w:rStyle w:val="EndnoteReference"/>
          <w:rFonts w:cs="Open Sans" w:ascii="Open Sans" w:hAnsi="Open Sans"/>
          <w:sz w:val="20"/>
          <w:szCs w:val="20"/>
        </w:rPr>
        <w:endnoteReference w:id="29"/>
      </w:r>
    </w:p>
    <w:p>
      <w:pPr>
        <w:pStyle w:val="Normal"/>
        <w:numPr>
          <w:ilvl w:val="0"/>
          <w:numId w:val="2"/>
        </w:numPr>
        <w:spacing w:lineRule="atLeast" w:line="100" w:before="0" w:after="113"/>
        <w:ind w:hanging="360" w:start="360" w:end="0"/>
        <w:jc w:val="both"/>
        <w:rPr>
          <w:rFonts w:ascii="Open Sans" w:hAnsi="Open Sans" w:cs="Open Sans"/>
          <w:i/>
          <w:i/>
          <w:iCs/>
          <w:sz w:val="20"/>
          <w:szCs w:val="20"/>
        </w:rPr>
      </w:pPr>
      <w:r>
        <w:rPr>
          <w:rStyle w:val="EndnoteCharacters"/>
          <w:rFonts w:eastAsia="Open Sans" w:cs="Open Sans" w:ascii="Open Sans" w:hAnsi="Open Sans"/>
          <w:i/>
          <w:iCs/>
          <w:position w:val="0"/>
          <w:sz w:val="20"/>
          <w:sz w:val="20"/>
          <w:szCs w:val="20"/>
          <w:vertAlign w:val="baseline"/>
        </w:rPr>
        <w:t xml:space="preserve">Povertyism can be compounded when </w:t>
      </w:r>
      <w:r>
        <w:rPr>
          <w:rStyle w:val="EndnoteCharacters"/>
          <w:rFonts w:eastAsia="Open Sans" w:cs="Open Sans" w:ascii="Open Sans" w:hAnsi="Open Sans"/>
          <w:b/>
          <w:bCs/>
          <w:i/>
          <w:iCs/>
          <w:position w:val="0"/>
          <w:sz w:val="20"/>
          <w:sz w:val="20"/>
          <w:szCs w:val="20"/>
          <w:vertAlign w:val="baseline"/>
        </w:rPr>
        <w:t>special needs</w:t>
      </w:r>
      <w:r>
        <w:rPr>
          <w:rStyle w:val="EndnoteCharacters"/>
          <w:rFonts w:eastAsia="Open Sans" w:cs="Open Sans" w:ascii="Open Sans" w:hAnsi="Open Sans"/>
          <w:i/>
          <w:iCs/>
          <w:position w:val="0"/>
          <w:sz w:val="20"/>
          <w:sz w:val="20"/>
          <w:szCs w:val="20"/>
          <w:vertAlign w:val="baseline"/>
        </w:rPr>
        <w:t xml:space="preserve"> are also present. Parents with special needs are wrongfully seen as at risk of becoming neglectful. This occurs both when the parents are not receiving needed support, or sometimes as a result of baseless and discriminatory assumptions about their capacities.</w:t>
      </w:r>
      <w:r>
        <w:rPr>
          <w:rStyle w:val="EndnoteReference"/>
          <w:rFonts w:eastAsia="Open Sans" w:cs="Open Sans" w:ascii="Open Sans" w:hAnsi="Open Sans"/>
          <w:i/>
          <w:iCs/>
          <w:position w:val="0"/>
          <w:sz w:val="20"/>
          <w:sz w:val="20"/>
          <w:szCs w:val="20"/>
          <w:vertAlign w:val="baseline"/>
        </w:rPr>
        <w:endnoteReference w:id="30"/>
      </w:r>
      <w:r>
        <w:rPr>
          <w:rStyle w:val="EndnoteCharacters"/>
          <w:rFonts w:eastAsia="Open Sans" w:cs="Open Sans" w:ascii="Open Sans" w:hAnsi="Open Sans"/>
          <w:i/>
          <w:iCs/>
          <w:position w:val="0"/>
          <w:sz w:val="20"/>
          <w:sz w:val="20"/>
          <w:szCs w:val="20"/>
          <w:vertAlign w:val="baseline"/>
        </w:rPr>
        <w:t xml:space="preserve"> According to Clements and Aiello of the University of Leeds, when children have special needs, social work practice is to categorise them in the same way as children considered “at-risk of neglect”, which means that their family’s interactions with social services often become investigations where the parents are treated as if they've been accused of abuse.</w:t>
      </w:r>
      <w:r>
        <w:rPr>
          <w:rStyle w:val="EndnoteReference"/>
          <w:rFonts w:eastAsia="Open Sans" w:cs="Open Sans" w:ascii="Open Sans" w:hAnsi="Open Sans"/>
          <w:i/>
          <w:iCs/>
          <w:position w:val="0"/>
          <w:sz w:val="20"/>
          <w:sz w:val="20"/>
          <w:szCs w:val="20"/>
          <w:vertAlign w:val="baseline"/>
        </w:rPr>
        <w:endnoteReference w:id="31"/>
      </w:r>
    </w:p>
    <w:p>
      <w:pPr>
        <w:pStyle w:val="Normal"/>
        <w:numPr>
          <w:ilvl w:val="0"/>
          <w:numId w:val="0"/>
        </w:numPr>
        <w:spacing w:lineRule="atLeast" w:line="100" w:before="0" w:after="113"/>
        <w:ind w:hanging="0" w:start="360" w:end="0"/>
        <w:jc w:val="both"/>
        <w:rPr>
          <w:rFonts w:ascii="Open Sans" w:hAnsi="Open Sans" w:cs="Open Sans"/>
          <w:i/>
          <w:i/>
          <w:iCs/>
          <w:sz w:val="20"/>
          <w:szCs w:val="20"/>
        </w:rPr>
      </w:pPr>
      <w:r>
        <w:rPr/>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Normal"/>
              <w:spacing w:lineRule="atLeast" w:line="100" w:before="0" w:after="113"/>
              <w:jc w:val="both"/>
              <w:rPr/>
            </w:pPr>
            <w:r>
              <w:rPr>
                <w:rFonts w:cs="Open Sans" w:ascii="Open Sans" w:hAnsi="Open Sans"/>
                <w:i/>
                <w:iCs/>
                <w:sz w:val="20"/>
                <w:szCs w:val="20"/>
              </w:rPr>
              <w:t>Pamela’s two children were placed in care 18 months ago, while she was experiencing domestic violence.  Even though she was the victim of her partner’s violence, she felt treated as a villain for having failed to protect her children from witnessing this. Recently, social services told Pamela they were ready to return custody of her children given that she has left her partner. But this presents a new challenge for her. She grew up in poverty herself and left school early. She feels she doesn’t deserve to be treated well, and she lacks resources and community support. Even though she was the victim of her partner’s violence, she felt treated as a villain for having failed to protect her children from witnessing this. Recently, social services told Pamela they were ready to return custody of her children given that she has left her partner. But this presents a new challenge for her. She grew up in poverty herself and left school early. She feels she doesn’t deserve to be treated well, and she lacks resources and community support. Even though she is aching to have her children home again, when Pamela sees the material means of her children’s foster carers, she fears that she can’t afford to give them the decent life that all children should have. Given the cost-of-living crisis, for now, she has not dared to bring her children home.</w:t>
            </w:r>
            <w:r>
              <w:rPr>
                <w:rStyle w:val="EndnoteReference"/>
                <w:rFonts w:cs="Open Sans" w:ascii="Open Sans" w:hAnsi="Open Sans"/>
                <w:sz w:val="20"/>
                <w:szCs w:val="20"/>
              </w:rPr>
              <w:endnoteReference w:id="32"/>
            </w:r>
          </w:p>
        </w:tc>
      </w:tr>
    </w:tbl>
    <w:p>
      <w:pPr>
        <w:pStyle w:val="Normal"/>
        <w:spacing w:lineRule="atLeast" w:line="100" w:before="0" w:after="113"/>
        <w:jc w:val="both"/>
        <w:rPr>
          <w:rFonts w:ascii="Open Sans" w:hAnsi="Open Sans" w:cs="Open Sans"/>
          <w:i/>
          <w:i/>
          <w:iCs/>
          <w:sz w:val="20"/>
          <w:szCs w:val="20"/>
        </w:rPr>
      </w:pPr>
      <w:r>
        <w:rPr>
          <w:rFonts w:cs="Open Sans" w:ascii="Open Sans" w:hAnsi="Open Sans"/>
          <w:i/>
          <w:iCs/>
          <w:sz w:val="20"/>
          <w:szCs w:val="20"/>
        </w:rPr>
      </w:r>
    </w:p>
    <w:p>
      <w:pPr>
        <w:pStyle w:val="BodyText"/>
        <w:numPr>
          <w:ilvl w:val="0"/>
          <w:numId w:val="2"/>
        </w:numPr>
        <w:spacing w:lineRule="auto" w:line="240" w:before="113" w:after="170"/>
        <w:ind w:hanging="360" w:start="360" w:end="0"/>
        <w:jc w:val="both"/>
        <w:rPr>
          <w:rStyle w:val="EndnoteCharacters"/>
          <w:rFonts w:ascii="Open Sans" w:hAnsi="Open Sans" w:cs="Open Sans"/>
          <w:position w:val="0"/>
          <w:sz w:val="20"/>
          <w:sz w:val="20"/>
          <w:szCs w:val="20"/>
          <w:vertAlign w:val="baseline"/>
        </w:rPr>
      </w:pPr>
      <w:r>
        <w:rPr>
          <w:rFonts w:cs="Open Sans" w:ascii="Open Sans" w:hAnsi="Open Sans"/>
          <w:sz w:val="20"/>
          <w:szCs w:val="20"/>
        </w:rPr>
        <w:t xml:space="preserve">With the advent of </w:t>
      </w:r>
      <w:r>
        <w:rPr>
          <w:rFonts w:cs="Open Sans" w:ascii="Open Sans" w:hAnsi="Open Sans"/>
          <w:b/>
          <w:bCs/>
          <w:sz w:val="20"/>
          <w:szCs w:val="20"/>
        </w:rPr>
        <w:t>artificial intelligence</w:t>
      </w:r>
      <w:r>
        <w:rPr>
          <w:rFonts w:cs="Open Sans" w:ascii="Open Sans" w:hAnsi="Open Sans"/>
          <w:sz w:val="20"/>
          <w:szCs w:val="20"/>
        </w:rPr>
        <w:t>, povertyism and other discrimination are becoming entrenched in the predictive modelling used by children’s social care.</w:t>
      </w:r>
      <w:r>
        <w:rPr>
          <w:rStyle w:val="EndnoteReference"/>
          <w:rFonts w:cs="Open Sans" w:ascii="Open Sans" w:hAnsi="Open Sans"/>
          <w:sz w:val="20"/>
          <w:szCs w:val="20"/>
        </w:rPr>
        <w:endnoteReference w:id="33"/>
      </w:r>
      <w:r>
        <w:rPr>
          <w:rFonts w:cs="Open Sans" w:ascii="Open Sans" w:hAnsi="Open Sans"/>
          <w:sz w:val="20"/>
          <w:szCs w:val="20"/>
        </w:rPr>
        <w:t xml:space="preserve"> Administrative data on families from public records joined together, with algorithmic processing used in an effort to identify any risk of potential family problems. It is not just an individual family’s data that is used to forecast its own future actions, however; data from all families is drawn into the predictive modelling net and it is other families’ propensities that determine whether or not a family is deemed to pose a future risk to its children.” According to Edwards and colleagues, “[i]n effect, this is mass digital monitoring. […] Predictive algorithmic endeavours give a veneer of being scientific and value-free but they replicate and perpetuate stereotypes and inequalities built into the data they are developed from. […] A recent report from the Office of the United Nations High Commissioner for Human Rights</w:t>
      </w:r>
      <w:r>
        <w:rPr>
          <w:rStyle w:val="EndnoteReference"/>
          <w:rFonts w:cs="Open Sans" w:ascii="Open Sans" w:hAnsi="Open Sans"/>
          <w:sz w:val="20"/>
          <w:szCs w:val="20"/>
        </w:rPr>
        <w:endnoteReference w:id="34"/>
      </w:r>
      <w:r>
        <w:rPr>
          <w:rFonts w:cs="Open Sans" w:ascii="Open Sans" w:hAnsi="Open Sans"/>
          <w:sz w:val="20"/>
          <w:szCs w:val="20"/>
        </w:rPr>
        <w:t xml:space="preserve"> has called for a moratorium on the use of artificial intelligence systems including data profiling, automated decision making and other machine-learning technologies that pose threats to human rights until sufficient safeguards are implemented.”</w:t>
      </w:r>
      <w:r>
        <w:rPr>
          <w:rStyle w:val="EndnoteReference"/>
          <w:rFonts w:cs="Open Sans" w:ascii="Open Sans" w:hAnsi="Open Sans"/>
          <w:sz w:val="20"/>
          <w:szCs w:val="20"/>
        </w:rPr>
        <w:endnoteReference w:id="35"/>
      </w:r>
      <w:r>
        <w:rPr>
          <w:rStyle w:val="FootnoteReference11"/>
          <w:rFonts w:cs="Open Sans" w:ascii="Open Sans" w:hAnsi="Open Sans"/>
          <w:sz w:val="20"/>
          <w:szCs w:val="20"/>
        </w:rPr>
        <w:t xml:space="preserve"> </w:t>
      </w:r>
    </w:p>
    <w:p>
      <w:pPr>
        <w:pStyle w:val="BodyText"/>
        <w:numPr>
          <w:ilvl w:val="0"/>
          <w:numId w:val="2"/>
        </w:numPr>
        <w:spacing w:lineRule="auto" w:line="240" w:before="0" w:after="170"/>
        <w:ind w:hanging="360" w:start="360" w:end="0"/>
        <w:jc w:val="both"/>
        <w:rPr>
          <w:rFonts w:ascii="Open Sans" w:hAnsi="Open Sans" w:cs="Open Sans"/>
          <w:sz w:val="20"/>
          <w:szCs w:val="20"/>
        </w:rPr>
      </w:pPr>
      <w:r>
        <w:rPr>
          <w:rStyle w:val="EndnoteCharacters"/>
          <w:rFonts w:cs="Open Sans" w:ascii="Open Sans" w:hAnsi="Open Sans"/>
          <w:position w:val="0"/>
          <w:sz w:val="20"/>
          <w:sz w:val="20"/>
          <w:szCs w:val="20"/>
          <w:vertAlign w:val="baseline"/>
        </w:rPr>
        <w:t xml:space="preserve">A 2024 survey by Social Work News about the past three years found that 81% of social workers working with families have seen the number of </w:t>
      </w:r>
      <w:r>
        <w:rPr>
          <w:rStyle w:val="EndnoteCharacters"/>
          <w:rFonts w:cs="Open Sans" w:ascii="Open Sans" w:hAnsi="Open Sans"/>
          <w:b/>
          <w:bCs/>
          <w:position w:val="0"/>
          <w:sz w:val="20"/>
          <w:sz w:val="20"/>
          <w:szCs w:val="20"/>
          <w:vertAlign w:val="baseline"/>
        </w:rPr>
        <w:t>cases referred to them due to poverty increase</w:t>
      </w:r>
      <w:r>
        <w:rPr>
          <w:rStyle w:val="EndnoteCharacters"/>
          <w:rFonts w:cs="Open Sans" w:ascii="Open Sans" w:hAnsi="Open Sans"/>
          <w:position w:val="0"/>
          <w:sz w:val="20"/>
          <w:sz w:val="20"/>
          <w:szCs w:val="20"/>
          <w:vertAlign w:val="baseline"/>
        </w:rPr>
        <w:t xml:space="preserve">, while 79% of social workers also report self-referrals rising. </w:t>
      </w:r>
      <w:r>
        <w:rPr>
          <w:rFonts w:cs="Open Sans" w:ascii="Open Sans" w:hAnsi="Open Sans"/>
          <w:sz w:val="20"/>
          <w:szCs w:val="20"/>
        </w:rPr>
        <w:t>Dr Ruth Allen, Chief Executive of the British Association of Social Workers, said: “Social workers have raised the alarm on the untold damage and distress that rising hardship is causing across the country, which is undoubtedly contributing to social services supporting more families in increasingly complex and vulnerable situations. We all want families to stay together but [...] important decisions taken by professionals are a delicate tightrope being made ever frailer by deepening financial pressures. While poverty in itself is never a reason to remove children from parental care, the stresses and hardships render people more vulnerable to other risks and can undermine parenting.”</w:t>
      </w:r>
      <w:r>
        <w:rPr>
          <w:rStyle w:val="EndnoteReference"/>
          <w:rFonts w:cs="Open Sans" w:ascii="Open Sans" w:hAnsi="Open Sans"/>
          <w:sz w:val="20"/>
          <w:szCs w:val="20"/>
        </w:rPr>
        <w:endnoteReference w:id="36"/>
      </w:r>
      <w:r>
        <w:rPr>
          <w:rFonts w:cs="Open Sans" w:ascii="Open Sans" w:hAnsi="Open Sans"/>
          <w:sz w:val="20"/>
          <w:szCs w:val="20"/>
        </w:rPr>
        <w:t xml:space="preserve"> </w:t>
      </w:r>
    </w:p>
    <w:p>
      <w:pPr>
        <w:pStyle w:val="BodyText"/>
        <w:numPr>
          <w:ilvl w:val="0"/>
          <w:numId w:val="2"/>
        </w:numPr>
        <w:spacing w:lineRule="auto" w:line="240" w:before="0" w:after="170"/>
        <w:ind w:hanging="360" w:start="360" w:end="0"/>
        <w:jc w:val="both"/>
        <w:rPr>
          <w:rFonts w:ascii="Open Sans" w:hAnsi="Open Sans" w:eastAsia="Open Sans" w:cs="Open Sans"/>
          <w:sz w:val="20"/>
          <w:szCs w:val="20"/>
        </w:rPr>
      </w:pPr>
      <w:r>
        <w:rPr>
          <w:rFonts w:cs="Open Sans" w:ascii="Open Sans" w:hAnsi="Open Sans"/>
          <w:sz w:val="20"/>
          <w:szCs w:val="20"/>
        </w:rPr>
        <w:t xml:space="preserve">Recent figures show </w:t>
      </w:r>
      <w:r>
        <w:rPr>
          <w:rFonts w:cs="Open Sans" w:ascii="Open Sans" w:hAnsi="Open Sans"/>
          <w:b/>
          <w:bCs/>
          <w:sz w:val="20"/>
          <w:szCs w:val="20"/>
        </w:rPr>
        <w:t>a 102% increase in the number of children taken into State care</w:t>
      </w:r>
      <w:r>
        <w:rPr>
          <w:rFonts w:cs="Open Sans" w:ascii="Open Sans" w:hAnsi="Open Sans"/>
          <w:sz w:val="20"/>
          <w:szCs w:val="20"/>
        </w:rPr>
        <w:t xml:space="preserve"> in the past 12 years. This is due to “declining spending on early intervention services mean[ing] many families are not receiving support before they reach crisis point”.</w:t>
      </w:r>
      <w:r>
        <w:rPr>
          <w:rStyle w:val="EndnoteReference"/>
          <w:rFonts w:cs="Open Sans" w:ascii="Open Sans" w:hAnsi="Open Sans"/>
          <w:sz w:val="20"/>
          <w:szCs w:val="20"/>
        </w:rPr>
        <w:endnoteReference w:id="37"/>
      </w:r>
      <w:r>
        <w:rPr>
          <w:rFonts w:cs="Open Sans" w:ascii="Open Sans" w:hAnsi="Open Sans"/>
          <w:sz w:val="20"/>
          <w:szCs w:val="20"/>
        </w:rPr>
        <w:t xml:space="preserve"> In addition, since 2019, there has been an up-tick in children making allegations of maltreatment by their carers despite “the fear of being punished by their foster carers for speaking out and being sent back to a care home [as] possible incentives for some children currently in foster care to keep their maltreatment hidden. […] The latest data also reveal concerning numbers of allegations about physical and sexual abuse, as well as neglect and emotional abuse along with the use of physical restraint against children by foster carers.”</w:t>
      </w:r>
      <w:r>
        <w:rPr>
          <w:rStyle w:val="EndnoteReference"/>
          <w:rFonts w:cs="Open Sans" w:ascii="Open Sans" w:hAnsi="Open Sans"/>
          <w:sz w:val="20"/>
          <w:szCs w:val="20"/>
        </w:rPr>
        <w:endnoteReference w:id="38"/>
      </w:r>
    </w:p>
    <w:p>
      <w:pPr>
        <w:pStyle w:val="BodyText"/>
        <w:numPr>
          <w:ilvl w:val="0"/>
          <w:numId w:val="2"/>
        </w:numPr>
        <w:spacing w:lineRule="auto" w:line="240" w:before="0" w:after="170"/>
        <w:ind w:hanging="360" w:start="360" w:end="0"/>
        <w:jc w:val="both"/>
        <w:rPr>
          <w:rFonts w:ascii="Open Sans" w:hAnsi="Open Sans" w:cs="Open Sans"/>
          <w:i/>
          <w:i/>
          <w:iCs/>
          <w:sz w:val="20"/>
          <w:szCs w:val="20"/>
        </w:rPr>
      </w:pPr>
      <w:r>
        <w:rPr>
          <w:rFonts w:eastAsia="Open Sans" w:cs="Open Sans" w:ascii="Open Sans" w:hAnsi="Open Sans"/>
          <w:sz w:val="20"/>
          <w:szCs w:val="20"/>
        </w:rPr>
        <w:t>When children are taken into care, the idea should usually for this to be temporary, leading to reunification with their parents. However a new survey by the charity Action for Children shows that 78% of social workers who responded said “they would like to provide more pre-reunification support than is currently offered”. The report on this survey add that “funding constraints and a lack of recruitment and retention of social care staff is preventing children from getting the support they need to return home from care”.</w:t>
      </w:r>
      <w:r>
        <w:rPr>
          <w:rStyle w:val="EndnoteReference"/>
          <w:rFonts w:eastAsia="Open Sans" w:cs="Open Sans" w:ascii="Open Sans" w:hAnsi="Open Sans"/>
          <w:sz w:val="20"/>
          <w:szCs w:val="20"/>
        </w:rPr>
        <w:endnoteReference w:id="39"/>
      </w:r>
      <w:r>
        <w:rPr>
          <w:rFonts w:eastAsia="Open Sans" w:cs="Open Sans" w:ascii="Open Sans" w:hAnsi="Open Sans"/>
          <w:sz w:val="20"/>
          <w:szCs w:val="20"/>
        </w:rPr>
        <w:t xml:space="preserve">. It is clear that reunification is not being prioritised in practice. </w:t>
      </w:r>
    </w:p>
    <w:p>
      <w:pPr>
        <w:pStyle w:val="Normal"/>
        <w:numPr>
          <w:ilvl w:val="0"/>
          <w:numId w:val="2"/>
        </w:numPr>
        <w:spacing w:before="0" w:after="170"/>
        <w:ind w:hanging="360" w:start="360" w:end="0"/>
        <w:jc w:val="both"/>
        <w:rPr>
          <w:rFonts w:ascii="Open Sans" w:hAnsi="Open Sans" w:cs="Open Sans"/>
          <w:i/>
          <w:i/>
          <w:iCs/>
          <w:sz w:val="20"/>
          <w:szCs w:val="20"/>
        </w:rPr>
      </w:pPr>
      <w:r>
        <w:rPr>
          <w:rFonts w:cs="Open Sans" w:ascii="Open Sans" w:hAnsi="Open Sans"/>
          <w:i/>
          <w:iCs/>
          <w:sz w:val="20"/>
          <w:szCs w:val="20"/>
        </w:rPr>
        <w:t>Since 2017, each family has been limited to receiving child benefits for only two children (the so-called “two-child limit”). Families with three or more children must wait until older children age out of receiving the benefit in order to access it for younger children. This is one of the Welfare Reforms the CESCR raised concerns about in its 2016 Concluding Observations.</w:t>
      </w:r>
      <w:r>
        <w:rPr>
          <w:rStyle w:val="EndnoteReference"/>
          <w:rFonts w:cs="Open Sans" w:ascii="Open Sans" w:hAnsi="Open Sans"/>
          <w:i/>
          <w:iCs/>
          <w:sz w:val="20"/>
          <w:szCs w:val="20"/>
        </w:rPr>
        <w:endnoteReference w:id="40"/>
      </w:r>
      <w:r>
        <w:rPr>
          <w:rFonts w:cs="Open Sans" w:ascii="Open Sans" w:hAnsi="Open Sans"/>
          <w:i/>
          <w:iCs/>
          <w:sz w:val="20"/>
          <w:szCs w:val="20"/>
        </w:rPr>
        <w:t xml:space="preserve"> </w:t>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BodyText"/>
              <w:spacing w:lineRule="auto" w:line="240" w:before="120" w:after="120"/>
              <w:ind w:hanging="0" w:start="0" w:end="0"/>
              <w:jc w:val="both"/>
              <w:rPr>
                <w:rFonts w:ascii="Open Sans" w:hAnsi="Open Sans" w:eastAsia="Open Sans" w:cs="Open Sans"/>
                <w:i/>
                <w:i/>
                <w:iCs/>
                <w:sz w:val="20"/>
                <w:szCs w:val="20"/>
              </w:rPr>
            </w:pPr>
            <w:r>
              <w:rPr>
                <w:rFonts w:cs="Open Sans" w:ascii="Open Sans" w:hAnsi="Open Sans"/>
                <w:i/>
                <w:iCs/>
                <w:sz w:val="20"/>
                <w:szCs w:val="20"/>
              </w:rPr>
              <w:t>“</w:t>
            </w:r>
            <w:r>
              <w:rPr>
                <w:rFonts w:cs="Open Sans" w:ascii="Open Sans" w:hAnsi="Open Sans"/>
                <w:i/>
                <w:iCs/>
                <w:sz w:val="20"/>
                <w:szCs w:val="20"/>
              </w:rPr>
              <w:t>This two-child limit</w:t>
            </w:r>
            <w:r>
              <w:rPr>
                <w:rFonts w:cs="Open Sans" w:ascii="Open Sans" w:hAnsi="Open Sans"/>
                <w:sz w:val="20"/>
                <w:szCs w:val="20"/>
              </w:rPr>
              <w:t xml:space="preserve"> </w:t>
            </w:r>
            <w:r>
              <w:rPr>
                <w:rFonts w:cs="Open Sans" w:ascii="Open Sans" w:hAnsi="Open Sans"/>
                <w:i/>
                <w:iCs/>
                <w:sz w:val="20"/>
                <w:szCs w:val="20"/>
              </w:rPr>
              <w:t>puts a value on children’s lives based on birth order: if you are born first, you deserve support; if you are born third, you deserve nothing. Regardless of birth order, all people have a right to social security. Despite this right, the limit has been having a big impact on large families, pushing some families into poverty, and others into deeper poverty.”</w:t>
            </w:r>
          </w:p>
          <w:p>
            <w:pPr>
              <w:pStyle w:val="BodyText"/>
              <w:spacing w:lineRule="auto" w:line="240" w:before="120" w:after="120"/>
              <w:ind w:hanging="0" w:start="0" w:end="0"/>
              <w:jc w:val="end"/>
              <w:rPr/>
            </w:pPr>
            <w:r>
              <w:rPr>
                <w:rFonts w:eastAsia="Open Sans" w:cs="Open Sans" w:ascii="Open Sans" w:hAnsi="Open Sans"/>
                <w:i/>
                <w:iCs/>
                <w:sz w:val="20"/>
                <w:szCs w:val="20"/>
              </w:rPr>
              <w:t xml:space="preserve"> </w:t>
            </w:r>
            <w:r>
              <w:rPr>
                <w:rFonts w:cs="Open Sans" w:ascii="Open Sans" w:hAnsi="Open Sans"/>
                <w:sz w:val="20"/>
                <w:szCs w:val="20"/>
              </w:rPr>
              <w:t>- expert-by-experience Kaydence Drayak</w:t>
            </w:r>
          </w:p>
        </w:tc>
      </w:tr>
    </w:tbl>
    <w:p>
      <w:pPr>
        <w:pStyle w:val="Normal"/>
        <w:spacing w:before="0" w:after="170"/>
        <w:jc w:val="both"/>
        <w:rPr>
          <w:rFonts w:cs="Open Sans"/>
        </w:rPr>
      </w:pPr>
      <w:r>
        <w:rPr>
          <w:rFonts w:cs="Open Sans"/>
        </w:rPr>
      </w:r>
    </w:p>
    <w:p>
      <w:pPr>
        <w:pStyle w:val="BodyText"/>
        <w:numPr>
          <w:ilvl w:val="0"/>
          <w:numId w:val="2"/>
        </w:numPr>
        <w:spacing w:lineRule="auto" w:line="240" w:before="0" w:after="170"/>
        <w:ind w:hanging="360" w:start="360" w:end="0"/>
        <w:jc w:val="both"/>
        <w:rPr>
          <w:rFonts w:ascii="Open Sans" w:hAnsi="Open Sans" w:cs="Open Sans"/>
          <w:i/>
          <w:i/>
          <w:iCs/>
          <w:sz w:val="20"/>
          <w:szCs w:val="20"/>
        </w:rPr>
      </w:pPr>
      <w:r>
        <w:rPr>
          <w:rFonts w:cs="Open Sans" w:ascii="Open Sans" w:hAnsi="Open Sans"/>
          <w:sz w:val="20"/>
          <w:szCs w:val="20"/>
        </w:rPr>
        <w:t>“</w:t>
      </w:r>
      <w:r>
        <w:rPr>
          <w:rFonts w:cs="Open Sans" w:ascii="Open Sans" w:hAnsi="Open Sans"/>
          <w:sz w:val="20"/>
          <w:szCs w:val="20"/>
        </w:rPr>
        <w:t>Rather than money being directly spent on supporting families remaining together, funds are redirected to remove children from parents at a huge expense”, according to a social worker in the North East of England.</w:t>
      </w:r>
      <w:r>
        <w:rPr>
          <w:rStyle w:val="EndnoteReference"/>
          <w:rFonts w:cs="Open Sans" w:ascii="Open Sans" w:hAnsi="Open Sans"/>
          <w:sz w:val="20"/>
          <w:szCs w:val="20"/>
        </w:rPr>
        <w:endnoteReference w:id="41"/>
      </w:r>
      <w:r>
        <w:rPr>
          <w:rFonts w:cs="Open Sans" w:ascii="Open Sans" w:hAnsi="Open Sans"/>
          <w:sz w:val="20"/>
          <w:szCs w:val="20"/>
        </w:rPr>
        <w:t xml:space="preserve"> Over the past three decades, </w:t>
      </w:r>
      <w:r>
        <w:rPr>
          <w:rFonts w:cs="Open Sans" w:ascii="Open Sans" w:hAnsi="Open Sans"/>
          <w:b/>
          <w:bCs/>
          <w:sz w:val="20"/>
          <w:szCs w:val="20"/>
        </w:rPr>
        <w:t>the private sector</w:t>
      </w:r>
      <w:r>
        <w:rPr>
          <w:rFonts w:cs="Open Sans" w:ascii="Open Sans" w:hAnsi="Open Sans"/>
          <w:sz w:val="20"/>
          <w:szCs w:val="20"/>
        </w:rPr>
        <w:t xml:space="preserve"> has adopted a significantly increased role within the children’s social care sector, with some children taken into environments that are not suitable for their needs. We have seen £250 million profit syphoned-off to private firms and international financiers.</w:t>
      </w:r>
      <w:r>
        <w:rPr>
          <w:rStyle w:val="EndnoteReference"/>
          <w:rFonts w:cs="Open Sans" w:ascii="Open Sans" w:hAnsi="Open Sans"/>
          <w:sz w:val="20"/>
          <w:szCs w:val="20"/>
        </w:rPr>
        <w:endnoteReference w:id="42"/>
      </w:r>
      <w:r>
        <w:rPr>
          <w:rFonts w:cs="Open Sans" w:ascii="Open Sans" w:hAnsi="Open Sans"/>
          <w:sz w:val="20"/>
          <w:szCs w:val="20"/>
        </w:rPr>
        <w:t xml:space="preserve"> Writing for The Observer, Anna Fazackerley wrote: “Children’s social care is widely understood to be the single biggest factor pushing English councils towards bankruptcy as increasing numbers of young people being taken into care coincide with steep fees for private children’s homes. More than 80% of children’s homes in England and Wales are now run to make a profit, with many owned by private equity companies. A 2023 survey by the Local Government Association found more than 1,500 placements costing at least £10,000 a child a week.”</w:t>
      </w:r>
      <w:r>
        <w:rPr>
          <w:rStyle w:val="EndnoteReference"/>
          <w:rFonts w:cs="Open Sans" w:ascii="Open Sans" w:hAnsi="Open Sans"/>
          <w:sz w:val="20"/>
          <w:szCs w:val="20"/>
        </w:rPr>
        <w:endnoteReference w:id="43"/>
      </w:r>
      <w:r>
        <w:rPr>
          <w:rFonts w:cs="Open Sans" w:ascii="Open Sans" w:hAnsi="Open Sans"/>
          <w:sz w:val="20"/>
          <w:szCs w:val="20"/>
        </w:rPr>
        <w:t xml:space="preserve"> This in itself equates to £780 million per year. </w:t>
      </w:r>
    </w:p>
    <w:p>
      <w:pPr>
        <w:pStyle w:val="BodyText"/>
        <w:numPr>
          <w:ilvl w:val="0"/>
          <w:numId w:val="2"/>
        </w:numPr>
        <w:spacing w:lineRule="auto" w:line="240" w:before="0" w:after="170"/>
        <w:ind w:hanging="360" w:start="360" w:end="0"/>
        <w:jc w:val="both"/>
        <w:rPr>
          <w:rFonts w:ascii="Open Sans" w:hAnsi="Open Sans" w:cs="Open Sans"/>
          <w:i/>
          <w:i/>
          <w:iCs/>
          <w:sz w:val="20"/>
          <w:szCs w:val="20"/>
        </w:rPr>
      </w:pPr>
      <w:r>
        <w:rPr>
          <w:rFonts w:cs="Open Sans" w:ascii="Open Sans" w:hAnsi="Open Sans"/>
          <w:i/>
          <w:iCs/>
          <w:sz w:val="20"/>
          <w:szCs w:val="20"/>
        </w:rPr>
        <w:t xml:space="preserve">One example of these private sector service is that private agencies can be asked by family courts to carry out 24/7 in-home or residential assessments of parenting capacity. One family support worker described to ATD Fourth World how this plays out: </w:t>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BodyText"/>
              <w:spacing w:lineRule="auto" w:line="240" w:before="0" w:after="170"/>
              <w:ind w:hanging="0" w:start="0" w:end="0"/>
              <w:jc w:val="both"/>
              <w:rPr>
                <w:rFonts w:ascii="Open Sans" w:hAnsi="Open Sans" w:cs="Open Sans"/>
                <w:i/>
                <w:i/>
                <w:iCs/>
                <w:sz w:val="20"/>
                <w:szCs w:val="20"/>
              </w:rPr>
            </w:pPr>
            <w:r>
              <w:rPr>
                <w:rFonts w:cs="Open Sans" w:ascii="Open Sans" w:hAnsi="Open Sans"/>
                <w:i/>
                <w:iCs/>
                <w:sz w:val="20"/>
                <w:szCs w:val="20"/>
              </w:rPr>
              <w:t>We've seen a family experience ‘assessment burnout’. Within two days of their baby's birth, safeguarding concerns were raised, and 24/7 observation was put in place in the hospital. This continued in the family’s home for 11 months, 24 hours a day, seven days a week. A parenting assessment was being made during a 12-week period, but the rest of the time it was observation related to safeguarding. In court proceedings the family’s barrister talked about that: when you have people who are constantly on your shoulder all the time looking at you, it takes a toll on people, on their well-being and they become completely burned out. It seemed that the parents would be in almost constant arguments with the people observing them, where they felt accused and judged, arguments they felt they were always losing. Everything that was happening was being questioned, probably by both sides. Both parents have learning disabilities; they needed a more caring, empathic and supportive environment to thrive and show the best of themselves. The parents got completely burned out having constant eyes on them and being criticised. It was unbelievably stressful, and they were completely overwhelmed by this constant observation.”</w:t>
            </w:r>
          </w:p>
        </w:tc>
      </w:tr>
    </w:tbl>
    <w:p>
      <w:pPr>
        <w:pStyle w:val="BodyText"/>
        <w:spacing w:lineRule="auto" w:line="240" w:before="0" w:after="170"/>
        <w:ind w:hanging="0" w:start="0" w:end="0"/>
        <w:jc w:val="both"/>
        <w:rPr>
          <w:rFonts w:ascii="Open Sans" w:hAnsi="Open Sans" w:cs="Open Sans"/>
          <w:i/>
          <w:i/>
          <w:iCs/>
          <w:sz w:val="20"/>
          <w:szCs w:val="20"/>
        </w:rPr>
      </w:pPr>
      <w:r>
        <w:rPr>
          <w:rFonts w:cs="Open Sans" w:ascii="Open Sans" w:hAnsi="Open Sans"/>
          <w:i/>
          <w:iCs/>
          <w:sz w:val="20"/>
          <w:szCs w:val="20"/>
        </w:rPr>
      </w:r>
    </w:p>
    <w:p>
      <w:pPr>
        <w:pStyle w:val="BodyText"/>
        <w:numPr>
          <w:ilvl w:val="0"/>
          <w:numId w:val="2"/>
        </w:numPr>
        <w:spacing w:lineRule="auto" w:line="240" w:before="0" w:after="170"/>
        <w:ind w:hanging="360" w:start="360" w:end="0"/>
        <w:jc w:val="both"/>
        <w:rPr>
          <w:rFonts w:ascii="Open Sans" w:hAnsi="Open Sans" w:cs="Open Sans"/>
          <w:i/>
          <w:i/>
          <w:iCs/>
          <w:sz w:val="20"/>
          <w:szCs w:val="20"/>
        </w:rPr>
      </w:pPr>
      <w:r>
        <w:rPr>
          <w:rFonts w:cs="Open Sans" w:ascii="Open Sans" w:hAnsi="Open Sans"/>
          <w:b/>
          <w:bCs/>
          <w:i/>
          <w:iCs/>
          <w:sz w:val="20"/>
          <w:szCs w:val="20"/>
        </w:rPr>
        <w:t>Contested closed adoptions</w:t>
      </w:r>
      <w:r>
        <w:rPr>
          <w:rFonts w:cs="Open Sans" w:ascii="Open Sans" w:hAnsi="Open Sans"/>
          <w:i/>
          <w:iCs/>
          <w:sz w:val="20"/>
          <w:szCs w:val="20"/>
        </w:rPr>
        <w:t xml:space="preserve"> continue to separate children from their siblings, parents, extended families and communities.</w:t>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BodyText"/>
              <w:spacing w:lineRule="auto" w:line="240" w:before="120" w:after="120"/>
              <w:ind w:hanging="0" w:start="0" w:end="0"/>
              <w:jc w:val="both"/>
              <w:rPr/>
            </w:pPr>
            <w:r>
              <w:rPr>
                <w:rFonts w:cs="Open Sans" w:ascii="Open Sans" w:hAnsi="Open Sans"/>
                <w:i/>
                <w:iCs/>
                <w:sz w:val="20"/>
                <w:szCs w:val="20"/>
              </w:rPr>
              <w:t>“</w:t>
            </w:r>
            <w:r>
              <w:rPr>
                <w:rFonts w:cs="Open Sans" w:ascii="Open Sans" w:hAnsi="Open Sans"/>
                <w:i/>
                <w:iCs/>
                <w:sz w:val="20"/>
                <w:szCs w:val="20"/>
              </w:rPr>
              <w:t>My daughter was adopted away from me at age 4. Now that she’s 12, she managed to find me on TikTok. When she found out that I am raising two sons, she said she always wanted little brothers and now she really wants to meet them. But she’s hiding our communication from her adoptive parents because they told her that I am dangerous.”</w:t>
            </w:r>
            <w:r>
              <w:rPr>
                <w:rStyle w:val="WW8Num3z0"/>
                <w:rFonts w:cs="Open Sans" w:ascii="Open Sans" w:hAnsi="Open Sans"/>
                <w:i/>
                <w:iCs/>
                <w:sz w:val="20"/>
                <w:szCs w:val="20"/>
              </w:rPr>
              <w:t xml:space="preserve"> </w:t>
            </w:r>
            <w:r>
              <w:rPr>
                <w:rStyle w:val="EndnoteReference"/>
                <w:rFonts w:cs="Open Sans" w:ascii="Open Sans" w:hAnsi="Open Sans"/>
                <w:i/>
                <w:iCs/>
                <w:sz w:val="20"/>
                <w:szCs w:val="20"/>
              </w:rPr>
              <w:endnoteReference w:id="44"/>
            </w:r>
          </w:p>
        </w:tc>
      </w:tr>
    </w:tbl>
    <w:p>
      <w:pPr>
        <w:pStyle w:val="BodyText"/>
        <w:spacing w:lineRule="auto" w:line="240" w:before="0" w:after="170"/>
        <w:ind w:hanging="0" w:start="0" w:end="0"/>
        <w:jc w:val="both"/>
        <w:rPr>
          <w:rFonts w:ascii="Open Sans" w:hAnsi="Open Sans" w:cs="Open Sans"/>
          <w:i/>
          <w:i/>
          <w:iCs/>
          <w:sz w:val="20"/>
          <w:szCs w:val="20"/>
        </w:rPr>
      </w:pPr>
      <w:r>
        <w:rPr>
          <w:rFonts w:cs="Open Sans" w:ascii="Open Sans" w:hAnsi="Open Sans"/>
          <w:i/>
          <w:iCs/>
          <w:sz w:val="20"/>
          <w:szCs w:val="20"/>
        </w:rPr>
      </w:r>
    </w:p>
    <w:p>
      <w:pPr>
        <w:pStyle w:val="BodyText"/>
        <w:numPr>
          <w:ilvl w:val="0"/>
          <w:numId w:val="2"/>
        </w:numPr>
        <w:spacing w:lineRule="auto" w:line="240" w:before="0" w:after="170"/>
        <w:ind w:hanging="360" w:start="360" w:end="0"/>
        <w:jc w:val="both"/>
        <w:rPr>
          <w:rFonts w:ascii="Open Sans" w:hAnsi="Open Sans" w:cs="Open Sans"/>
          <w:sz w:val="20"/>
          <w:szCs w:val="20"/>
        </w:rPr>
      </w:pPr>
      <w:r>
        <w:rPr>
          <w:rFonts w:cs="Open Sans" w:ascii="Open Sans" w:hAnsi="Open Sans"/>
          <w:sz w:val="20"/>
          <w:szCs w:val="20"/>
        </w:rPr>
        <w:t>Some 90% of all adoptions in Britain are contested by birth families during the care proceedings process.</w:t>
      </w:r>
      <w:r>
        <w:rPr>
          <w:rStyle w:val="EndnoteReference"/>
          <w:rFonts w:cs="Open Sans" w:ascii="Open Sans" w:hAnsi="Open Sans"/>
          <w:sz w:val="20"/>
          <w:szCs w:val="20"/>
        </w:rPr>
        <w:endnoteReference w:id="45"/>
      </w:r>
      <w:r>
        <w:rPr>
          <w:rFonts w:cs="Open Sans" w:ascii="Open Sans" w:hAnsi="Open Sans"/>
          <w:sz w:val="20"/>
          <w:szCs w:val="20"/>
        </w:rPr>
        <w:t xml:space="preserve"> Research by </w:t>
      </w:r>
      <w:r>
        <w:rPr>
          <w:rStyle w:val="EndnoteCharacters"/>
          <w:rFonts w:cs="Open Sans" w:ascii="Open Sans" w:hAnsi="Open Sans"/>
          <w:position w:val="0"/>
          <w:sz w:val="20"/>
          <w:sz w:val="20"/>
          <w:szCs w:val="20"/>
          <w:vertAlign w:val="baseline"/>
        </w:rPr>
        <w:t>Dr Davey shows the high prevalence of c</w:t>
      </w:r>
      <w:r>
        <w:rPr>
          <w:rStyle w:val="EndnoteCharacters"/>
          <w:rFonts w:cs="Open Sans" w:ascii="Open Sans" w:hAnsi="Open Sans"/>
          <w:color w:val="000000"/>
          <w:position w:val="0"/>
          <w:sz w:val="20"/>
          <w:sz w:val="20"/>
          <w:szCs w:val="20"/>
          <w:vertAlign w:val="baseline"/>
        </w:rPr>
        <w:t xml:space="preserve">ontested adoptions </w:t>
      </w:r>
      <w:r>
        <w:rPr>
          <w:rFonts w:cs="Open Sans" w:ascii="Open Sans" w:hAnsi="Open Sans"/>
          <w:color w:val="000000"/>
          <w:sz w:val="20"/>
          <w:szCs w:val="20"/>
        </w:rPr>
        <w:t>in the UK compared with other countries.</w:t>
      </w:r>
      <w:r>
        <w:rPr>
          <w:rStyle w:val="EndnoteReference"/>
          <w:rFonts w:cs="Open Sans" w:ascii="Open Sans" w:hAnsi="Open Sans"/>
          <w:color w:val="000000"/>
          <w:sz w:val="20"/>
          <w:szCs w:val="20"/>
        </w:rPr>
        <w:endnoteReference w:id="46"/>
      </w:r>
      <w:r>
        <w:rPr>
          <w:rFonts w:cs="Open Sans" w:ascii="Open Sans" w:hAnsi="Open Sans"/>
          <w:color w:val="000000"/>
          <w:sz w:val="20"/>
          <w:szCs w:val="20"/>
        </w:rPr>
        <w:t xml:space="preserve"> </w:t>
      </w:r>
      <w:r>
        <w:rPr>
          <w:rFonts w:cs="Open Sans" w:ascii="Open Sans" w:hAnsi="Open Sans"/>
          <w:sz w:val="20"/>
          <w:szCs w:val="20"/>
        </w:rPr>
        <w:t>A Social Work in Action article points out: “In almost all other European countries adoption is a consensual process, whereas in the UK parental agreement can be dispensed with. […] The process of compulsory adoption is further damaging already vulnerable people. […] The very presence of adoption as a preferred outcome skews practice throughout the system and changes the capacity for social workers to engage with birth parents in a constructive mode.”</w:t>
      </w:r>
      <w:r>
        <w:rPr>
          <w:rStyle w:val="EndnoteReference"/>
          <w:rFonts w:cs="Open Sans" w:ascii="Open Sans" w:hAnsi="Open Sans"/>
          <w:sz w:val="20"/>
          <w:szCs w:val="20"/>
        </w:rPr>
        <w:endnoteReference w:id="47"/>
      </w:r>
      <w:r>
        <w:rPr>
          <w:rStyle w:val="EndnoteCharacters"/>
          <w:rFonts w:cs="Open Sans" w:ascii="Open Sans" w:hAnsi="Open Sans"/>
          <w:sz w:val="20"/>
          <w:szCs w:val="20"/>
        </w:rPr>
        <w:t xml:space="preserve"> </w:t>
      </w:r>
      <w:r>
        <w:rPr>
          <w:rStyle w:val="EndnoteCharacters"/>
          <w:rFonts w:cs="Open Sans" w:ascii="Open Sans" w:hAnsi="Open Sans"/>
          <w:position w:val="0"/>
          <w:sz w:val="20"/>
          <w:sz w:val="20"/>
          <w:szCs w:val="20"/>
          <w:vertAlign w:val="baseline"/>
        </w:rPr>
        <w:t>Changing national policy so that adoptions become consensual is also the new recommendation of the Public Law Working Group of the UK Courts and Tribunals Judiciary.</w:t>
      </w:r>
      <w:r>
        <w:rPr>
          <w:rStyle w:val="EndnoteReference"/>
          <w:rFonts w:cs="Open Sans" w:ascii="Open Sans" w:hAnsi="Open Sans"/>
          <w:sz w:val="20"/>
          <w:szCs w:val="20"/>
        </w:rPr>
        <w:endnoteReference w:id="48"/>
      </w:r>
      <w:r>
        <w:rPr>
          <w:rStyle w:val="EndnoteCharacters"/>
          <w:rFonts w:cs="Open Sans" w:ascii="Open Sans" w:hAnsi="Open Sans"/>
          <w:position w:val="0"/>
          <w:sz w:val="20"/>
          <w:sz w:val="20"/>
          <w:szCs w:val="20"/>
          <w:vertAlign w:val="baseline"/>
        </w:rPr>
        <w:t xml:space="preserve"> </w:t>
      </w:r>
    </w:p>
    <w:p>
      <w:pPr>
        <w:pStyle w:val="BodyText"/>
        <w:numPr>
          <w:ilvl w:val="0"/>
          <w:numId w:val="2"/>
        </w:numPr>
        <w:spacing w:lineRule="auto" w:line="240" w:before="0" w:after="170"/>
        <w:ind w:hanging="360" w:start="360" w:end="0"/>
        <w:jc w:val="both"/>
        <w:rPr>
          <w:rStyle w:val="EndnoteCharacters"/>
          <w:rFonts w:ascii="Open Sans" w:hAnsi="Open Sans" w:eastAsia="Open Sans" w:cs="Open Sans"/>
          <w:i/>
          <w:i/>
          <w:iCs/>
          <w:position w:val="0"/>
          <w:sz w:val="20"/>
          <w:sz w:val="20"/>
          <w:szCs w:val="20"/>
          <w:vertAlign w:val="baseline"/>
        </w:rPr>
      </w:pPr>
      <w:r>
        <w:rPr>
          <w:rFonts w:cs="Open Sans" w:ascii="Open Sans" w:hAnsi="Open Sans"/>
          <w:sz w:val="20"/>
          <w:szCs w:val="20"/>
        </w:rPr>
        <w:t>A study about the effects on children of being separated from their parents by government authorities found that across “a half century of protecting children from their parents […] the effects were universally negative and included [...] psychological trauma, depression, [and] anxiety. […] Signs of children’s distress that can be seen, heard, and felt are many and often extreme”.</w:t>
      </w:r>
      <w:r>
        <w:rPr>
          <w:rStyle w:val="EndnoteReference"/>
          <w:rFonts w:cs="Open Sans" w:ascii="Open Sans" w:hAnsi="Open Sans"/>
          <w:sz w:val="20"/>
          <w:szCs w:val="20"/>
        </w:rPr>
        <w:endnoteReference w:id="49"/>
      </w:r>
      <w:r>
        <w:rPr>
          <w:rFonts w:cs="Open Sans" w:ascii="Open Sans" w:hAnsi="Open Sans"/>
          <w:sz w:val="20"/>
          <w:szCs w:val="20"/>
        </w:rPr>
        <w:t xml:space="preserve"> Children describe being taken by strangers to live with strangers as kidnapping.</w:t>
      </w:r>
      <w:r>
        <w:rPr>
          <w:rStyle w:val="EndnoteReference"/>
          <w:rFonts w:cs="Open Sans" w:ascii="Open Sans" w:hAnsi="Open Sans"/>
          <w:sz w:val="20"/>
          <w:szCs w:val="20"/>
        </w:rPr>
        <w:endnoteReference w:id="50"/>
      </w:r>
      <w:r>
        <w:rPr>
          <w:rFonts w:cs="Open Sans" w:ascii="Open Sans" w:hAnsi="Open Sans"/>
          <w:sz w:val="20"/>
          <w:szCs w:val="20"/>
        </w:rPr>
        <w:t xml:space="preserve"> An estimated two-thirds of adoptees over the age of 16 have sought help for their mental health.</w:t>
      </w:r>
      <w:r>
        <w:rPr>
          <w:rStyle w:val="EndnoteReference"/>
          <w:rFonts w:cs="Open Sans" w:ascii="Open Sans" w:hAnsi="Open Sans"/>
          <w:sz w:val="20"/>
          <w:szCs w:val="20"/>
        </w:rPr>
        <w:endnoteReference w:id="51"/>
      </w:r>
      <w:r>
        <w:rPr>
          <w:rFonts w:cs="Open Sans" w:ascii="Open Sans" w:hAnsi="Open Sans"/>
          <w:sz w:val="20"/>
          <w:szCs w:val="20"/>
        </w:rPr>
        <w:t xml:space="preserve"> Some adoptees say that “that even when placed with the most loving families they carry a deep hole in their hearts not knowing who their birth parents are, and that this has left them feeling angry, a feeling which they have spent their entire lives trying to manage”.</w:t>
      </w:r>
      <w:r>
        <w:rPr>
          <w:rStyle w:val="EndnoteReference"/>
          <w:rFonts w:cs="Open Sans" w:ascii="Open Sans" w:hAnsi="Open Sans"/>
          <w:sz w:val="20"/>
          <w:szCs w:val="20"/>
        </w:rPr>
        <w:endnoteReference w:id="52"/>
      </w:r>
    </w:p>
    <w:p>
      <w:pPr>
        <w:pStyle w:val="BodyText"/>
        <w:numPr>
          <w:ilvl w:val="0"/>
          <w:numId w:val="2"/>
        </w:numPr>
        <w:spacing w:lineRule="auto" w:line="240" w:before="0" w:after="170"/>
        <w:ind w:hanging="360" w:start="360" w:end="0"/>
        <w:jc w:val="both"/>
        <w:rPr>
          <w:rStyle w:val="EndnoteCharacters"/>
          <w:rFonts w:ascii="Open Sans" w:hAnsi="Open Sans" w:eastAsia="Open Sans" w:cs="Open Sans"/>
          <w:i/>
          <w:i/>
          <w:iCs/>
          <w:position w:val="0"/>
          <w:sz w:val="20"/>
          <w:sz w:val="20"/>
          <w:szCs w:val="20"/>
          <w:vertAlign w:val="baseline"/>
        </w:rPr>
      </w:pPr>
      <w:r>
        <w:rPr>
          <w:rStyle w:val="EndnoteCharacters"/>
          <w:rFonts w:eastAsia="Open Sans" w:cs="Open Sans" w:ascii="Open Sans" w:hAnsi="Open Sans"/>
          <w:i/>
          <w:iCs/>
          <w:position w:val="0"/>
          <w:sz w:val="20"/>
          <w:sz w:val="20"/>
          <w:szCs w:val="20"/>
          <w:vertAlign w:val="baseline"/>
        </w:rPr>
        <w:t xml:space="preserve">Family separations due to state-ordered court removal also take a steep toll on parents. Researcher Lisa Morriss states: “As ‘abject figures’, the [birth] mothers are silenced through the stigma and shame of being judged to be a deeply flawed mother [and] the justifiable fear of future children being removed. These mothers exist in a state of haunted motherhood: they are paralysed in anticipation of an imagined future of reunification with their children [and] painfully aware that any future pregnancy will also be subject to child protection procedures”. </w:t>
      </w:r>
      <w:r>
        <w:rPr>
          <w:rStyle w:val="EndnoteReference"/>
          <w:rFonts w:eastAsia="Open Sans" w:cs="Open Sans" w:ascii="Open Sans" w:hAnsi="Open Sans"/>
          <w:i/>
          <w:iCs/>
          <w:position w:val="0"/>
          <w:sz w:val="20"/>
          <w:sz w:val="20"/>
          <w:szCs w:val="20"/>
          <w:vertAlign w:val="baseline"/>
        </w:rPr>
        <w:endnoteReference w:id="53"/>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BodyText"/>
              <w:widowControl/>
              <w:numPr>
                <w:ilvl w:val="0"/>
                <w:numId w:val="0"/>
              </w:numPr>
              <w:suppressAutoHyphens w:val="true"/>
              <w:bidi w:val="0"/>
              <w:spacing w:lineRule="auto" w:line="240" w:before="0" w:after="170"/>
              <w:ind w:hanging="0" w:start="0" w:end="269"/>
              <w:jc w:val="both"/>
              <w:rPr>
                <w:rStyle w:val="EndnoteCharacters"/>
                <w:rFonts w:ascii="Open Sans" w:hAnsi="Open Sans" w:eastAsia="Open Sans" w:cs="Open Sans"/>
                <w:i/>
                <w:i/>
                <w:iCs/>
                <w:position w:val="0"/>
                <w:sz w:val="20"/>
                <w:sz w:val="20"/>
                <w:szCs w:val="20"/>
                <w:vertAlign w:val="baseline"/>
              </w:rPr>
            </w:pPr>
            <w:r>
              <w:rPr>
                <w:rStyle w:val="EndnoteCharacters"/>
                <w:rFonts w:eastAsia="Open Sans" w:cs="Open Sans" w:ascii="Open Sans" w:hAnsi="Open Sans"/>
                <w:i/>
                <w:iCs/>
                <w:position w:val="0"/>
                <w:sz w:val="20"/>
                <w:sz w:val="20"/>
                <w:szCs w:val="20"/>
                <w:vertAlign w:val="baseline"/>
              </w:rPr>
              <w:t>“</w:t>
            </w:r>
            <w:r>
              <w:rPr>
                <w:rStyle w:val="EndnoteCharacters"/>
                <w:rFonts w:eastAsia="Open Sans" w:cs="Open Sans" w:ascii="Open Sans" w:hAnsi="Open Sans"/>
                <w:i/>
                <w:iCs/>
                <w:position w:val="0"/>
                <w:sz w:val="20"/>
                <w:sz w:val="20"/>
                <w:szCs w:val="20"/>
                <w:vertAlign w:val="baseline"/>
              </w:rPr>
              <w:t>Children’s services expected me to show no emotion. I don’t understand that concept. I wasn’t allowed to tell my son that I loved him because it was called ‘emotional harm’, putting my stuff onto my child.”</w:t>
            </w:r>
          </w:p>
          <w:p>
            <w:pPr>
              <w:pStyle w:val="BodyText"/>
              <w:numPr>
                <w:ilvl w:val="0"/>
                <w:numId w:val="0"/>
              </w:numPr>
              <w:spacing w:lineRule="auto" w:line="240" w:before="0" w:after="170"/>
              <w:ind w:hanging="0" w:start="1800" w:end="0"/>
              <w:jc w:val="end"/>
              <w:rPr/>
            </w:pPr>
            <w:r>
              <w:rPr>
                <w:rStyle w:val="EndnoteCharacters"/>
                <w:rFonts w:eastAsia="Open Sans" w:cs="Open Sans" w:ascii="Open Sans" w:hAnsi="Open Sans"/>
                <w:i/>
                <w:iCs/>
                <w:position w:val="0"/>
                <w:sz w:val="20"/>
                <w:sz w:val="20"/>
                <w:szCs w:val="20"/>
                <w:vertAlign w:val="baseline"/>
              </w:rPr>
              <w:t>-</w:t>
            </w:r>
            <w:r>
              <w:rPr>
                <w:rStyle w:val="EndnoteCharacters"/>
                <w:rFonts w:eastAsia="Open Sans" w:cs="Open Sans" w:ascii="Open Sans" w:hAnsi="Open Sans"/>
                <w:i/>
                <w:iCs/>
                <w:sz w:val="20"/>
                <w:szCs w:val="20"/>
              </w:rPr>
              <w:t xml:space="preserve"> </w:t>
            </w:r>
            <w:r>
              <w:rPr>
                <w:rStyle w:val="EndnoteCharacters"/>
                <w:rFonts w:eastAsia="Open Sans" w:cs="Open Sans" w:ascii="Open Sans" w:hAnsi="Open Sans"/>
                <w:i/>
                <w:iCs/>
                <w:position w:val="0"/>
                <w:sz w:val="20"/>
                <w:sz w:val="20"/>
                <w:szCs w:val="20"/>
                <w:vertAlign w:val="baseline"/>
              </w:rPr>
              <w:t>expert-by-experience Francesca Crozier-Roche</w:t>
            </w:r>
            <w:r>
              <w:rPr>
                <w:rStyle w:val="EndnoteReference"/>
                <w:rFonts w:eastAsia="Open Sans" w:cs="Open Sans" w:ascii="Open Sans" w:hAnsi="Open Sans"/>
                <w:i/>
                <w:iCs/>
                <w:position w:val="0"/>
                <w:sz w:val="20"/>
                <w:sz w:val="20"/>
                <w:szCs w:val="20"/>
                <w:vertAlign w:val="baseline"/>
              </w:rPr>
              <w:endnoteReference w:id="54"/>
            </w:r>
          </w:p>
        </w:tc>
      </w:tr>
    </w:tbl>
    <w:p>
      <w:pPr>
        <w:pStyle w:val="BodyText"/>
        <w:numPr>
          <w:ilvl w:val="0"/>
          <w:numId w:val="0"/>
        </w:numPr>
        <w:spacing w:lineRule="auto" w:line="240" w:before="0" w:after="113"/>
        <w:ind w:hanging="0" w:start="1080" w:end="0"/>
        <w:jc w:val="both"/>
        <w:rPr>
          <w:rFonts w:ascii="Open Sans" w:hAnsi="Open Sans" w:eastAsia="Open Sans" w:cs="Open Sans"/>
          <w:sz w:val="20"/>
          <w:szCs w:val="20"/>
        </w:rPr>
      </w:pPr>
      <w:r>
        <w:rPr>
          <w:rStyle w:val="EndnoteCharacters"/>
          <w:rFonts w:eastAsia="Open Sans" w:cs="Open Sans" w:ascii="Open Sans" w:hAnsi="Open Sans"/>
          <w:i/>
          <w:iCs/>
          <w:position w:val="0"/>
          <w:sz w:val="20"/>
          <w:sz w:val="20"/>
          <w:szCs w:val="20"/>
          <w:vertAlign w:val="baseline"/>
        </w:rPr>
        <w:t xml:space="preserve">  </w:t>
      </w:r>
    </w:p>
    <w:p>
      <w:pPr>
        <w:pStyle w:val="BodyText"/>
        <w:numPr>
          <w:ilvl w:val="0"/>
          <w:numId w:val="2"/>
        </w:numPr>
        <w:spacing w:lineRule="auto" w:line="240" w:before="0" w:after="113"/>
        <w:ind w:hanging="363" w:start="360" w:end="0"/>
        <w:jc w:val="both"/>
        <w:rPr>
          <w:rFonts w:ascii="Open Sans" w:hAnsi="Open Sans" w:cs="Open Sans"/>
          <w:b/>
          <w:bCs/>
          <w:sz w:val="20"/>
          <w:szCs w:val="20"/>
        </w:rPr>
      </w:pPr>
      <w:r>
        <w:rPr>
          <w:rFonts w:eastAsia="Open Sans" w:cs="Open Sans" w:ascii="Open Sans" w:hAnsi="Open Sans"/>
          <w:sz w:val="20"/>
          <w:szCs w:val="20"/>
        </w:rPr>
        <w:t>In 2023, the First Minister of Scotland formally apologised for forced adoptions during the 1960s and 70s when young or unmarried mothers were forced or coerced into the adoption process. In her apology the First Minister says "Mistreating women and forcing them to part with their babies, was never right. It was always cruel, unjust and profoundly wrong."</w:t>
      </w:r>
      <w:r>
        <w:rPr>
          <w:rStyle w:val="EndnoteReference"/>
          <w:rFonts w:eastAsia="Open Sans" w:cs="Open Sans" w:ascii="Open Sans" w:hAnsi="Open Sans"/>
          <w:sz w:val="20"/>
          <w:szCs w:val="20"/>
        </w:rPr>
        <w:endnoteReference w:id="55"/>
      </w:r>
      <w:r>
        <w:rPr>
          <w:rFonts w:eastAsia="Open Sans" w:cs="Open Sans" w:ascii="Open Sans" w:hAnsi="Open Sans"/>
          <w:sz w:val="20"/>
          <w:szCs w:val="20"/>
        </w:rPr>
        <w:t xml:space="preserve"> </w:t>
      </w:r>
      <w:r>
        <w:rPr>
          <w:rStyle w:val="EndnoteCharacters"/>
          <w:rFonts w:eastAsia="Open Sans" w:cs="Open Sans" w:ascii="Open Sans" w:hAnsi="Open Sans"/>
          <w:position w:val="0"/>
          <w:sz w:val="20"/>
          <w:sz w:val="20"/>
          <w:szCs w:val="20"/>
          <w:vertAlign w:val="baseline"/>
        </w:rPr>
        <w:t>Despite this, adoptions continue to be imposed, with families in poverty disproportionately the victims. What was wrong then is still wrong now.</w:t>
      </w:r>
    </w:p>
    <w:p>
      <w:pPr>
        <w:pStyle w:val="BodyText"/>
        <w:numPr>
          <w:ilvl w:val="0"/>
          <w:numId w:val="2"/>
        </w:numPr>
        <w:spacing w:lineRule="auto" w:line="240" w:before="0" w:after="113"/>
        <w:ind w:hanging="363" w:start="360" w:end="0"/>
        <w:jc w:val="both"/>
        <w:rPr>
          <w:rFonts w:ascii="Open Sans" w:hAnsi="Open Sans" w:cs="Open Sans"/>
          <w:i w:val="false"/>
          <w:i w:val="false"/>
          <w:iCs w:val="false"/>
          <w:sz w:val="20"/>
          <w:szCs w:val="20"/>
        </w:rPr>
      </w:pPr>
      <w:r>
        <w:rPr>
          <w:rFonts w:cs="Open Sans" w:ascii="Open Sans" w:hAnsi="Open Sans"/>
          <w:b/>
          <w:bCs/>
          <w:sz w:val="20"/>
          <w:szCs w:val="20"/>
        </w:rPr>
        <w:t>The 2021-22</w:t>
      </w:r>
      <w:r>
        <w:rPr>
          <w:rFonts w:cs="Open Sans" w:ascii="Open Sans" w:hAnsi="Open Sans"/>
          <w:b/>
          <w:bCs/>
          <w:color w:val="000000"/>
          <w:sz w:val="20"/>
          <w:szCs w:val="20"/>
        </w:rPr>
        <w:t xml:space="preserve"> </w:t>
      </w:r>
      <w:r>
        <w:rPr>
          <w:rStyle w:val="Hyperlink"/>
          <w:rFonts w:cs="Open Sans" w:ascii="Open Sans" w:hAnsi="Open Sans"/>
          <w:b/>
          <w:bCs/>
          <w:color w:val="000000"/>
          <w:sz w:val="20"/>
          <w:szCs w:val="20"/>
          <w:u w:val="none"/>
        </w:rPr>
        <w:t>Independent review of children’s social care</w:t>
      </w:r>
      <w:r>
        <w:rPr>
          <w:rFonts w:cs="Open Sans" w:ascii="Open Sans" w:hAnsi="Open Sans"/>
          <w:sz w:val="20"/>
          <w:szCs w:val="20"/>
        </w:rPr>
        <w:t xml:space="preserve"> stated clearly that the</w:t>
      </w:r>
      <w:r>
        <w:rPr>
          <w:rFonts w:cs="Open Sans" w:ascii="Open Sans" w:hAnsi="Open Sans"/>
          <w:color w:val="000000"/>
          <w:sz w:val="20"/>
          <w:szCs w:val="20"/>
        </w:rPr>
        <w:t xml:space="preserve"> child protection system in England </w:t>
      </w:r>
      <w:r>
        <w:rPr>
          <w:rFonts w:cs="Open Sans" w:ascii="Open Sans" w:hAnsi="Open Sans"/>
          <w:sz w:val="20"/>
          <w:szCs w:val="20"/>
        </w:rPr>
        <w:t xml:space="preserve">is broken. This review acknowledges the impact of poverty and inequality. It </w:t>
      </w:r>
      <w:r>
        <w:rPr>
          <w:rFonts w:cs="Open Sans" w:ascii="Open Sans" w:hAnsi="Open Sans"/>
          <w:color w:val="000000"/>
          <w:sz w:val="20"/>
          <w:szCs w:val="20"/>
        </w:rPr>
        <w:t>notes that the system is overly focussed on investigation and child removal; that most families the system works with need help, as they are parenting in conditions of adversity; and that the adversarial nature of the system makes relationship-based support difficult. The report described this system as “increasingly skewed to crisis intervention, with outcomes for children that continue to be unacceptably poor”.</w:t>
      </w:r>
      <w:r>
        <w:rPr>
          <w:rStyle w:val="EndnoteReference"/>
          <w:rFonts w:cs="Open Sans" w:ascii="Open Sans" w:hAnsi="Open Sans"/>
          <w:color w:val="000000"/>
          <w:sz w:val="20"/>
          <w:szCs w:val="20"/>
        </w:rPr>
        <w:endnoteReference w:id="56"/>
      </w:r>
      <w:r>
        <w:rPr>
          <w:rFonts w:cs="Open Sans" w:ascii="Open Sans" w:hAnsi="Open Sans"/>
          <w:sz w:val="20"/>
          <w:szCs w:val="20"/>
        </w:rPr>
        <w:t xml:space="preserve"> It was Government-led and funded; yet the Government has still failed to act on its conclusions. In February 2024, the Government launched an </w:t>
      </w:r>
      <w:r>
        <w:rPr>
          <w:rStyle w:val="Hyperlink"/>
          <w:rFonts w:cs="Open Sans" w:ascii="Open Sans" w:hAnsi="Open Sans"/>
          <w:color w:val="000000"/>
          <w:sz w:val="20"/>
          <w:szCs w:val="20"/>
          <w:u w:val="none"/>
        </w:rPr>
        <w:t>Education Select Committee Inquiry</w:t>
      </w:r>
      <w:r>
        <w:rPr>
          <w:rFonts w:cs="Open Sans" w:ascii="Open Sans" w:hAnsi="Open Sans"/>
          <w:sz w:val="20"/>
          <w:szCs w:val="20"/>
        </w:rPr>
        <w:t xml:space="preserve"> into Children's Social Care Services; however, to our knowledge there is no final report.</w:t>
      </w:r>
      <w:r>
        <w:rPr>
          <w:rStyle w:val="EndnoteReference"/>
          <w:rFonts w:cs="Open Sans" w:ascii="Open Sans" w:hAnsi="Open Sans"/>
          <w:sz w:val="20"/>
          <w:szCs w:val="20"/>
        </w:rPr>
        <w:endnoteReference w:id="57"/>
      </w:r>
    </w:p>
    <w:p>
      <w:pPr>
        <w:pStyle w:val="BodyText"/>
        <w:numPr>
          <w:ilvl w:val="0"/>
          <w:numId w:val="2"/>
        </w:numPr>
        <w:spacing w:lineRule="auto" w:line="240" w:before="0" w:after="240"/>
        <w:ind w:hanging="357" w:start="357" w:end="0"/>
        <w:jc w:val="both"/>
        <w:rPr>
          <w:rFonts w:ascii="Open Sans" w:hAnsi="Open Sans" w:cs="Open Sans"/>
          <w:i/>
          <w:i/>
          <w:iCs/>
          <w:sz w:val="20"/>
          <w:szCs w:val="20"/>
        </w:rPr>
      </w:pPr>
      <w:r>
        <w:rPr>
          <w:rFonts w:cs="Open Sans" w:ascii="Open Sans" w:hAnsi="Open Sans"/>
          <w:i w:val="false"/>
          <w:iCs w:val="false"/>
          <w:sz w:val="20"/>
          <w:szCs w:val="20"/>
        </w:rPr>
        <w:t xml:space="preserve">The 2023 Government Consultation </w:t>
      </w:r>
      <w:r>
        <w:rPr>
          <w:rStyle w:val="Hyperlink"/>
          <w:rFonts w:cs="Open Sans" w:ascii="Open Sans" w:hAnsi="Open Sans"/>
          <w:i w:val="false"/>
          <w:iCs w:val="false"/>
          <w:color w:val="000000"/>
          <w:sz w:val="20"/>
          <w:szCs w:val="20"/>
          <w:u w:val="none"/>
        </w:rPr>
        <w:t>Children's Social Care: Stable Homes Built on Love</w:t>
      </w:r>
      <w:r>
        <w:rPr>
          <w:rFonts w:cs="Open Sans" w:ascii="Open Sans" w:hAnsi="Open Sans"/>
          <w:i w:val="false"/>
          <w:iCs w:val="false"/>
          <w:sz w:val="20"/>
          <w:szCs w:val="20"/>
        </w:rPr>
        <w:t xml:space="preserve"> makes no mention whatsoever of poverty and has been </w:t>
      </w:r>
      <w:r>
        <w:rPr>
          <w:rStyle w:val="Hyperlink"/>
          <w:rFonts w:cs="Open Sans" w:ascii="Open Sans" w:hAnsi="Open Sans"/>
          <w:i w:val="false"/>
          <w:iCs w:val="false"/>
          <w:color w:val="000000"/>
          <w:sz w:val="20"/>
          <w:szCs w:val="20"/>
          <w:u w:val="none"/>
        </w:rPr>
        <w:t>called piecemeal by several MPs</w:t>
      </w:r>
      <w:r>
        <w:rPr>
          <w:rFonts w:cs="Open Sans" w:ascii="Open Sans" w:hAnsi="Open Sans"/>
          <w:i w:val="false"/>
          <w:iCs w:val="false"/>
          <w:sz w:val="20"/>
          <w:szCs w:val="20"/>
        </w:rPr>
        <w:t>.</w:t>
      </w:r>
      <w:r>
        <w:rPr>
          <w:rStyle w:val="EndnoteReference"/>
          <w:rFonts w:cs="Open Sans" w:ascii="Open Sans" w:hAnsi="Open Sans"/>
          <w:i w:val="false"/>
          <w:iCs w:val="false"/>
          <w:sz w:val="20"/>
          <w:szCs w:val="20"/>
        </w:rPr>
        <w:endnoteReference w:id="58"/>
      </w:r>
      <w:r>
        <w:rPr>
          <w:rFonts w:cs="Open Sans" w:ascii="Open Sans" w:hAnsi="Open Sans"/>
          <w:i w:val="false"/>
          <w:iCs w:val="false"/>
          <w:sz w:val="20"/>
          <w:szCs w:val="20"/>
        </w:rPr>
        <w:t xml:space="preserve"> However, this report does make a useful point about </w:t>
      </w:r>
      <w:r>
        <w:rPr>
          <w:rFonts w:cs="Open Sans" w:ascii="Open Sans" w:hAnsi="Open Sans"/>
          <w:b/>
          <w:bCs/>
          <w:i w:val="false"/>
          <w:iCs w:val="false"/>
          <w:sz w:val="20"/>
          <w:szCs w:val="20"/>
        </w:rPr>
        <w:t>kinship care or Special Guardianship Orders</w:t>
      </w:r>
      <w:r>
        <w:rPr>
          <w:rFonts w:cs="Open Sans" w:ascii="Open Sans" w:hAnsi="Open Sans"/>
          <w:i w:val="false"/>
          <w:iCs w:val="false"/>
          <w:sz w:val="20"/>
          <w:szCs w:val="20"/>
        </w:rPr>
        <w:t xml:space="preserve"> (SGOs, where a family court orders a child to be </w:t>
      </w:r>
      <w:r>
        <w:drawing>
          <wp:anchor behindDoc="0" distT="0" distB="0" distL="0" distR="0" simplePos="0" locked="0" layoutInCell="0" allowOverlap="1" relativeHeight="14">
            <wp:simplePos x="0" y="0"/>
            <wp:positionH relativeFrom="column">
              <wp:posOffset>349250</wp:posOffset>
            </wp:positionH>
            <wp:positionV relativeFrom="paragraph">
              <wp:posOffset>1403985</wp:posOffset>
            </wp:positionV>
            <wp:extent cx="5894705" cy="4097655"/>
            <wp:effectExtent l="0" t="0" r="0" b="0"/>
            <wp:wrapSquare wrapText="largest"/>
            <wp:docPr id="4"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title=""/>
                    <pic:cNvPicPr>
                      <a:picLocks noChangeAspect="1" noChangeArrowheads="1"/>
                    </pic:cNvPicPr>
                  </pic:nvPicPr>
                  <pic:blipFill>
                    <a:blip r:embed="rId14"/>
                    <a:srcRect l="-1305" t="-1878" r="-1305" b="-1878"/>
                    <a:stretch>
                      <a:fillRect/>
                    </a:stretch>
                  </pic:blipFill>
                  <pic:spPr bwMode="auto">
                    <a:xfrm>
                      <a:off x="0" y="0"/>
                      <a:ext cx="5894705" cy="4097655"/>
                    </a:xfrm>
                    <a:prstGeom prst="rect">
                      <a:avLst/>
                    </a:prstGeom>
                    <a:ln w="12700">
                      <a:solidFill>
                        <a:srgbClr val="FFFFFF"/>
                      </a:solidFill>
                    </a:ln>
                  </pic:spPr>
                </pic:pic>
              </a:graphicData>
            </a:graphic>
          </wp:anchor>
        </w:drawing>
      </w:r>
      <w:r>
        <w:rPr>
          <w:rFonts w:cs="Open Sans" w:ascii="Open Sans" w:hAnsi="Open Sans"/>
          <w:i w:val="false"/>
          <w:iCs w:val="false"/>
          <w:sz w:val="20"/>
          <w:szCs w:val="20"/>
        </w:rPr>
        <w:t>placed in the care of an extended family member). The children and young people consulted “said that kinship care needs more recognition, and [they] highlighted the benefits of living with and being cared for by extended family networks. Some mentioned that financial support for kinship care should match foster care.”</w:t>
      </w:r>
      <w:r>
        <w:rPr>
          <w:rStyle w:val="EndnoteReference"/>
          <w:rFonts w:cs="Open Sans" w:ascii="Open Sans" w:hAnsi="Open Sans"/>
          <w:i w:val="false"/>
          <w:iCs w:val="false"/>
          <w:sz w:val="20"/>
          <w:szCs w:val="20"/>
        </w:rPr>
        <w:endnoteReference w:id="59"/>
      </w:r>
      <w:r>
        <w:rPr>
          <w:rFonts w:cs="Open Sans" w:ascii="Open Sans" w:hAnsi="Open Sans"/>
          <w:i w:val="false"/>
          <w:iCs w:val="false"/>
          <w:sz w:val="20"/>
          <w:szCs w:val="20"/>
        </w:rPr>
        <w:t xml:space="preserve"> At least since 2013, it has been well documented that “potentially successful kinship care arrangements run the risk of failure because of the real and severe financial strain kinship carers clearly face.”</w:t>
      </w:r>
      <w:r>
        <w:rPr>
          <w:rStyle w:val="EndnoteReference"/>
          <w:rFonts w:cs="Open Sans" w:ascii="Open Sans" w:hAnsi="Open Sans"/>
          <w:i w:val="false"/>
          <w:iCs w:val="false"/>
          <w:sz w:val="20"/>
          <w:szCs w:val="20"/>
        </w:rPr>
        <w:endnoteReference w:id="60"/>
      </w:r>
      <w:r>
        <w:rPr>
          <w:rFonts w:cs="Open Sans" w:ascii="Open Sans" w:hAnsi="Open Sans"/>
          <w:i w:val="false"/>
          <w:iCs w:val="false"/>
          <w:sz w:val="20"/>
          <w:szCs w:val="20"/>
        </w:rPr>
        <w:t xml:space="preserve"> And yet, the UK Government’s 2023 Kinship Care Strategy does no more than consider “exploring the case” for mandating a financial allowance for all special guardianship and child arrangement kinship carers, in every local authority, equivalent to the corresponding local foster carer allowance.</w:t>
      </w:r>
      <w:r>
        <w:rPr>
          <w:rStyle w:val="EndnoteReference"/>
          <w:rFonts w:cs="Open Sans" w:ascii="Open Sans" w:hAnsi="Open Sans"/>
          <w:i w:val="false"/>
          <w:iCs w:val="false"/>
          <w:sz w:val="20"/>
          <w:szCs w:val="20"/>
        </w:rPr>
        <w:endnoteReference w:id="61"/>
      </w:r>
      <w:r>
        <w:rPr>
          <w:rFonts w:cs="Open Sans" w:ascii="Open Sans" w:hAnsi="Open Sans"/>
          <w:i w:val="false"/>
          <w:iCs w:val="false"/>
          <w:sz w:val="20"/>
          <w:szCs w:val="20"/>
        </w:rPr>
        <w:t xml:space="preserve"> Kinship carers play a vital role and deserve legally mandated support, both financial and otherwise. </w:t>
      </w:r>
    </w:p>
    <w:tbl>
      <w:tblPr>
        <w:tblW w:w="10422" w:type="dxa"/>
        <w:jc w:val="start"/>
        <w:tblInd w:w="0" w:type="dxa"/>
        <w:tblLayout w:type="fixed"/>
        <w:tblCellMar>
          <w:top w:w="0" w:type="dxa"/>
          <w:start w:w="108" w:type="dxa"/>
          <w:bottom w:w="0" w:type="dxa"/>
          <w:end w:w="108" w:type="dxa"/>
        </w:tblCellMar>
      </w:tblPr>
      <w:tblGrid>
        <w:gridCol w:w="10422"/>
      </w:tblGrid>
      <w:tr>
        <w:trPr/>
        <w:tc>
          <w:tcPr>
            <w:tcW w:w="10422" w:type="dxa"/>
            <w:tcBorders>
              <w:top w:val="single" w:sz="4" w:space="0" w:color="000000"/>
              <w:start w:val="single" w:sz="4" w:space="0" w:color="000000"/>
              <w:bottom w:val="single" w:sz="4" w:space="0" w:color="000000"/>
              <w:end w:val="single" w:sz="4" w:space="0" w:color="000000"/>
            </w:tcBorders>
            <w:shd w:fill="F2CEED" w:val="clear"/>
          </w:tcPr>
          <w:p>
            <w:pPr>
              <w:pStyle w:val="BodyText"/>
              <w:spacing w:lineRule="auto" w:line="240" w:before="0" w:after="0"/>
              <w:ind w:hanging="0" w:start="0" w:end="0"/>
              <w:jc w:val="both"/>
              <w:rPr>
                <w:rFonts w:ascii="Open Sans" w:hAnsi="Open Sans" w:cs="Open Sans"/>
                <w:i/>
                <w:i/>
                <w:iCs/>
                <w:sz w:val="20"/>
                <w:szCs w:val="20"/>
              </w:rPr>
            </w:pPr>
            <w:r>
              <w:rPr>
                <w:rFonts w:cs="Open Sans" w:ascii="Open Sans" w:hAnsi="Open Sans"/>
                <w:i/>
                <w:iCs/>
                <w:sz w:val="20"/>
                <w:szCs w:val="20"/>
              </w:rPr>
              <w:t>My own children ripped out of my arms by police after a false accusation,</w:t>
            </w:r>
          </w:p>
          <w:p>
            <w:pPr>
              <w:pStyle w:val="BodyText"/>
              <w:spacing w:lineRule="auto" w:line="240" w:before="0" w:after="0"/>
              <w:ind w:hanging="0" w:start="0" w:end="0"/>
              <w:jc w:val="both"/>
              <w:rPr>
                <w:rFonts w:ascii="Open Sans" w:hAnsi="Open Sans" w:cs="Open Sans"/>
                <w:i/>
                <w:i/>
                <w:iCs/>
                <w:sz w:val="20"/>
                <w:szCs w:val="20"/>
              </w:rPr>
            </w:pPr>
            <w:r>
              <w:rPr>
                <w:rFonts w:cs="Open Sans" w:ascii="Open Sans" w:hAnsi="Open Sans"/>
                <w:i/>
                <w:iCs/>
                <w:sz w:val="20"/>
                <w:szCs w:val="20"/>
              </w:rPr>
              <w:t>Six years of self-litigation,</w:t>
            </w:r>
          </w:p>
          <w:p>
            <w:pPr>
              <w:pStyle w:val="BodyText"/>
              <w:spacing w:lineRule="auto" w:line="240" w:before="0" w:after="0"/>
              <w:ind w:hanging="0" w:start="0" w:end="0"/>
              <w:jc w:val="both"/>
              <w:rPr>
                <w:rFonts w:ascii="Open Sans" w:hAnsi="Open Sans" w:cs="Open Sans"/>
                <w:i/>
                <w:i/>
                <w:iCs/>
                <w:sz w:val="20"/>
                <w:szCs w:val="20"/>
              </w:rPr>
            </w:pPr>
            <w:r>
              <w:rPr>
                <w:rFonts w:cs="Open Sans" w:ascii="Open Sans" w:hAnsi="Open Sans"/>
                <w:i/>
                <w:iCs/>
                <w:sz w:val="20"/>
                <w:szCs w:val="20"/>
              </w:rPr>
              <w:t>Precious time away from my children that I will never reclaim,</w:t>
            </w:r>
          </w:p>
          <w:p>
            <w:pPr>
              <w:pStyle w:val="BodyText"/>
              <w:spacing w:lineRule="auto" w:line="240" w:before="0" w:after="57"/>
              <w:ind w:hanging="0" w:start="0" w:end="0"/>
              <w:rPr/>
            </w:pPr>
            <w:r>
              <w:rPr>
                <w:rFonts w:cs="Open Sans" w:ascii="Open Sans" w:hAnsi="Open Sans"/>
                <w:i/>
                <w:iCs/>
                <w:sz w:val="20"/>
                <w:szCs w:val="20"/>
              </w:rPr>
              <w:t>Six years of trying to clear my name</w:t>
            </w:r>
            <w:r>
              <w:rPr>
                <w:rFonts w:cs="Open Sans" w:ascii="Open Sans" w:hAnsi="Open Sans"/>
                <w:sz w:val="20"/>
                <w:szCs w:val="20"/>
              </w:rPr>
              <w:t>.                                                 – expert-by-experience Lisa-Marie Graham</w:t>
            </w:r>
            <w:r>
              <w:rPr>
                <w:rStyle w:val="EndnoteReference"/>
                <w:rFonts w:cs="Open Sans" w:ascii="Open Sans" w:hAnsi="Open Sans"/>
                <w:sz w:val="20"/>
                <w:szCs w:val="20"/>
              </w:rPr>
              <w:endnoteReference w:id="62"/>
            </w:r>
          </w:p>
        </w:tc>
      </w:tr>
    </w:tbl>
    <w:p>
      <w:pPr>
        <w:pStyle w:val="BodyText"/>
        <w:spacing w:lineRule="auto" w:line="240" w:before="0" w:after="57"/>
        <w:ind w:hanging="0" w:start="0" w:end="0"/>
        <w:jc w:val="both"/>
        <w:rPr>
          <w:rFonts w:ascii="Open Sans" w:hAnsi="Open Sans" w:cs="Open Sans"/>
          <w:sz w:val="20"/>
          <w:szCs w:val="20"/>
        </w:rPr>
      </w:pPr>
      <w:r>
        <w:rPr>
          <w:rFonts w:cs="Open Sans" w:ascii="Open Sans" w:hAnsi="Open Sans"/>
          <w:sz w:val="20"/>
          <w:szCs w:val="20"/>
        </w:rPr>
      </w:r>
    </w:p>
    <w:p>
      <w:pPr>
        <w:pStyle w:val="BodyText"/>
        <w:spacing w:lineRule="auto" w:line="240" w:before="0" w:after="57"/>
        <w:ind w:hanging="0" w:start="0" w:end="0"/>
        <w:jc w:val="both"/>
        <w:rPr>
          <w:rFonts w:ascii="Open Sans" w:hAnsi="Open Sans" w:cs="Open Sans"/>
          <w:i/>
          <w:i/>
          <w:iCs/>
          <w:sz w:val="20"/>
          <w:szCs w:val="20"/>
        </w:rPr>
      </w:pPr>
      <w:r>
        <w:rPr>
          <w:rFonts w:cs="Open Sans" w:ascii="Open Sans" w:hAnsi="Open Sans"/>
          <w:i/>
          <w:iCs/>
          <w:sz w:val="20"/>
          <w:szCs w:val="20"/>
        </w:rPr>
      </w:r>
    </w:p>
    <w:p>
      <w:pPr>
        <w:pStyle w:val="Normal"/>
        <w:pBdr>
          <w:top w:val="single" w:sz="2" w:space="0" w:color="000000"/>
          <w:left w:val="single" w:sz="2" w:space="0" w:color="000000"/>
          <w:bottom w:val="single" w:sz="2" w:space="0" w:color="000000"/>
          <w:right w:val="single" w:sz="2" w:space="0" w:color="000000"/>
        </w:pBdr>
        <w:shd w:val="clear" w:fill="E0C2CD"/>
        <w:spacing w:lineRule="atLeast" w:line="100" w:before="0" w:after="113"/>
        <w:ind w:start="180" w:end="0"/>
        <w:jc w:val="center"/>
        <w:rPr>
          <w:rFonts w:ascii="Open Sans" w:hAnsi="Open Sans" w:cs="Open Sans"/>
          <w:b/>
          <w:bCs/>
          <w:color w:val="000000"/>
          <w:sz w:val="20"/>
          <w:szCs w:val="20"/>
        </w:rPr>
      </w:pPr>
      <w:r>
        <w:rPr>
          <w:rFonts w:cs="Open Sans" w:ascii="Open Sans" w:hAnsi="Open Sans"/>
          <w:b/>
          <w:bCs/>
          <w:color w:val="000000"/>
        </w:rPr>
        <w:t>Parent-to-parent advocacy in action</w:t>
      </w:r>
      <w:r>
        <w:rPr>
          <w:rFonts w:cs="Open Sans" w:ascii="Open Sans" w:hAnsi="Open Sans"/>
          <w:b/>
          <w:bCs/>
          <w:color w:val="000000"/>
          <w:sz w:val="20"/>
          <w:szCs w:val="20"/>
        </w:rPr>
        <w:t xml:space="preserve"> </w:t>
      </w:r>
    </w:p>
    <w:p>
      <w:pPr>
        <w:pStyle w:val="Normal"/>
        <w:numPr>
          <w:ilvl w:val="0"/>
          <w:numId w:val="2"/>
        </w:numPr>
        <w:spacing w:lineRule="atLeast" w:line="100" w:before="0" w:after="113"/>
        <w:ind w:hanging="0" w:start="180" w:end="0"/>
        <w:jc w:val="both"/>
        <w:rPr>
          <w:rStyle w:val="Emphasis"/>
          <w:rFonts w:ascii="Open Sans" w:hAnsi="Open Sans" w:cs="Open Sans"/>
          <w:b/>
          <w:bCs/>
          <w:i w:val="false"/>
          <w:i w:val="false"/>
          <w:iCs w:val="false"/>
          <w:sz w:val="20"/>
          <w:szCs w:val="20"/>
          <w:shd w:fill="FFFFFF" w:val="clear"/>
        </w:rPr>
      </w:pPr>
      <w:r>
        <w:rPr>
          <w:rFonts w:cs="Open Sans" w:ascii="Open Sans" w:hAnsi="Open Sans"/>
          <w:b/>
          <w:bCs/>
          <w:color w:val="000000"/>
          <w:sz w:val="20"/>
          <w:szCs w:val="20"/>
        </w:rPr>
        <w:t>Our recommendation (para. 10) is for parent-to-p</w:t>
      </w:r>
      <w:r>
        <w:rPr>
          <w:rFonts w:cs="Open Sans" w:ascii="Open Sans" w:hAnsi="Open Sans"/>
          <w:b/>
          <w:bCs/>
          <w:color w:val="000000"/>
          <w:sz w:val="20"/>
          <w:szCs w:val="20"/>
          <w:shd w:fill="FFFFFF" w:val="clear"/>
        </w:rPr>
        <w:t xml:space="preserve">arent advocacy. </w:t>
      </w:r>
      <w:r>
        <w:rPr>
          <w:rFonts w:cs="Open Sans" w:ascii="Open Sans" w:hAnsi="Open Sans"/>
          <w:color w:val="000000"/>
          <w:sz w:val="20"/>
          <w:szCs w:val="20"/>
          <w:shd w:fill="FFFFFF" w:val="clear"/>
        </w:rPr>
        <w:t>Provided by people with lived experience of children’s social care and of poverty, this bespoke support—currently made available only in a small number of local authorities across the country—should be available from the first point of contact with families right through to closure of their case.</w:t>
      </w:r>
      <w:r>
        <w:rPr>
          <w:rStyle w:val="EndnoteReference"/>
          <w:rFonts w:cs="Open Sans" w:ascii="Open Sans" w:hAnsi="Open Sans"/>
          <w:color w:val="000000"/>
          <w:sz w:val="20"/>
          <w:szCs w:val="20"/>
          <w:shd w:fill="FFFFFF" w:val="clear"/>
        </w:rPr>
        <w:endnoteReference w:id="63"/>
      </w:r>
      <w:r>
        <w:rPr>
          <w:rStyle w:val="EndnoteCharacters"/>
          <w:rFonts w:cs="Open Sans" w:ascii="Open Sans" w:hAnsi="Open Sans"/>
          <w:color w:val="000000"/>
          <w:sz w:val="20"/>
          <w:szCs w:val="20"/>
          <w:shd w:fill="FFFFFF" w:val="clear"/>
        </w:rPr>
        <w:t xml:space="preserve">  </w:t>
      </w:r>
      <w:r>
        <w:rPr>
          <w:rFonts w:cs="Open Sans" w:ascii="Open Sans" w:hAnsi="Open Sans"/>
          <w:sz w:val="20"/>
          <w:szCs w:val="20"/>
          <w:shd w:fill="FFFFFF" w:val="clear"/>
        </w:rPr>
        <w:t xml:space="preserve">This includes: </w:t>
      </w:r>
    </w:p>
    <w:p>
      <w:pPr>
        <w:pStyle w:val="Normal"/>
        <w:numPr>
          <w:ilvl w:val="0"/>
          <w:numId w:val="6"/>
        </w:numPr>
        <w:spacing w:lineRule="atLeast" w:line="100" w:before="0" w:after="113"/>
        <w:jc w:val="both"/>
        <w:rPr>
          <w:rStyle w:val="Emphasis"/>
          <w:rFonts w:ascii="Open Sans" w:hAnsi="Open Sans" w:cs="Open Sans"/>
          <w:i w:val="false"/>
          <w:i w:val="false"/>
          <w:iCs w:val="false"/>
          <w:sz w:val="20"/>
          <w:szCs w:val="20"/>
          <w:shd w:fill="FFFFFF" w:val="clear"/>
        </w:rPr>
      </w:pPr>
      <w:r>
        <w:rPr>
          <w:rStyle w:val="Emphasis"/>
          <w:rFonts w:cs="Open Sans" w:ascii="Open Sans" w:hAnsi="Open Sans"/>
          <w:b/>
          <w:bCs/>
          <w:i w:val="false"/>
          <w:iCs w:val="false"/>
          <w:sz w:val="20"/>
          <w:szCs w:val="20"/>
          <w:shd w:fill="FFFFFF" w:val="clear"/>
        </w:rPr>
        <w:t>case advocacy</w:t>
      </w:r>
      <w:r>
        <w:rPr>
          <w:rFonts w:cs="Open Sans" w:ascii="Open Sans" w:hAnsi="Open Sans"/>
          <w:sz w:val="20"/>
          <w:szCs w:val="20"/>
          <w:shd w:fill="FFFFFF" w:val="clear"/>
        </w:rPr>
        <w:t>: increasing parent participation in decisions regarding their own involvement with child protection systems when a decision is considered about whether to remove a child from a parent’s custody and during development of the family support plan;</w:t>
      </w:r>
    </w:p>
    <w:p>
      <w:pPr>
        <w:pStyle w:val="Normal"/>
        <w:numPr>
          <w:ilvl w:val="0"/>
          <w:numId w:val="6"/>
        </w:numPr>
        <w:spacing w:lineRule="atLeast" w:line="100" w:before="0" w:after="113"/>
        <w:jc w:val="both"/>
        <w:rPr>
          <w:rFonts w:ascii="Open Sans" w:hAnsi="Open Sans" w:cs="Open Sans"/>
          <w:sz w:val="20"/>
          <w:szCs w:val="20"/>
          <w:shd w:fill="FFFFFF" w:val="clear"/>
        </w:rPr>
      </w:pPr>
      <w:r>
        <w:rPr>
          <w:rStyle w:val="Emphasis"/>
          <w:rFonts w:cs="Open Sans" w:ascii="Open Sans" w:hAnsi="Open Sans"/>
          <w:i w:val="false"/>
          <w:iCs w:val="false"/>
          <w:sz w:val="20"/>
          <w:szCs w:val="20"/>
          <w:shd w:fill="FFFFFF" w:val="clear"/>
        </w:rPr>
        <w:t xml:space="preserve">and </w:t>
      </w:r>
      <w:r>
        <w:rPr>
          <w:rStyle w:val="Emphasis"/>
          <w:rFonts w:cs="Open Sans" w:ascii="Open Sans" w:hAnsi="Open Sans"/>
          <w:b/>
          <w:bCs/>
          <w:i w:val="false"/>
          <w:iCs w:val="false"/>
          <w:sz w:val="20"/>
          <w:szCs w:val="20"/>
          <w:shd w:fill="FFFFFF" w:val="clear"/>
        </w:rPr>
        <w:t>programme advocacy</w:t>
      </w:r>
      <w:r>
        <w:rPr>
          <w:rStyle w:val="Emphasis"/>
          <w:rFonts w:cs="Open Sans" w:ascii="Open Sans" w:hAnsi="Open Sans"/>
          <w:i w:val="false"/>
          <w:iCs w:val="false"/>
          <w:sz w:val="20"/>
          <w:szCs w:val="20"/>
          <w:shd w:fill="FFFFFF" w:val="clear"/>
        </w:rPr>
        <w:t>, where</w:t>
      </w:r>
      <w:r>
        <w:rPr>
          <w:rFonts w:cs="Open Sans" w:ascii="Open Sans" w:hAnsi="Open Sans"/>
          <w:sz w:val="20"/>
          <w:szCs w:val="20"/>
          <w:shd w:fill="FFFFFF" w:val="clear"/>
        </w:rPr>
        <w:t xml:space="preserve"> parents work as trained advocates in social service agencies (such as prevention, family support, out-of-home placement and legal assistance) to assist parents who are struggling to raise their children safely or to be reunited with them.</w:t>
      </w:r>
      <w:r>
        <w:rPr>
          <w:rStyle w:val="EndnoteReference"/>
          <w:rFonts w:cs="Open Sans" w:ascii="Open Sans" w:hAnsi="Open Sans"/>
          <w:sz w:val="20"/>
          <w:szCs w:val="20"/>
          <w:shd w:fill="FFFFFF" w:val="clear"/>
        </w:rPr>
        <w:endnoteReference w:id="64"/>
      </w:r>
    </w:p>
    <w:p>
      <w:pPr>
        <w:pStyle w:val="Normal"/>
        <w:numPr>
          <w:ilvl w:val="0"/>
          <w:numId w:val="2"/>
        </w:numPr>
        <w:spacing w:lineRule="atLeast" w:line="100" w:before="0" w:after="113"/>
        <w:ind w:hanging="0" w:start="180" w:end="0"/>
        <w:jc w:val="both"/>
        <w:rPr>
          <w:rFonts w:ascii="Open Sans" w:hAnsi="Open Sans" w:cs="Open Sans"/>
          <w:sz w:val="20"/>
          <w:szCs w:val="20"/>
          <w:shd w:fill="FFFFFF" w:val="clear"/>
        </w:rPr>
      </w:pPr>
      <w:r>
        <w:rPr>
          <w:rFonts w:cs="Open Sans" w:ascii="Open Sans" w:hAnsi="Open Sans"/>
          <w:sz w:val="20"/>
          <w:szCs w:val="20"/>
          <w:shd w:fill="FFFFFF" w:val="clear"/>
        </w:rPr>
        <w:t xml:space="preserve">Not only do parents with lived experience bring unique expertise to offering advocacy, but it is empowering to be able to play a constructive role to ensure better outcomes for others. One parent-to-parent advocate said: </w:t>
      </w:r>
      <w:r>
        <w:rPr>
          <w:rFonts w:cs="Open Sans" w:ascii="Open Sans" w:hAnsi="Open Sans"/>
          <w:sz w:val="20"/>
          <w:szCs w:val="20"/>
        </w:rPr>
        <w:t>“You’re trying to inspire people with compassion to help them stand up and fly again. I want to let other parents know there is hope.”</w:t>
      </w:r>
      <w:r>
        <w:rPr>
          <w:rStyle w:val="EndnoteReference"/>
          <w:rFonts w:cs="Open Sans" w:ascii="Open Sans" w:hAnsi="Open Sans"/>
          <w:sz w:val="20"/>
          <w:szCs w:val="20"/>
        </w:rPr>
        <w:endnoteReference w:id="65"/>
      </w:r>
    </w:p>
    <w:p>
      <w:pPr>
        <w:pStyle w:val="Normal"/>
        <w:numPr>
          <w:ilvl w:val="0"/>
          <w:numId w:val="2"/>
        </w:numPr>
        <w:spacing w:lineRule="atLeast" w:line="100" w:before="0" w:after="113"/>
        <w:ind w:hanging="0" w:start="180" w:end="0"/>
        <w:jc w:val="both"/>
        <w:rPr>
          <w:rFonts w:ascii="Open Sans" w:hAnsi="Open Sans" w:cs="Open Sans"/>
          <w:sz w:val="20"/>
          <w:szCs w:val="20"/>
        </w:rPr>
      </w:pPr>
      <w:r>
        <w:rPr>
          <w:rFonts w:cs="Open Sans" w:ascii="Open Sans" w:hAnsi="Open Sans"/>
          <w:sz w:val="20"/>
          <w:szCs w:val="20"/>
          <w:shd w:fill="FFFFFF" w:val="clear"/>
        </w:rPr>
        <w:t>Below is one example of the positive role that can be played by parent-to-parent advocates.</w:t>
      </w:r>
    </w:p>
    <w:p>
      <w:pPr>
        <w:pStyle w:val="Normal"/>
        <w:pBdr>
          <w:top w:val="single" w:sz="2" w:space="9" w:color="000000"/>
          <w:left w:val="single" w:sz="2" w:space="9" w:color="000000"/>
          <w:bottom w:val="single" w:sz="2" w:space="9" w:color="000000"/>
          <w:right w:val="single" w:sz="2" w:space="9" w:color="000000"/>
        </w:pBdr>
        <w:shd w:val="clear" w:fill="E0C2CD"/>
        <w:spacing w:lineRule="atLeast" w:line="100" w:before="0" w:after="113"/>
        <w:ind w:start="180" w:end="0"/>
        <w:rPr>
          <w:rFonts w:ascii="Open Sans" w:hAnsi="Open Sans" w:cs="Open Sans"/>
          <w:sz w:val="20"/>
          <w:szCs w:val="20"/>
        </w:rPr>
      </w:pPr>
      <w:r>
        <w:rPr>
          <w:rFonts w:cs="Open Sans" w:ascii="Open Sans" w:hAnsi="Open Sans"/>
          <w:sz w:val="20"/>
          <w:szCs w:val="20"/>
        </w:rPr>
        <w:t>‘</w:t>
      </w:r>
      <w:r>
        <w:rPr>
          <w:rFonts w:cs="Open Sans" w:ascii="Open Sans" w:hAnsi="Open Sans"/>
          <w:sz w:val="20"/>
          <w:szCs w:val="20"/>
        </w:rPr>
        <w:t>Olivia’</w:t>
      </w:r>
      <w:r>
        <w:rPr>
          <w:rStyle w:val="EndnoteReference"/>
          <w:rFonts w:cs="Open Sans" w:ascii="Open Sans" w:hAnsi="Open Sans"/>
          <w:sz w:val="20"/>
          <w:szCs w:val="20"/>
        </w:rPr>
        <w:endnoteReference w:id="66"/>
      </w:r>
      <w:r>
        <w:rPr>
          <w:rFonts w:cs="Open Sans" w:ascii="Open Sans" w:hAnsi="Open Sans"/>
          <w:sz w:val="20"/>
          <w:szCs w:val="20"/>
        </w:rPr>
        <w:t xml:space="preserve"> has a disability and is the sole carer for her 8-year-old son. Social workers were very concerned about her ability to meet his needs, because of their poor housing conditions in an insalubrious council flat. A family court judge was asked by social services to make an order for the boy to be taken into care. In court, an ATD activist with lived experience of poverty accompanied this mother as her parent-to-parent advocate. This woman, ‘Amy’, was allowed to address the judge. She recalls: “The mum felt very, very fragile. And so I’m up in front of this judge, and I’m telling him that there’s been no care order made yet. And we actually do </w:t>
      </w:r>
      <w:r>
        <w:rPr>
          <w:rStyle w:val="Emphasis"/>
          <w:rFonts w:cs="Open Sans" w:ascii="Open Sans" w:hAnsi="Open Sans"/>
          <w:i w:val="false"/>
          <w:iCs w:val="false"/>
          <w:sz w:val="20"/>
          <w:szCs w:val="20"/>
        </w:rPr>
        <w:t>want</w:t>
      </w:r>
      <w:r>
        <w:rPr>
          <w:rFonts w:cs="Open Sans" w:ascii="Open Sans" w:hAnsi="Open Sans"/>
          <w:sz w:val="20"/>
          <w:szCs w:val="20"/>
        </w:rPr>
        <w:t xml:space="preserve"> him to make an order. We all agree on that; but what should go into that order? So I told the judge: </w:t>
      </w:r>
    </w:p>
    <w:p>
      <w:pPr>
        <w:pStyle w:val="Normal"/>
        <w:pBdr>
          <w:top w:val="single" w:sz="2" w:space="9" w:color="000000"/>
          <w:left w:val="single" w:sz="2" w:space="9" w:color="000000"/>
          <w:bottom w:val="single" w:sz="2" w:space="9" w:color="000000"/>
          <w:right w:val="single" w:sz="2" w:space="9" w:color="000000"/>
        </w:pBdr>
        <w:shd w:val="clear" w:fill="E0C2CD"/>
        <w:spacing w:lineRule="atLeast" w:line="100" w:before="0" w:after="113"/>
        <w:ind w:start="180" w:end="0"/>
        <w:rPr>
          <w:rFonts w:ascii="Open Sans" w:hAnsi="Open Sans" w:cs="Open Sans"/>
          <w:sz w:val="20"/>
          <w:szCs w:val="20"/>
        </w:rPr>
      </w:pPr>
      <w:r>
        <w:rPr>
          <w:rFonts w:cs="Open Sans" w:ascii="Open Sans" w:hAnsi="Open Sans"/>
          <w:sz w:val="20"/>
          <w:szCs w:val="20"/>
        </w:rPr>
        <w:t>‘</w:t>
      </w:r>
      <w:r>
        <w:rPr>
          <w:rFonts w:cs="Open Sans" w:ascii="Open Sans" w:hAnsi="Open Sans"/>
          <w:sz w:val="20"/>
          <w:szCs w:val="20"/>
        </w:rPr>
        <w:t>Before you make this order, you need to remember that, to this child, you are magic! If the order you make removes him from his home, he’s gonna lose his mum, he’s gonna lose his friends and his school, he’s gonna lose the dog. And the child is gonna feel like he’s being punished, because his mum wasn’t supported to give him what he needs. You also need to know that the council is charging this mum rent for an accommodation so damp that she’s had to bin mattresses. Every time she puts wallpaper up on the mouldy walls, it slides back off because of the damp. And remember that the council has never assessed her for support, even though she’s disabled. So this child does need you to make an order, but please be magic for this child. Your order could compel the local authority to give them a new flat. If you ordered the child to have chocolate ice cream every Friday, they would have to give it to him. You can ask for anything, because you’re magic, so please be magic to help this family.’”</w:t>
      </w:r>
    </w:p>
    <w:p>
      <w:pPr>
        <w:pStyle w:val="Normal"/>
        <w:pBdr>
          <w:top w:val="single" w:sz="2" w:space="9" w:color="000000"/>
          <w:left w:val="single" w:sz="2" w:space="9" w:color="000000"/>
          <w:bottom w:val="single" w:sz="2" w:space="9" w:color="000000"/>
          <w:right w:val="single" w:sz="2" w:space="9" w:color="000000"/>
        </w:pBdr>
        <w:shd w:val="clear" w:fill="E0C2CD"/>
        <w:spacing w:lineRule="atLeast" w:line="100" w:before="0" w:after="113"/>
        <w:ind w:start="180" w:end="0"/>
        <w:rPr>
          <w:rFonts w:ascii="Open Sans" w:hAnsi="Open Sans" w:cs="Open Sans"/>
          <w:sz w:val="20"/>
          <w:szCs w:val="20"/>
        </w:rPr>
      </w:pPr>
      <w:r>
        <w:rPr>
          <w:rFonts w:cs="Open Sans" w:ascii="Open Sans" w:hAnsi="Open Sans"/>
          <w:sz w:val="20"/>
          <w:szCs w:val="20"/>
        </w:rPr>
        <w:t>“</w:t>
      </w:r>
      <w:r>
        <w:rPr>
          <w:rFonts w:cs="Open Sans" w:ascii="Open Sans" w:hAnsi="Open Sans"/>
          <w:sz w:val="20"/>
          <w:szCs w:val="20"/>
        </w:rPr>
        <w:t>The judge did it! In the order, he compelled the local authority to rehouse the family and he compelled them to make a grant to the mum to buy new beds and mattresses. And now the family is no longer on an order at all because the mum finally has disability support, and so it’s covered for her to have a cleaner.”</w:t>
      </w:r>
    </w:p>
    <w:p>
      <w:pPr>
        <w:pStyle w:val="Normal"/>
        <w:pBdr>
          <w:top w:val="single" w:sz="2" w:space="9" w:color="000000"/>
          <w:left w:val="single" w:sz="2" w:space="9" w:color="000000"/>
          <w:bottom w:val="single" w:sz="2" w:space="9" w:color="000000"/>
          <w:right w:val="single" w:sz="2" w:space="9" w:color="000000"/>
        </w:pBdr>
        <w:shd w:val="clear" w:fill="E0C2CD"/>
        <w:spacing w:lineRule="atLeast" w:line="100" w:before="0" w:after="113"/>
        <w:ind w:start="180" w:end="0"/>
        <w:rPr/>
      </w:pPr>
      <w:r>
        <w:rPr>
          <w:rFonts w:cs="Open Sans" w:ascii="Open Sans" w:hAnsi="Open Sans"/>
          <w:sz w:val="20"/>
          <w:szCs w:val="20"/>
        </w:rPr>
        <w:t>The judge’s order lifted this family out of the vortex. With one order, he completely redesigned their relationship with the local authority so that it would work better for all of them. As a parent-to-parent advocate, Amy has now met the same judge on several other occasions. She says: “Every time I’ve come in front of that judge he says, ‘You think I’m magic!’ and he winks at me. Every case I’ve had in front of him has been treated much better because this changed his perspective.”</w:t>
      </w:r>
      <w:r>
        <w:rPr>
          <w:rStyle w:val="EndnoteReference"/>
          <w:rFonts w:cs="Open Sans" w:ascii="Open Sans" w:hAnsi="Open Sans"/>
          <w:sz w:val="20"/>
          <w:szCs w:val="20"/>
        </w:rPr>
        <w:endnoteReference w:id="67"/>
      </w:r>
    </w:p>
    <w:sectPr>
      <w:headerReference w:type="default" r:id="rId15"/>
      <w:headerReference w:type="first" r:id="rId16"/>
      <w:footerReference w:type="default" r:id="rId17"/>
      <w:footerReference w:type="first" r:id="rId18"/>
      <w:endnotePr>
        <w:numFmt w:val="decimal"/>
      </w:endnotePr>
      <w:type w:val="nextPage"/>
      <w:pgSz w:w="11906" w:h="16838"/>
      <w:pgMar w:left="850" w:right="850" w:gutter="0" w:header="850" w:top="1409" w:footer="850" w:bottom="1409"/>
      <w:pgNumType w:start="0" w:fmt="decimal"/>
      <w:formProt w:val="false"/>
      <w:titlePg/>
      <w:textDirection w:val="lrTb"/>
      <w:docGrid w:type="default" w:linePitch="600" w:charSpace="32768"/>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endnote w:id="0" w:type="separator">
    <w:p>
      <w:r>
        <w:separator/>
      </w:r>
    </w:p>
  </w:endnote>
  <w:endnote w:id="1" w:type="continuationSeparator">
    <w:p>
      <w:r>
        <w:continuationSeparator/>
      </w:r>
    </w:p>
  </w:endnote>
  <w:endnote w:id="2">
    <w:p>
      <w:pPr>
        <w:pStyle w:val="EndnoteText"/>
        <w:ind w:hanging="0" w:start="0" w:end="0"/>
        <w:jc w:val="center"/>
        <w:rPr>
          <w:rStyle w:val="EndnoteCharacters"/>
          <w:rFonts w:ascii="Open Sans" w:hAnsi="Open Sans" w:cs="Open Sans"/>
        </w:rPr>
      </w:pPr>
      <w:r>
        <w:rPr>
          <w:rStyle w:val="EndnoteCharacters"/>
        </w:rPr>
        <w:endnoteRef/>
      </w:r>
      <w:r>
        <w:rPr>
          <w:rFonts w:cs="Open Sans" w:ascii="Open Sans" w:hAnsi="Open Sans"/>
        </w:rPr>
      </w:r>
    </w:p>
    <w:p>
      <w:pPr>
        <w:pStyle w:val="Normal"/>
        <w:pBdr>
          <w:top w:val="single" w:sz="2" w:space="0" w:color="000000"/>
          <w:left w:val="single" w:sz="2" w:space="0" w:color="000000"/>
          <w:bottom w:val="single" w:sz="2" w:space="0" w:color="000000"/>
          <w:right w:val="single" w:sz="2" w:space="0" w:color="000000"/>
        </w:pBdr>
        <w:shd w:val="clear" w:fill="E0C2CD"/>
        <w:spacing w:lineRule="atLeast" w:line="100" w:before="0" w:after="113"/>
        <w:ind w:start="180" w:end="0"/>
        <w:jc w:val="center"/>
        <w:rPr>
          <w:rFonts w:ascii="Open Sans" w:hAnsi="Open Sans" w:cs="Open Sans"/>
          <w:b/>
          <w:bCs/>
          <w:color w:val="000000"/>
          <w:sz w:val="20"/>
          <w:szCs w:val="20"/>
        </w:rPr>
      </w:pPr>
      <w:r>
        <w:rPr>
          <w:rFonts w:cs="Open Sans" w:ascii="Open Sans" w:hAnsi="Open Sans"/>
          <w:b/>
          <w:bCs/>
          <w:color w:val="000000"/>
        </w:rPr>
        <w:t>Appendix</w:t>
      </w:r>
    </w:p>
    <w:p>
      <w:pPr>
        <w:pStyle w:val="EndnoteText"/>
        <w:rPr>
          <w:rFonts w:ascii="Open Sans" w:hAnsi="Open Sans" w:cs="Open Sans"/>
          <w:b/>
          <w:bCs/>
          <w:color w:val="000000"/>
          <w:sz w:val="20"/>
          <w:szCs w:val="20"/>
        </w:rPr>
      </w:pPr>
      <w:r>
        <w:rPr>
          <w:rFonts w:cs="Open Sans" w:ascii="Open Sans" w:hAnsi="Open Sans"/>
          <w:b/>
          <w:bCs/>
          <w:color w:val="000000"/>
          <w:sz w:val="20"/>
          <w:szCs w:val="20"/>
        </w:rPr>
      </w:r>
    </w:p>
    <w:p>
      <w:pPr>
        <w:pStyle w:val="EndnoteText"/>
        <w:rPr/>
      </w:pPr>
      <w:r>
        <w:rPr>
          <w:rStyle w:val="EndnoteCharacters"/>
          <w:rFonts w:cs="Open Sans" w:ascii="Open Sans" w:hAnsi="Open Sans"/>
        </w:rPr>
        <w:t>?</w:t>
      </w:r>
      <w:r>
        <w:rPr>
          <w:rFonts w:cs="Open Sans" w:ascii="Open Sans" w:hAnsi="Open Sans"/>
        </w:rPr>
        <w:t xml:space="preserve">CESCR, </w:t>
      </w:r>
      <w:hyperlink r:id="rId1">
        <w:r>
          <w:rPr>
            <w:rStyle w:val="Hyperlink"/>
            <w:rFonts w:cs="Open Sans" w:ascii="Open Sans" w:hAnsi="Open Sans"/>
            <w:lang w:val="en-GB" w:bidi="hi-IN"/>
          </w:rPr>
          <w:t>Concluding Observations: UK</w:t>
        </w:r>
      </w:hyperlink>
      <w:r>
        <w:rPr>
          <w:rFonts w:cs="Open Sans" w:ascii="Open Sans" w:hAnsi="Open Sans"/>
        </w:rPr>
        <w:t>, E/C.12/GBR/CO/6 (2016), para. 48.</w:t>
      </w:r>
    </w:p>
  </w:endnote>
  <w:endnote w:id="3">
    <w:p>
      <w:pPr>
        <w:pStyle w:val="EndnoteText"/>
        <w:jc w:val="both"/>
        <w:rPr/>
      </w:pPr>
      <w:r>
        <w:rPr>
          <w:rStyle w:val="EndnoteCharacters"/>
        </w:rPr>
        <w:endnoteRef/>
      </w:r>
      <w:r>
        <w:rPr/>
        <w:tab/>
        <w:t xml:space="preserve">    </w:t>
      </w:r>
      <w:r>
        <w:rPr>
          <w:rStyle w:val="Strong"/>
          <w:rFonts w:cs="Open Sans" w:ascii="Open Sans" w:hAnsi="Open Sans"/>
          <w:b w:val="false"/>
          <w:bCs w:val="false"/>
        </w:rPr>
        <w:t>The Mayflower Lecture 2023,</w:t>
      </w:r>
      <w:r>
        <w:rPr>
          <w:rFonts w:cs="Open Sans" w:ascii="Open Sans" w:hAnsi="Open Sans"/>
        </w:rPr>
        <w:t xml:space="preserve"> </w:t>
      </w:r>
      <w:hyperlink r:id="rId2">
        <w:r>
          <w:rPr>
            <w:rStyle w:val="Hyperlink"/>
            <w:rFonts w:cs="Open Sans" w:ascii="Open Sans" w:hAnsi="Open Sans"/>
          </w:rPr>
          <w:t>Speech by Sir Andrew McFarlane: Adapting Adoption to the Modern World</w:t>
        </w:r>
      </w:hyperlink>
      <w:r>
        <w:rPr>
          <w:rFonts w:cs="Open Sans" w:ascii="Open Sans" w:hAnsi="Open Sans"/>
        </w:rPr>
        <w:t>, Courts and Tribunals Judiciary, November 10, 2023.</w:t>
      </w:r>
    </w:p>
  </w:endnote>
  <w:endnote w:id="4">
    <w:p>
      <w:pPr>
        <w:pStyle w:val="EndnoteText"/>
        <w:jc w:val="both"/>
        <w:rPr/>
      </w:pPr>
      <w:r>
        <w:rPr>
          <w:rStyle w:val="EndnoteCharacters"/>
        </w:rPr>
        <w:endnoteRef/>
      </w:r>
      <w:r>
        <w:rPr>
          <w:rFonts w:cs="Open Sans" w:ascii="Open Sans" w:hAnsi="Open Sans"/>
        </w:rPr>
        <w:tab/>
        <w:t xml:space="preserve">Foundations, What Works Centre for Children and Families, </w:t>
      </w:r>
      <w:hyperlink r:id="rId3">
        <w:r>
          <w:rPr>
            <w:rStyle w:val="Hyperlink"/>
            <w:rFonts w:cs="Open Sans" w:ascii="Open Sans" w:hAnsi="Open Sans"/>
          </w:rPr>
          <w:t>Randomised controlled trial of Family Group Conferencing at Pre-Proceedings Stage</w:t>
        </w:r>
      </w:hyperlink>
      <w:r>
        <w:rPr>
          <w:rFonts w:cs="Open Sans" w:ascii="Open Sans" w:hAnsi="Open Sans"/>
        </w:rPr>
        <w:t xml:space="preserve">, June 2023. </w:t>
      </w:r>
    </w:p>
  </w:endnote>
  <w:endnote w:id="5">
    <w:p>
      <w:pPr>
        <w:pStyle w:val="EndnoteText"/>
        <w:rPr/>
      </w:pPr>
      <w:r>
        <w:rPr>
          <w:rStyle w:val="EndnoteCharacters"/>
        </w:rPr>
        <w:endnoteRef/>
      </w:r>
      <w:r>
        <w:rPr>
          <w:rFonts w:cs="Open Sans" w:ascii="Open Sans" w:hAnsi="Open Sans"/>
        </w:rPr>
        <w:tab/>
        <w:t>NSPCC, “</w:t>
      </w:r>
      <w:hyperlink r:id="rId4">
        <w:r>
          <w:rPr>
            <w:rStyle w:val="Hyperlink"/>
            <w:rFonts w:cs="Open Sans" w:ascii="Open Sans" w:hAnsi="Open Sans"/>
          </w:rPr>
          <w:t>We're calling on the UK government to improve support for reunited families</w:t>
        </w:r>
      </w:hyperlink>
      <w:r>
        <w:rPr>
          <w:rFonts w:cs="Open Sans" w:ascii="Open Sans" w:hAnsi="Open Sans"/>
        </w:rPr>
        <w:t>”, 20 August 2024.</w:t>
      </w:r>
    </w:p>
  </w:endnote>
  <w:endnote w:id="6">
    <w:p>
      <w:pPr>
        <w:pStyle w:val="EndnoteText"/>
        <w:rPr/>
      </w:pPr>
      <w:r>
        <w:rPr>
          <w:rStyle w:val="EndnoteCharacters"/>
        </w:rPr>
        <w:endnoteRef/>
      </w:r>
      <w:r>
        <w:rPr>
          <w:rFonts w:cs="Open Sans" w:ascii="Open Sans" w:hAnsi="Open Sans"/>
          <w:color w:val="000000"/>
        </w:rPr>
        <w:tab/>
        <w:t xml:space="preserve">Community Care, </w:t>
      </w:r>
      <w:hyperlink r:id="rId5">
        <w:r>
          <w:rPr>
            <w:rStyle w:val="Hyperlink"/>
            <w:rFonts w:cs="Open Sans" w:ascii="Open Sans" w:hAnsi="Open Sans"/>
          </w:rPr>
          <w:t>Should Parents Have a Right to Advocacy During Child Protection Cases?</w:t>
        </w:r>
      </w:hyperlink>
      <w:r>
        <w:rPr>
          <w:rFonts w:cs="Open Sans" w:ascii="Open Sans" w:hAnsi="Open Sans"/>
          <w:color w:val="000000"/>
        </w:rPr>
        <w:t xml:space="preserve"> August 2024.</w:t>
      </w:r>
    </w:p>
  </w:endnote>
  <w:endnote w:id="7">
    <w:p>
      <w:pPr>
        <w:pStyle w:val="EndnoteText"/>
        <w:jc w:val="both"/>
        <w:rPr/>
      </w:pPr>
      <w:r>
        <w:rPr>
          <w:rStyle w:val="EndnoteCharacters"/>
        </w:rPr>
        <w:endnoteRef/>
      </w:r>
      <w:r>
        <w:rPr>
          <w:rFonts w:cs="Open Sans" w:ascii="Open Sans" w:hAnsi="Open Sans"/>
        </w:rPr>
        <w:tab/>
        <w:t xml:space="preserve">Barker, L. and Casla, K., </w:t>
      </w:r>
      <w:hyperlink r:id="rId6">
        <w:r>
          <w:rPr>
            <w:rStyle w:val="Hyperlink"/>
            <w:rFonts w:cs="Open Sans" w:ascii="Open Sans" w:hAnsi="Open Sans"/>
          </w:rPr>
          <w:t>Poverty, Child Protection, and the Right to Protection and Assistance to the Family in England</w:t>
        </w:r>
      </w:hyperlink>
      <w:r>
        <w:rPr>
          <w:rStyle w:val="Hyperlink"/>
          <w:rFonts w:cs="Open Sans" w:ascii="Open Sans" w:hAnsi="Open Sans"/>
        </w:rPr>
        <w:t xml:space="preserve">, </w:t>
      </w:r>
      <w:r>
        <w:rPr>
          <w:rFonts w:cs="Open Sans" w:ascii="Open Sans" w:hAnsi="Open Sans"/>
        </w:rPr>
        <w:t>University of Essex, 2023.</w:t>
      </w:r>
    </w:p>
  </w:endnote>
  <w:endnote w:id="8">
    <w:p>
      <w:pPr>
        <w:pStyle w:val="EndnoteText"/>
        <w:rPr/>
      </w:pPr>
      <w:r>
        <w:rPr>
          <w:rStyle w:val="EndnoteCharacters"/>
        </w:rPr>
        <w:endnoteRef/>
      </w:r>
      <w:r>
        <w:rPr>
          <w:rFonts w:cs="Open Sans" w:ascii="Open Sans" w:hAnsi="Open Sans"/>
        </w:rPr>
        <w:tab/>
        <w:t xml:space="preserve">CESCR, </w:t>
      </w:r>
      <w:hyperlink r:id="rId7">
        <w:r>
          <w:rPr>
            <w:rStyle w:val="Hyperlink"/>
            <w:rFonts w:cs="Open Sans" w:ascii="Open Sans" w:hAnsi="Open Sans"/>
          </w:rPr>
          <w:t>General Comment No.20: Non-discrimination in ESCR</w:t>
        </w:r>
      </w:hyperlink>
      <w:r>
        <w:rPr>
          <w:rFonts w:cs="Open Sans" w:ascii="Open Sans" w:hAnsi="Open Sans"/>
        </w:rPr>
        <w:t>, UN Doc. E/C.12/GC/20 (2009), para 35.</w:t>
      </w:r>
    </w:p>
  </w:endnote>
  <w:endnote w:id="9">
    <w:p>
      <w:pPr>
        <w:pStyle w:val="EndnoteText"/>
        <w:jc w:val="both"/>
        <w:rPr/>
      </w:pPr>
      <w:r>
        <w:rPr>
          <w:rStyle w:val="EndnoteCharacters"/>
        </w:rPr>
        <w:endnoteRef/>
      </w:r>
      <w:r>
        <w:rPr>
          <w:rFonts w:cs="Open Sans" w:ascii="Open Sans" w:hAnsi="Open Sans"/>
        </w:rPr>
        <w:tab/>
        <w:t xml:space="preserve">Special Rapporteur on Extreme Poverty and Human Rights, </w:t>
      </w:r>
      <w:hyperlink r:id="rId8">
        <w:r>
          <w:rPr>
            <w:rStyle w:val="Hyperlink"/>
            <w:rFonts w:cs="Open Sans" w:ascii="Open Sans" w:hAnsi="Open Sans"/>
            <w:i/>
            <w:iCs/>
          </w:rPr>
          <w:t>Banning discrimination on grounds of socioeconomic disadvantage: an essential tool in the fight against poverty</w:t>
        </w:r>
      </w:hyperlink>
      <w:r>
        <w:rPr>
          <w:rFonts w:cs="Open Sans" w:ascii="Open Sans" w:hAnsi="Open Sans"/>
        </w:rPr>
        <w:t>, UN Doc. A/72/157 (2022).</w:t>
      </w:r>
    </w:p>
  </w:endnote>
  <w:endnote w:id="10">
    <w:p>
      <w:pPr>
        <w:pStyle w:val="EndnoteText"/>
        <w:jc w:val="both"/>
        <w:rPr/>
      </w:pPr>
      <w:r>
        <w:rPr>
          <w:rStyle w:val="EndnoteCharacters"/>
        </w:rPr>
        <w:endnoteRef/>
      </w:r>
      <w:r>
        <w:rPr>
          <w:rFonts w:cs="Open Sans" w:ascii="Open Sans" w:hAnsi="Open Sans"/>
        </w:rPr>
        <w:tab/>
        <w:t>For a legal analysis of the content of Article 10 ICESCR, and its relationship with non-discrimination and “povertyism”, see: Casla, K. and Barker, L. “</w:t>
      </w:r>
      <w:hyperlink r:id="rId9">
        <w:r>
          <w:rPr>
            <w:rStyle w:val="Hyperlink"/>
            <w:rFonts w:cs="Open Sans" w:ascii="Open Sans" w:hAnsi="Open Sans"/>
          </w:rPr>
          <w:t>Protection and Assistance to the Family: Interpreting and Applying Article 10 ICESCR from Learnt and Lived Experiences</w:t>
        </w:r>
      </w:hyperlink>
      <w:r>
        <w:rPr>
          <w:rFonts w:cs="Open Sans" w:ascii="Open Sans" w:hAnsi="Open Sans"/>
        </w:rPr>
        <w:t xml:space="preserve">”, </w:t>
      </w:r>
      <w:r>
        <w:rPr>
          <w:rFonts w:cs="Open Sans" w:ascii="Open Sans" w:hAnsi="Open Sans"/>
          <w:i/>
          <w:iCs/>
        </w:rPr>
        <w:t>Journal of Human Rights Practice</w:t>
      </w:r>
      <w:r>
        <w:rPr>
          <w:rFonts w:cs="Open Sans" w:ascii="Open Sans" w:hAnsi="Open Sans"/>
        </w:rPr>
        <w:t xml:space="preserve"> 16(2) (2024), at 497-499.</w:t>
      </w:r>
    </w:p>
  </w:endnote>
  <w:endnote w:id="11">
    <w:p>
      <w:pPr>
        <w:pStyle w:val="EndnoteText"/>
        <w:jc w:val="both"/>
        <w:rPr/>
      </w:pPr>
      <w:r>
        <w:rPr>
          <w:rStyle w:val="EndnoteCharacters"/>
        </w:rPr>
        <w:endnoteRef/>
      </w:r>
      <w:r>
        <w:rPr>
          <w:rFonts w:cs="Open Sans" w:ascii="Open Sans" w:hAnsi="Open Sans"/>
        </w:rPr>
        <w:tab/>
        <w:t xml:space="preserve">European Court of Human Rights, </w:t>
      </w:r>
      <w:r>
        <w:rPr>
          <w:rFonts w:cs="Open Sans" w:ascii="Open Sans" w:hAnsi="Open Sans"/>
          <w:i/>
          <w:iCs/>
        </w:rPr>
        <w:t>RMS v. Spain</w:t>
      </w:r>
      <w:r>
        <w:rPr>
          <w:rFonts w:cs="Open Sans" w:ascii="Open Sans" w:hAnsi="Open Sans"/>
        </w:rPr>
        <w:t xml:space="preserve">, App. No. 28775/12. </w:t>
      </w:r>
      <w:r>
        <w:rPr>
          <w:rFonts w:cs="Open Sans" w:ascii="Open Sans" w:hAnsi="Open Sans"/>
          <w:lang w:val="es-ES"/>
        </w:rPr>
        <w:t xml:space="preserve">Judgment of 18 June 2013, para. 84; </w:t>
      </w:r>
      <w:r>
        <w:rPr>
          <w:rFonts w:cs="Open Sans" w:ascii="Open Sans" w:hAnsi="Open Sans"/>
          <w:i/>
          <w:iCs/>
          <w:lang w:val="es-ES"/>
        </w:rPr>
        <w:t>Soares de Melo v. Portugal</w:t>
      </w:r>
      <w:r>
        <w:rPr>
          <w:rFonts w:cs="Open Sans" w:ascii="Open Sans" w:hAnsi="Open Sans"/>
          <w:lang w:val="es-ES"/>
        </w:rPr>
        <w:t xml:space="preserve">. </w:t>
      </w:r>
      <w:r>
        <w:rPr>
          <w:rFonts w:cs="Open Sans" w:ascii="Open Sans" w:hAnsi="Open Sans"/>
        </w:rPr>
        <w:t xml:space="preserve">App. no. 72850/14. Judgment of 16 February 2016, para. 106-108; </w:t>
      </w:r>
      <w:r>
        <w:rPr>
          <w:rFonts w:cs="Open Sans" w:ascii="Open Sans" w:hAnsi="Open Sans"/>
          <w:i/>
          <w:iCs/>
        </w:rPr>
        <w:t>Y.I. v. Russia</w:t>
      </w:r>
      <w:r>
        <w:rPr>
          <w:rFonts w:cs="Open Sans" w:ascii="Open Sans" w:hAnsi="Open Sans"/>
        </w:rPr>
        <w:t>. App no. 68868/14. Judgment of 25 February 2020, para. 88-91.</w:t>
      </w:r>
    </w:p>
  </w:endnote>
  <w:endnote w:id="12">
    <w:p>
      <w:pPr>
        <w:pStyle w:val="EndnoteText"/>
        <w:jc w:val="both"/>
        <w:rPr/>
      </w:pPr>
      <w:r>
        <w:rPr>
          <w:rStyle w:val="EndnoteCharacters"/>
        </w:rPr>
        <w:endnoteRef/>
      </w:r>
      <w:r>
        <w:rPr>
          <w:rFonts w:cs="Open Sans" w:ascii="Open Sans" w:hAnsi="Open Sans"/>
        </w:rPr>
        <w:tab/>
        <w:t xml:space="preserve">ECSR ‘Conclusions 2011: Statement of Interpretation on Article 16 and 17(1)’ Conclusions no 2011_163_03/Ob/EN (12 December 2011); Inter-American Court of Human Rights, </w:t>
      </w:r>
      <w:r>
        <w:rPr>
          <w:rFonts w:cs="Open Sans" w:ascii="Open Sans" w:hAnsi="Open Sans"/>
          <w:i/>
          <w:iCs/>
        </w:rPr>
        <w:t>Juridical Condition and Human Rights of the Child</w:t>
      </w:r>
      <w:r>
        <w:rPr>
          <w:rFonts w:cs="Open Sans" w:ascii="Open Sans" w:hAnsi="Open Sans"/>
        </w:rPr>
        <w:t xml:space="preserve">. Judgment of 28 August 2002. Advisory Opinion no. OC-17/2002, para. 76-77; </w:t>
      </w:r>
      <w:r>
        <w:rPr>
          <w:rFonts w:cs="Open Sans" w:ascii="Open Sans" w:hAnsi="Open Sans"/>
          <w:i/>
          <w:iCs/>
        </w:rPr>
        <w:t>Gelman v. Uruguay</w:t>
      </w:r>
      <w:r>
        <w:rPr>
          <w:rFonts w:cs="Open Sans" w:ascii="Open Sans" w:hAnsi="Open Sans"/>
        </w:rPr>
        <w:t xml:space="preserve">. Judgment of 24 February 2011. Series C no. 221, para. 125; </w:t>
      </w:r>
      <w:r>
        <w:rPr>
          <w:rFonts w:cs="Open Sans" w:ascii="Open Sans" w:hAnsi="Open Sans"/>
          <w:i/>
          <w:iCs/>
        </w:rPr>
        <w:t>Atala Riffo and Daughters v.</w:t>
      </w:r>
      <w:r>
        <w:rPr>
          <w:rFonts w:cs="Open Sans" w:ascii="Open Sans" w:hAnsi="Open Sans"/>
        </w:rPr>
        <w:t> </w:t>
      </w:r>
      <w:r>
        <w:rPr>
          <w:rFonts w:cs="Open Sans" w:ascii="Open Sans" w:hAnsi="Open Sans"/>
          <w:i/>
          <w:iCs/>
        </w:rPr>
        <w:t>Chile</w:t>
      </w:r>
      <w:r>
        <w:rPr>
          <w:rFonts w:cs="Open Sans" w:ascii="Open Sans" w:hAnsi="Open Sans"/>
        </w:rPr>
        <w:t xml:space="preserve">. Judgment of 24 February 2012. Series C no. 239, para. 169; </w:t>
      </w:r>
      <w:r>
        <w:rPr>
          <w:rFonts w:cs="Open Sans" w:ascii="Open Sans" w:hAnsi="Open Sans"/>
          <w:i/>
          <w:iCs/>
        </w:rPr>
        <w:t>Fornerón and Daughter v. Argentina</w:t>
      </w:r>
      <w:r>
        <w:rPr>
          <w:rFonts w:cs="Open Sans" w:ascii="Open Sans" w:hAnsi="Open Sans"/>
        </w:rPr>
        <w:t xml:space="preserve">. Judgment of 27 April 2012. Series C no. 242, para. 47; </w:t>
      </w:r>
      <w:r>
        <w:rPr>
          <w:rFonts w:cs="Open Sans" w:ascii="Open Sans" w:hAnsi="Open Sans"/>
          <w:i/>
          <w:iCs/>
        </w:rPr>
        <w:t>Family Pacheco Tineo v. Bolivia</w:t>
      </w:r>
      <w:r>
        <w:rPr>
          <w:rFonts w:cs="Open Sans" w:ascii="Open Sans" w:hAnsi="Open Sans"/>
        </w:rPr>
        <w:t>. Judgment of 25 November 2013. Series C no. 275, para. 26.</w:t>
      </w:r>
    </w:p>
  </w:endnote>
  <w:endnote w:id="13">
    <w:p>
      <w:pPr>
        <w:pStyle w:val="EndnoteText"/>
        <w:jc w:val="both"/>
        <w:rPr/>
      </w:pPr>
      <w:r>
        <w:rPr>
          <w:rStyle w:val="EndnoteCharacters"/>
        </w:rPr>
        <w:endnoteRef/>
      </w:r>
      <w:r>
        <w:rPr>
          <w:rFonts w:cs="Open Sans" w:ascii="Open Sans" w:hAnsi="Open Sans"/>
        </w:rPr>
        <w:tab/>
        <w:t>Casla, K. and Barker, L. “</w:t>
      </w:r>
      <w:hyperlink r:id="rId10">
        <w:r>
          <w:rPr>
            <w:rStyle w:val="Hyperlink"/>
            <w:rFonts w:cs="Open Sans" w:ascii="Open Sans" w:hAnsi="Open Sans"/>
          </w:rPr>
          <w:t>Protection and Assistance to the Family: Interpreting and Applying Article 10 ICESCR from Learnt and Lived Experiences</w:t>
        </w:r>
      </w:hyperlink>
      <w:r>
        <w:rPr>
          <w:rFonts w:cs="Open Sans" w:ascii="Open Sans" w:hAnsi="Open Sans"/>
        </w:rPr>
        <w:t>”,</w:t>
      </w:r>
      <w:r>
        <w:rPr>
          <w:rFonts w:cs="Open Sans" w:ascii="Open Sans" w:hAnsi="Open Sans"/>
          <w:b/>
        </w:rPr>
        <w:t xml:space="preserve"> </w:t>
      </w:r>
      <w:r>
        <w:rPr>
          <w:rFonts w:cs="Open Sans" w:ascii="Open Sans" w:hAnsi="Open Sans"/>
          <w:i/>
        </w:rPr>
        <w:t>Journal of Human Rights Practice</w:t>
      </w:r>
      <w:r>
        <w:rPr>
          <w:rFonts w:cs="Open Sans" w:ascii="Open Sans" w:hAnsi="Open Sans"/>
        </w:rPr>
        <w:t>, 2024, Vol. 16, Issue 2, 489-511.</w:t>
      </w:r>
    </w:p>
  </w:endnote>
  <w:endnote w:id="14">
    <w:p>
      <w:pPr>
        <w:pStyle w:val="EndnoteText"/>
        <w:jc w:val="both"/>
        <w:rPr/>
      </w:pPr>
      <w:r>
        <w:rPr>
          <w:rStyle w:val="EndnoteCharacters"/>
        </w:rPr>
        <w:endnoteRef/>
      </w:r>
      <w:r>
        <w:rPr>
          <w:rStyle w:val="FootnoteCharacters"/>
          <w:rFonts w:cs="Open Sans" w:ascii="Open Sans" w:hAnsi="Open Sans"/>
        </w:rPr>
        <w:tab/>
        <w:t xml:space="preserve"> </w:t>
      </w:r>
      <w:r>
        <w:rPr>
          <w:rFonts w:cs="Open Sans" w:ascii="Open Sans" w:hAnsi="Open Sans"/>
        </w:rPr>
        <w:t xml:space="preserve">ECSR ‘Conclusions 2011: Statement of Interpretation on Article 16 and 17(1)’ Conclusions no 2011_163_03/Ob/EN (12 December 2011). </w:t>
      </w:r>
    </w:p>
  </w:endnote>
  <w:endnote w:id="15">
    <w:p>
      <w:pPr>
        <w:pStyle w:val="EndnoteText"/>
        <w:rPr/>
      </w:pPr>
      <w:r>
        <w:rPr>
          <w:rStyle w:val="EndnoteCharacters"/>
        </w:rPr>
        <w:endnoteRef/>
      </w:r>
      <w:r>
        <w:rPr>
          <w:rFonts w:cs="Open Sans" w:ascii="Open Sans" w:hAnsi="Open Sans"/>
        </w:rPr>
        <w:tab/>
        <w:t xml:space="preserve">Bray, R., de Laat, M., Godinot, X., Ugarte, A., &amp; Walker, R. (2020) Realising poverty in all its dimensions: A six-country participatory study. </w:t>
      </w:r>
      <w:r>
        <w:rPr>
          <w:rFonts w:cs="Open Sans" w:ascii="Open Sans" w:hAnsi="Open Sans"/>
          <w:i/>
          <w:iCs/>
        </w:rPr>
        <w:t>World Development</w:t>
      </w:r>
      <w:r>
        <w:rPr>
          <w:rFonts w:cs="Open Sans" w:ascii="Open Sans" w:hAnsi="Open Sans"/>
        </w:rPr>
        <w:t>, 134, pp.105025.</w:t>
      </w:r>
    </w:p>
  </w:endnote>
  <w:endnote w:id="16">
    <w:p>
      <w:pPr>
        <w:pStyle w:val="EndnoteText"/>
        <w:rPr/>
      </w:pPr>
      <w:r>
        <w:rPr>
          <w:rStyle w:val="EndnoteCharacters"/>
        </w:rPr>
        <w:endnoteRef/>
      </w:r>
      <w:r>
        <w:rPr>
          <w:rFonts w:cs="Open Sans" w:ascii="Open Sans" w:hAnsi="Open Sans"/>
        </w:rPr>
        <w:tab/>
        <w:t xml:space="preserve">Lee, T. (2020) </w:t>
      </w:r>
      <w:r>
        <w:rPr>
          <w:rFonts w:cs="Open Sans" w:ascii="Open Sans" w:hAnsi="Open Sans"/>
          <w:i/>
          <w:iCs/>
        </w:rPr>
        <w:t>Dragged deeper: How families are falling further and further below the poverty line</w:t>
      </w:r>
      <w:r>
        <w:rPr>
          <w:rFonts w:cs="Open Sans" w:ascii="Open Sans" w:hAnsi="Open Sans"/>
        </w:rPr>
        <w:t>. London, Child Poverty Action Group.</w:t>
      </w:r>
    </w:p>
  </w:endnote>
  <w:endnote w:id="17">
    <w:p>
      <w:pPr>
        <w:pStyle w:val="EndnoteText"/>
        <w:jc w:val="both"/>
        <w:rPr/>
      </w:pPr>
      <w:r>
        <w:rPr>
          <w:rStyle w:val="EndnoteCharacters"/>
        </w:rPr>
        <w:endnoteRef/>
      </w:r>
      <w:r>
        <w:rPr>
          <w:rFonts w:cs="Open Sans" w:ascii="Open Sans" w:hAnsi="Open Sans"/>
        </w:rPr>
        <w:tab/>
        <w:t xml:space="preserve">Davies &amp; Evans (2023) </w:t>
      </w:r>
      <w:hyperlink r:id="rId11">
        <w:r>
          <w:rPr>
            <w:rStyle w:val="Hyperlink"/>
            <w:rFonts w:cs="Open Sans" w:ascii="Open Sans" w:hAnsi="Open Sans"/>
          </w:rPr>
          <w:t>The poverty premium in 2022 – Progress &amp; problems, Personal Finance Research Centre</w:t>
        </w:r>
      </w:hyperlink>
      <w:r>
        <w:rPr>
          <w:rFonts w:cs="Open Sans" w:ascii="Open Sans" w:hAnsi="Open Sans"/>
        </w:rPr>
        <w:t>, University of Bristol.</w:t>
      </w:r>
    </w:p>
  </w:endnote>
  <w:endnote w:id="18">
    <w:p>
      <w:pPr>
        <w:pStyle w:val="EndnoteText"/>
        <w:jc w:val="both"/>
        <w:rPr/>
      </w:pPr>
      <w:r>
        <w:rPr>
          <w:rStyle w:val="EndnoteCharacters"/>
        </w:rPr>
        <w:endnoteRef/>
      </w:r>
      <w:r>
        <w:rPr>
          <w:rFonts w:cs="Open Sans" w:ascii="Open Sans" w:hAnsi="Open Sans"/>
        </w:rPr>
        <w:tab/>
        <w:t>Simmons, M., Haworth, S., Phillips, N. (2024) “</w:t>
      </w:r>
      <w:hyperlink r:id="rId12">
        <w:r>
          <w:rPr>
            <w:rStyle w:val="Hyperlink"/>
            <w:rFonts w:cs="Open Sans" w:ascii="Open Sans" w:hAnsi="Open Sans"/>
          </w:rPr>
          <w:t>Eroding the right to family life: Human rights violations in Britain’s child protection systems</w:t>
        </w:r>
      </w:hyperlink>
      <w:r>
        <w:rPr>
          <w:rFonts w:cs="Open Sans" w:ascii="Open Sans" w:hAnsi="Open Sans"/>
        </w:rPr>
        <w:t>”, The Children and Families Truth Commission, pages 6 and 15.</w:t>
      </w:r>
    </w:p>
  </w:endnote>
  <w:endnote w:id="19">
    <w:p>
      <w:pPr>
        <w:pStyle w:val="EndnoteText"/>
        <w:jc w:val="both"/>
        <w:rPr/>
      </w:pPr>
      <w:r>
        <w:rPr>
          <w:rStyle w:val="EndnoteCharacters"/>
        </w:rPr>
        <w:endnoteRef/>
      </w:r>
      <w:r>
        <w:rPr>
          <w:rFonts w:cs="Open Sans" w:ascii="Open Sans" w:hAnsi="Open Sans"/>
        </w:rPr>
        <w:tab/>
        <w:t>Featherstone, B., Gupta, A., Morris, K., White, S. (2018) Protecting children: a social model. Bristol, Policy Press.</w:t>
      </w:r>
    </w:p>
  </w:endnote>
  <w:endnote w:id="20">
    <w:p>
      <w:pPr>
        <w:pStyle w:val="EndnoteText"/>
        <w:jc w:val="both"/>
        <w:rPr/>
      </w:pPr>
      <w:r>
        <w:rPr>
          <w:rStyle w:val="EndnoteCharacters"/>
        </w:rPr>
        <w:endnoteRef/>
      </w:r>
      <w:r>
        <w:rPr>
          <w:rFonts w:cs="Open Sans" w:ascii="Open Sans" w:hAnsi="Open Sans"/>
        </w:rPr>
        <w:tab/>
        <w:t>Haworth, S. et al., ‘Everything felt wrong’: Ethical challenges related to the impact of poverty on the right to family life in the UK, International Journal of Social Work Values and Ethics, publication pending.</w:t>
      </w:r>
    </w:p>
  </w:endnote>
  <w:endnote w:id="21">
    <w:p>
      <w:pPr>
        <w:pStyle w:val="EndnoteText"/>
        <w:jc w:val="both"/>
        <w:rPr/>
      </w:pPr>
      <w:r>
        <w:rPr>
          <w:rStyle w:val="EndnoteCharacters"/>
        </w:rPr>
        <w:endnoteRef/>
      </w:r>
      <w:r>
        <w:rPr>
          <w:rFonts w:cs="Open Sans" w:ascii="Open Sans" w:hAnsi="Open Sans"/>
        </w:rPr>
        <w:tab/>
        <w:t>Bywaters, P., Skinner, G., Cooper, A., Kennedy, E. &amp; Malik, A. (2022) “The relationship between poverty and child abuse and neglect: New evidence”. London, Nuffield Foundation.</w:t>
      </w:r>
    </w:p>
  </w:endnote>
  <w:endnote w:id="22">
    <w:p>
      <w:pPr>
        <w:pStyle w:val="EndnoteText"/>
        <w:jc w:val="both"/>
        <w:rPr/>
      </w:pPr>
      <w:r>
        <w:rPr>
          <w:rStyle w:val="EndnoteCharacters"/>
        </w:rPr>
        <w:endnoteRef/>
      </w:r>
      <w:r>
        <w:rPr/>
        <w:tab/>
        <w:t xml:space="preserve"> </w:t>
      </w:r>
      <w:r>
        <w:rPr>
          <w:rFonts w:cs="Open Sans" w:ascii="Open Sans" w:hAnsi="Open Sans"/>
        </w:rPr>
        <w:t xml:space="preserve">Gilbert, R., Fluke, J., O'Donnell, M., Gonzalez-Izquierdo, A., Brownell, M., Gulliver, P., Janson, S. and Sidebotham, P. (2012) ‘Child maltreatment: Variation in trends and policies in six developed countries’, </w:t>
      </w:r>
      <w:r>
        <w:rPr>
          <w:rFonts w:cs="Open Sans" w:ascii="Open Sans" w:hAnsi="Open Sans"/>
          <w:i/>
        </w:rPr>
        <w:t>The Lancet</w:t>
      </w:r>
      <w:r>
        <w:rPr>
          <w:rFonts w:cs="Open Sans" w:ascii="Open Sans" w:hAnsi="Open Sans"/>
        </w:rPr>
        <w:t>, 379(9817), pp. 758-772.</w:t>
      </w:r>
    </w:p>
  </w:endnote>
  <w:endnote w:id="23">
    <w:p>
      <w:pPr>
        <w:pStyle w:val="EndnoteText"/>
        <w:rPr/>
      </w:pPr>
      <w:r>
        <w:rPr>
          <w:rStyle w:val="EndnoteCharacters"/>
        </w:rPr>
        <w:endnoteRef/>
      </w:r>
      <w:r>
        <w:rPr>
          <w:rFonts w:cs="Open Sans" w:ascii="Open Sans" w:hAnsi="Open Sans"/>
        </w:rPr>
        <w:tab/>
        <w:t>The NSPCC, “</w:t>
      </w:r>
      <w:hyperlink r:id="rId13">
        <w:r>
          <w:rPr>
            <w:rStyle w:val="Hyperlink"/>
            <w:rFonts w:cs="Open Sans" w:ascii="Open Sans" w:hAnsi="Open Sans"/>
          </w:rPr>
          <w:t>102% Increase in the Number of Children in Care in the Past 12 Years</w:t>
        </w:r>
      </w:hyperlink>
      <w:r>
        <w:rPr>
          <w:rFonts w:cs="Open Sans" w:ascii="Open Sans" w:hAnsi="Open Sans"/>
        </w:rPr>
        <w:t xml:space="preserve">”, 9 May 2024. </w:t>
      </w:r>
    </w:p>
  </w:endnote>
  <w:endnote w:id="24">
    <w:p>
      <w:pPr>
        <w:pStyle w:val="EndnoteText"/>
        <w:jc w:val="both"/>
        <w:rPr/>
      </w:pPr>
      <w:r>
        <w:rPr>
          <w:rStyle w:val="EndnoteCharacters"/>
        </w:rPr>
        <w:endnoteRef/>
      </w:r>
      <w:r>
        <w:rPr>
          <w:rFonts w:cs="Open Sans" w:ascii="Open Sans" w:hAnsi="Open Sans"/>
        </w:rPr>
        <w:tab/>
        <w:t xml:space="preserve">Blumenthal, A. (2021) Neglect as collective failure to provide for children: Towards a new theoretical approach. </w:t>
      </w:r>
      <w:r>
        <w:rPr>
          <w:rFonts w:cs="Open Sans" w:ascii="Open Sans" w:hAnsi="Open Sans"/>
          <w:i/>
          <w:iCs/>
        </w:rPr>
        <w:t>Child Welfare,</w:t>
      </w:r>
      <w:r>
        <w:rPr>
          <w:rFonts w:cs="Open Sans" w:ascii="Open Sans" w:hAnsi="Open Sans"/>
        </w:rPr>
        <w:t xml:space="preserve"> 99(3), pp.31-60.</w:t>
      </w:r>
    </w:p>
  </w:endnote>
  <w:endnote w:id="25">
    <w:p>
      <w:pPr>
        <w:pStyle w:val="EndnoteText"/>
        <w:jc w:val="both"/>
        <w:rPr/>
      </w:pPr>
      <w:r>
        <w:rPr>
          <w:rStyle w:val="EndnoteCharacters"/>
        </w:rPr>
        <w:endnoteRef/>
      </w:r>
      <w:r>
        <w:rPr>
          <w:rFonts w:cs="Open Sans" w:ascii="Open Sans" w:hAnsi="Open Sans"/>
        </w:rPr>
        <w:tab/>
        <w:t xml:space="preserve">Featherstone, B. (2023) Can we go on? Child protection in a broken place. </w:t>
      </w:r>
      <w:r>
        <w:rPr>
          <w:rFonts w:cs="Open Sans" w:ascii="Open Sans" w:hAnsi="Open Sans"/>
          <w:i/>
          <w:iCs/>
        </w:rPr>
        <w:t>Families, Relationships and Societies</w:t>
      </w:r>
      <w:r>
        <w:rPr>
          <w:rFonts w:cs="Open Sans" w:ascii="Open Sans" w:hAnsi="Open Sans"/>
        </w:rPr>
        <w:t xml:space="preserve">, 12(1), pp.116-126. </w:t>
      </w:r>
    </w:p>
  </w:endnote>
  <w:endnote w:id="26">
    <w:p>
      <w:pPr>
        <w:pStyle w:val="EndnoteText"/>
        <w:jc w:val="both"/>
        <w:rPr/>
      </w:pPr>
      <w:r>
        <w:rPr>
          <w:rStyle w:val="EndnoteCharacters"/>
        </w:rPr>
        <w:endnoteRef/>
      </w:r>
      <w:r>
        <w:rPr>
          <w:rFonts w:cs="Open Sans" w:ascii="Open Sans" w:hAnsi="Open Sans"/>
        </w:rPr>
        <w:tab/>
        <w:t xml:space="preserve">Parents from IPAN and PAR, </w:t>
      </w:r>
      <w:hyperlink r:id="rId14">
        <w:r>
          <w:rPr>
            <w:rStyle w:val="Hyperlink"/>
            <w:rFonts w:cs="Open Sans" w:ascii="Open Sans" w:hAnsi="Open Sans"/>
          </w:rPr>
          <w:t>‘Never-Ending Grief’: Writing by parents about social service interactions</w:t>
        </w:r>
      </w:hyperlink>
      <w:r>
        <w:rPr>
          <w:rFonts w:cs="Open Sans" w:ascii="Open Sans" w:hAnsi="Open Sans"/>
        </w:rPr>
        <w:t>, ATD Fourth World, 30 October 2024.</w:t>
      </w:r>
    </w:p>
  </w:endnote>
  <w:endnote w:id="27">
    <w:p>
      <w:pPr>
        <w:pStyle w:val="EndnoteText"/>
        <w:jc w:val="both"/>
        <w:rPr/>
      </w:pPr>
      <w:r>
        <w:rPr>
          <w:rStyle w:val="EndnoteCharacters"/>
        </w:rPr>
        <w:endnoteRef/>
      </w:r>
      <w:r>
        <w:rPr>
          <w:rFonts w:cs="Open Sans" w:ascii="Open Sans" w:hAnsi="Open Sans"/>
        </w:rPr>
        <w:tab/>
        <w:t xml:space="preserve">Bywaters, P. et al., </w:t>
      </w:r>
      <w:hyperlink r:id="rId15">
        <w:r>
          <w:rPr>
            <w:rStyle w:val="Hyperlink"/>
            <w:rFonts w:cs="Open Sans" w:ascii="Open Sans" w:hAnsi="Open Sans"/>
          </w:rPr>
          <w:t>The Child Welfare Inequalities Project: Final Report</w:t>
        </w:r>
      </w:hyperlink>
      <w:r>
        <w:rPr>
          <w:rStyle w:val="Hyperlink"/>
          <w:rFonts w:cs="Open Sans" w:ascii="Open Sans" w:hAnsi="Open Sans"/>
        </w:rPr>
        <w:t>,</w:t>
      </w:r>
      <w:r>
        <w:rPr>
          <w:rFonts w:cs="Open Sans" w:ascii="Open Sans" w:hAnsi="Open Sans"/>
        </w:rPr>
        <w:t xml:space="preserve"> Child Welfare Inequalities Project, 2022.</w:t>
      </w:r>
    </w:p>
  </w:endnote>
  <w:endnote w:id="28">
    <w:p>
      <w:pPr>
        <w:pStyle w:val="EndnoteText"/>
        <w:jc w:val="both"/>
        <w:rPr/>
      </w:pPr>
      <w:r>
        <w:rPr>
          <w:rStyle w:val="EndnoteCharacters"/>
        </w:rPr>
        <w:endnoteRef/>
      </w:r>
      <w:r>
        <w:rPr>
          <w:rFonts w:cs="Open Sans" w:ascii="Open Sans" w:hAnsi="Open Sans"/>
        </w:rPr>
        <w:tab/>
        <w:t xml:space="preserve">One Parent Families Scotland, </w:t>
      </w:r>
      <w:hyperlink r:id="rId16">
        <w:r>
          <w:rPr>
            <w:rStyle w:val="Hyperlink"/>
            <w:rFonts w:cs="Open Sans" w:ascii="Open Sans" w:hAnsi="Open Sans"/>
          </w:rPr>
          <w:t>Poverty-proofing for families in or on the edges of care: A policy briefing</w:t>
        </w:r>
      </w:hyperlink>
      <w:r>
        <w:rPr>
          <w:rFonts w:cs="Open Sans" w:ascii="Open Sans" w:hAnsi="Open Sans"/>
        </w:rPr>
        <w:t>, August 2023.</w:t>
      </w:r>
    </w:p>
  </w:endnote>
  <w:endnote w:id="29">
    <w:p>
      <w:pPr>
        <w:pStyle w:val="EndnoteText"/>
        <w:jc w:val="both"/>
        <w:rPr/>
      </w:pPr>
      <w:r>
        <w:rPr>
          <w:rStyle w:val="EndnoteCharacters"/>
        </w:rPr>
        <w:endnoteRef/>
      </w:r>
      <w:r>
        <w:rPr>
          <w:rFonts w:cs="Open Sans" w:ascii="Open Sans" w:hAnsi="Open Sans"/>
        </w:rPr>
        <w:tab/>
        <w:t>Boyce, M., Coker, S., Felja, D., Greenfields, M., Kostka, J. and Radley, C., ‘</w:t>
      </w:r>
      <w:hyperlink r:id="rId17">
        <w:r>
          <w:rPr>
            <w:rStyle w:val="Hyperlink"/>
            <w:rFonts w:cs="Open Sans" w:ascii="Open Sans" w:hAnsi="Open Sans"/>
          </w:rPr>
          <w:t>Come to Us in a Peaceful Way</w:t>
        </w:r>
      </w:hyperlink>
      <w:r>
        <w:rPr>
          <w:rFonts w:cs="Open Sans" w:ascii="Open Sans" w:hAnsi="Open Sans"/>
        </w:rPr>
        <w:t xml:space="preserve">: Improving experiences of Roma families with children’s services in England’,  Anglia Ruskin University and Lancaster University, July 2024. </w:t>
      </w:r>
    </w:p>
  </w:endnote>
  <w:endnote w:id="30">
    <w:p>
      <w:pPr>
        <w:pStyle w:val="EndnoteText"/>
        <w:rPr/>
      </w:pPr>
      <w:r>
        <w:rPr>
          <w:rStyle w:val="EndnoteCharacters"/>
        </w:rPr>
        <w:endnoteRef/>
      </w:r>
      <w:r>
        <w:rPr/>
        <w:tab/>
        <w:t xml:space="preserve">   </w:t>
      </w:r>
      <w:r>
        <w:rPr>
          <w:rFonts w:cs="Open Sans" w:ascii="Open Sans" w:hAnsi="Open Sans"/>
        </w:rPr>
        <w:t xml:space="preserve">Legal Action for Women, </w:t>
      </w:r>
      <w:hyperlink r:id="rId18">
        <w:r>
          <w:rPr>
            <w:rStyle w:val="Hyperlink"/>
            <w:rFonts w:cs="Open Sans" w:ascii="Open Sans" w:hAnsi="Open Sans"/>
          </w:rPr>
          <w:t>written evidence presented to the House of Lords</w:t>
        </w:r>
      </w:hyperlink>
      <w:r>
        <w:rPr>
          <w:rFonts w:cs="Open Sans" w:ascii="Open Sans" w:hAnsi="Open Sans"/>
        </w:rPr>
        <w:t xml:space="preserve"> Children and Families Act 2014 Select Committee Inquiry, May 2022.</w:t>
      </w:r>
    </w:p>
  </w:endnote>
  <w:endnote w:id="31">
    <w:p>
      <w:pPr>
        <w:pStyle w:val="EndnoteText"/>
        <w:jc w:val="both"/>
        <w:rPr/>
      </w:pPr>
      <w:r>
        <w:rPr>
          <w:rStyle w:val="EndnoteCharacters"/>
        </w:rPr>
        <w:endnoteRef/>
      </w:r>
      <w:r>
        <w:rPr/>
        <w:tab/>
        <w:t xml:space="preserve">   </w:t>
      </w:r>
      <w:r>
        <w:rPr>
          <w:rFonts w:cs="Open Sans" w:ascii="Open Sans" w:hAnsi="Open Sans"/>
        </w:rPr>
        <w:t>Clements, L. and Aiello, A., ‘Institutionalising parent carer blame The experiences of families with disabled children in their interactions with English local authority children’s services departments’, Cerebra and the University of Leeds, July 2021, page 44. See also IPSEA (Independent Provider of Special Education Advice), ‘</w:t>
      </w:r>
      <w:hyperlink r:id="rId19">
        <w:r>
          <w:rPr>
            <w:rStyle w:val="Hyperlink"/>
            <w:rFonts w:cs="Open Sans" w:ascii="Open Sans" w:hAnsi="Open Sans"/>
          </w:rPr>
          <w:t>Why the Government’s review of children’s social care must not forget disabled children</w:t>
        </w:r>
      </w:hyperlink>
      <w:r>
        <w:rPr>
          <w:rFonts w:cs="Open Sans" w:ascii="Open Sans" w:hAnsi="Open Sans"/>
        </w:rPr>
        <w:t>’, April 2022.</w:t>
      </w:r>
    </w:p>
  </w:endnote>
  <w:endnote w:id="32">
    <w:p>
      <w:pPr>
        <w:pStyle w:val="EndnoteText"/>
        <w:rPr/>
      </w:pPr>
      <w:r>
        <w:rPr>
          <w:rStyle w:val="EndnoteCharacters"/>
        </w:rPr>
        <w:endnoteRef/>
      </w:r>
      <w:r>
        <w:rPr>
          <w:rStyle w:val="Emphasis"/>
          <w:rFonts w:cs="Open Sans" w:ascii="Open Sans" w:hAnsi="Open Sans"/>
          <w:i w:val="false"/>
          <w:iCs w:val="false"/>
        </w:rPr>
        <w:tab/>
        <w:t>‘</w:t>
      </w:r>
      <w:r>
        <w:rPr>
          <w:rStyle w:val="Emphasis"/>
          <w:rFonts w:cs="Open Sans" w:ascii="Open Sans" w:hAnsi="Open Sans"/>
          <w:i w:val="false"/>
          <w:iCs w:val="false"/>
        </w:rPr>
        <w:t xml:space="preserve">Pamela’ (not her real name) spoke about her situation to ATD Fourth World in September 2023. </w:t>
      </w:r>
    </w:p>
  </w:endnote>
  <w:endnote w:id="33">
    <w:p>
      <w:pPr>
        <w:pStyle w:val="EndnoteText"/>
        <w:rPr/>
      </w:pPr>
      <w:r>
        <w:rPr>
          <w:rStyle w:val="EndnoteCharacters"/>
        </w:rPr>
        <w:endnoteRef/>
      </w:r>
      <w:r>
        <w:rPr>
          <w:rFonts w:cs="Open Sans" w:ascii="Open Sans" w:hAnsi="Open Sans"/>
        </w:rPr>
        <w:tab/>
        <w:t>ATD Fourth World, “</w:t>
      </w:r>
      <w:hyperlink r:id="rId20">
        <w:r>
          <w:rPr>
            <w:rStyle w:val="Hyperlink"/>
            <w:rFonts w:cs="Open Sans" w:ascii="Open Sans" w:hAnsi="Open Sans"/>
          </w:rPr>
          <w:t>The Use of Artificial Intelligence in Housing, Welfare, and Social Care</w:t>
        </w:r>
      </w:hyperlink>
      <w:r>
        <w:rPr>
          <w:rFonts w:cs="Open Sans" w:ascii="Open Sans" w:hAnsi="Open Sans"/>
        </w:rPr>
        <w:t>”, 26 July 2019.</w:t>
      </w:r>
    </w:p>
  </w:endnote>
  <w:endnote w:id="34">
    <w:p>
      <w:pPr>
        <w:pStyle w:val="EndnoteText"/>
        <w:jc w:val="both"/>
        <w:rPr/>
      </w:pPr>
      <w:r>
        <w:rPr>
          <w:rStyle w:val="EndnoteCharacters"/>
        </w:rPr>
        <w:endnoteRef/>
      </w:r>
      <w:r>
        <w:rPr>
          <w:rFonts w:cs="Open Sans" w:ascii="Open Sans" w:hAnsi="Open Sans"/>
        </w:rPr>
        <w:tab/>
        <w:t xml:space="preserve">UN Human Rights Office of the High Commissioner, </w:t>
      </w:r>
      <w:hyperlink r:id="rId21">
        <w:r>
          <w:rPr>
            <w:rStyle w:val="Hyperlink"/>
            <w:rFonts w:cs="Open Sans" w:ascii="Open Sans" w:hAnsi="Open Sans"/>
          </w:rPr>
          <w:t>A/HRC/51/17: The right to privacy in the digital age</w:t>
        </w:r>
      </w:hyperlink>
      <w:r>
        <w:rPr>
          <w:rFonts w:cs="Open Sans" w:ascii="Open Sans" w:hAnsi="Open Sans"/>
        </w:rPr>
        <w:t>, 4 August 2022.</w:t>
      </w:r>
    </w:p>
  </w:endnote>
  <w:endnote w:id="35">
    <w:p>
      <w:pPr>
        <w:pStyle w:val="EndnoteText"/>
        <w:jc w:val="both"/>
        <w:rPr/>
      </w:pPr>
      <w:r>
        <w:rPr>
          <w:rStyle w:val="EndnoteCharacters"/>
        </w:rPr>
        <w:endnoteRef/>
      </w:r>
      <w:r>
        <w:rPr>
          <w:rFonts w:cs="Open Sans" w:ascii="Open Sans" w:hAnsi="Open Sans"/>
        </w:rPr>
        <w:tab/>
        <w:t xml:space="preserve">Edwards, R., Gillies, V., Gorin, S., &amp; Vannier-Ducasse, H., </w:t>
      </w:r>
      <w:hyperlink r:id="rId22">
        <w:r>
          <w:rPr>
            <w:rStyle w:val="Hyperlink"/>
            <w:rFonts w:cs="Open Sans" w:ascii="Open Sans" w:hAnsi="Open Sans"/>
          </w:rPr>
          <w:t>Pre-problem families: predictive analytics and the future as the present</w:t>
        </w:r>
      </w:hyperlink>
      <w:r>
        <w:rPr>
          <w:rFonts w:cs="Open Sans" w:ascii="Open Sans" w:hAnsi="Open Sans"/>
        </w:rPr>
        <w:t xml:space="preserve">. </w:t>
      </w:r>
      <w:r>
        <w:rPr>
          <w:rStyle w:val="Emphasis"/>
          <w:rFonts w:cs="Open Sans" w:ascii="Open Sans" w:hAnsi="Open Sans"/>
        </w:rPr>
        <w:t>Families, Relationships and Societies</w:t>
      </w:r>
      <w:r>
        <w:rPr>
          <w:rFonts w:cs="Open Sans" w:ascii="Open Sans" w:hAnsi="Open Sans"/>
        </w:rPr>
        <w:t xml:space="preserve">, </w:t>
      </w:r>
      <w:r>
        <w:rPr>
          <w:rStyle w:val="Emphasis"/>
          <w:rFonts w:cs="Open Sans" w:ascii="Open Sans" w:hAnsi="Open Sans"/>
        </w:rPr>
        <w:t>13</w:t>
      </w:r>
      <w:r>
        <w:rPr>
          <w:rFonts w:cs="Open Sans" w:ascii="Open Sans" w:hAnsi="Open Sans"/>
        </w:rPr>
        <w:t>(2), 198-214, Policy Press, 2024.</w:t>
      </w:r>
    </w:p>
  </w:endnote>
  <w:endnote w:id="36">
    <w:p>
      <w:pPr>
        <w:pStyle w:val="EndnoteText"/>
        <w:jc w:val="both"/>
        <w:rPr/>
      </w:pPr>
      <w:r>
        <w:rPr>
          <w:rStyle w:val="EndnoteCharacters"/>
        </w:rPr>
        <w:endnoteRef/>
      </w:r>
      <w:r>
        <w:rPr>
          <w:rFonts w:cs="Open Sans" w:ascii="Open Sans" w:hAnsi="Open Sans"/>
        </w:rPr>
        <w:tab/>
        <w:t>Social Work News, “</w:t>
      </w:r>
      <w:hyperlink r:id="rId23">
        <w:r>
          <w:rPr>
            <w:rStyle w:val="Hyperlink"/>
            <w:rFonts w:cs="Open Sans" w:ascii="Open Sans" w:hAnsi="Open Sans"/>
          </w:rPr>
          <w:t>Third of UK social workers witness child removals where financial poverty a key factor</w:t>
        </w:r>
      </w:hyperlink>
      <w:r>
        <w:rPr>
          <w:rFonts w:cs="Open Sans" w:ascii="Open Sans" w:hAnsi="Open Sans"/>
        </w:rPr>
        <w:t>”,  11 December 2024.</w:t>
      </w:r>
    </w:p>
  </w:endnote>
  <w:endnote w:id="37">
    <w:p>
      <w:pPr>
        <w:pStyle w:val="EndnoteText"/>
        <w:rPr/>
      </w:pPr>
      <w:r>
        <w:rPr>
          <w:rStyle w:val="EndnoteCharacters"/>
        </w:rPr>
        <w:endnoteRef/>
      </w:r>
      <w:r>
        <w:rPr>
          <w:rFonts w:cs="Open Sans" w:ascii="Open Sans" w:hAnsi="Open Sans"/>
        </w:rPr>
        <w:tab/>
        <w:t>NSPCC, “</w:t>
      </w:r>
      <w:hyperlink r:id="rId24">
        <w:r>
          <w:rPr>
            <w:rStyle w:val="Hyperlink"/>
            <w:rFonts w:cs="Open Sans" w:ascii="Open Sans" w:hAnsi="Open Sans"/>
          </w:rPr>
          <w:t>102% Increase in the Number of Children in Care in the Past 12 Years</w:t>
        </w:r>
      </w:hyperlink>
      <w:r>
        <w:rPr>
          <w:rFonts w:cs="Open Sans" w:ascii="Open Sans" w:hAnsi="Open Sans"/>
        </w:rPr>
        <w:t>”, 5 September 2024.</w:t>
      </w:r>
    </w:p>
  </w:endnote>
  <w:endnote w:id="38">
    <w:p>
      <w:pPr>
        <w:pStyle w:val="EndnoteText"/>
        <w:jc w:val="both"/>
        <w:rPr/>
      </w:pPr>
      <w:r>
        <w:rPr>
          <w:rStyle w:val="EndnoteCharacters"/>
        </w:rPr>
        <w:endnoteRef/>
      </w:r>
      <w:r>
        <w:rPr>
          <w:rFonts w:cs="Open Sans" w:ascii="Open Sans" w:hAnsi="Open Sans"/>
        </w:rPr>
        <w:tab/>
        <w:t xml:space="preserve">Phillips, N., </w:t>
      </w:r>
      <w:hyperlink r:id="rId25">
        <w:r>
          <w:rPr>
            <w:rStyle w:val="Hyperlink"/>
            <w:rFonts w:cs="Open Sans" w:ascii="Open Sans" w:hAnsi="Open Sans"/>
          </w:rPr>
          <w:t>Allegations of abuse by children against their foster carers reach five year high</w:t>
        </w:r>
      </w:hyperlink>
      <w:r>
        <w:rPr>
          <w:rFonts w:cs="Open Sans" w:ascii="Open Sans" w:hAnsi="Open Sans"/>
        </w:rPr>
        <w:t xml:space="preserve">, Researching Reform, 22 August 2024. </w:t>
      </w:r>
    </w:p>
  </w:endnote>
  <w:endnote w:id="39">
    <w:p>
      <w:pPr>
        <w:pStyle w:val="EndnoteText"/>
        <w:rPr/>
      </w:pPr>
      <w:r>
        <w:rPr>
          <w:rStyle w:val="EndnoteCharacters"/>
        </w:rPr>
        <w:endnoteRef/>
      </w:r>
      <w:r>
        <w:rPr>
          <w:rFonts w:cs="Open Sans" w:ascii="Open Sans" w:hAnsi="Open Sans"/>
        </w:rPr>
        <w:tab/>
        <w:t>Action for Children / NSPCC, “</w:t>
      </w:r>
      <w:hyperlink r:id="rId26">
        <w:r>
          <w:rPr>
            <w:rStyle w:val="Hyperlink"/>
            <w:rFonts w:cs="Open Sans" w:ascii="Open Sans" w:hAnsi="Open Sans"/>
          </w:rPr>
          <w:t>Home Again: Understanding reunification practice in the children’s social care system in England</w:t>
        </w:r>
      </w:hyperlink>
      <w:r>
        <w:rPr>
          <w:rFonts w:cs="Open Sans" w:ascii="Open Sans" w:hAnsi="Open Sans"/>
        </w:rPr>
        <w:t xml:space="preserve">”, January 2024. </w:t>
      </w:r>
    </w:p>
  </w:endnote>
  <w:endnote w:id="40">
    <w:p>
      <w:pPr>
        <w:pStyle w:val="EndnoteText"/>
        <w:rPr/>
      </w:pPr>
      <w:r>
        <w:rPr>
          <w:rStyle w:val="EndnoteCharacters"/>
        </w:rPr>
        <w:endnoteRef/>
      </w:r>
      <w:r>
        <w:rPr>
          <w:rFonts w:cs="Open Sans" w:ascii="Open Sans" w:hAnsi="Open Sans"/>
        </w:rPr>
        <w:tab/>
        <w:t xml:space="preserve">CESCR, </w:t>
      </w:r>
      <w:hyperlink r:id="rId27">
        <w:r>
          <w:rPr>
            <w:rStyle w:val="Hyperlink"/>
            <w:rFonts w:cs="Open Sans" w:ascii="Open Sans" w:hAnsi="Open Sans"/>
            <w:lang w:val="en-GB" w:bidi="hi-IN"/>
          </w:rPr>
          <w:t>Concluding Observations: UK</w:t>
        </w:r>
      </w:hyperlink>
      <w:r>
        <w:rPr>
          <w:rFonts w:cs="Open Sans" w:ascii="Open Sans" w:hAnsi="Open Sans"/>
        </w:rPr>
        <w:t>, E/C.12/GBR/CO/6 (2016), para. 40.</w:t>
      </w:r>
    </w:p>
  </w:endnote>
  <w:endnote w:id="41">
    <w:p>
      <w:pPr>
        <w:pStyle w:val="EndnoteText"/>
        <w:jc w:val="both"/>
        <w:rPr/>
      </w:pPr>
      <w:r>
        <w:rPr>
          <w:rStyle w:val="EndnoteCharacters"/>
        </w:rPr>
        <w:endnoteRef/>
      </w:r>
      <w:r>
        <w:rPr>
          <w:rFonts w:cs="Open Sans" w:ascii="Open Sans" w:hAnsi="Open Sans"/>
        </w:rPr>
        <w:tab/>
        <w:t>Social Work News, “</w:t>
      </w:r>
      <w:hyperlink r:id="rId28">
        <w:r>
          <w:rPr>
            <w:rStyle w:val="Hyperlink"/>
            <w:rFonts w:cs="Open Sans" w:ascii="Open Sans" w:hAnsi="Open Sans"/>
          </w:rPr>
          <w:t>Third of UK social workers witness child removals where financial poverty a key factor</w:t>
        </w:r>
      </w:hyperlink>
      <w:r>
        <w:rPr>
          <w:rFonts w:cs="Open Sans" w:ascii="Open Sans" w:hAnsi="Open Sans"/>
        </w:rPr>
        <w:t>”,  11 December 2024.</w:t>
      </w:r>
    </w:p>
  </w:endnote>
  <w:endnote w:id="42">
    <w:p>
      <w:pPr>
        <w:pStyle w:val="EndnoteText"/>
        <w:jc w:val="both"/>
        <w:rPr/>
      </w:pPr>
      <w:r>
        <w:rPr>
          <w:rStyle w:val="EndnoteCharacters"/>
        </w:rPr>
        <w:endnoteRef/>
      </w:r>
      <w:r>
        <w:rPr>
          <w:rFonts w:cs="Open Sans" w:ascii="Open Sans" w:hAnsi="Open Sans"/>
        </w:rPr>
        <w:tab/>
        <w:t xml:space="preserve">Macdonald, R., </w:t>
      </w:r>
      <w:hyperlink r:id="rId29">
        <w:r>
          <w:rPr>
            <w:rStyle w:val="Hyperlink"/>
            <w:rFonts w:cs="Open Sans" w:ascii="Open Sans" w:hAnsi="Open Sans"/>
          </w:rPr>
          <w:t>Children's care home 'profiteering' as planning 'loophole' leaves councils powerless to act</w:t>
        </w:r>
      </w:hyperlink>
      <w:r>
        <w:rPr>
          <w:rFonts w:cs="Open Sans" w:ascii="Open Sans" w:hAnsi="Open Sans"/>
        </w:rPr>
        <w:t xml:space="preserve">, LancsLive, 30 October 2024. </w:t>
      </w:r>
    </w:p>
  </w:endnote>
  <w:endnote w:id="43">
    <w:p>
      <w:pPr>
        <w:pStyle w:val="EndnoteText"/>
        <w:jc w:val="both"/>
        <w:rPr/>
      </w:pPr>
      <w:r>
        <w:rPr>
          <w:rStyle w:val="EndnoteCharacters"/>
        </w:rPr>
        <w:endnoteRef/>
      </w:r>
      <w:r>
        <w:rPr>
          <w:rFonts w:cs="Open Sans" w:ascii="Open Sans" w:hAnsi="Open Sans"/>
        </w:rPr>
        <w:tab/>
        <w:t xml:space="preserve">  </w:t>
      </w:r>
      <w:r>
        <w:rPr>
          <w:rFonts w:cs="Open Sans" w:ascii="Open Sans" w:hAnsi="Open Sans"/>
        </w:rPr>
        <w:t>Fazackerley, A.,</w:t>
      </w:r>
      <w:r>
        <w:rPr>
          <w:rFonts w:cs="Open Sans" w:ascii="Open Sans" w:hAnsi="Open Sans"/>
          <w:color w:val="000000"/>
        </w:rPr>
        <w:t xml:space="preserve"> “</w:t>
      </w:r>
      <w:hyperlink r:id="rId30">
        <w:r>
          <w:rPr>
            <w:rStyle w:val="Hyperlink"/>
            <w:rFonts w:cs="Open Sans" w:ascii="Open Sans" w:hAnsi="Open Sans"/>
            <w:color w:val="000000"/>
          </w:rPr>
          <w:t>Vulnerable teenagers ‘dumped and abandoned’ in hotels by councils in Englan</w:t>
        </w:r>
      </w:hyperlink>
      <w:r>
        <w:rPr>
          <w:rFonts w:cs="Open Sans" w:ascii="Open Sans" w:hAnsi="Open Sans"/>
          <w:color w:val="000000"/>
        </w:rPr>
        <w:t>d”, The Guardian, 28 April 2024.</w:t>
      </w:r>
    </w:p>
  </w:endnote>
  <w:endnote w:id="44">
    <w:p>
      <w:pPr>
        <w:pStyle w:val="EndnoteText"/>
        <w:rPr/>
      </w:pPr>
      <w:r>
        <w:rPr>
          <w:rStyle w:val="EndnoteCharacters"/>
        </w:rPr>
        <w:endnoteRef/>
      </w:r>
      <w:r>
        <w:rPr>
          <w:rFonts w:cs="Open Sans" w:ascii="Open Sans" w:hAnsi="Open Sans"/>
        </w:rPr>
        <w:tab/>
        <w:t>‘</w:t>
      </w:r>
      <w:r>
        <w:rPr>
          <w:rFonts w:cs="Open Sans" w:ascii="Open Sans" w:hAnsi="Open Sans"/>
        </w:rPr>
        <w:t xml:space="preserve">Kendall’ </w:t>
      </w:r>
      <w:r>
        <w:rPr>
          <w:rStyle w:val="Emphasis"/>
          <w:rFonts w:cs="Open Sans" w:ascii="Open Sans" w:hAnsi="Open Sans"/>
          <w:i w:val="false"/>
          <w:iCs w:val="false"/>
        </w:rPr>
        <w:t xml:space="preserve">(not her real name) spoke about her situation to ATD Fourth World in October 2024. </w:t>
      </w:r>
    </w:p>
  </w:endnote>
  <w:endnote w:id="45">
    <w:p>
      <w:pPr>
        <w:pStyle w:val="EndnoteText"/>
        <w:jc w:val="both"/>
        <w:rPr/>
      </w:pPr>
      <w:r>
        <w:rPr>
          <w:rStyle w:val="EndnoteCharacters"/>
        </w:rPr>
        <w:endnoteRef/>
      </w:r>
      <w:r>
        <w:rPr>
          <w:rFonts w:cs="Open Sans" w:ascii="Open Sans" w:hAnsi="Open Sans"/>
        </w:rPr>
        <w:tab/>
        <w:t xml:space="preserve">Phillips, N., </w:t>
      </w:r>
      <w:hyperlink r:id="rId31">
        <w:r>
          <w:rPr>
            <w:rStyle w:val="Hyperlink"/>
            <w:rFonts w:cs="Open Sans" w:ascii="Open Sans" w:hAnsi="Open Sans"/>
          </w:rPr>
          <w:t>Open survey gathers families’ experiences of involuntary adoptions and care orders in Britain</w:t>
        </w:r>
      </w:hyperlink>
      <w:r>
        <w:rPr>
          <w:rFonts w:cs="Open Sans" w:ascii="Open Sans" w:hAnsi="Open Sans"/>
        </w:rPr>
        <w:t>, Researching Reform, 27 June 2024.</w:t>
      </w:r>
    </w:p>
  </w:endnote>
  <w:endnote w:id="46">
    <w:p>
      <w:pPr>
        <w:pStyle w:val="EndnoteText"/>
        <w:rPr/>
      </w:pPr>
      <w:r>
        <w:rPr>
          <w:rStyle w:val="EndnoteCharacters"/>
        </w:rPr>
        <w:endnoteRef/>
      </w:r>
      <w:r>
        <w:rPr>
          <w:rFonts w:cs="Open Sans" w:ascii="Open Sans" w:hAnsi="Open Sans"/>
          <w:color w:val="000000"/>
        </w:rPr>
        <w:tab/>
        <w:t xml:space="preserve">Davey, S. (2020.) </w:t>
      </w:r>
      <w:r>
        <w:rPr>
          <w:rFonts w:cs="Open Sans" w:ascii="Open Sans" w:hAnsi="Open Sans"/>
          <w:i/>
          <w:iCs/>
          <w:color w:val="000000"/>
        </w:rPr>
        <w:t>A Failure of Proportion: Non-Consensual Adoption in England and Wales</w:t>
      </w:r>
      <w:r>
        <w:rPr>
          <w:rFonts w:cs="Open Sans" w:ascii="Open Sans" w:hAnsi="Open Sans"/>
          <w:color w:val="000000"/>
        </w:rPr>
        <w:t xml:space="preserve">. Oxford: Hart. </w:t>
      </w:r>
    </w:p>
  </w:endnote>
  <w:endnote w:id="47">
    <w:p>
      <w:pPr>
        <w:pStyle w:val="EndnoteText"/>
        <w:jc w:val="both"/>
        <w:rPr/>
      </w:pPr>
      <w:r>
        <w:rPr>
          <w:rStyle w:val="EndnoteCharacters"/>
        </w:rPr>
        <w:endnoteRef/>
      </w:r>
      <w:r>
        <w:rPr>
          <w:rFonts w:cs="Open Sans" w:ascii="Open Sans" w:hAnsi="Open Sans"/>
        </w:rPr>
        <w:tab/>
        <w:t xml:space="preserve">Ward, J. and Smeeton, J. </w:t>
      </w:r>
      <w:hyperlink r:id="rId32">
        <w:r>
          <w:rPr>
            <w:rStyle w:val="Hyperlink"/>
            <w:rFonts w:cs="Open Sans" w:ascii="Open Sans" w:hAnsi="Open Sans"/>
          </w:rPr>
          <w:t>The end of non-consensual adoption? Promoting the wellbeing of children in care</w:t>
        </w:r>
      </w:hyperlink>
      <w:r>
        <w:rPr>
          <w:rFonts w:cs="Open Sans" w:ascii="Open Sans" w:hAnsi="Open Sans"/>
        </w:rPr>
        <w:t>. Social Work in Action, 29 (1), 2017, pp. 55-73.</w:t>
      </w:r>
    </w:p>
  </w:endnote>
  <w:endnote w:id="48">
    <w:p>
      <w:pPr>
        <w:pStyle w:val="EndnoteText"/>
        <w:rPr/>
      </w:pPr>
      <w:r>
        <w:rPr>
          <w:rStyle w:val="EndnoteCharacters"/>
        </w:rPr>
        <w:endnoteRef/>
      </w:r>
      <w:r>
        <w:rPr/>
        <w:tab/>
        <w:t xml:space="preserve">   </w:t>
      </w:r>
      <w:r>
        <w:rPr>
          <w:rFonts w:cs="Open Sans" w:ascii="Open Sans" w:hAnsi="Open Sans"/>
        </w:rPr>
        <w:t>Public Law Working Group, “</w:t>
      </w:r>
      <w:hyperlink r:id="rId33">
        <w:r>
          <w:rPr>
            <w:rStyle w:val="Hyperlink"/>
            <w:rFonts w:cs="Open Sans" w:ascii="Open Sans" w:hAnsi="Open Sans"/>
          </w:rPr>
          <w:t>Wholesale Reform to Adoption Process Is Needed</w:t>
        </w:r>
      </w:hyperlink>
      <w:r>
        <w:rPr>
          <w:rFonts w:cs="Open Sans" w:ascii="Open Sans" w:hAnsi="Open Sans"/>
        </w:rPr>
        <w:t>”. 7 November 2024.</w:t>
      </w:r>
    </w:p>
  </w:endnote>
  <w:endnote w:id="49">
    <w:p>
      <w:pPr>
        <w:pStyle w:val="EndnoteText"/>
        <w:jc w:val="both"/>
        <w:rPr/>
      </w:pPr>
      <w:r>
        <w:rPr>
          <w:rStyle w:val="EndnoteCharacters"/>
        </w:rPr>
        <w:endnoteRef/>
      </w:r>
      <w:r>
        <w:rPr>
          <w:rFonts w:cs="Open Sans" w:ascii="Open Sans" w:hAnsi="Open Sans"/>
        </w:rPr>
        <w:tab/>
        <w:t xml:space="preserve">Crittenden, P and Spieker, S, (2023) </w:t>
      </w:r>
      <w:hyperlink r:id="rId34">
        <w:r>
          <w:rPr>
            <w:rStyle w:val="Hyperlink"/>
            <w:rFonts w:cs="Open Sans" w:ascii="Open Sans" w:hAnsi="Open Sans"/>
          </w:rPr>
          <w:t>The Effects of Separation from Parents on Children</w:t>
        </w:r>
      </w:hyperlink>
      <w:r>
        <w:rPr>
          <w:rFonts w:cs="Open Sans" w:ascii="Open Sans" w:hAnsi="Open Sans"/>
        </w:rPr>
        <w:t>. Understanding Child Abuse and Neglect - Research and Implications, IntechOpen.</w:t>
      </w:r>
    </w:p>
  </w:endnote>
  <w:endnote w:id="50">
    <w:p>
      <w:pPr>
        <w:pStyle w:val="EndnoteText"/>
        <w:jc w:val="both"/>
        <w:rPr/>
      </w:pPr>
      <w:r>
        <w:rPr>
          <w:rStyle w:val="EndnoteCharacters"/>
        </w:rPr>
        <w:endnoteRef/>
      </w:r>
      <w:r>
        <w:rPr>
          <w:rFonts w:cs="Open Sans" w:ascii="Open Sans" w:hAnsi="Open Sans"/>
        </w:rPr>
        <w:tab/>
        <w:t xml:space="preserve">Carr-Hopkins, R., De Burca, C. and Aldridge, F.A. (2017). </w:t>
      </w:r>
      <w:hyperlink r:id="rId35">
        <w:r>
          <w:rPr>
            <w:rStyle w:val="Hyperlink"/>
            <w:rFonts w:cs="Open Sans" w:ascii="Open Sans" w:hAnsi="Open Sans"/>
          </w:rPr>
          <w:t>Assessing attachment in school-aged children</w:t>
        </w:r>
      </w:hyperlink>
      <w:r>
        <w:rPr>
          <w:rFonts w:cs="Open Sans" w:ascii="Open Sans" w:hAnsi="Open Sans"/>
        </w:rPr>
        <w:t xml:space="preserve">: Do the School-Age Assessment of Attachment and Family Drawings work together as complementary tools? Clinical Child Psychology and Psychiatry, 22(3), pp.402-420. </w:t>
      </w:r>
    </w:p>
  </w:endnote>
  <w:endnote w:id="51">
    <w:p>
      <w:pPr>
        <w:pStyle w:val="EndnoteText"/>
        <w:jc w:val="both"/>
        <w:rPr/>
      </w:pPr>
      <w:r>
        <w:rPr>
          <w:rStyle w:val="EndnoteCharacters"/>
        </w:rPr>
        <w:endnoteRef/>
      </w:r>
      <w:r>
        <w:rPr>
          <w:rFonts w:cs="Open Sans" w:ascii="Open Sans" w:hAnsi="Open Sans"/>
        </w:rPr>
        <w:tab/>
        <w:t>Casey, C. ‘</w:t>
      </w:r>
      <w:hyperlink r:id="rId36">
        <w:r>
          <w:rPr>
            <w:rStyle w:val="Hyperlink"/>
            <w:rFonts w:cs="Open Sans" w:ascii="Open Sans" w:hAnsi="Open Sans"/>
          </w:rPr>
          <w:t>Working to revolutionise post-adoption contact between birth parents and their children</w:t>
        </w:r>
      </w:hyperlink>
      <w:r>
        <w:rPr>
          <w:rFonts w:cs="Open Sans" w:ascii="Open Sans" w:hAnsi="Open Sans"/>
        </w:rPr>
        <w:t>’, The Independent, 27 January 2023.</w:t>
      </w:r>
    </w:p>
  </w:endnote>
  <w:endnote w:id="52">
    <w:p>
      <w:pPr>
        <w:pStyle w:val="EndnoteText"/>
        <w:jc w:val="both"/>
        <w:rPr/>
      </w:pPr>
      <w:r>
        <w:rPr>
          <w:rStyle w:val="EndnoteCharacters"/>
        </w:rPr>
        <w:endnoteRef/>
      </w:r>
      <w:r>
        <w:rPr>
          <w:rFonts w:cs="Open Sans" w:ascii="Open Sans" w:hAnsi="Open Sans"/>
        </w:rPr>
        <w:tab/>
        <w:t xml:space="preserve">Phillips, N., </w:t>
      </w:r>
      <w:hyperlink r:id="rId37">
        <w:r>
          <w:rPr>
            <w:rStyle w:val="Hyperlink"/>
            <w:rFonts w:cs="Open Sans" w:ascii="Open Sans" w:hAnsi="Open Sans"/>
          </w:rPr>
          <w:t>The End Of Forced Adoption In The UK? Meet The Social Workers Challenging The System</w:t>
        </w:r>
      </w:hyperlink>
      <w:r>
        <w:rPr>
          <w:rFonts w:cs="Open Sans" w:ascii="Open Sans" w:hAnsi="Open Sans"/>
        </w:rPr>
        <w:t>, Researching Reform, 15 November 2017.</w:t>
      </w:r>
    </w:p>
  </w:endnote>
  <w:endnote w:id="53">
    <w:p>
      <w:pPr>
        <w:pStyle w:val="EndnoteText"/>
        <w:jc w:val="both"/>
        <w:rPr/>
      </w:pPr>
      <w:r>
        <w:rPr>
          <w:rStyle w:val="EndnoteCharacters"/>
        </w:rPr>
        <w:endnoteRef/>
      </w:r>
      <w:r>
        <w:rPr>
          <w:rFonts w:cs="Open Sans" w:ascii="Open Sans" w:hAnsi="Open Sans"/>
        </w:rPr>
        <w:tab/>
        <w:t xml:space="preserve">Morriss, L. (2018). </w:t>
      </w:r>
      <w:hyperlink r:id="rId38">
        <w:r>
          <w:rPr>
            <w:rStyle w:val="Hyperlink"/>
            <w:rFonts w:cs="Open Sans" w:ascii="Open Sans" w:hAnsi="Open Sans"/>
            <w:lang w:val="en-GB"/>
          </w:rPr>
          <w:t>Haunted futures: The stigma of being a mother living apart from her child(ren) as a result of state-ordered court removal</w:t>
        </w:r>
      </w:hyperlink>
      <w:r>
        <w:rPr>
          <w:rFonts w:cs="Open Sans" w:ascii="Open Sans" w:hAnsi="Open Sans"/>
        </w:rPr>
        <w:t xml:space="preserve">. The Sociological Review, 66(4), 816-831. </w:t>
      </w:r>
    </w:p>
  </w:endnote>
  <w:endnote w:id="54">
    <w:p>
      <w:pPr>
        <w:pStyle w:val="EndnoteText"/>
        <w:rPr/>
      </w:pPr>
      <w:r>
        <w:rPr>
          <w:rStyle w:val="EndnoteCharacters"/>
        </w:rPr>
        <w:endnoteRef/>
      </w:r>
      <w:r>
        <w:rPr>
          <w:rFonts w:cs="Open Sans" w:ascii="Open Sans" w:hAnsi="Open Sans"/>
        </w:rPr>
        <w:tab/>
        <w:t>ATD Fourth World, “</w:t>
      </w:r>
      <w:hyperlink r:id="rId39">
        <w:r>
          <w:rPr>
            <w:rStyle w:val="Hyperlink"/>
            <w:rFonts w:cs="Open Sans" w:ascii="Open Sans" w:hAnsi="Open Sans"/>
            <w:lang w:val="en-GB"/>
          </w:rPr>
          <w:t>Study Group: Language and Communication</w:t>
        </w:r>
      </w:hyperlink>
      <w:r>
        <w:rPr>
          <w:rFonts w:cs="Open Sans" w:ascii="Open Sans" w:hAnsi="Open Sans"/>
        </w:rPr>
        <w:t>”, 13 June 2024.</w:t>
      </w:r>
    </w:p>
  </w:endnote>
  <w:endnote w:id="55">
    <w:p>
      <w:pPr>
        <w:pStyle w:val="EndnoteText"/>
        <w:jc w:val="both"/>
        <w:rPr/>
      </w:pPr>
      <w:r>
        <w:rPr>
          <w:rStyle w:val="EndnoteCharacters"/>
        </w:rPr>
        <w:endnoteRef/>
      </w:r>
      <w:r>
        <w:rPr>
          <w:rFonts w:cs="Open Sans" w:ascii="Open Sans" w:hAnsi="Open Sans"/>
        </w:rPr>
        <w:tab/>
        <w:t>Sturgeon, Nicola, addressing Scottish Parliament, “</w:t>
      </w:r>
      <w:hyperlink r:id="rId40">
        <w:r>
          <w:rPr>
            <w:rStyle w:val="Hyperlink"/>
            <w:rFonts w:cs="Open Sans" w:ascii="Open Sans" w:hAnsi="Open Sans"/>
          </w:rPr>
          <w:t>Apology for historical adoption practices: First Minister's speech</w:t>
        </w:r>
      </w:hyperlink>
      <w:r>
        <w:rPr>
          <w:rFonts w:cs="Open Sans" w:ascii="Open Sans" w:hAnsi="Open Sans"/>
        </w:rPr>
        <w:t xml:space="preserve">”, 22 March 2023. </w:t>
      </w:r>
    </w:p>
  </w:endnote>
  <w:endnote w:id="56">
    <w:p>
      <w:pPr>
        <w:pStyle w:val="EndnoteText"/>
        <w:rPr/>
      </w:pPr>
      <w:r>
        <w:rPr>
          <w:rStyle w:val="EndnoteCharacters"/>
        </w:rPr>
        <w:endnoteRef/>
      </w:r>
      <w:r>
        <w:rPr>
          <w:rFonts w:cs="Open Sans" w:ascii="Open Sans" w:hAnsi="Open Sans"/>
        </w:rPr>
        <w:tab/>
        <w:t xml:space="preserve">McAlister, J., </w:t>
      </w:r>
      <w:hyperlink r:id="rId41">
        <w:r>
          <w:rPr>
            <w:rStyle w:val="Hyperlink"/>
            <w:rFonts w:cs="Open Sans" w:ascii="Open Sans" w:hAnsi="Open Sans"/>
          </w:rPr>
          <w:t>The Independent Review of Children’s Social Care: Final Report</w:t>
        </w:r>
      </w:hyperlink>
      <w:r>
        <w:rPr>
          <w:rFonts w:cs="Open Sans" w:ascii="Open Sans" w:hAnsi="Open Sans"/>
        </w:rPr>
        <w:t>, 2022, 8.</w:t>
      </w:r>
    </w:p>
  </w:endnote>
  <w:endnote w:id="57">
    <w:p>
      <w:pPr>
        <w:pStyle w:val="EndnoteText"/>
        <w:rPr/>
      </w:pPr>
      <w:r>
        <w:rPr>
          <w:rStyle w:val="EndnoteCharacters"/>
        </w:rPr>
        <w:endnoteRef/>
      </w:r>
      <w:r>
        <w:rPr>
          <w:rFonts w:cs="Open Sans" w:ascii="Open Sans" w:hAnsi="Open Sans"/>
        </w:rPr>
        <w:tab/>
        <w:t xml:space="preserve">House of Commons, </w:t>
      </w:r>
      <w:hyperlink r:id="rId42">
        <w:r>
          <w:rPr>
            <w:rStyle w:val="Hyperlink"/>
            <w:rFonts w:cs="Open Sans" w:ascii="Open Sans" w:hAnsi="Open Sans"/>
          </w:rPr>
          <w:t>Education Committee Oral evidence: Children’s social care</w:t>
        </w:r>
      </w:hyperlink>
      <w:r>
        <w:rPr>
          <w:rFonts w:cs="Open Sans" w:ascii="Open Sans" w:hAnsi="Open Sans"/>
        </w:rPr>
        <w:t>, HC 372, 27 February 2024.</w:t>
      </w:r>
    </w:p>
  </w:endnote>
  <w:endnote w:id="58">
    <w:p>
      <w:pPr>
        <w:pStyle w:val="EndnoteText"/>
        <w:rPr/>
      </w:pPr>
      <w:r>
        <w:rPr>
          <w:rStyle w:val="EndnoteCharacters"/>
        </w:rPr>
        <w:endnoteRef/>
      </w:r>
      <w:r>
        <w:rPr>
          <w:rFonts w:cs="Open Sans" w:ascii="Open Sans" w:hAnsi="Open Sans"/>
        </w:rPr>
        <w:tab/>
        <w:t>UK Parliament, Reform of Children’s Social Care, Volume 727: debated on 2 February 2023.</w:t>
      </w:r>
    </w:p>
  </w:endnote>
  <w:endnote w:id="59">
    <w:p>
      <w:pPr>
        <w:pStyle w:val="EndnoteText"/>
        <w:jc w:val="both"/>
        <w:rPr/>
      </w:pPr>
      <w:r>
        <w:rPr>
          <w:rStyle w:val="EndnoteCharacters"/>
        </w:rPr>
        <w:endnoteRef/>
      </w:r>
      <w:r>
        <w:rPr>
          <w:rFonts w:cs="Open Sans" w:ascii="Open Sans" w:hAnsi="Open Sans"/>
        </w:rPr>
        <w:tab/>
        <w:t xml:space="preserve">UK Department for Education, </w:t>
      </w:r>
      <w:hyperlink r:id="rId43">
        <w:r>
          <w:rPr>
            <w:rStyle w:val="Hyperlink"/>
            <w:rFonts w:cs="Open Sans" w:ascii="Open Sans" w:hAnsi="Open Sans"/>
          </w:rPr>
          <w:t>Children's Social Care: Stable Homes, Built on Love - Government Consultation Response</w:t>
        </w:r>
      </w:hyperlink>
      <w:r>
        <w:rPr>
          <w:rFonts w:cs="Open Sans" w:ascii="Open Sans" w:hAnsi="Open Sans"/>
        </w:rPr>
        <w:t>, September 2023.</w:t>
      </w:r>
    </w:p>
  </w:endnote>
  <w:endnote w:id="60">
    <w:p>
      <w:pPr>
        <w:pStyle w:val="EndnoteText"/>
        <w:jc w:val="both"/>
        <w:rPr/>
      </w:pPr>
      <w:r>
        <w:rPr>
          <w:rStyle w:val="EndnoteCharacters"/>
        </w:rPr>
        <w:endnoteRef/>
      </w:r>
      <w:r>
        <w:rPr>
          <w:rFonts w:cs="Open Sans" w:ascii="Open Sans" w:hAnsi="Open Sans"/>
        </w:rPr>
        <w:tab/>
        <w:t xml:space="preserve">Nandy, S., &amp; Selwyn, J. (2013). </w:t>
      </w:r>
      <w:hyperlink r:id="rId44">
        <w:r>
          <w:rPr>
            <w:rStyle w:val="Hyperlink"/>
            <w:rFonts w:cs="Open Sans" w:ascii="Open Sans" w:hAnsi="Open Sans"/>
          </w:rPr>
          <w:t>Kinship Care and Poverty: Using Census Data to Examine the Extent and Nature of Kinship Care in the UK</w:t>
        </w:r>
      </w:hyperlink>
      <w:r>
        <w:rPr>
          <w:rFonts w:cs="Open Sans" w:ascii="Open Sans" w:hAnsi="Open Sans"/>
        </w:rPr>
        <w:t xml:space="preserve">. </w:t>
      </w:r>
      <w:r>
        <w:rPr>
          <w:rFonts w:cs="Open Sans" w:ascii="Open Sans" w:hAnsi="Open Sans"/>
          <w:i/>
        </w:rPr>
        <w:t>The British Journal of Social Work</w:t>
      </w:r>
      <w:r>
        <w:rPr>
          <w:rFonts w:cs="Open Sans" w:ascii="Open Sans" w:hAnsi="Open Sans"/>
        </w:rPr>
        <w:t xml:space="preserve">, </w:t>
      </w:r>
      <w:r>
        <w:rPr>
          <w:rFonts w:cs="Open Sans" w:ascii="Open Sans" w:hAnsi="Open Sans"/>
          <w:i/>
        </w:rPr>
        <w:t>43</w:t>
      </w:r>
      <w:r>
        <w:rPr>
          <w:rFonts w:cs="Open Sans" w:ascii="Open Sans" w:hAnsi="Open Sans"/>
        </w:rPr>
        <w:t xml:space="preserve">(8), 1664. </w:t>
      </w:r>
    </w:p>
  </w:endnote>
  <w:endnote w:id="61">
    <w:p>
      <w:pPr>
        <w:pStyle w:val="EndnoteText"/>
        <w:jc w:val="both"/>
        <w:rPr/>
      </w:pPr>
      <w:r>
        <w:rPr>
          <w:rStyle w:val="EndnoteCharacters"/>
        </w:rPr>
        <w:endnoteRef/>
      </w:r>
      <w:r>
        <w:rPr>
          <w:rFonts w:cs="Open Sans" w:ascii="Open Sans" w:hAnsi="Open Sans"/>
        </w:rPr>
        <w:tab/>
        <w:t xml:space="preserve">UK Department for Education, </w:t>
      </w:r>
      <w:hyperlink r:id="rId45">
        <w:r>
          <w:rPr>
            <w:rStyle w:val="Hyperlink"/>
            <w:rFonts w:cs="Open Sans" w:ascii="Open Sans" w:hAnsi="Open Sans"/>
          </w:rPr>
          <w:t>Championing Kinship Care: The National Kinship Care Strateg</w:t>
        </w:r>
      </w:hyperlink>
      <w:r>
        <w:rPr>
          <w:rFonts w:cs="Open Sans" w:ascii="Open Sans" w:hAnsi="Open Sans"/>
        </w:rPr>
        <w:t>y, December 2023.</w:t>
      </w:r>
    </w:p>
  </w:endnote>
  <w:endnote w:id="62">
    <w:p>
      <w:pPr>
        <w:pStyle w:val="EndnoteText"/>
        <w:jc w:val="both"/>
        <w:rPr/>
      </w:pPr>
      <w:r>
        <w:rPr>
          <w:rStyle w:val="EndnoteCharacters"/>
        </w:rPr>
        <w:endnoteRef/>
      </w:r>
      <w:r>
        <w:rPr>
          <w:rFonts w:cs="Open Sans" w:ascii="Open Sans" w:hAnsi="Open Sans"/>
        </w:rPr>
        <w:tab/>
        <w:t xml:space="preserve">Parents from IPAN and PAR, </w:t>
      </w:r>
      <w:hyperlink r:id="rId46">
        <w:r>
          <w:rPr>
            <w:rStyle w:val="Hyperlink"/>
            <w:rFonts w:cs="Open Sans" w:ascii="Open Sans" w:hAnsi="Open Sans"/>
          </w:rPr>
          <w:t>‘Never-Ending Grief’: Writing by parents about social service interactions</w:t>
        </w:r>
      </w:hyperlink>
      <w:r>
        <w:rPr>
          <w:rFonts w:cs="Open Sans" w:ascii="Open Sans" w:hAnsi="Open Sans"/>
        </w:rPr>
        <w:t>, ATD Fourth World, 30 October 2024.</w:t>
      </w:r>
    </w:p>
  </w:endnote>
  <w:endnote w:id="63">
    <w:p>
      <w:pPr>
        <w:pStyle w:val="EndnoteText"/>
        <w:rPr/>
      </w:pPr>
      <w:r>
        <w:rPr>
          <w:rStyle w:val="EndnoteCharacters"/>
        </w:rPr>
        <w:endnoteRef/>
      </w:r>
      <w:r>
        <w:rPr>
          <w:rFonts w:cs="Open Sans" w:ascii="Open Sans" w:hAnsi="Open Sans"/>
          <w:color w:val="000000"/>
        </w:rPr>
        <w:tab/>
        <w:t xml:space="preserve">Community Care, </w:t>
      </w:r>
      <w:hyperlink r:id="rId47">
        <w:r>
          <w:rPr>
            <w:rStyle w:val="Hyperlink"/>
            <w:rFonts w:cs="Open Sans" w:ascii="Open Sans" w:hAnsi="Open Sans"/>
          </w:rPr>
          <w:t>Should Parents Have a Right to Advocacy During Child Protection Cases?</w:t>
        </w:r>
      </w:hyperlink>
      <w:r>
        <w:rPr>
          <w:rFonts w:cs="Open Sans" w:ascii="Open Sans" w:hAnsi="Open Sans"/>
          <w:color w:val="000000"/>
        </w:rPr>
        <w:t xml:space="preserve"> August 2024.</w:t>
      </w:r>
    </w:p>
  </w:endnote>
  <w:endnote w:id="64">
    <w:p>
      <w:pPr>
        <w:pStyle w:val="EndnoteText"/>
        <w:rPr/>
      </w:pPr>
      <w:r>
        <w:rPr>
          <w:rStyle w:val="EndnoteCharacters"/>
        </w:rPr>
        <w:endnoteRef/>
      </w:r>
      <w:r>
        <w:rPr>
          <w:rFonts w:cs="Open Sans" w:ascii="Open Sans" w:hAnsi="Open Sans"/>
        </w:rPr>
        <w:tab/>
        <w:t>The Parents, Families and Allies Network, “</w:t>
      </w:r>
      <w:hyperlink r:id="rId48">
        <w:r>
          <w:rPr>
            <w:rStyle w:val="Hyperlink"/>
            <w:rFonts w:cs="Open Sans" w:ascii="Open Sans" w:hAnsi="Open Sans"/>
          </w:rPr>
          <w:t>Parent Advocacy</w:t>
        </w:r>
      </w:hyperlink>
      <w:r>
        <w:rPr>
          <w:rFonts w:cs="Open Sans" w:ascii="Open Sans" w:hAnsi="Open Sans"/>
        </w:rPr>
        <w:t xml:space="preserve">”.  </w:t>
      </w:r>
    </w:p>
  </w:endnote>
  <w:endnote w:id="65">
    <w:p>
      <w:pPr>
        <w:pStyle w:val="EndnoteText"/>
        <w:rPr/>
      </w:pPr>
      <w:r>
        <w:rPr>
          <w:rStyle w:val="EndnoteCharacters"/>
        </w:rPr>
        <w:endnoteRef/>
      </w:r>
      <w:r>
        <w:rPr>
          <w:rFonts w:cs="Open Sans" w:ascii="Open Sans" w:hAnsi="Open Sans"/>
        </w:rPr>
        <w:tab/>
        <w:t>ATD Fourth World, “</w:t>
      </w:r>
      <w:hyperlink r:id="rId49">
        <w:r>
          <w:rPr>
            <w:rStyle w:val="Hyperlink"/>
            <w:rFonts w:cs="Open Sans" w:ascii="Open Sans" w:hAnsi="Open Sans"/>
          </w:rPr>
          <w:t>Study group: peer-to-peer advocacy and absorbing outrage</w:t>
        </w:r>
      </w:hyperlink>
      <w:r>
        <w:rPr>
          <w:rFonts w:cs="Open Sans" w:ascii="Open Sans" w:hAnsi="Open Sans"/>
        </w:rPr>
        <w:t>”, 10 April 2023.</w:t>
      </w:r>
    </w:p>
  </w:endnote>
  <w:endnote w:id="66">
    <w:p>
      <w:pPr>
        <w:pStyle w:val="EndnoteText"/>
        <w:rPr/>
      </w:pPr>
      <w:r>
        <w:rPr>
          <w:rStyle w:val="EndnoteCharacters"/>
        </w:rPr>
        <w:endnoteRef/>
      </w:r>
      <w:r>
        <w:rPr>
          <w:rFonts w:cs="Open Sans" w:ascii="Open Sans" w:hAnsi="Open Sans"/>
        </w:rPr>
        <w:tab/>
        <w:t>Names in this example have been changed to protect privacy.</w:t>
      </w:r>
    </w:p>
  </w:endnote>
  <w:endnote w:id="67">
    <w:p>
      <w:pPr>
        <w:pStyle w:val="EndnoteText"/>
        <w:rPr>
          <w:rFonts w:ascii="Open Sans" w:hAnsi="Open Sans" w:cs="Open Sans"/>
        </w:rPr>
      </w:pPr>
      <w:r>
        <w:rPr>
          <w:rStyle w:val="EndnoteCharacters"/>
        </w:rPr>
        <w:endnoteRef/>
      </w:r>
      <w:r>
        <w:rPr>
          <w:rFonts w:cs="Open Sans" w:ascii="Open Sans" w:hAnsi="Open Sans"/>
        </w:rPr>
        <w:tab/>
        <w:t>ATD Fourth World, “</w:t>
      </w:r>
      <w:hyperlink r:id="rId50">
        <w:r>
          <w:rPr>
            <w:rStyle w:val="Hyperlink"/>
            <w:rFonts w:cs="Open Sans" w:ascii="Open Sans" w:hAnsi="Open Sans"/>
          </w:rPr>
          <w:t>The Story of the Magic Judge</w:t>
        </w:r>
      </w:hyperlink>
      <w:r>
        <w:rPr>
          <w:rFonts w:cs="Open Sans" w:ascii="Open Sans" w:hAnsi="Open Sans"/>
        </w:rPr>
        <w:t>”, 3 November 2023.</w:t>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ind w:hanging="0" w:start="283" w:end="0"/>
        <w:rPr>
          <w:rFonts w:ascii="Open Sans" w:hAnsi="Open Sans" w:cs="Open Sans"/>
        </w:rPr>
      </w:pPr>
      <w:r>
        <w:rPr>
          <w:rFonts w:cs="Open Sans" w:ascii="Open Sans" w:hAnsi="Open Sans"/>
        </w:rPr>
      </w:r>
    </w:p>
    <w:p>
      <w:pPr>
        <w:pStyle w:val="EndnoteText"/>
        <w:rPr>
          <w:rFonts w:ascii="Open Sans" w:hAnsi="Open Sans" w:cs="Open Sans"/>
        </w:rPr>
      </w:pPr>
      <w:r>
        <w:rPr>
          <w:rFonts w:cs="Open Sans" w:ascii="Open Sans" w:hAnsi="Open Sans"/>
        </w:rPr>
      </w:r>
    </w:p>
    <w:p>
      <w:pPr>
        <w:pStyle w:val="EndnoteText"/>
        <w:ind w:hanging="0" w:start="0" w:end="0"/>
        <w:rPr>
          <w:rFonts w:ascii="Open Sans" w:hAnsi="Open Sans" w:cs="Open Sans"/>
        </w:rPr>
      </w:pPr>
      <w:r>
        <w:rPr/>
      </w:r>
    </w:p>
  </w:endnote>
</w:endnote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erif">
    <w:altName w:val="Times New Roman"/>
    <w:charset w:val="00" w:characterSet="windows-1252"/>
    <w:family w:val="swiss"/>
    <w:pitch w:val="variable"/>
  </w:font>
  <w:font w:name="Symbol">
    <w:charset w:val="00" w:characterSet="windows-1252"/>
    <w:family w:val="roman"/>
    <w:pitch w:val="variable"/>
  </w:font>
  <w:font w:name="Courier New">
    <w:charset w:val="00" w:characterSet="windows-1252"/>
    <w:family w:val="roman"/>
    <w:pitch w:val="variable"/>
  </w:font>
  <w:font w:name="Wingdings">
    <w:charset w:val="00" w:characterSet="windows-1252"/>
    <w:family w:val="roman"/>
    <w:pitch w:val="variable"/>
  </w:font>
  <w:font w:name="Open Sans">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Marcellus SC">
    <w:altName w:val="Calibri"/>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2" w:space="1" w:color="FFFFFF"/>
        <w:left w:val="single" w:sz="2" w:space="1" w:color="FFFFFF"/>
        <w:bottom w:val="single" w:sz="2" w:space="1" w:color="FFFFFF"/>
        <w:right w:val="single" w:sz="2" w:space="1" w:color="FFFFFF"/>
      </w:pBdr>
      <w:ind w:hanging="0" w:start="0" w:end="0"/>
      <w:rPr/>
    </w:pPr>
    <w:r>
      <w:rPr>
        <w:rFonts w:eastAsia="Open Sans" w:cs="Open Sans" w:ascii="Open Sans" w:hAnsi="Open Sans"/>
        <w:b/>
        <w:bCs/>
        <w:sz w:val="18"/>
        <w:szCs w:val="18"/>
        <w:shd w:fill="650953" w:val="clear"/>
      </w:rPr>
      <w:t xml:space="preserve">                                                                                                                                                                                               </w:t>
    </w:r>
    <w:r>
      <w:rPr>
        <w:rFonts w:eastAsia="Open Sans" w:cs="Open Sans" w:ascii="Open Sans" w:hAnsi="Open Sans"/>
        <w:b/>
        <w:bCs/>
        <w:i/>
        <w:iCs/>
        <w:sz w:val="18"/>
        <w:szCs w:val="18"/>
        <w:shd w:fill="650953" w:val="clear"/>
      </w:rPr>
      <w:t xml:space="preserve">          </w:t>
    </w:r>
    <w:r>
      <w:rPr>
        <w:rFonts w:cs="Open Sans" w:ascii="Open Sans" w:hAnsi="Open Sans"/>
        <w:b/>
        <w:bCs/>
        <w:color w:val="FFFFFF"/>
        <w:sz w:val="18"/>
        <w:szCs w:val="18"/>
        <w:shd w:fill="650953" w:val="clear"/>
      </w:rPr>
      <w:t xml:space="preserve">Page </w:t>
    </w:r>
    <w:r>
      <w:rPr>
        <w:rFonts w:cs="Open Sans" w:ascii="Open Sans" w:hAnsi="Open Sans"/>
        <w:b/>
        <w:bCs/>
        <w:color w:val="FFFFFF"/>
        <w:sz w:val="18"/>
        <w:szCs w:val="18"/>
        <w:shd w:fill="650953" w:val="clear"/>
      </w:rPr>
      <w:fldChar w:fldCharType="begin"/>
    </w:r>
    <w:r>
      <w:rPr>
        <w:sz w:val="18"/>
        <w:b/>
        <w:shd w:fill="650953" w:val="clear"/>
        <w:szCs w:val="18"/>
        <w:bCs/>
        <w:rFonts w:cs="Open Sans" w:ascii="Open Sans" w:hAnsi="Open Sans"/>
        <w:color w:val="FFFFFF"/>
      </w:rPr>
      <w:instrText xml:space="preserve"> PAGE </w:instrText>
    </w:r>
    <w:r>
      <w:rPr>
        <w:sz w:val="18"/>
        <w:b/>
        <w:shd w:fill="650953" w:val="clear"/>
        <w:szCs w:val="18"/>
        <w:bCs/>
        <w:rFonts w:cs="Open Sans" w:ascii="Open Sans" w:hAnsi="Open Sans"/>
        <w:color w:val="FFFFFF"/>
      </w:rPr>
      <w:fldChar w:fldCharType="separate"/>
    </w:r>
    <w:r>
      <w:rPr>
        <w:sz w:val="18"/>
        <w:b/>
        <w:shd w:fill="650953" w:val="clear"/>
        <w:szCs w:val="18"/>
        <w:bCs/>
        <w:rFonts w:cs="Open Sans" w:ascii="Open Sans" w:hAnsi="Open Sans"/>
        <w:color w:val="FFFFFF"/>
      </w:rPr>
      <w:t>8</w:t>
    </w:r>
    <w:r>
      <w:rPr>
        <w:sz w:val="18"/>
        <w:b/>
        <w:shd w:fill="650953" w:val="clear"/>
        <w:szCs w:val="18"/>
        <w:bCs/>
        <w:rFonts w:cs="Open Sans" w:ascii="Open Sans" w:hAnsi="Open Sans"/>
        <w:color w:val="FFFFFF"/>
      </w:rPr>
      <w:fldChar w:fldCharType="end"/>
    </w:r>
    <w:r>
      <w:rPr>
        <w:rFonts w:cs="Open Sans" w:ascii="Open Sans" w:hAnsi="Open Sans"/>
        <w:b/>
        <w:bCs/>
        <w:color w:val="FFFFFF"/>
        <w:sz w:val="18"/>
        <w:szCs w:val="18"/>
        <w:shd w:fill="650953" w:val="clear"/>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2" w:space="1" w:color="FFFFFF"/>
        <w:left w:val="single" w:sz="2" w:space="1" w:color="FFFFFF"/>
        <w:bottom w:val="single" w:sz="2" w:space="1" w:color="FFFFFF"/>
        <w:right w:val="single" w:sz="2" w:space="1" w:color="FFFFFF"/>
      </w:pBdr>
      <w:ind w:hanging="0" w:start="0" w:end="0"/>
      <w:rPr/>
    </w:pPr>
    <w:r>
      <w:rPr>
        <w:rFonts w:eastAsia="Liberation Serif;Times New Roman" w:cs="Liberation Serif;Times New Roman"/>
        <w:sz w:val="18"/>
        <w:szCs w:val="18"/>
        <w:shd w:fill="650953" w:val="clear"/>
      </w:rPr>
      <w:t xml:space="preserve">                                                                                                                                                                                         </w:t>
    </w:r>
    <w:r>
      <w:rPr>
        <w:rFonts w:eastAsia="Marcellus SC;Calibri" w:cs="Marcellus SC;Calibri" w:ascii="Marcellus SC;Calibri" w:hAnsi="Marcellus SC;Calibri"/>
        <w:i/>
        <w:iCs/>
        <w:sz w:val="18"/>
        <w:szCs w:val="18"/>
        <w:shd w:fill="650953" w:val="clear"/>
      </w:rPr>
      <w:t xml:space="preserve">           </w:t>
    </w:r>
    <w:r>
      <w:rPr>
        <w:rFonts w:eastAsia="Marcellus SC;Calibri" w:cs="Marcellus SC;Calibri" w:ascii="Marcellus SC;Calibri" w:hAnsi="Marcellus SC;Calibri"/>
        <w:b/>
        <w:bCs/>
        <w:color w:val="FFFFFF"/>
        <w:sz w:val="18"/>
        <w:szCs w:val="18"/>
        <w:shd w:fill="650953" w:val="clea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Open Sans" w:hAnsi="Open Sans" w:cs="Open Sans"/>
      </w:rPr>
    </w:pPr>
    <w:r>
      <w:rPr>
        <w:rFonts w:cs="Open Sans" w:ascii="Open Sans" w:hAnsi="Open Sans"/>
      </w:rPr>
      <w:drawing>
        <wp:anchor behindDoc="1" distT="0" distB="0" distL="0" distR="0" simplePos="0" locked="0" layoutInCell="0" allowOverlap="1" relativeHeight="11">
          <wp:simplePos x="0" y="0"/>
          <wp:positionH relativeFrom="column">
            <wp:posOffset>23495</wp:posOffset>
          </wp:positionH>
          <wp:positionV relativeFrom="paragraph">
            <wp:posOffset>-267335</wp:posOffset>
          </wp:positionV>
          <wp:extent cx="1202690" cy="438785"/>
          <wp:effectExtent l="0" t="0" r="0" b="0"/>
          <wp:wrapSquare wrapText="largest"/>
          <wp:docPr id="5"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title=""/>
                  <pic:cNvPicPr>
                    <a:picLocks noChangeAspect="1" noChangeArrowheads="1"/>
                  </pic:cNvPicPr>
                </pic:nvPicPr>
                <pic:blipFill>
                  <a:blip r:embed="rId1"/>
                  <a:srcRect l="-510" t="-1337" r="-510" b="-1337"/>
                  <a:stretch>
                    <a:fillRect/>
                  </a:stretch>
                </pic:blipFill>
                <pic:spPr bwMode="auto">
                  <a:xfrm>
                    <a:off x="0" y="0"/>
                    <a:ext cx="1202690" cy="43878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0"/>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decimal"/>
      <w:lvlText w:val="%1."/>
      <w:lvlJc w:val="start"/>
      <w:pPr>
        <w:tabs>
          <w:tab w:val="num" w:pos="720"/>
        </w:tabs>
        <w:ind w:start="720" w:hanging="360"/>
      </w:pPr>
      <w:rPr>
        <w:i w:val="false"/>
        <w:b w:val="false"/>
        <w:iCs w:val="false"/>
        <w:bCs w:val="false"/>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454"/>
        </w:tabs>
        <w:ind w:start="454" w:hanging="227"/>
      </w:pPr>
      <w:rPr>
        <w:rFonts w:ascii="Symbol" w:hAnsi="Symbol" w:cs="Symbol" w:hint="default"/>
      </w:rPr>
    </w:lvl>
    <w:lvl w:ilvl="1">
      <w:start w:val="1"/>
      <w:numFmt w:val="bullet"/>
      <w:lvlText w:val=""/>
      <w:lvlJc w:val="start"/>
      <w:pPr>
        <w:tabs>
          <w:tab w:val="num" w:pos="681"/>
        </w:tabs>
        <w:ind w:start="681" w:hanging="227"/>
      </w:pPr>
      <w:rPr>
        <w:rFonts w:ascii="Symbol" w:hAnsi="Symbol" w:cs="Symbol" w:hint="default"/>
      </w:rPr>
    </w:lvl>
    <w:lvl w:ilvl="2">
      <w:start w:val="1"/>
      <w:numFmt w:val="bullet"/>
      <w:lvlText w:val=""/>
      <w:lvlJc w:val="start"/>
      <w:pPr>
        <w:tabs>
          <w:tab w:val="num" w:pos="907"/>
        </w:tabs>
        <w:ind w:start="907" w:hanging="227"/>
      </w:pPr>
      <w:rPr>
        <w:rFonts w:ascii="Symbol" w:hAnsi="Symbol" w:cs="Symbol" w:hint="default"/>
      </w:rPr>
    </w:lvl>
    <w:lvl w:ilvl="3">
      <w:start w:val="1"/>
      <w:numFmt w:val="bullet"/>
      <w:lvlText w:val=""/>
      <w:lvlJc w:val="start"/>
      <w:pPr>
        <w:tabs>
          <w:tab w:val="num" w:pos="1134"/>
        </w:tabs>
        <w:ind w:start="1134" w:hanging="227"/>
      </w:pPr>
      <w:rPr>
        <w:rFonts w:ascii="Symbol" w:hAnsi="Symbol" w:cs="Symbol" w:hint="default"/>
      </w:rPr>
    </w:lvl>
    <w:lvl w:ilvl="4">
      <w:start w:val="1"/>
      <w:numFmt w:val="bullet"/>
      <w:lvlText w:val=""/>
      <w:lvlJc w:val="start"/>
      <w:pPr>
        <w:tabs>
          <w:tab w:val="num" w:pos="1361"/>
        </w:tabs>
        <w:ind w:start="1361" w:hanging="227"/>
      </w:pPr>
      <w:rPr>
        <w:rFonts w:ascii="Symbol" w:hAnsi="Symbol" w:cs="Symbol" w:hint="default"/>
      </w:rPr>
    </w:lvl>
    <w:lvl w:ilvl="5">
      <w:start w:val="1"/>
      <w:numFmt w:val="bullet"/>
      <w:lvlText w:val=""/>
      <w:lvlJc w:val="start"/>
      <w:pPr>
        <w:tabs>
          <w:tab w:val="num" w:pos="1588"/>
        </w:tabs>
        <w:ind w:start="1588" w:hanging="227"/>
      </w:pPr>
      <w:rPr>
        <w:rFonts w:ascii="Symbol" w:hAnsi="Symbol" w:cs="Symbol" w:hint="default"/>
      </w:rPr>
    </w:lvl>
    <w:lvl w:ilvl="6">
      <w:start w:val="1"/>
      <w:numFmt w:val="bullet"/>
      <w:lvlText w:val=""/>
      <w:lvlJc w:val="start"/>
      <w:pPr>
        <w:tabs>
          <w:tab w:val="num" w:pos="1814"/>
        </w:tabs>
        <w:ind w:start="1814" w:hanging="227"/>
      </w:pPr>
      <w:rPr>
        <w:rFonts w:ascii="Symbol" w:hAnsi="Symbol" w:cs="Symbol" w:hint="default"/>
      </w:rPr>
    </w:lvl>
    <w:lvl w:ilvl="7">
      <w:start w:val="1"/>
      <w:numFmt w:val="bullet"/>
      <w:lvlText w:val=""/>
      <w:lvlJc w:val="start"/>
      <w:pPr>
        <w:tabs>
          <w:tab w:val="num" w:pos="2041"/>
        </w:tabs>
        <w:ind w:start="2041" w:hanging="227"/>
      </w:pPr>
      <w:rPr>
        <w:rFonts w:ascii="Symbol" w:hAnsi="Symbol" w:cs="Symbol" w:hint="default"/>
      </w:rPr>
    </w:lvl>
    <w:lvl w:ilvl="8">
      <w:start w:val="1"/>
      <w:numFmt w:val="bullet"/>
      <w:lvlText w:val=""/>
      <w:lvlJc w:val="start"/>
      <w:pPr>
        <w:tabs>
          <w:tab w:val="num" w:pos="2268"/>
        </w:tabs>
        <w:ind w:start="2268" w:hanging="227"/>
      </w:pPr>
      <w:rPr>
        <w:rFonts w:ascii="Symbol" w:hAnsi="Symbol" w:cs="Symbol" w:hint="default"/>
      </w:rPr>
    </w:lvl>
  </w:abstractNum>
  <w:abstractNum w:abstractNumId="4">
    <w:lvl w:ilvl="0">
      <w:start w:val="1"/>
      <w:numFmt w:val="bullet"/>
      <w:lvlText w:val=""/>
      <w:lvlJc w:val="start"/>
      <w:pPr>
        <w:tabs>
          <w:tab w:val="num" w:pos="227"/>
        </w:tabs>
        <w:ind w:start="227" w:hanging="227"/>
      </w:pPr>
      <w:rPr>
        <w:rFonts w:ascii="Symbol" w:hAnsi="Symbol" w:cs="Symbol" w:hint="default"/>
      </w:rPr>
    </w:lvl>
    <w:lvl w:ilvl="1">
      <w:start w:val="1"/>
      <w:numFmt w:val="bullet"/>
      <w:lvlText w:val=""/>
      <w:lvlJc w:val="start"/>
      <w:pPr>
        <w:tabs>
          <w:tab w:val="num" w:pos="454"/>
        </w:tabs>
        <w:ind w:start="454" w:hanging="227"/>
      </w:pPr>
      <w:rPr>
        <w:rFonts w:ascii="Symbol" w:hAnsi="Symbol" w:cs="Symbol" w:hint="default"/>
      </w:rPr>
    </w:lvl>
    <w:lvl w:ilvl="2">
      <w:start w:val="1"/>
      <w:numFmt w:val="bullet"/>
      <w:lvlText w:val=""/>
      <w:lvlJc w:val="start"/>
      <w:pPr>
        <w:tabs>
          <w:tab w:val="num" w:pos="680"/>
        </w:tabs>
        <w:ind w:start="680" w:hanging="227"/>
      </w:pPr>
      <w:rPr>
        <w:rFonts w:ascii="Symbol" w:hAnsi="Symbol" w:cs="Symbol" w:hint="default"/>
      </w:rPr>
    </w:lvl>
    <w:lvl w:ilvl="3">
      <w:start w:val="1"/>
      <w:numFmt w:val="bullet"/>
      <w:lvlText w:val=""/>
      <w:lvlJc w:val="start"/>
      <w:pPr>
        <w:tabs>
          <w:tab w:val="num" w:pos="907"/>
        </w:tabs>
        <w:ind w:start="907" w:hanging="227"/>
      </w:pPr>
      <w:rPr>
        <w:rFonts w:ascii="Symbol" w:hAnsi="Symbol" w:cs="Symbol" w:hint="default"/>
      </w:rPr>
    </w:lvl>
    <w:lvl w:ilvl="4">
      <w:start w:val="1"/>
      <w:numFmt w:val="bullet"/>
      <w:lvlText w:val=""/>
      <w:lvlJc w:val="start"/>
      <w:pPr>
        <w:tabs>
          <w:tab w:val="num" w:pos="1134"/>
        </w:tabs>
        <w:ind w:start="1134" w:hanging="227"/>
      </w:pPr>
      <w:rPr>
        <w:rFonts w:ascii="Symbol" w:hAnsi="Symbol" w:cs="Symbol" w:hint="default"/>
      </w:rPr>
    </w:lvl>
    <w:lvl w:ilvl="5">
      <w:start w:val="1"/>
      <w:numFmt w:val="bullet"/>
      <w:lvlText w:val=""/>
      <w:lvlJc w:val="start"/>
      <w:pPr>
        <w:tabs>
          <w:tab w:val="num" w:pos="1361"/>
        </w:tabs>
        <w:ind w:start="1361" w:hanging="227"/>
      </w:pPr>
      <w:rPr>
        <w:rFonts w:ascii="Symbol" w:hAnsi="Symbol" w:cs="Symbol" w:hint="default"/>
      </w:rPr>
    </w:lvl>
    <w:lvl w:ilvl="6">
      <w:start w:val="1"/>
      <w:numFmt w:val="bullet"/>
      <w:lvlText w:val=""/>
      <w:lvlJc w:val="start"/>
      <w:pPr>
        <w:tabs>
          <w:tab w:val="num" w:pos="1587"/>
        </w:tabs>
        <w:ind w:start="1587" w:hanging="227"/>
      </w:pPr>
      <w:rPr>
        <w:rFonts w:ascii="Symbol" w:hAnsi="Symbol" w:cs="Symbol" w:hint="default"/>
      </w:rPr>
    </w:lvl>
    <w:lvl w:ilvl="7">
      <w:start w:val="1"/>
      <w:numFmt w:val="bullet"/>
      <w:lvlText w:val=""/>
      <w:lvlJc w:val="start"/>
      <w:pPr>
        <w:tabs>
          <w:tab w:val="num" w:pos="1814"/>
        </w:tabs>
        <w:ind w:start="1814" w:hanging="227"/>
      </w:pPr>
      <w:rPr>
        <w:rFonts w:ascii="Symbol" w:hAnsi="Symbol" w:cs="Symbol" w:hint="default"/>
      </w:rPr>
    </w:lvl>
    <w:lvl w:ilvl="8">
      <w:start w:val="1"/>
      <w:numFmt w:val="bullet"/>
      <w:lvlText w:val=""/>
      <w:lvlJc w:val="start"/>
      <w:pPr>
        <w:tabs>
          <w:tab w:val="num" w:pos="2041"/>
        </w:tabs>
        <w:ind w:start="2041" w:hanging="227"/>
      </w:pPr>
      <w:rPr>
        <w:rFonts w:ascii="Symbol" w:hAnsi="Symbol" w:cs="Symbol" w:hint="default"/>
      </w:rPr>
    </w:lvl>
  </w:abstractNum>
  <w:abstractNum w:abstractNumId="5">
    <w:lvl w:ilvl="0">
      <w:start w:val="1"/>
      <w:numFmt w:val="bullet"/>
      <w:lvlText w:val=""/>
      <w:lvlJc w:val="start"/>
      <w:pPr>
        <w:tabs>
          <w:tab w:val="num" w:pos="454"/>
        </w:tabs>
        <w:ind w:start="454" w:hanging="227"/>
      </w:pPr>
      <w:rPr>
        <w:rFonts w:ascii="Symbol" w:hAnsi="Symbol" w:cs="Symbol" w:hint="default"/>
      </w:rPr>
    </w:lvl>
    <w:lvl w:ilvl="1">
      <w:start w:val="1"/>
      <w:numFmt w:val="bullet"/>
      <w:lvlText w:val=""/>
      <w:lvlJc w:val="start"/>
      <w:pPr>
        <w:tabs>
          <w:tab w:val="num" w:pos="681"/>
        </w:tabs>
        <w:ind w:start="681" w:hanging="227"/>
      </w:pPr>
      <w:rPr>
        <w:rFonts w:ascii="Symbol" w:hAnsi="Symbol" w:cs="Symbol" w:hint="default"/>
      </w:rPr>
    </w:lvl>
    <w:lvl w:ilvl="2">
      <w:start w:val="1"/>
      <w:numFmt w:val="bullet"/>
      <w:lvlText w:val=""/>
      <w:lvlJc w:val="start"/>
      <w:pPr>
        <w:tabs>
          <w:tab w:val="num" w:pos="907"/>
        </w:tabs>
        <w:ind w:start="907" w:hanging="227"/>
      </w:pPr>
      <w:rPr>
        <w:rFonts w:ascii="Symbol" w:hAnsi="Symbol" w:cs="Symbol" w:hint="default"/>
      </w:rPr>
    </w:lvl>
    <w:lvl w:ilvl="3">
      <w:start w:val="1"/>
      <w:numFmt w:val="bullet"/>
      <w:lvlText w:val=""/>
      <w:lvlJc w:val="start"/>
      <w:pPr>
        <w:tabs>
          <w:tab w:val="num" w:pos="1134"/>
        </w:tabs>
        <w:ind w:start="1134" w:hanging="227"/>
      </w:pPr>
      <w:rPr>
        <w:rFonts w:ascii="Symbol" w:hAnsi="Symbol" w:cs="Symbol" w:hint="default"/>
      </w:rPr>
    </w:lvl>
    <w:lvl w:ilvl="4">
      <w:start w:val="1"/>
      <w:numFmt w:val="bullet"/>
      <w:lvlText w:val=""/>
      <w:lvlJc w:val="start"/>
      <w:pPr>
        <w:tabs>
          <w:tab w:val="num" w:pos="1361"/>
        </w:tabs>
        <w:ind w:start="1361" w:hanging="227"/>
      </w:pPr>
      <w:rPr>
        <w:rFonts w:ascii="Symbol" w:hAnsi="Symbol" w:cs="Symbol" w:hint="default"/>
      </w:rPr>
    </w:lvl>
    <w:lvl w:ilvl="5">
      <w:start w:val="1"/>
      <w:numFmt w:val="bullet"/>
      <w:lvlText w:val=""/>
      <w:lvlJc w:val="start"/>
      <w:pPr>
        <w:tabs>
          <w:tab w:val="num" w:pos="1588"/>
        </w:tabs>
        <w:ind w:start="1588" w:hanging="227"/>
      </w:pPr>
      <w:rPr>
        <w:rFonts w:ascii="Symbol" w:hAnsi="Symbol" w:cs="Symbol" w:hint="default"/>
      </w:rPr>
    </w:lvl>
    <w:lvl w:ilvl="6">
      <w:start w:val="1"/>
      <w:numFmt w:val="bullet"/>
      <w:lvlText w:val=""/>
      <w:lvlJc w:val="start"/>
      <w:pPr>
        <w:tabs>
          <w:tab w:val="num" w:pos="1814"/>
        </w:tabs>
        <w:ind w:start="1814" w:hanging="227"/>
      </w:pPr>
      <w:rPr>
        <w:rFonts w:ascii="Symbol" w:hAnsi="Symbol" w:cs="Symbol" w:hint="default"/>
      </w:rPr>
    </w:lvl>
    <w:lvl w:ilvl="7">
      <w:start w:val="1"/>
      <w:numFmt w:val="bullet"/>
      <w:lvlText w:val=""/>
      <w:lvlJc w:val="start"/>
      <w:pPr>
        <w:tabs>
          <w:tab w:val="num" w:pos="2041"/>
        </w:tabs>
        <w:ind w:start="2041" w:hanging="227"/>
      </w:pPr>
      <w:rPr>
        <w:rFonts w:ascii="Symbol" w:hAnsi="Symbol" w:cs="Symbol" w:hint="default"/>
      </w:rPr>
    </w:lvl>
    <w:lvl w:ilvl="8">
      <w:start w:val="1"/>
      <w:numFmt w:val="bullet"/>
      <w:lvlText w:val=""/>
      <w:lvlJc w:val="start"/>
      <w:pPr>
        <w:tabs>
          <w:tab w:val="num" w:pos="2268"/>
        </w:tabs>
        <w:ind w:start="2268" w:hanging="227"/>
      </w:pPr>
      <w:rPr>
        <w:rFonts w:ascii="Symbol" w:hAnsi="Symbol" w:cs="Symbol" w:hint="default"/>
      </w:rPr>
    </w:lvl>
  </w:abstractNum>
  <w:abstractNum w:abstractNumId="6">
    <w:lvl w:ilvl="0">
      <w:start w:val="1"/>
      <w:numFmt w:val="bullet"/>
      <w:lvlText w:val=""/>
      <w:lvlJc w:val="start"/>
      <w:pPr>
        <w:tabs>
          <w:tab w:val="num" w:pos="0"/>
        </w:tabs>
        <w:ind w:start="90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09"/>
  <w:autoHyphenation w:val="true"/>
  <w:endnotePr>
    <w:numFmt w:val="decimal"/>
    <w:endnote w:id="0"/>
    <w:endnote w:id="1"/>
  </w:endnotePr>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Times New Roman" w:hAnsi="Liberation Serif;Times New Roman" w:eastAsia="NSimSun" w:cs="Arial"/>
      <w:color w:val="00000A"/>
      <w:kern w:val="2"/>
      <w:sz w:val="24"/>
      <w:szCs w:val="24"/>
      <w:lang w:val="en-GB" w:eastAsia="zh-CN" w:bidi="hi-IN"/>
    </w:rPr>
  </w:style>
  <w:style w:type="paragraph" w:styleId="Heading1">
    <w:name w:val="Heading 1"/>
    <w:basedOn w:val="Heading"/>
    <w:next w:val="BodyText"/>
    <w:qFormat/>
    <w:pPr>
      <w:numPr>
        <w:ilvl w:val="0"/>
        <w:numId w:val="1"/>
      </w:numPr>
      <w:spacing w:before="240" w:after="120"/>
      <w:outlineLvl w:val="0"/>
    </w:pPr>
    <w:rPr>
      <w:rFonts w:ascii="Liberation Serif;Times New Roman" w:hAnsi="Liberation Serif;Times New Roman" w:eastAsia="NSimSun" w:cs="Arial"/>
      <w:b/>
      <w:bCs/>
      <w:sz w:val="48"/>
      <w:szCs w:val="48"/>
    </w:rPr>
  </w:style>
  <w:style w:type="paragraph" w:styleId="Heading2">
    <w:name w:val="Heading 2"/>
    <w:basedOn w:val="Heading"/>
    <w:next w:val="BodyText"/>
    <w:qFormat/>
    <w:pPr>
      <w:spacing w:before="200" w:after="120"/>
      <w:outlineLvl w:val="1"/>
    </w:pPr>
    <w:rPr>
      <w:rFonts w:ascii="Liberation Serif;Times New Roman" w:hAnsi="Liberation Serif;Times New Roman" w:eastAsia="NSimSun" w:cs="Arial"/>
      <w:b/>
      <w:bCs/>
      <w:sz w:val="36"/>
      <w:szCs w:val="36"/>
    </w:rPr>
  </w:style>
  <w:style w:type="paragraph" w:styleId="Heading3">
    <w:name w:val="Heading 3"/>
    <w:basedOn w:val="Normal"/>
    <w:next w:val="BodyText"/>
    <w:qFormat/>
    <w:pPr>
      <w:keepNext w:val="true"/>
      <w:keepLines/>
      <w:numPr>
        <w:ilvl w:val="2"/>
        <w:numId w:val="1"/>
      </w:numPr>
      <w:spacing w:before="40" w:after="0"/>
      <w:outlineLvl w:val="2"/>
    </w:pPr>
    <w:rPr>
      <w:rFonts w:eastAsia="DejaVu Sans;Sylfaen" w:cs="DejaVu Sans;Sylfaen"/>
      <w:b/>
      <w:bCs/>
    </w:rPr>
  </w:style>
  <w:style w:type="character" w:styleId="WW8Num2z0">
    <w:name w:val="WW8Num2z0"/>
    <w:qFormat/>
    <w:rPr>
      <w:b w:val="false"/>
      <w:bCs w:val="false"/>
      <w:i w:val="false"/>
      <w:iCs w:val="false"/>
    </w:rPr>
  </w:style>
  <w:style w:type="character" w:styleId="WW8Num3z0">
    <w:name w:val="WW8Num3z0"/>
    <w:qFormat/>
    <w:rPr>
      <w:rFonts w:ascii="Symbol" w:hAnsi="Symbol" w:cs="Symbol"/>
    </w:rPr>
  </w:style>
  <w:style w:type="character" w:styleId="WW8Num4z0">
    <w:name w:val="WW8Num4z0"/>
    <w:qFormat/>
    <w:rPr>
      <w:rFonts w:ascii="Symbol" w:hAnsi="Symbol" w:cs="Symbol"/>
    </w:rPr>
  </w:style>
  <w:style w:type="character" w:styleId="WW8Num5z0">
    <w:name w:val="WW8Num5z0"/>
    <w:qFormat/>
    <w:rPr>
      <w:rFonts w:ascii="Symbol" w:hAnsi="Symbol" w:cs="Symbol"/>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7z0">
    <w:name w:val="WW8Num7z0"/>
    <w:qFormat/>
    <w:rPr>
      <w:rFonts w:ascii="Open Sans" w:hAnsi="Open Sans" w:eastAsia="Open Sans" w:cs="Open Sans"/>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rFonts w:ascii="Open Sans" w:hAnsi="Open Sans" w:eastAsia="Open Sans" w:cs="Open Sans"/>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DefaultParagraphFont">
    <w:name w:val="Default Paragraph Font"/>
    <w:qFormat/>
    <w:rPr/>
  </w:style>
  <w:style w:type="character" w:styleId="WW-DefaultParagraphFont">
    <w:name w:val="WW-Default Paragraph Font"/>
    <w:qFormat/>
    <w:rPr/>
  </w:style>
  <w:style w:type="character" w:styleId="WW8Num3z1">
    <w:name w:val="WW8Num3z1"/>
    <w:qFormat/>
    <w:rPr>
      <w:rFonts w:ascii="OpenSymbol;Arial Unicode MS" w:hAnsi="OpenSymbol;Arial Unicode MS" w:cs="OpenSymbol;Arial Unicode MS"/>
    </w:rPr>
  </w:style>
  <w:style w:type="character" w:styleId="WW8Num4z1">
    <w:name w:val="WW8Num4z1"/>
    <w:qFormat/>
    <w:rPr>
      <w:rFonts w:ascii="OpenSymbol;Arial Unicode MS" w:hAnsi="OpenSymbol;Arial Unicode MS" w:cs="OpenSymbol;Arial Unicode M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Hyperlink">
    <w:name w:val="Hyperlink"/>
    <w:rPr>
      <w:color w:val="000080"/>
      <w:u w:val="single"/>
      <w:lang w:val="zxx" w:bidi="zxx"/>
    </w:rPr>
  </w:style>
  <w:style w:type="character" w:styleId="FollowedHyperlink1">
    <w:name w:val="FollowedHyperlink1"/>
    <w:qFormat/>
    <w:rPr>
      <w:color w:val="800000"/>
      <w:u w:val="single"/>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mphasis">
    <w:name w:val="Emphasis"/>
    <w:qFormat/>
    <w:rPr>
      <w:i/>
      <w:iCs/>
    </w:rPr>
  </w:style>
  <w:style w:type="character" w:styleId="Strong">
    <w:name w:val="Strong"/>
    <w:qFormat/>
    <w:rPr>
      <w:b/>
      <w:bCs/>
    </w:rPr>
  </w:style>
  <w:style w:type="character" w:styleId="EndnoteCharacters">
    <w:name w:val="Endnote Characters"/>
    <w:qFormat/>
    <w:rPr>
      <w:vertAlign w:val="superscript"/>
    </w:rPr>
  </w:style>
  <w:style w:type="character" w:styleId="Bullets">
    <w:name w:val="Bullets"/>
    <w:qFormat/>
    <w:rPr>
      <w:rFonts w:ascii="OpenSymbol;Arial Unicode MS" w:hAnsi="OpenSymbol;Arial Unicode MS" w:eastAsia="OpenSymbol;Arial Unicode MS" w:cs="OpenSymbol;Arial Unicode MS"/>
    </w:rPr>
  </w:style>
  <w:style w:type="character" w:styleId="FollowedHyperlink">
    <w:name w:val="FollowedHyperlink"/>
    <w:rPr>
      <w:color w:val="800000"/>
      <w:u w:val="single"/>
      <w:lang w:val="zxx" w:bidi="zxx"/>
    </w:rPr>
  </w:style>
  <w:style w:type="character" w:styleId="NumberingSymbols">
    <w:name w:val="Numbering Symbols"/>
    <w:qFormat/>
    <w:rPr/>
  </w:style>
  <w:style w:type="character" w:styleId="WW-EndnoteCharacters">
    <w:name w:val="WW-Endnote Characters"/>
    <w:qFormat/>
    <w:rPr/>
  </w:style>
  <w:style w:type="character" w:styleId="EndnoteReference">
    <w:name w:val="Endnote Reference"/>
    <w:rPr>
      <w:vertAlign w:val="superscript"/>
    </w:rPr>
  </w:style>
  <w:style w:type="character" w:styleId="EndnoteReference1">
    <w:name w:val="Endnote Reference1"/>
    <w:qFormat/>
    <w:rPr>
      <w:vertAlign w:val="superscript"/>
    </w:rPr>
  </w:style>
  <w:style w:type="character" w:styleId="CommentReference">
    <w:name w:val="Comment Reference"/>
    <w:qFormat/>
    <w:rPr>
      <w:sz w:val="16"/>
      <w:szCs w:val="16"/>
    </w:rPr>
  </w:style>
  <w:style w:type="character" w:styleId="FootnoteReference1">
    <w:name w:val="Footnote Reference1"/>
    <w:qFormat/>
    <w:rPr>
      <w:vertAlign w:val="superscript"/>
    </w:rPr>
  </w:style>
  <w:style w:type="character" w:styleId="EndnoteReference2">
    <w:name w:val="Endnote Reference2"/>
    <w:qFormat/>
    <w:rPr>
      <w:vertAlign w:val="superscript"/>
    </w:rPr>
  </w:style>
  <w:style w:type="character" w:styleId="FootnoteReference2">
    <w:name w:val="Footnote Reference2"/>
    <w:qFormat/>
    <w:rPr>
      <w:vertAlign w:val="superscript"/>
    </w:rPr>
  </w:style>
  <w:style w:type="character" w:styleId="FootnoteReference11">
    <w:name w:val="Footnote Reference11"/>
    <w:qFormat/>
    <w:rPr>
      <w:vertAlign w:val="superscript"/>
    </w:rPr>
  </w:style>
  <w:style w:type="character" w:styleId="EndnoteReference3">
    <w:name w:val="Endnote Reference3"/>
    <w:qFormat/>
    <w:rPr>
      <w:vertAlign w:val="superscript"/>
    </w:rPr>
  </w:style>
  <w:style w:type="character" w:styleId="FootnoteReference3">
    <w:name w:val="Footnote Reference3"/>
    <w:qFormat/>
    <w:rPr>
      <w:vertAlign w:val="superscript"/>
    </w:rPr>
  </w:style>
  <w:style w:type="character" w:styleId="EndnoteReference4">
    <w:name w:val="Endnote Reference4"/>
    <w:qFormat/>
    <w:rPr>
      <w:vertAlign w:val="superscript"/>
    </w:rPr>
  </w:style>
  <w:style w:type="character" w:styleId="FootnoteReference4">
    <w:name w:val="Footnote Reference4"/>
    <w:qFormat/>
    <w:rPr>
      <w:vertAlign w:val="superscript"/>
    </w:rPr>
  </w:style>
  <w:style w:type="character" w:styleId="EndnoteReference5">
    <w:name w:val="Endnote Reference5"/>
    <w:qFormat/>
    <w:rPr>
      <w:vertAlign w:val="superscript"/>
    </w:rPr>
  </w:style>
  <w:style w:type="character" w:styleId="FootnoteReference5">
    <w:name w:val="Footnote Reference5"/>
    <w:qFormat/>
    <w:rPr>
      <w:vertAlign w:val="superscript"/>
    </w:rPr>
  </w:style>
  <w:style w:type="character" w:styleId="EndnoteReference6">
    <w:name w:val="Endnote Reference6"/>
    <w:qFormat/>
    <w:rPr>
      <w:vertAlign w:val="superscript"/>
    </w:rPr>
  </w:style>
  <w:style w:type="character" w:styleId="FootnoteReference6">
    <w:name w:val="Footnote Reference6"/>
    <w:qFormat/>
    <w:rPr>
      <w:vertAlign w:val="superscript"/>
    </w:rPr>
  </w:style>
  <w:style w:type="character" w:styleId="EndnoteReference7">
    <w:name w:val="Endnote Reference7"/>
    <w:qFormat/>
    <w:rPr>
      <w:vertAlign w:val="superscript"/>
    </w:rPr>
  </w:style>
  <w:style w:type="character" w:styleId="FootnoteReference7">
    <w:name w:val="Footnote Reference7"/>
    <w:qFormat/>
    <w:rPr>
      <w:vertAlign w:val="superscript"/>
    </w:rPr>
  </w:style>
  <w:style w:type="character" w:styleId="CommentTextChar">
    <w:name w:val="Comment Text Char"/>
    <w:qFormat/>
    <w:rPr>
      <w:rFonts w:ascii="Liberation Serif;Times New Roman" w:hAnsi="Liberation Serif;Times New Roman" w:eastAsia="NSimSun" w:cs="Mangal"/>
      <w:color w:val="00000A"/>
      <w:kern w:val="2"/>
      <w:szCs w:val="18"/>
      <w:lang w:eastAsia="zh-CN" w:bidi="hi-IN"/>
    </w:rPr>
  </w:style>
  <w:style w:type="character" w:styleId="CommentSubjectChar">
    <w:name w:val="Comment Subject Char"/>
    <w:qFormat/>
    <w:rPr>
      <w:rFonts w:ascii="Liberation Serif;Times New Roman" w:hAnsi="Liberation Serif;Times New Roman" w:eastAsia="NSimSun" w:cs="Mangal"/>
      <w:b/>
      <w:bCs/>
      <w:color w:val="00000A"/>
      <w:kern w:val="2"/>
      <w:szCs w:val="18"/>
      <w:lang w:eastAsia="zh-CN" w:bidi="hi-IN"/>
    </w:rPr>
  </w:style>
  <w:style w:type="character" w:styleId="EndnoteReference8">
    <w:name w:val="Endnote Reference8"/>
    <w:qFormat/>
    <w:rPr>
      <w:vertAlign w:val="superscript"/>
    </w:rPr>
  </w:style>
  <w:style w:type="character" w:styleId="FootnoteReference8">
    <w:name w:val="Footnote Reference8"/>
    <w:qFormat/>
    <w:rPr>
      <w:vertAlign w:val="superscript"/>
    </w:rPr>
  </w:style>
  <w:style w:type="character" w:styleId="EndnoteReference9">
    <w:name w:val="Endnote Reference9"/>
    <w:qFormat/>
    <w:rPr>
      <w:vertAlign w:val="superscript"/>
    </w:rPr>
  </w:style>
  <w:style w:type="character" w:styleId="FootnoteReference9">
    <w:name w:val="Footnote Reference9"/>
    <w:qFormat/>
    <w:rPr>
      <w:vertAlign w:val="superscript"/>
    </w:rPr>
  </w:style>
  <w:style w:type="character" w:styleId="EndnoteReference10">
    <w:name w:val="Endnote Reference10"/>
    <w:qFormat/>
    <w:rPr>
      <w:vertAlign w:val="superscript"/>
    </w:rPr>
  </w:style>
  <w:style w:type="character" w:styleId="FootnoteReference10">
    <w:name w:val="Footnote Reference10"/>
    <w:qFormat/>
    <w:rPr>
      <w:vertAlign w:val="superscript"/>
    </w:rPr>
  </w:style>
  <w:style w:type="character" w:styleId="EndnoteReference11">
    <w:name w:val="Endnote Reference11"/>
    <w:qFormat/>
    <w:rPr>
      <w:vertAlign w:val="superscript"/>
    </w:rPr>
  </w:style>
  <w:style w:type="character" w:styleId="FootnoteReference12">
    <w:name w:val="Footnote Reference12"/>
    <w:qFormat/>
    <w:rPr>
      <w:vertAlign w:val="superscript"/>
    </w:rPr>
  </w:style>
  <w:style w:type="character" w:styleId="EndnoteReference12">
    <w:name w:val="Endnote Reference12"/>
    <w:qFormat/>
    <w:rPr>
      <w:vertAlign w:val="superscript"/>
    </w:rPr>
  </w:style>
  <w:style w:type="character" w:styleId="FootnoteReference13">
    <w:name w:val="Footnote Reference13"/>
    <w:qFormat/>
    <w:rPr>
      <w:vertAlign w:val="superscript"/>
    </w:rPr>
  </w:style>
  <w:style w:type="character" w:styleId="EndnoteReference13">
    <w:name w:val="Endnote Reference13"/>
    <w:qFormat/>
    <w:rPr>
      <w:vertAlign w:val="superscript"/>
    </w:rPr>
  </w:style>
  <w:style w:type="character" w:styleId="FootnoteReference14">
    <w:name w:val="Footnote Reference14"/>
    <w:qFormat/>
    <w:rPr>
      <w:vertAlign w:val="superscript"/>
    </w:rPr>
  </w:style>
  <w:style w:type="character" w:styleId="EndnoteReference14">
    <w:name w:val="Endnote Reference14"/>
    <w:qFormat/>
    <w:rPr>
      <w:vertAlign w:val="superscript"/>
    </w:rPr>
  </w:style>
  <w:style w:type="character" w:styleId="FootnoteReference15">
    <w:name w:val="Footnote Reference15"/>
    <w:qFormat/>
    <w:rPr>
      <w:vertAlign w:val="superscript"/>
    </w:rPr>
  </w:style>
  <w:style w:type="character" w:styleId="FooterChar">
    <w:name w:val="Footer Char"/>
    <w:qFormat/>
    <w:rPr>
      <w:rFonts w:ascii="Liberation Serif;Times New Roman" w:hAnsi="Liberation Serif;Times New Roman" w:eastAsia="NSimSun" w:cs="Arial"/>
      <w:color w:val="00000A"/>
      <w:kern w:val="2"/>
      <w:sz w:val="24"/>
      <w:szCs w:val="24"/>
      <w:lang w:eastAsia="zh-CN" w:bidi="hi-IN"/>
    </w:rPr>
  </w:style>
  <w:style w:type="character" w:styleId="UnresolvedMention">
    <w:name w:val="Unresolved Mention"/>
    <w:qFormat/>
    <w:rPr>
      <w:color w:val="605E5C"/>
      <w:shd w:fill="E1DFDD" w:val="clear"/>
    </w:rPr>
  </w:style>
  <w:style w:type="character" w:styleId="EndnoteTextChar">
    <w:name w:val="Endnote Text Char"/>
    <w:qFormat/>
    <w:rPr>
      <w:rFonts w:ascii="Liberation Serif;Times New Roman" w:hAnsi="Liberation Serif;Times New Roman" w:eastAsia="NSimSun" w:cs="Arial"/>
      <w:color w:val="00000A"/>
      <w:kern w:val="2"/>
      <w:lang w:eastAsia="zh-CN" w:bidi="hi-IN"/>
    </w:rPr>
  </w:style>
  <w:style w:type="character" w:styleId="EndnoteReference15">
    <w:name w:val="Endnote Reference15"/>
    <w:qFormat/>
    <w:rPr>
      <w:vertAlign w:val="superscript"/>
    </w:rPr>
  </w:style>
  <w:style w:type="character" w:styleId="FootnoteReference16">
    <w:name w:val="Footnote Reference16"/>
    <w:qFormat/>
    <w:rPr>
      <w:vertAlign w:val="superscript"/>
    </w:rPr>
  </w:style>
  <w:style w:type="character" w:styleId="EndnoteReference16">
    <w:name w:val="Endnote Reference16"/>
    <w:qFormat/>
    <w:rPr>
      <w:vertAlign w:val="superscript"/>
    </w:rPr>
  </w:style>
  <w:style w:type="character" w:styleId="FootnoteReference17">
    <w:name w:val="Footnote Reference17"/>
    <w:qFormat/>
    <w:rPr>
      <w:vertAlign w:val="superscript"/>
    </w:rPr>
  </w:style>
  <w:style w:type="character" w:styleId="EndnoteReference17">
    <w:name w:val="Endnote Reference17"/>
    <w:qFormat/>
    <w:rPr>
      <w:vertAlign w:val="superscript"/>
    </w:rPr>
  </w:style>
  <w:style w:type="character" w:styleId="FootnoteReference18">
    <w:name w:val="Footnote Reference18"/>
    <w:qFormat/>
    <w:rPr>
      <w:vertAlign w:val="superscript"/>
    </w:rPr>
  </w:style>
  <w:style w:type="paragraph" w:styleId="Heading">
    <w:name w:val="Heading"/>
    <w:basedOn w:val="Normal"/>
    <w:next w:val="BodyText"/>
    <w:qFormat/>
    <w:pPr>
      <w:keepNext w:val="true"/>
      <w:numPr>
        <w:ilvl w:val="0"/>
        <w:numId w:val="0"/>
      </w:numPr>
      <w:spacing w:before="240" w:after="120"/>
      <w:ind w:hanging="0" w:start="0" w:end="0"/>
    </w:pPr>
    <w:rPr>
      <w:rFonts w:ascii="Liberation Sans;Arial" w:hAnsi="Liberation Sans;Arial" w:eastAsia="Microsoft YaHei" w:cs="Arial"/>
      <w:sz w:val="28"/>
      <w:szCs w:val="28"/>
    </w:rPr>
  </w:style>
  <w:style w:type="paragraph" w:styleId="BodyText">
    <w:name w:val="Body Text"/>
    <w:basedOn w:val="Normal"/>
    <w:pPr>
      <w:numPr>
        <w:ilvl w:val="0"/>
        <w:numId w:val="0"/>
      </w:numPr>
      <w:spacing w:lineRule="auto" w:line="276" w:before="0" w:after="140"/>
      <w:ind w:hanging="0" w:start="0" w:end="0"/>
    </w:pPr>
    <w:rPr/>
  </w:style>
  <w:style w:type="paragraph" w:styleId="List">
    <w:name w:val="List"/>
    <w:basedOn w:val="BodyText"/>
    <w:pPr>
      <w:numPr>
        <w:ilvl w:val="0"/>
        <w:numId w:val="0"/>
      </w:numPr>
      <w:ind w:hanging="0" w:start="0" w:end="0"/>
    </w:pPr>
    <w:rPr>
      <w:rFonts w:cs="Arial"/>
    </w:rPr>
  </w:style>
  <w:style w:type="paragraph" w:styleId="Caption">
    <w:name w:val="Caption"/>
    <w:basedOn w:val="Normal"/>
    <w:qFormat/>
    <w:pPr>
      <w:numPr>
        <w:ilvl w:val="0"/>
        <w:numId w:val="0"/>
      </w:numPr>
      <w:suppressLineNumbers/>
      <w:spacing w:before="120" w:after="120"/>
      <w:ind w:hanging="0" w:start="0" w:end="0"/>
    </w:pPr>
    <w:rPr>
      <w:rFonts w:cs="Arial"/>
      <w:i/>
      <w:iCs/>
      <w:sz w:val="24"/>
      <w:szCs w:val="24"/>
    </w:rPr>
  </w:style>
  <w:style w:type="paragraph" w:styleId="Index">
    <w:name w:val="Index"/>
    <w:basedOn w:val="Normal"/>
    <w:qFormat/>
    <w:pPr>
      <w:numPr>
        <w:ilvl w:val="0"/>
        <w:numId w:val="0"/>
      </w:numPr>
      <w:suppressLineNumbers/>
      <w:ind w:hanging="0" w:start="0" w:end="0"/>
    </w:pPr>
    <w:rPr>
      <w:rFonts w:cs="Arial"/>
    </w:rPr>
  </w:style>
  <w:style w:type="paragraph" w:styleId="FootnoteText">
    <w:name w:val="Footnote Text"/>
    <w:basedOn w:val="Normal"/>
    <w:pPr>
      <w:numPr>
        <w:ilvl w:val="0"/>
        <w:numId w:val="0"/>
      </w:numPr>
      <w:suppressLineNumbers/>
      <w:ind w:hanging="340" w:start="283" w:end="0"/>
      <w:jc w:val="both"/>
    </w:pPr>
    <w:rPr>
      <w:sz w:val="20"/>
      <w:szCs w:val="20"/>
    </w:rPr>
  </w:style>
  <w:style w:type="paragraph" w:styleId="HeaderandFooter">
    <w:name w:val="Header and Footer"/>
    <w:basedOn w:val="Normal"/>
    <w:qFormat/>
    <w:pPr>
      <w:numPr>
        <w:ilvl w:val="0"/>
        <w:numId w:val="0"/>
      </w:numPr>
      <w:suppressLineNumbers/>
      <w:tabs>
        <w:tab w:val="clear" w:pos="709"/>
        <w:tab w:val="center" w:pos="4819" w:leader="none"/>
        <w:tab w:val="right" w:pos="9638" w:leader="none"/>
      </w:tabs>
      <w:ind w:hanging="0" w:start="0" w:end="0"/>
    </w:pPr>
    <w:rPr/>
  </w:style>
  <w:style w:type="paragraph" w:styleId="Footer">
    <w:name w:val="Footer"/>
    <w:basedOn w:val="HeaderandFooter"/>
    <w:pPr>
      <w:numPr>
        <w:ilvl w:val="0"/>
        <w:numId w:val="0"/>
      </w:numPr>
      <w:suppressLineNumbers/>
      <w:ind w:hanging="0" w:start="0" w:end="0"/>
    </w:pPr>
    <w:rPr/>
  </w:style>
  <w:style w:type="paragraph" w:styleId="ListContents">
    <w:name w:val="List Contents"/>
    <w:basedOn w:val="Normal"/>
    <w:qFormat/>
    <w:pPr>
      <w:numPr>
        <w:ilvl w:val="0"/>
        <w:numId w:val="0"/>
      </w:numPr>
      <w:ind w:hanging="0" w:start="567" w:end="0"/>
    </w:pPr>
    <w:rPr/>
  </w:style>
  <w:style w:type="paragraph" w:styleId="ListHeading">
    <w:name w:val="List Heading"/>
    <w:basedOn w:val="Normal"/>
    <w:next w:val="ListContents"/>
    <w:qFormat/>
    <w:pPr>
      <w:numPr>
        <w:ilvl w:val="0"/>
        <w:numId w:val="0"/>
      </w:numPr>
      <w:ind w:hanging="0" w:start="0" w:end="0"/>
    </w:pPr>
    <w:rPr/>
  </w:style>
  <w:style w:type="paragraph" w:styleId="BlockQuotation">
    <w:name w:val="Block Quotation"/>
    <w:basedOn w:val="Normal"/>
    <w:qFormat/>
    <w:pPr>
      <w:numPr>
        <w:ilvl w:val="0"/>
        <w:numId w:val="0"/>
      </w:numPr>
      <w:spacing w:before="0" w:after="283"/>
      <w:ind w:hanging="0" w:start="567" w:end="567"/>
    </w:pPr>
    <w:rPr/>
  </w:style>
  <w:style w:type="paragraph" w:styleId="Header">
    <w:name w:val="Header"/>
    <w:basedOn w:val="Normal"/>
    <w:pPr>
      <w:suppressLineNumbers/>
      <w:tabs>
        <w:tab w:val="clear" w:pos="709"/>
        <w:tab w:val="center" w:pos="4819" w:leader="none"/>
        <w:tab w:val="right" w:pos="9638" w:leader="none"/>
      </w:tabs>
    </w:pPr>
    <w:rPr/>
  </w:style>
  <w:style w:type="paragraph" w:styleId="EnvelopeReturn">
    <w:name w:val="Envelope Return"/>
    <w:basedOn w:val="Normal"/>
    <w:pPr>
      <w:suppressLineNumbers/>
    </w:pPr>
    <w:rPr>
      <w:i/>
      <w:iCs/>
    </w:rPr>
  </w:style>
  <w:style w:type="paragraph" w:styleId="EndnoteText">
    <w:name w:val="Endnote Text"/>
    <w:basedOn w:val="Normal"/>
    <w:pPr>
      <w:suppressLineNumbers/>
      <w:ind w:hanging="283" w:start="283" w:end="0"/>
    </w:pPr>
    <w:rPr>
      <w:sz w:val="20"/>
      <w:szCs w:val="20"/>
    </w:rPr>
  </w:style>
  <w:style w:type="paragraph" w:styleId="TableContents">
    <w:name w:val="Table Contents"/>
    <w:basedOn w:val="Normal"/>
    <w:qFormat/>
    <w:pPr>
      <w:widowControl w:val="false"/>
      <w:suppressLineNumbers/>
    </w:pPr>
    <w:rPr/>
  </w:style>
  <w:style w:type="paragraph" w:styleId="Normal1">
    <w:name w:val="normal1"/>
    <w:qFormat/>
    <w:pPr>
      <w:widowControl/>
      <w:suppressAutoHyphens w:val="true"/>
      <w:bidi w:val="0"/>
      <w:spacing w:before="0" w:after="0"/>
      <w:jc w:val="start"/>
    </w:pPr>
    <w:rPr>
      <w:rFonts w:ascii="Liberation Serif;Times New Roman" w:hAnsi="Liberation Serif;Times New Roman" w:eastAsia="NSimSun" w:cs="Arial"/>
      <w:color w:val="auto"/>
      <w:kern w:val="0"/>
      <w:sz w:val="24"/>
      <w:szCs w:val="24"/>
      <w:lang w:val="en-GB" w:eastAsia="zh-CN" w:bidi="hi-IN"/>
    </w:rPr>
  </w:style>
  <w:style w:type="paragraph" w:styleId="CommentText">
    <w:name w:val="Comment Text"/>
    <w:basedOn w:val="Normal"/>
    <w:qFormat/>
    <w:pPr/>
    <w:rPr>
      <w:rFonts w:cs="Mangal"/>
      <w:sz w:val="20"/>
      <w:szCs w:val="18"/>
    </w:rPr>
  </w:style>
  <w:style w:type="paragraph" w:styleId="CommentSubject">
    <w:name w:val="Comment Subject"/>
    <w:basedOn w:val="CommentText"/>
    <w:next w:val="CommentText"/>
    <w:qFormat/>
    <w:pPr/>
    <w:rPr>
      <w:b/>
      <w:bCs/>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https://atd-uk.org/" TargetMode="External"/><Relationship Id="rId5" Type="http://schemas.openxmlformats.org/officeDocument/2006/relationships/hyperlink" Target="https://atd-uk.org/projects-campaigns/social-work-training-programme/" TargetMode="External"/><Relationship Id="rId6" Type="http://schemas.openxmlformats.org/officeDocument/2006/relationships/hyperlink" Target="https://atd-uk.org/projects-campaigns/giving-poverty-a-voice/" TargetMode="External"/><Relationship Id="rId7" Type="http://schemas.openxmlformats.org/officeDocument/2006/relationships/hyperlink" Target="https://gripp.org.uk/" TargetMode="External"/><Relationship Id="rId8" Type="http://schemas.openxmlformats.org/officeDocument/2006/relationships/hyperlink" Target="https://endchildpoverty.org.uk/our-members/" TargetMode="External"/><Relationship Id="rId9" Type="http://schemas.openxmlformats.org/officeDocument/2006/relationships/hyperlink" Target="https://childrenfamiliestruth.com/" TargetMode="External"/><Relationship Id="rId10" Type="http://schemas.openxmlformats.org/officeDocument/2006/relationships/hyperlink" Target="https://www.pfan.uk/home/" TargetMode="External"/><Relationship Id="rId11" Type="http://schemas.openxmlformats.org/officeDocument/2006/relationships/hyperlink" Target="https://www.essex.ac.uk/reasearch-projects/human-rights-local" TargetMode="External"/><Relationship Id="rId12" Type="http://schemas.openxmlformats.org/officeDocument/2006/relationships/image" Target="media/image3.jpeg"/><Relationship Id="rId13" Type="http://schemas.openxmlformats.org/officeDocument/2006/relationships/hyperlink" Target="https://gripp.org.uk/wp-content/uploads/2023/05/JNL-217-Pov-and-HRUK-p14-21.pdf" TargetMode="External"/><Relationship Id="rId14" Type="http://schemas.openxmlformats.org/officeDocument/2006/relationships/image" Target="media/image4.jpe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endnotes" Target="endnotes.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endnotes.xml.rels><?xml version="1.0" encoding="UTF-8"?>
<Relationships xmlns="http://schemas.openxmlformats.org/package/2006/relationships"><Relationship Id="rId1"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 Type="http://schemas.openxmlformats.org/officeDocument/2006/relationships/hyperlink" Target="https://www.judiciary.uk/speech-by-sir-andrew-mcfarlane-adapting-adoption-to-the-modern-world/" TargetMode="External"/><Relationship Id="rId3" Type="http://schemas.openxmlformats.org/officeDocument/2006/relationships/hyperlink" Target="https://foundations.org.uk/wp-content/uploads/Reports/Randomised-controlled-trial-family-group-conferencing.pdf" TargetMode="External"/><Relationship Id="rId4" Type="http://schemas.openxmlformats.org/officeDocument/2006/relationships/hyperlink" Target="https://www.nspcc.org.uk/about-us/news-opinion/2024/calling-on-uk-government-improve-support-reunited-families/?utm_campaign=20240827_KIS_CASPAR_August27&amp;utm_content=We&apos;re calling on the UK government to improve support forreunitedfamilies&amp;" TargetMode="External"/><Relationship Id="rId5" Type="http://schemas.openxmlformats.org/officeDocument/2006/relationships/hyperlink" Target="https://www.communitycare.co.uk/2024/08/13/should-parents-have-a-right-to-advocacy-during-child-protection-cases/" TargetMode="External"/><Relationship Id="rId6" Type="http://schemas.openxmlformats.org/officeDocument/2006/relationships/hyperlink" Target="http://repository.essex.ac.uk/id/eprint/35878" TargetMode="External"/><Relationship Id="rId7" Type="http://schemas.openxmlformats.org/officeDocument/2006/relationships/hyperlink" Target="https://digitallibrary.un.org/record/659980?ln=en&amp;v=pdf" TargetMode="External"/><Relationship Id="rId8" Type="http://schemas.openxmlformats.org/officeDocument/2006/relationships/hyperlink" Target="https://www.ohchr.org/en/documents/thematic-reports/a77157-banning-discrimination-grounds-socioeconomic-disadvantage" TargetMode="External"/><Relationship Id="rId9" Type="http://schemas.openxmlformats.org/officeDocument/2006/relationships/hyperlink" Target="https://doi.org/10.1093/jhuman/huae009" TargetMode="External"/><Relationship Id="rId10" Type="http://schemas.openxmlformats.org/officeDocument/2006/relationships/hyperlink" Target="https://doi.org/10.1093/jhuman/huae009" TargetMode="External"/><Relationship Id="rId11" Type="http://schemas.openxmlformats.org/officeDocument/2006/relationships/hyperlink" Target="https://www.bristol.ac.uk/media-library/sites/geography/pfrc/documents/The poverty premium in 2022 - Progress and problems.pdf" TargetMode="External"/><Relationship Id="rId12" Type="http://schemas.openxmlformats.org/officeDocument/2006/relationships/hyperlink" Target="https://www.scribd.com/document/791892877/Eroding-the-Right-to-Family-Life-Report-by-the-Children-and-Families-Truth-Commission-15-November-2024" TargetMode="External"/><Relationship Id="rId13" Type="http://schemas.openxmlformats.org/officeDocument/2006/relationships/hyperlink" Target="https://www.nspcc.org.uk/about-us/news-opinion/2024/2024-09-05-102-increase-in-the-number-of-children-in-care-in-the-past-12-years/?" TargetMode="External"/><Relationship Id="rId14" Type="http://schemas.openxmlformats.org/officeDocument/2006/relationships/hyperlink" Target="https://atd-uk.org/2024/10/30/not-my-destiny-writing-by-parents-about-social-service-interactions/" TargetMode="External"/><Relationship Id="rId15" Type="http://schemas.openxmlformats.org/officeDocument/2006/relationships/hyperlink" Target="https://pure.hud.ac.uk/ws/files/21398145/CWIP_Final_Report.pdf" TargetMode="External"/><Relationship Id="rId16" Type="http://schemas.openxmlformats.org/officeDocument/2006/relationships/hyperlink" Target="https://opfs.org.uk/wp-content/uploads/2023/08/OPFS_Promise_Policy_Briefing-1.pdf" TargetMode="External"/><Relationship Id="rId17" Type="http://schemas.openxmlformats.org/officeDocument/2006/relationships/hyperlink" Target="https://www.advicenow.org.uk/sites/default/files/Come to us in a peaceful way report V9(1).pdf" TargetMode="External"/><Relationship Id="rId18" Type="http://schemas.openxmlformats.org/officeDocument/2006/relationships/hyperlink" Target="https://committees.parliament.uk/writtenevidence/108175/html/" TargetMode="External"/><Relationship Id="rId19" Type="http://schemas.openxmlformats.org/officeDocument/2006/relationships/hyperlink" Target="https://www.ipsea.org.uk/news/why-the-governments-review-of-childrens-social-care-must-not-forget-disabled-children" TargetMode="External"/><Relationship Id="rId20" Type="http://schemas.openxmlformats.org/officeDocument/2006/relationships/hyperlink" Target="https://atd-uk.org/2019/07/26/the-use-of-artificial-intelligence-in-housing-welfare-and-social-care/" TargetMode="External"/><Relationship Id="rId21" Type="http://schemas.openxmlformats.org/officeDocument/2006/relationships/hyperlink" Target="https://www.ohchr.org/en/documents/thematic-reports/ahrc5117-right-privacy-digital-age" TargetMode="External"/><Relationship Id="rId22" Type="http://schemas.openxmlformats.org/officeDocument/2006/relationships/hyperlink" Target="https://doi.org/10.1332/20467435Y2024D000000013" TargetMode="External"/><Relationship Id="rId23" Type="http://schemas.openxmlformats.org/officeDocument/2006/relationships/hyperlink" Target="https://www.mysocialworknews.com/article/third-of-uk-social-workers-witness-child-removals-where-financial-poverty-a-key-factor" TargetMode="External"/><Relationship Id="rId24" Type="http://schemas.openxmlformats.org/officeDocument/2006/relationships/hyperlink" Target="https://www.nspcc.org.uk/about-us/news-opinion/2024/2024-09-05-102-increase-in-the-number-of-children-in-care-in-the-past-12-years/?" TargetMode="External"/><Relationship Id="rId25" Type="http://schemas.openxmlformats.org/officeDocument/2006/relationships/hyperlink" Target="https://researchingreform.net/2024/08/22/allegations-of-abuse-by-children-against-their-foster-carers-reach-five-year-high/" TargetMode="External"/><Relationship Id="rId26" Type="http://schemas.openxmlformats.org/officeDocument/2006/relationships/hyperlink" Target="https://media.actionforchildren.org.uk/documents/ACT0037_Home_again_Report_Final_digital.pdf" TargetMode="External"/><Relationship Id="rId27"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8" Type="http://schemas.openxmlformats.org/officeDocument/2006/relationships/hyperlink" Target="https://www.mysocialworknews.com/article/third-of-uk-social-workers-witness-child-removals-where-financial-poverty-a-key-factor" TargetMode="External"/><Relationship Id="rId29" Type="http://schemas.openxmlformats.org/officeDocument/2006/relationships/hyperlink" Target="https://www.lancs.live/news/lancashire-news/special-report-childrens-care-home-30224787" TargetMode="External"/><Relationship Id="rId30" Type="http://schemas.openxmlformats.org/officeDocument/2006/relationships/hyperlink" Target="https://www.theguardian.com/society/2024/apr/28/vulnerable-teenagers-dumped-and-abandoned-in-hotels-by-councils-in-england" TargetMode="External"/><Relationship Id="rId31" Type="http://schemas.openxmlformats.org/officeDocument/2006/relationships/hyperlink" Target="https://researchingreform.net/2024/06/27/open-survey-gathers-families-experiences-of-involuntary-adoptions-and-care-orders-in-britain/" TargetMode="External"/><Relationship Id="rId32" Type="http://schemas.openxmlformats.org/officeDocument/2006/relationships/hyperlink" Target="https://doi.org/10.1080/09503153.2016.1164131" TargetMode="External"/><Relationship Id="rId33" Type="http://schemas.openxmlformats.org/officeDocument/2006/relationships/hyperlink" Target="https://www.judiciary.uk/guidance-and-resources/wholesale-reform-to-adoption-process-is-needed-says-public-law-working-group/" TargetMode="External"/><Relationship Id="rId34" Type="http://schemas.openxmlformats.org/officeDocument/2006/relationships/hyperlink" Target="http://dx.doi.org/10.5772/intechopen.1002940" TargetMode="External"/><Relationship Id="rId35" Type="http://schemas.openxmlformats.org/officeDocument/2006/relationships/hyperlink" Target="https://pubmed.ncbi.nlm.nih.gov/28617045/" TargetMode="External"/><Relationship Id="rId36" Type="http://schemas.openxmlformats.org/officeDocument/2006/relationships/hyperlink" Target="https://www.independent.co.uk/news/long_reads/adoption-family-contact-letters-mental-health-b2268128.html" TargetMode="External"/><Relationship Id="rId37" Type="http://schemas.openxmlformats.org/officeDocument/2006/relationships/hyperlink" Target="https://researchingreform.net/2017/11/15/the-end-of-forced-adoption-in-the-uk-meet-the-social-workers-challenging-the-system/" TargetMode="External"/><Relationship Id="rId38" Type="http://schemas.openxmlformats.org/officeDocument/2006/relationships/hyperlink" Target="https://doi.org/10.1177/0038026118777448" TargetMode="External"/><Relationship Id="rId39" Type="http://schemas.openxmlformats.org/officeDocument/2006/relationships/hyperlink" Target="https://atd-uk.org/2024/06/13/study-group-language-and-communication/" TargetMode="External"/><Relationship Id="rId40" Type="http://schemas.openxmlformats.org/officeDocument/2006/relationships/hyperlink" Target="https://www.gov.scot/publications/apology-historical-adoption-practices-first-ministers-speech-22-march-2023/" TargetMode="External"/><Relationship Id="rId41" Type="http://schemas.openxmlformats.org/officeDocument/2006/relationships/hyperlink" Target="https://childrenssocialcare.independent-review.uk/wp-content/uploads/2022/05/The-independent-review-of-childrens-social-care-Final-report.pdf" TargetMode="External"/><Relationship Id="rId42" Type="http://schemas.openxmlformats.org/officeDocument/2006/relationships/hyperlink" Target="https://committees.parliament.uk/oralevidence/14381/default/" TargetMode="External"/><Relationship Id="rId43" Type="http://schemas.openxmlformats.org/officeDocument/2006/relationships/hyperlink" Target="https://assets.publishing.service.gov.uk/media/650966a322a783001343e844/Children_s_Social_Care_Stable_Homes__Built_on_Love_consultation_response.pdf" TargetMode="External"/><Relationship Id="rId44" Type="http://schemas.openxmlformats.org/officeDocument/2006/relationships/hyperlink" Target="http://www.jstor.org/stable/23723070" TargetMode="External"/><Relationship Id="rId45" Type="http://schemas.openxmlformats.org/officeDocument/2006/relationships/hyperlink" Target="https://assets.publishing.service.gov.uk/media/6579c7f40467eb001355f755/Championing_kinship_care_the_national_kinship_care_strategy.pdf" TargetMode="External"/><Relationship Id="rId46" Type="http://schemas.openxmlformats.org/officeDocument/2006/relationships/hyperlink" Target="https://atd-uk.org/2024/10/30/not-my-destiny-writing-by-parents-about-social-service-interactions/" TargetMode="External"/><Relationship Id="rId47" Type="http://schemas.openxmlformats.org/officeDocument/2006/relationships/hyperlink" Target="https://www.communitycare.co.uk/2024/08/13/should-parents-have-a-right-to-advocacy-during-child-protection-cases/" TargetMode="External"/><Relationship Id="rId48" Type="http://schemas.openxmlformats.org/officeDocument/2006/relationships/hyperlink" Target="https://www.pfan.uk/parent-advocacy/" TargetMode="External"/><Relationship Id="rId49" Type="http://schemas.openxmlformats.org/officeDocument/2006/relationships/hyperlink" Target="https://atd-uk.org/2023/04/10/study-group-peer-to-peer-advocacy-and-trying-to-absorb-outrage/" TargetMode="External"/><Relationship Id="rId50" Type="http://schemas.openxmlformats.org/officeDocument/2006/relationships/hyperlink" Target="https://atd-uk.org/2023/11/03/the-story-of-the-magic-judge/" TargetMode="External"/>
</Relationships>
</file>

<file path=word/_rels/header1.xml.rels><?xml version="1.0" encoding="UTF-8"?>
<Relationships xmlns="http://schemas.openxmlformats.org/package/2006/relationships"><Relationship Id="rId1" Type="http://schemas.openxmlformats.org/officeDocument/2006/relationships/image" Target="media/image5.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213</TotalTime>
  <Application>LibreOffice/7.6.0.3$Windows_X86_64 LibreOffice_project/69edd8b8ebc41d00b4de3915dc82f8f0fc3b6265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2024-12-18T10:40:00Z</dcterms:created>
  <dc:creator>Simon Haworth (Social Work and Social Care)</dc:creator>
  <dc:description/>
  <dc:language>en-GB</dc:language>
  <cp:lastModifiedBy/>
  <dcterms:modified xsi:type="dcterms:W3CDTF">2025-01-11T13:43:58Z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