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70E5F" w14:textId="221D9F6D" w:rsidR="00607833" w:rsidRPr="00D40F4E" w:rsidRDefault="00D40F4E" w:rsidP="00D40F4E">
      <w:pPr>
        <w:jc w:val="center"/>
        <w:rPr>
          <w:rFonts w:asciiTheme="majorBidi" w:hAnsiTheme="majorBidi" w:cstheme="majorBidi"/>
          <w:b/>
          <w:bCs/>
          <w:color w:val="7030A0"/>
          <w:sz w:val="32"/>
          <w:szCs w:val="32"/>
          <w:u w:val="single"/>
        </w:rPr>
      </w:pPr>
      <w:bookmarkStart w:id="0" w:name="_GoBack"/>
      <w:bookmarkEnd w:id="0"/>
      <w:r>
        <w:rPr>
          <w:rFonts w:asciiTheme="majorBidi" w:hAnsiTheme="majorBidi" w:cstheme="majorBidi"/>
          <w:b/>
          <w:bCs/>
          <w:color w:val="7030A0"/>
          <w:sz w:val="32"/>
          <w:szCs w:val="32"/>
          <w:u w:val="single"/>
        </w:rPr>
        <w:t xml:space="preserve">Maat for Peace’ submission to </w:t>
      </w:r>
      <w:r w:rsidR="00607833" w:rsidRPr="00D40F4E">
        <w:rPr>
          <w:rFonts w:asciiTheme="majorBidi" w:hAnsiTheme="majorBidi" w:cstheme="majorBidi"/>
          <w:b/>
          <w:bCs/>
          <w:color w:val="7030A0"/>
          <w:sz w:val="32"/>
          <w:szCs w:val="32"/>
          <w:u w:val="single"/>
        </w:rPr>
        <w:t xml:space="preserve">the Committee on Economic, Social and Cultural Rights on </w:t>
      </w:r>
      <w:r w:rsidR="00097608" w:rsidRPr="00D40F4E">
        <w:rPr>
          <w:rFonts w:asciiTheme="majorBidi" w:hAnsiTheme="majorBidi" w:cstheme="majorBidi"/>
          <w:b/>
          <w:bCs/>
          <w:color w:val="7030A0"/>
          <w:sz w:val="32"/>
          <w:szCs w:val="32"/>
          <w:u w:val="single"/>
        </w:rPr>
        <w:t>Israel’s</w:t>
      </w:r>
      <w:r w:rsidR="00607833" w:rsidRPr="00D40F4E">
        <w:rPr>
          <w:rFonts w:asciiTheme="majorBidi" w:hAnsiTheme="majorBidi" w:cstheme="majorBidi"/>
          <w:b/>
          <w:bCs/>
          <w:color w:val="7030A0"/>
          <w:sz w:val="32"/>
          <w:szCs w:val="32"/>
          <w:u w:val="single"/>
        </w:rPr>
        <w:t xml:space="preserve"> </w:t>
      </w:r>
      <w:r w:rsidR="0021482F">
        <w:rPr>
          <w:rFonts w:asciiTheme="majorBidi" w:hAnsiTheme="majorBidi" w:cstheme="majorBidi"/>
          <w:b/>
          <w:bCs/>
          <w:color w:val="7030A0"/>
          <w:sz w:val="32"/>
          <w:szCs w:val="32"/>
          <w:u w:val="single"/>
        </w:rPr>
        <w:t>Follow Up Report</w:t>
      </w:r>
    </w:p>
    <w:p w14:paraId="627EC6F8" w14:textId="77777777" w:rsidR="004F4E9C" w:rsidRPr="00D40F4E" w:rsidRDefault="00607833" w:rsidP="00D40F4E">
      <w:pPr>
        <w:jc w:val="both"/>
        <w:rPr>
          <w:rFonts w:asciiTheme="majorBidi" w:hAnsiTheme="majorBidi" w:cstheme="majorBidi"/>
          <w:b/>
          <w:bCs/>
          <w:color w:val="7030A0"/>
          <w:sz w:val="24"/>
          <w:szCs w:val="24"/>
        </w:rPr>
      </w:pPr>
      <w:r w:rsidRPr="00D40F4E">
        <w:rPr>
          <w:rFonts w:asciiTheme="majorBidi" w:hAnsiTheme="majorBidi" w:cstheme="majorBidi"/>
          <w:b/>
          <w:bCs/>
          <w:color w:val="7030A0"/>
          <w:sz w:val="24"/>
          <w:szCs w:val="24"/>
        </w:rPr>
        <w:t>Executive Summary:</w:t>
      </w:r>
    </w:p>
    <w:p w14:paraId="34A40856" w14:textId="77777777" w:rsidR="00607833" w:rsidRPr="00D40F4E" w:rsidRDefault="00607833" w:rsidP="00D40F4E">
      <w:pPr>
        <w:ind w:firstLine="720"/>
        <w:jc w:val="both"/>
        <w:rPr>
          <w:rFonts w:asciiTheme="majorBidi" w:hAnsiTheme="majorBidi" w:cstheme="majorBidi"/>
          <w:b/>
          <w:bCs/>
          <w:color w:val="7030A0"/>
          <w:sz w:val="24"/>
          <w:szCs w:val="24"/>
        </w:rPr>
      </w:pPr>
      <w:r w:rsidRPr="00D40F4E">
        <w:rPr>
          <w:rFonts w:asciiTheme="majorBidi" w:hAnsiTheme="majorBidi" w:cstheme="majorBidi"/>
          <w:sz w:val="24"/>
          <w:szCs w:val="24"/>
        </w:rPr>
        <w:t>Israel submitted its fourth periodic report to the Committee on Economic, Social and Cultural Rights on July 30, 2018</w:t>
      </w:r>
      <w:r w:rsidR="004B63F4" w:rsidRPr="00D40F4E">
        <w:rPr>
          <w:rFonts w:asciiTheme="majorBidi" w:hAnsiTheme="majorBidi" w:cstheme="majorBidi"/>
          <w:sz w:val="24"/>
          <w:szCs w:val="24"/>
        </w:rPr>
        <w:t>, which was reviewed</w:t>
      </w:r>
      <w:r w:rsidR="00DA32F1" w:rsidRPr="00D40F4E">
        <w:rPr>
          <w:rFonts w:asciiTheme="majorBidi" w:hAnsiTheme="majorBidi" w:cstheme="majorBidi"/>
          <w:sz w:val="24"/>
          <w:szCs w:val="24"/>
        </w:rPr>
        <w:t xml:space="preserve"> by the Committee</w:t>
      </w:r>
      <w:r w:rsidRPr="00D40F4E">
        <w:rPr>
          <w:rFonts w:asciiTheme="majorBidi" w:hAnsiTheme="majorBidi" w:cstheme="majorBidi"/>
          <w:sz w:val="24"/>
          <w:szCs w:val="24"/>
        </w:rPr>
        <w:t xml:space="preserve"> </w:t>
      </w:r>
      <w:r w:rsidR="004B63F4" w:rsidRPr="00D40F4E">
        <w:rPr>
          <w:rFonts w:asciiTheme="majorBidi" w:hAnsiTheme="majorBidi" w:cstheme="majorBidi"/>
          <w:sz w:val="24"/>
          <w:szCs w:val="24"/>
        </w:rPr>
        <w:t>in</w:t>
      </w:r>
      <w:r w:rsidRPr="00D40F4E">
        <w:rPr>
          <w:rFonts w:asciiTheme="majorBidi" w:hAnsiTheme="majorBidi" w:cstheme="majorBidi"/>
          <w:sz w:val="24"/>
          <w:szCs w:val="24"/>
        </w:rPr>
        <w:t xml:space="preserve"> </w:t>
      </w:r>
      <w:r w:rsidR="004B63F4" w:rsidRPr="00D40F4E">
        <w:rPr>
          <w:rFonts w:asciiTheme="majorBidi" w:hAnsiTheme="majorBidi" w:cstheme="majorBidi"/>
          <w:sz w:val="24"/>
          <w:szCs w:val="24"/>
        </w:rPr>
        <w:t>the</w:t>
      </w:r>
      <w:r w:rsidRPr="00D40F4E">
        <w:rPr>
          <w:rFonts w:asciiTheme="majorBidi" w:hAnsiTheme="majorBidi" w:cstheme="majorBidi"/>
          <w:sz w:val="24"/>
          <w:szCs w:val="24"/>
        </w:rPr>
        <w:t xml:space="preserve"> 36th and 37th </w:t>
      </w:r>
      <w:r w:rsidR="004B63F4" w:rsidRPr="00D40F4E">
        <w:rPr>
          <w:rFonts w:asciiTheme="majorBidi" w:hAnsiTheme="majorBidi" w:cstheme="majorBidi"/>
          <w:sz w:val="24"/>
          <w:szCs w:val="24"/>
        </w:rPr>
        <w:t>sessions</w:t>
      </w:r>
      <w:r w:rsidRPr="00D40F4E">
        <w:rPr>
          <w:rFonts w:asciiTheme="majorBidi" w:hAnsiTheme="majorBidi" w:cstheme="majorBidi"/>
          <w:sz w:val="24"/>
          <w:szCs w:val="24"/>
        </w:rPr>
        <w:t>, held on 2 and 3 October 2019</w:t>
      </w:r>
      <w:r w:rsidR="00DA32F1" w:rsidRPr="00D40F4E">
        <w:rPr>
          <w:rFonts w:asciiTheme="majorBidi" w:hAnsiTheme="majorBidi" w:cstheme="majorBidi"/>
          <w:sz w:val="24"/>
          <w:szCs w:val="24"/>
        </w:rPr>
        <w:t xml:space="preserve">. In its </w:t>
      </w:r>
      <w:r w:rsidRPr="00D40F4E">
        <w:rPr>
          <w:rFonts w:asciiTheme="majorBidi" w:hAnsiTheme="majorBidi" w:cstheme="majorBidi"/>
          <w:sz w:val="24"/>
          <w:szCs w:val="24"/>
        </w:rPr>
        <w:t>60th mee</w:t>
      </w:r>
      <w:r w:rsidR="00E50C7C" w:rsidRPr="00D40F4E">
        <w:rPr>
          <w:rFonts w:asciiTheme="majorBidi" w:hAnsiTheme="majorBidi" w:cstheme="majorBidi"/>
          <w:sz w:val="24"/>
          <w:szCs w:val="24"/>
        </w:rPr>
        <w:t>ting, held in October 18, 2019,</w:t>
      </w:r>
      <w:r w:rsidRPr="00D40F4E">
        <w:rPr>
          <w:rFonts w:asciiTheme="majorBidi" w:hAnsiTheme="majorBidi" w:cstheme="majorBidi"/>
          <w:sz w:val="24"/>
          <w:szCs w:val="24"/>
        </w:rPr>
        <w:t xml:space="preserve"> </w:t>
      </w:r>
      <w:r w:rsidR="00DA32F1" w:rsidRPr="00D40F4E">
        <w:rPr>
          <w:rFonts w:asciiTheme="majorBidi" w:hAnsiTheme="majorBidi" w:cstheme="majorBidi"/>
          <w:sz w:val="24"/>
          <w:szCs w:val="24"/>
        </w:rPr>
        <w:t>the Committee</w:t>
      </w:r>
      <w:r w:rsidRPr="00D40F4E">
        <w:rPr>
          <w:rFonts w:asciiTheme="majorBidi" w:hAnsiTheme="majorBidi" w:cstheme="majorBidi"/>
          <w:sz w:val="24"/>
          <w:szCs w:val="24"/>
        </w:rPr>
        <w:t xml:space="preserve"> </w:t>
      </w:r>
      <w:r w:rsidR="00B216F0" w:rsidRPr="00D40F4E">
        <w:rPr>
          <w:rFonts w:asciiTheme="majorBidi" w:hAnsiTheme="majorBidi" w:cstheme="majorBidi"/>
          <w:sz w:val="24"/>
          <w:szCs w:val="24"/>
        </w:rPr>
        <w:t xml:space="preserve">presented a set of </w:t>
      </w:r>
      <w:r w:rsidRPr="00D40F4E">
        <w:rPr>
          <w:rFonts w:asciiTheme="majorBidi" w:hAnsiTheme="majorBidi" w:cstheme="majorBidi"/>
          <w:sz w:val="24"/>
          <w:szCs w:val="24"/>
        </w:rPr>
        <w:t xml:space="preserve">concluding observations and recommendations </w:t>
      </w:r>
      <w:r w:rsidR="00B216F0" w:rsidRPr="00D40F4E">
        <w:rPr>
          <w:rFonts w:asciiTheme="majorBidi" w:hAnsiTheme="majorBidi" w:cstheme="majorBidi"/>
          <w:sz w:val="24"/>
          <w:szCs w:val="24"/>
        </w:rPr>
        <w:t>to</w:t>
      </w:r>
      <w:r w:rsidRPr="00D40F4E">
        <w:rPr>
          <w:rFonts w:asciiTheme="majorBidi" w:hAnsiTheme="majorBidi" w:cstheme="majorBidi"/>
          <w:sz w:val="24"/>
          <w:szCs w:val="24"/>
        </w:rPr>
        <w:t xml:space="preserve"> Israel </w:t>
      </w:r>
      <w:r w:rsidR="00B216F0" w:rsidRPr="00D40F4E">
        <w:rPr>
          <w:rFonts w:asciiTheme="majorBidi" w:hAnsiTheme="majorBidi" w:cstheme="majorBidi"/>
          <w:sz w:val="24"/>
          <w:szCs w:val="24"/>
        </w:rPr>
        <w:t>to be</w:t>
      </w:r>
      <w:r w:rsidRPr="00D40F4E">
        <w:rPr>
          <w:rFonts w:asciiTheme="majorBidi" w:hAnsiTheme="majorBidi" w:cstheme="majorBidi"/>
          <w:sz w:val="24"/>
          <w:szCs w:val="24"/>
        </w:rPr>
        <w:t xml:space="preserve"> </w:t>
      </w:r>
      <w:r w:rsidR="004469A1" w:rsidRPr="00D40F4E">
        <w:rPr>
          <w:rFonts w:asciiTheme="majorBidi" w:hAnsiTheme="majorBidi" w:cstheme="majorBidi"/>
          <w:sz w:val="24"/>
          <w:szCs w:val="24"/>
        </w:rPr>
        <w:t>adopted</w:t>
      </w:r>
      <w:r w:rsidRPr="00D40F4E">
        <w:rPr>
          <w:rFonts w:asciiTheme="majorBidi" w:hAnsiTheme="majorBidi" w:cstheme="majorBidi"/>
          <w:sz w:val="24"/>
          <w:szCs w:val="24"/>
        </w:rPr>
        <w:t xml:space="preserve"> in order to fulfill its international obligations under the International Covenant on Economic, Social and Cultural Rights. In response to the concluding observations received from the Committee, </w:t>
      </w:r>
      <w:r w:rsidR="004469A1" w:rsidRPr="00D40F4E">
        <w:rPr>
          <w:rFonts w:asciiTheme="majorBidi" w:hAnsiTheme="majorBidi" w:cstheme="majorBidi"/>
          <w:sz w:val="24"/>
          <w:szCs w:val="24"/>
        </w:rPr>
        <w:t xml:space="preserve">Israel submitted </w:t>
      </w:r>
      <w:r w:rsidRPr="00D40F4E">
        <w:rPr>
          <w:rFonts w:asciiTheme="majorBidi" w:hAnsiTheme="majorBidi" w:cstheme="majorBidi"/>
          <w:sz w:val="24"/>
          <w:szCs w:val="24"/>
        </w:rPr>
        <w:t>on March 11, 2022</w:t>
      </w:r>
      <w:r w:rsidR="004469A1" w:rsidRPr="00D40F4E">
        <w:rPr>
          <w:rFonts w:asciiTheme="majorBidi" w:hAnsiTheme="majorBidi" w:cstheme="majorBidi"/>
          <w:sz w:val="24"/>
          <w:szCs w:val="24"/>
        </w:rPr>
        <w:t xml:space="preserve"> </w:t>
      </w:r>
      <w:r w:rsidRPr="00D40F4E">
        <w:rPr>
          <w:rFonts w:asciiTheme="majorBidi" w:hAnsiTheme="majorBidi" w:cstheme="majorBidi"/>
          <w:sz w:val="24"/>
          <w:szCs w:val="24"/>
        </w:rPr>
        <w:t xml:space="preserve">a report on </w:t>
      </w:r>
      <w:bookmarkStart w:id="1" w:name="OLE_LINK25"/>
      <w:bookmarkStart w:id="2" w:name="OLE_LINK26"/>
      <w:r w:rsidRPr="00D40F4E">
        <w:rPr>
          <w:rFonts w:asciiTheme="majorBidi" w:hAnsiTheme="majorBidi" w:cstheme="majorBidi"/>
          <w:sz w:val="24"/>
          <w:szCs w:val="24"/>
        </w:rPr>
        <w:t>the follow-up to the concluding observations on its fourth periodic report.</w:t>
      </w:r>
    </w:p>
    <w:bookmarkEnd w:id="1"/>
    <w:bookmarkEnd w:id="2"/>
    <w:p w14:paraId="13E0A8D5" w14:textId="77777777" w:rsidR="003F7C95" w:rsidRPr="00D40F4E" w:rsidRDefault="00607833" w:rsidP="00D40F4E">
      <w:pPr>
        <w:ind w:firstLine="720"/>
        <w:jc w:val="both"/>
        <w:rPr>
          <w:rFonts w:asciiTheme="majorBidi" w:hAnsiTheme="majorBidi" w:cstheme="majorBidi"/>
          <w:sz w:val="24"/>
          <w:szCs w:val="24"/>
        </w:rPr>
      </w:pPr>
      <w:r w:rsidRPr="00D40F4E">
        <w:rPr>
          <w:rFonts w:asciiTheme="majorBidi" w:hAnsiTheme="majorBidi" w:cstheme="majorBidi"/>
          <w:b/>
          <w:bCs/>
          <w:sz w:val="24"/>
          <w:szCs w:val="24"/>
        </w:rPr>
        <w:t>Maat for Peace, Development and Human Rights</w:t>
      </w:r>
      <w:r w:rsidRPr="00D40F4E">
        <w:rPr>
          <w:rFonts w:asciiTheme="majorBidi" w:hAnsiTheme="majorBidi" w:cstheme="majorBidi"/>
          <w:sz w:val="24"/>
          <w:szCs w:val="24"/>
        </w:rPr>
        <w:t xml:space="preserve"> presents in this intervention an overview and detailed observations to the Committee on Economic, Social and Cultural Rights on the extent to which the State of Israel is committed to implementing the recommendations made by the Committee in the framework of the concluding observations on its fourth periodic report, by focusing on the mos</w:t>
      </w:r>
      <w:r w:rsidR="00E50C7C" w:rsidRPr="00D40F4E">
        <w:rPr>
          <w:rFonts w:asciiTheme="majorBidi" w:hAnsiTheme="majorBidi" w:cstheme="majorBidi"/>
          <w:sz w:val="24"/>
          <w:szCs w:val="24"/>
        </w:rPr>
        <w:t>t important issues of concern, i</w:t>
      </w:r>
      <w:r w:rsidRPr="00D40F4E">
        <w:rPr>
          <w:rFonts w:asciiTheme="majorBidi" w:hAnsiTheme="majorBidi" w:cstheme="majorBidi"/>
          <w:sz w:val="24"/>
          <w:szCs w:val="24"/>
        </w:rPr>
        <w:t xml:space="preserve">ncluding issues related to the </w:t>
      </w:r>
      <w:r w:rsidR="00E50C7C" w:rsidRPr="00D40F4E">
        <w:rPr>
          <w:rFonts w:asciiTheme="majorBidi" w:hAnsiTheme="majorBidi" w:cstheme="majorBidi"/>
          <w:sz w:val="24"/>
          <w:szCs w:val="24"/>
        </w:rPr>
        <w:t>implementation</w:t>
      </w:r>
      <w:r w:rsidRPr="00D40F4E">
        <w:rPr>
          <w:rFonts w:asciiTheme="majorBidi" w:hAnsiTheme="majorBidi" w:cstheme="majorBidi"/>
          <w:sz w:val="24"/>
          <w:szCs w:val="24"/>
        </w:rPr>
        <w:t xml:space="preserve"> of the </w:t>
      </w:r>
      <w:r w:rsidR="00E50C7C" w:rsidRPr="00D40F4E">
        <w:rPr>
          <w:rFonts w:asciiTheme="majorBidi" w:hAnsiTheme="majorBidi" w:cstheme="majorBidi"/>
          <w:sz w:val="24"/>
          <w:szCs w:val="24"/>
        </w:rPr>
        <w:t>c</w:t>
      </w:r>
      <w:r w:rsidRPr="00D40F4E">
        <w:rPr>
          <w:rFonts w:asciiTheme="majorBidi" w:hAnsiTheme="majorBidi" w:cstheme="majorBidi"/>
          <w:sz w:val="24"/>
          <w:szCs w:val="24"/>
        </w:rPr>
        <w:t>ovenant and the policies of the State party in the Occupied Palestinian Territories, the right to work, and home demolition practices in the Occupied Palestinian Territories, which we will address in some detail as follows:</w:t>
      </w:r>
    </w:p>
    <w:p w14:paraId="2CB9A1D6" w14:textId="77777777" w:rsidR="003F7C95" w:rsidRPr="00D40F4E" w:rsidRDefault="00531172" w:rsidP="00D40F4E">
      <w:pPr>
        <w:jc w:val="both"/>
        <w:rPr>
          <w:rFonts w:asciiTheme="majorBidi" w:hAnsiTheme="majorBidi" w:cstheme="majorBidi"/>
          <w:b/>
          <w:bCs/>
          <w:color w:val="7030A0"/>
          <w:sz w:val="24"/>
          <w:szCs w:val="24"/>
        </w:rPr>
      </w:pPr>
      <w:r w:rsidRPr="00D40F4E">
        <w:rPr>
          <w:rFonts w:asciiTheme="majorBidi" w:hAnsiTheme="majorBidi" w:cstheme="majorBidi"/>
          <w:b/>
          <w:bCs/>
          <w:color w:val="7030A0"/>
          <w:sz w:val="24"/>
          <w:szCs w:val="24"/>
        </w:rPr>
        <w:t>Para.</w:t>
      </w:r>
      <w:r w:rsidR="003F7C95" w:rsidRPr="00D40F4E">
        <w:rPr>
          <w:rFonts w:asciiTheme="majorBidi" w:hAnsiTheme="majorBidi" w:cstheme="majorBidi"/>
          <w:b/>
          <w:bCs/>
          <w:color w:val="7030A0"/>
          <w:sz w:val="24"/>
          <w:szCs w:val="24"/>
        </w:rPr>
        <w:t xml:space="preserve"> 6-11: Implementation of the Covenant and the State Party's Policies in the Occupied Palestinian Territories</w:t>
      </w:r>
    </w:p>
    <w:p w14:paraId="688259E5" w14:textId="77777777" w:rsidR="003F7C95" w:rsidRPr="00D40F4E" w:rsidRDefault="003F7C95"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 xml:space="preserve">Maat is deeply concerned about </w:t>
      </w:r>
      <w:r w:rsidR="00582D67" w:rsidRPr="00D40F4E">
        <w:rPr>
          <w:rFonts w:asciiTheme="majorBidi" w:hAnsiTheme="majorBidi" w:cstheme="majorBidi"/>
          <w:sz w:val="24"/>
          <w:szCs w:val="24"/>
        </w:rPr>
        <w:t xml:space="preserve">Israel’s refusal to implement </w:t>
      </w:r>
      <w:r w:rsidRPr="00D40F4E">
        <w:rPr>
          <w:rFonts w:asciiTheme="majorBidi" w:hAnsiTheme="majorBidi" w:cstheme="majorBidi"/>
          <w:sz w:val="24"/>
          <w:szCs w:val="24"/>
        </w:rPr>
        <w:t>the International Covenant on Economic, Social and Cultural Rights outside its sovereign territory, and within the oc</w:t>
      </w:r>
      <w:r w:rsidR="00350111" w:rsidRPr="00D40F4E">
        <w:rPr>
          <w:rFonts w:asciiTheme="majorBidi" w:hAnsiTheme="majorBidi" w:cstheme="majorBidi"/>
          <w:sz w:val="24"/>
          <w:szCs w:val="24"/>
        </w:rPr>
        <w:t xml:space="preserve">cupied Palestinian territories. This </w:t>
      </w:r>
      <w:r w:rsidR="002E6B37" w:rsidRPr="00D40F4E">
        <w:rPr>
          <w:rFonts w:asciiTheme="majorBidi" w:hAnsiTheme="majorBidi" w:cstheme="majorBidi"/>
          <w:sz w:val="24"/>
          <w:szCs w:val="24"/>
        </w:rPr>
        <w:t>rejection</w:t>
      </w:r>
      <w:r w:rsidRPr="00D40F4E">
        <w:rPr>
          <w:rFonts w:asciiTheme="majorBidi" w:hAnsiTheme="majorBidi" w:cstheme="majorBidi"/>
          <w:sz w:val="24"/>
          <w:szCs w:val="24"/>
        </w:rPr>
        <w:t xml:space="preserve"> </w:t>
      </w:r>
      <w:r w:rsidR="00350111" w:rsidRPr="00D40F4E">
        <w:rPr>
          <w:rFonts w:asciiTheme="majorBidi" w:hAnsiTheme="majorBidi" w:cstheme="majorBidi"/>
          <w:sz w:val="24"/>
          <w:szCs w:val="24"/>
        </w:rPr>
        <w:t>was shown</w:t>
      </w:r>
      <w:r w:rsidRPr="00D40F4E">
        <w:rPr>
          <w:rFonts w:asciiTheme="majorBidi" w:hAnsiTheme="majorBidi" w:cstheme="majorBidi"/>
          <w:sz w:val="24"/>
          <w:szCs w:val="24"/>
        </w:rPr>
        <w:t xml:space="preserve"> in</w:t>
      </w:r>
      <w:r w:rsidR="001D0DE8" w:rsidRPr="00D40F4E">
        <w:rPr>
          <w:rFonts w:asciiTheme="majorBidi" w:hAnsiTheme="majorBidi" w:cstheme="majorBidi"/>
          <w:sz w:val="24"/>
          <w:szCs w:val="24"/>
        </w:rPr>
        <w:t xml:space="preserve"> Israel’s</w:t>
      </w:r>
      <w:r w:rsidRPr="00D40F4E">
        <w:rPr>
          <w:rFonts w:asciiTheme="majorBidi" w:hAnsiTheme="majorBidi" w:cstheme="majorBidi"/>
          <w:sz w:val="24"/>
          <w:szCs w:val="24"/>
        </w:rPr>
        <w:t xml:space="preserve"> all reports submitted to the Committee, including the last report submitted by th</w:t>
      </w:r>
      <w:r w:rsidR="00CB65B2" w:rsidRPr="00D40F4E">
        <w:rPr>
          <w:rFonts w:asciiTheme="majorBidi" w:hAnsiTheme="majorBidi" w:cstheme="majorBidi"/>
          <w:sz w:val="24"/>
          <w:szCs w:val="24"/>
        </w:rPr>
        <w:t xml:space="preserve">e State party in March 11, 2022, </w:t>
      </w:r>
      <w:r w:rsidRPr="00D40F4E">
        <w:rPr>
          <w:rFonts w:asciiTheme="majorBidi" w:hAnsiTheme="majorBidi" w:cstheme="majorBidi"/>
          <w:sz w:val="24"/>
          <w:szCs w:val="24"/>
        </w:rPr>
        <w:t>in response to the concluding observations on its fourth periodic report</w:t>
      </w:r>
      <w:r w:rsidR="00CB65B2" w:rsidRPr="00D40F4E">
        <w:rPr>
          <w:rStyle w:val="FootnoteReference"/>
          <w:rFonts w:asciiTheme="majorBidi" w:hAnsiTheme="majorBidi" w:cstheme="majorBidi"/>
          <w:sz w:val="24"/>
          <w:szCs w:val="24"/>
        </w:rPr>
        <w:footnoteReference w:id="1"/>
      </w:r>
      <w:r w:rsidRPr="00D40F4E">
        <w:rPr>
          <w:rFonts w:asciiTheme="majorBidi" w:hAnsiTheme="majorBidi" w:cstheme="majorBidi"/>
          <w:sz w:val="24"/>
          <w:szCs w:val="24"/>
        </w:rPr>
        <w:t xml:space="preserve">. The position of the State party, which </w:t>
      </w:r>
      <w:r w:rsidR="00CB65B2" w:rsidRPr="00D40F4E">
        <w:rPr>
          <w:rFonts w:asciiTheme="majorBidi" w:hAnsiTheme="majorBidi" w:cstheme="majorBidi"/>
          <w:sz w:val="24"/>
          <w:szCs w:val="24"/>
        </w:rPr>
        <w:t>rejects</w:t>
      </w:r>
      <w:r w:rsidRPr="00D40F4E">
        <w:rPr>
          <w:rFonts w:asciiTheme="majorBidi" w:hAnsiTheme="majorBidi" w:cstheme="majorBidi"/>
          <w:sz w:val="24"/>
          <w:szCs w:val="24"/>
        </w:rPr>
        <w:t xml:space="preserve"> to be bound by the </w:t>
      </w:r>
      <w:r w:rsidR="00CB65B2" w:rsidRPr="00D40F4E">
        <w:rPr>
          <w:rFonts w:asciiTheme="majorBidi" w:hAnsiTheme="majorBidi" w:cstheme="majorBidi"/>
          <w:sz w:val="24"/>
          <w:szCs w:val="24"/>
        </w:rPr>
        <w:t>implementation</w:t>
      </w:r>
      <w:r w:rsidRPr="00D40F4E">
        <w:rPr>
          <w:rFonts w:asciiTheme="majorBidi" w:hAnsiTheme="majorBidi" w:cstheme="majorBidi"/>
          <w:sz w:val="24"/>
          <w:szCs w:val="24"/>
        </w:rPr>
        <w:t xml:space="preserve"> of human rights instruments within the occupied territories, remains unchanged despite the recommendations made by the Committee in this regard, and despite the fact that the International Court of Justice has confirmed in its advisory opinion issued on July 9, 2004, on the legal implications </w:t>
      </w:r>
      <w:r w:rsidR="00315CBE" w:rsidRPr="00D40F4E">
        <w:rPr>
          <w:rFonts w:asciiTheme="majorBidi" w:hAnsiTheme="majorBidi" w:cstheme="majorBidi"/>
          <w:sz w:val="24"/>
          <w:szCs w:val="24"/>
        </w:rPr>
        <w:t>raised by the construction of the</w:t>
      </w:r>
      <w:r w:rsidRPr="00D40F4E">
        <w:rPr>
          <w:rFonts w:asciiTheme="majorBidi" w:hAnsiTheme="majorBidi" w:cstheme="majorBidi"/>
          <w:sz w:val="24"/>
          <w:szCs w:val="24"/>
        </w:rPr>
        <w:t xml:space="preserve"> wall in the Occupied Palestinian Territor</w:t>
      </w:r>
      <w:r w:rsidR="00E672C2" w:rsidRPr="00D40F4E">
        <w:rPr>
          <w:rFonts w:asciiTheme="majorBidi" w:hAnsiTheme="majorBidi" w:cstheme="majorBidi"/>
          <w:sz w:val="24"/>
          <w:szCs w:val="24"/>
        </w:rPr>
        <w:t>ies</w:t>
      </w:r>
      <w:r w:rsidRPr="00D40F4E">
        <w:rPr>
          <w:rFonts w:asciiTheme="majorBidi" w:hAnsiTheme="majorBidi" w:cstheme="majorBidi"/>
          <w:sz w:val="24"/>
          <w:szCs w:val="24"/>
        </w:rPr>
        <w:t xml:space="preserve">, </w:t>
      </w:r>
      <w:r w:rsidR="001E355A" w:rsidRPr="00D40F4E">
        <w:rPr>
          <w:rFonts w:asciiTheme="majorBidi" w:hAnsiTheme="majorBidi" w:cstheme="majorBidi"/>
          <w:sz w:val="24"/>
          <w:szCs w:val="24"/>
        </w:rPr>
        <w:t>that the State party must shall abide by all</w:t>
      </w:r>
      <w:r w:rsidRPr="00D40F4E">
        <w:rPr>
          <w:rFonts w:asciiTheme="majorBidi" w:hAnsiTheme="majorBidi" w:cstheme="majorBidi"/>
          <w:sz w:val="24"/>
          <w:szCs w:val="24"/>
        </w:rPr>
        <w:t xml:space="preserve"> human rights obligations in the Occupied Palestinian Territory, and that the State of Israel, as </w:t>
      </w:r>
      <w:r w:rsidR="00DA4B6A" w:rsidRPr="00D40F4E">
        <w:rPr>
          <w:rFonts w:asciiTheme="majorBidi" w:hAnsiTheme="majorBidi" w:cstheme="majorBidi"/>
          <w:sz w:val="24"/>
          <w:szCs w:val="24"/>
        </w:rPr>
        <w:t>an</w:t>
      </w:r>
      <w:r w:rsidRPr="00D40F4E">
        <w:rPr>
          <w:rFonts w:asciiTheme="majorBidi" w:hAnsiTheme="majorBidi" w:cstheme="majorBidi"/>
          <w:sz w:val="24"/>
          <w:szCs w:val="24"/>
        </w:rPr>
        <w:t xml:space="preserve"> occupying power, is obligated to </w:t>
      </w:r>
      <w:r w:rsidRPr="00D40F4E">
        <w:rPr>
          <w:rFonts w:asciiTheme="majorBidi" w:hAnsiTheme="majorBidi" w:cstheme="majorBidi"/>
          <w:sz w:val="24"/>
          <w:szCs w:val="24"/>
        </w:rPr>
        <w:lastRenderedPageBreak/>
        <w:t xml:space="preserve">implement all international obligations imposed by human rights treaties, given that </w:t>
      </w:r>
      <w:r w:rsidR="00E672C2" w:rsidRPr="00D40F4E">
        <w:rPr>
          <w:rFonts w:asciiTheme="majorBidi" w:hAnsiTheme="majorBidi" w:cstheme="majorBidi"/>
          <w:sz w:val="24"/>
          <w:szCs w:val="24"/>
        </w:rPr>
        <w:t>Israel</w:t>
      </w:r>
      <w:r w:rsidRPr="00D40F4E">
        <w:rPr>
          <w:rFonts w:asciiTheme="majorBidi" w:hAnsiTheme="majorBidi" w:cstheme="majorBidi"/>
          <w:sz w:val="24"/>
          <w:szCs w:val="24"/>
        </w:rPr>
        <w:t xml:space="preserve"> exercises its territorial jurisdiction over the Occupied Palestinian Territor</w:t>
      </w:r>
      <w:r w:rsidR="00E672C2" w:rsidRPr="00D40F4E">
        <w:rPr>
          <w:rFonts w:asciiTheme="majorBidi" w:hAnsiTheme="majorBidi" w:cstheme="majorBidi"/>
          <w:sz w:val="24"/>
          <w:szCs w:val="24"/>
        </w:rPr>
        <w:t>ies</w:t>
      </w:r>
      <w:r w:rsidRPr="00D40F4E">
        <w:rPr>
          <w:rFonts w:asciiTheme="majorBidi" w:hAnsiTheme="majorBidi" w:cstheme="majorBidi"/>
          <w:sz w:val="24"/>
          <w:szCs w:val="24"/>
        </w:rPr>
        <w:t>.</w:t>
      </w:r>
      <w:r w:rsidR="00E672C2" w:rsidRPr="00D40F4E">
        <w:rPr>
          <w:rStyle w:val="FootnoteReference"/>
          <w:rFonts w:asciiTheme="majorBidi" w:hAnsiTheme="majorBidi" w:cstheme="majorBidi"/>
          <w:sz w:val="24"/>
          <w:szCs w:val="24"/>
        </w:rPr>
        <w:footnoteReference w:id="2"/>
      </w:r>
    </w:p>
    <w:p w14:paraId="6BBF8725" w14:textId="77777777" w:rsidR="003F7C95" w:rsidRPr="00D40F4E" w:rsidRDefault="00E672C2"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Maat</w:t>
      </w:r>
      <w:r w:rsidR="003F7C95" w:rsidRPr="00D40F4E">
        <w:rPr>
          <w:rFonts w:asciiTheme="majorBidi" w:hAnsiTheme="majorBidi" w:cstheme="majorBidi"/>
          <w:sz w:val="24"/>
          <w:szCs w:val="24"/>
        </w:rPr>
        <w:t xml:space="preserve"> also expresses its deep concern about the State of Israel’s continued imposition of the siege policy on the Gaza Strip for more than 15 years, and its pursuit of settlement expansion in the West Bank, despite the recommendations issued by the Committee on Economic, Social and Cultural Rights in this rega</w:t>
      </w:r>
      <w:r w:rsidRPr="00D40F4E">
        <w:rPr>
          <w:rFonts w:asciiTheme="majorBidi" w:hAnsiTheme="majorBidi" w:cstheme="majorBidi"/>
          <w:sz w:val="24"/>
          <w:szCs w:val="24"/>
        </w:rPr>
        <w:t xml:space="preserve">rd, urging the need to end these </w:t>
      </w:r>
      <w:r w:rsidR="003F7C95" w:rsidRPr="00D40F4E">
        <w:rPr>
          <w:rFonts w:asciiTheme="majorBidi" w:hAnsiTheme="majorBidi" w:cstheme="majorBidi"/>
          <w:sz w:val="24"/>
          <w:szCs w:val="24"/>
        </w:rPr>
        <w:t xml:space="preserve">policies, which had a significant impact on the implementation of the rights stipulated in the Covenant for the Palestinian population living in the two areas, especially the right to work, food, water, sanitation, health, education, adequate housing, and cultural rights, as the siege policy imposed on the Gaza Strip impeded the ability of the population residing in Gaza to move and travel outside the Strip in order to obtain health care, educational services, job opportunities, and visit the holy sites in the West Bank. The settlement policies imposed by the Israeli occupation authorities in the West Bank have also led to the displacement of the Palestinian population and </w:t>
      </w:r>
      <w:r w:rsidR="0069654A" w:rsidRPr="00D40F4E">
        <w:rPr>
          <w:rFonts w:asciiTheme="majorBidi" w:hAnsiTheme="majorBidi" w:cstheme="majorBidi"/>
          <w:sz w:val="24"/>
          <w:szCs w:val="24"/>
        </w:rPr>
        <w:t>deprived</w:t>
      </w:r>
      <w:r w:rsidR="003F7C95" w:rsidRPr="00D40F4E">
        <w:rPr>
          <w:rFonts w:asciiTheme="majorBidi" w:hAnsiTheme="majorBidi" w:cstheme="majorBidi"/>
          <w:sz w:val="24"/>
          <w:szCs w:val="24"/>
        </w:rPr>
        <w:t xml:space="preserve"> them of their right to adequate housing.</w:t>
      </w:r>
    </w:p>
    <w:p w14:paraId="2DB0984B" w14:textId="77777777" w:rsidR="003F7C95" w:rsidRPr="00D40F4E" w:rsidRDefault="003F7C95"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 xml:space="preserve">Furthermore, Maat is concerned about </w:t>
      </w:r>
      <w:r w:rsidR="00C85D41" w:rsidRPr="00D40F4E">
        <w:rPr>
          <w:rFonts w:asciiTheme="majorBidi" w:hAnsiTheme="majorBidi" w:cstheme="majorBidi"/>
          <w:sz w:val="24"/>
          <w:szCs w:val="24"/>
        </w:rPr>
        <w:t>Israel’s ongoing</w:t>
      </w:r>
      <w:r w:rsidRPr="00D40F4E">
        <w:rPr>
          <w:rFonts w:asciiTheme="majorBidi" w:hAnsiTheme="majorBidi" w:cstheme="majorBidi"/>
          <w:sz w:val="24"/>
          <w:szCs w:val="24"/>
        </w:rPr>
        <w:t xml:space="preserve"> claims that it is not responsible for the deteriorating conditions in the Gaza Strip on the grounds that Israel evacuated its official presence from Gaza Strip in September 2005, when IDF forces left the Gaza Strip area after Israel implemente</w:t>
      </w:r>
      <w:r w:rsidR="00813EAA" w:rsidRPr="00D40F4E">
        <w:rPr>
          <w:rFonts w:asciiTheme="majorBidi" w:hAnsiTheme="majorBidi" w:cstheme="majorBidi"/>
          <w:sz w:val="24"/>
          <w:szCs w:val="24"/>
        </w:rPr>
        <w:t xml:space="preserve">d the disengagement initiative. This </w:t>
      </w:r>
      <w:r w:rsidRPr="00D40F4E">
        <w:rPr>
          <w:rFonts w:asciiTheme="majorBidi" w:hAnsiTheme="majorBidi" w:cstheme="majorBidi"/>
          <w:sz w:val="24"/>
          <w:szCs w:val="24"/>
        </w:rPr>
        <w:t xml:space="preserve">claim </w:t>
      </w:r>
      <w:r w:rsidR="00813EAA" w:rsidRPr="00D40F4E">
        <w:rPr>
          <w:rFonts w:asciiTheme="majorBidi" w:hAnsiTheme="majorBidi" w:cstheme="majorBidi"/>
          <w:sz w:val="24"/>
          <w:szCs w:val="24"/>
        </w:rPr>
        <w:t xml:space="preserve">was </w:t>
      </w:r>
      <w:r w:rsidRPr="00D40F4E">
        <w:rPr>
          <w:rFonts w:asciiTheme="majorBidi" w:hAnsiTheme="majorBidi" w:cstheme="majorBidi"/>
          <w:sz w:val="24"/>
          <w:szCs w:val="24"/>
        </w:rPr>
        <w:t>expressed by Israel in all the reports submitted to the Committee, including the last report submitted by the State party on March 11, 2022</w:t>
      </w:r>
      <w:r w:rsidR="00CB51F1" w:rsidRPr="00D40F4E">
        <w:rPr>
          <w:rFonts w:asciiTheme="majorBidi" w:hAnsiTheme="majorBidi" w:cstheme="majorBidi"/>
          <w:sz w:val="24"/>
          <w:szCs w:val="24"/>
        </w:rPr>
        <w:t>,</w:t>
      </w:r>
      <w:r w:rsidRPr="00D40F4E">
        <w:rPr>
          <w:rFonts w:asciiTheme="majorBidi" w:hAnsiTheme="majorBidi" w:cstheme="majorBidi"/>
          <w:sz w:val="24"/>
          <w:szCs w:val="24"/>
        </w:rPr>
        <w:t xml:space="preserve"> in response to the concluding observations. </w:t>
      </w:r>
      <w:r w:rsidR="00CB51F1" w:rsidRPr="00D40F4E">
        <w:rPr>
          <w:rFonts w:asciiTheme="majorBidi" w:hAnsiTheme="majorBidi" w:cstheme="majorBidi"/>
          <w:sz w:val="24"/>
          <w:szCs w:val="24"/>
        </w:rPr>
        <w:t>This claim ignores all the established international facts in this regard, which confirm Israel’s continued effective control of the Strip through its imposition of the siege policy and its dominance over the land and sea borders of Gaza and its airspace, which means that Israel continues to retain its responsibilities for the deteriorating conditions in the Gaza Strip as an occupying power.</w:t>
      </w:r>
      <w:r w:rsidR="00CB51F1" w:rsidRPr="00D40F4E">
        <w:rPr>
          <w:rStyle w:val="FootnoteReference"/>
          <w:rFonts w:asciiTheme="majorBidi" w:hAnsiTheme="majorBidi" w:cstheme="majorBidi"/>
          <w:sz w:val="24"/>
          <w:szCs w:val="24"/>
        </w:rPr>
        <w:footnoteReference w:id="3"/>
      </w:r>
    </w:p>
    <w:p w14:paraId="6ACF46D7" w14:textId="77777777" w:rsidR="00CB51F1" w:rsidRPr="00D40F4E" w:rsidRDefault="00CB51F1"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 xml:space="preserve">The current reality indicates that the </w:t>
      </w:r>
      <w:r w:rsidR="001744E5" w:rsidRPr="00D40F4E">
        <w:rPr>
          <w:rFonts w:asciiTheme="majorBidi" w:hAnsiTheme="majorBidi" w:cstheme="majorBidi"/>
          <w:sz w:val="24"/>
          <w:szCs w:val="24"/>
        </w:rPr>
        <w:t>siege</w:t>
      </w:r>
      <w:r w:rsidRPr="00D40F4E">
        <w:rPr>
          <w:rFonts w:asciiTheme="majorBidi" w:hAnsiTheme="majorBidi" w:cstheme="majorBidi"/>
          <w:sz w:val="24"/>
          <w:szCs w:val="24"/>
        </w:rPr>
        <w:t xml:space="preserve"> imposed on the Gaza Strip for 15 years</w:t>
      </w:r>
      <w:r w:rsidR="00CE6421" w:rsidRPr="00D40F4E">
        <w:rPr>
          <w:rFonts w:asciiTheme="majorBidi" w:hAnsiTheme="majorBidi" w:cstheme="majorBidi"/>
          <w:sz w:val="24"/>
          <w:szCs w:val="24"/>
        </w:rPr>
        <w:t>,</w:t>
      </w:r>
      <w:r w:rsidRPr="00D40F4E">
        <w:rPr>
          <w:rFonts w:asciiTheme="majorBidi" w:hAnsiTheme="majorBidi" w:cstheme="majorBidi"/>
          <w:sz w:val="24"/>
          <w:szCs w:val="24"/>
        </w:rPr>
        <w:t xml:space="preserve"> has led to the imposition of severe restrictions on the freedom of movement of civilians and goods to and from the Gaza Strip.</w:t>
      </w:r>
      <w:r w:rsidR="00CE6421" w:rsidRPr="00D40F4E">
        <w:rPr>
          <w:rFonts w:asciiTheme="majorBidi" w:hAnsiTheme="majorBidi" w:cstheme="majorBidi"/>
          <w:sz w:val="24"/>
          <w:szCs w:val="24"/>
        </w:rPr>
        <w:t xml:space="preserve"> The people eligible to obtain exit permits from the Gaza Strip constitute a small minority, and they are mostly workers, businessmen, patients and employees of international organizations, and the types of goods permitted to enter the Strip are very </w:t>
      </w:r>
      <w:r w:rsidR="0097489E" w:rsidRPr="00D40F4E">
        <w:rPr>
          <w:rFonts w:asciiTheme="majorBidi" w:hAnsiTheme="majorBidi" w:cstheme="majorBidi"/>
          <w:sz w:val="24"/>
          <w:szCs w:val="24"/>
        </w:rPr>
        <w:t>few</w:t>
      </w:r>
      <w:r w:rsidR="00CE6421" w:rsidRPr="00D40F4E">
        <w:rPr>
          <w:rFonts w:asciiTheme="majorBidi" w:hAnsiTheme="majorBidi" w:cstheme="majorBidi"/>
          <w:sz w:val="24"/>
          <w:szCs w:val="24"/>
        </w:rPr>
        <w:t xml:space="preserve"> due to the ban imposed by Israel on the entry of goods that </w:t>
      </w:r>
      <w:r w:rsidR="0097489E" w:rsidRPr="00D40F4E">
        <w:rPr>
          <w:rFonts w:asciiTheme="majorBidi" w:hAnsiTheme="majorBidi" w:cstheme="majorBidi"/>
          <w:sz w:val="24"/>
          <w:szCs w:val="24"/>
        </w:rPr>
        <w:t xml:space="preserve">Israel </w:t>
      </w:r>
      <w:r w:rsidR="00CE6421" w:rsidRPr="00D40F4E">
        <w:rPr>
          <w:rFonts w:asciiTheme="majorBidi" w:hAnsiTheme="majorBidi" w:cstheme="majorBidi"/>
          <w:sz w:val="24"/>
          <w:szCs w:val="24"/>
        </w:rPr>
        <w:t>considers to constitute a security risk since these goods inclu</w:t>
      </w:r>
      <w:r w:rsidR="00B51206" w:rsidRPr="00D40F4E">
        <w:rPr>
          <w:rFonts w:asciiTheme="majorBidi" w:hAnsiTheme="majorBidi" w:cstheme="majorBidi"/>
          <w:sz w:val="24"/>
          <w:szCs w:val="24"/>
        </w:rPr>
        <w:t>de d</w:t>
      </w:r>
      <w:r w:rsidR="00CE6421" w:rsidRPr="00D40F4E">
        <w:rPr>
          <w:rFonts w:asciiTheme="majorBidi" w:hAnsiTheme="majorBidi" w:cstheme="majorBidi"/>
          <w:sz w:val="24"/>
          <w:szCs w:val="24"/>
        </w:rPr>
        <w:t xml:space="preserve">ual-use materials. In this regard, the United Nations estimates that during the first half of 2022, the Israeli authorities approved only 64 percent of the requests submitted by patients to leave Gaza in order to obtain specialized treatment in the West Bank, including East Jerusalem, on the dates scheduled for their treatment. The number of trucks that </w:t>
      </w:r>
      <w:r w:rsidR="00CE6421" w:rsidRPr="00D40F4E">
        <w:rPr>
          <w:rFonts w:asciiTheme="majorBidi" w:hAnsiTheme="majorBidi" w:cstheme="majorBidi"/>
          <w:sz w:val="24"/>
          <w:szCs w:val="24"/>
        </w:rPr>
        <w:lastRenderedPageBreak/>
        <w:t xml:space="preserve">entered the Gaza Strip loaded with goods during the first five months of 2022 was only about 8,000 trucks per month, which is 30% lower than the monthly average during the first half of 2007, i.e. before the imposition of the </w:t>
      </w:r>
      <w:r w:rsidR="0097489E" w:rsidRPr="00D40F4E">
        <w:rPr>
          <w:rFonts w:asciiTheme="majorBidi" w:hAnsiTheme="majorBidi" w:cstheme="majorBidi"/>
          <w:sz w:val="24"/>
          <w:szCs w:val="24"/>
        </w:rPr>
        <w:t>siege, d</w:t>
      </w:r>
      <w:r w:rsidR="00CE6421" w:rsidRPr="00D40F4E">
        <w:rPr>
          <w:rFonts w:asciiTheme="majorBidi" w:hAnsiTheme="majorBidi" w:cstheme="majorBidi"/>
          <w:sz w:val="24"/>
          <w:szCs w:val="24"/>
        </w:rPr>
        <w:t>espite the increase in the population of the Gaza Strip by more than 50 percent</w:t>
      </w:r>
      <w:r w:rsidRPr="00D40F4E">
        <w:rPr>
          <w:rFonts w:asciiTheme="majorBidi" w:hAnsiTheme="majorBidi" w:cstheme="majorBidi"/>
          <w:sz w:val="24"/>
          <w:szCs w:val="24"/>
        </w:rPr>
        <w:t>.</w:t>
      </w:r>
      <w:r w:rsidR="0097489E" w:rsidRPr="00D40F4E">
        <w:rPr>
          <w:rStyle w:val="FootnoteReference"/>
          <w:rFonts w:asciiTheme="majorBidi" w:hAnsiTheme="majorBidi" w:cstheme="majorBidi"/>
          <w:sz w:val="24"/>
          <w:szCs w:val="24"/>
        </w:rPr>
        <w:footnoteReference w:id="4"/>
      </w:r>
    </w:p>
    <w:p w14:paraId="2CDD9EE4" w14:textId="77777777" w:rsidR="00CB51F1" w:rsidRPr="00D40F4E" w:rsidRDefault="00CB51F1"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These restrictions have had serious negative repercussions on the humanitarian situation and the rights of the population in the Gaza Strip</w:t>
      </w:r>
      <w:r w:rsidR="0097489E" w:rsidRPr="00D40F4E">
        <w:rPr>
          <w:rFonts w:asciiTheme="majorBidi" w:hAnsiTheme="majorBidi" w:cstheme="majorBidi"/>
          <w:sz w:val="24"/>
          <w:szCs w:val="24"/>
        </w:rPr>
        <w:t>,</w:t>
      </w:r>
      <w:r w:rsidRPr="00D40F4E">
        <w:rPr>
          <w:rFonts w:asciiTheme="majorBidi" w:hAnsiTheme="majorBidi" w:cstheme="majorBidi"/>
          <w:sz w:val="24"/>
          <w:szCs w:val="24"/>
        </w:rPr>
        <w:t xml:space="preserve"> </w:t>
      </w:r>
      <w:r w:rsidR="00B51206" w:rsidRPr="00D40F4E">
        <w:rPr>
          <w:rFonts w:asciiTheme="majorBidi" w:hAnsiTheme="majorBidi" w:cstheme="majorBidi"/>
          <w:sz w:val="24"/>
          <w:szCs w:val="24"/>
        </w:rPr>
        <w:t xml:space="preserve">as </w:t>
      </w:r>
      <w:r w:rsidRPr="00D40F4E">
        <w:rPr>
          <w:rFonts w:asciiTheme="majorBidi" w:hAnsiTheme="majorBidi" w:cstheme="majorBidi"/>
          <w:sz w:val="24"/>
          <w:szCs w:val="24"/>
        </w:rPr>
        <w:t xml:space="preserve">stipulated in the International Covenant on Economic, Social and Cultural Rights. According to United Nations estimates, as a result of these restrictions, </w:t>
      </w:r>
      <w:r w:rsidR="00B51206" w:rsidRPr="00D40F4E">
        <w:rPr>
          <w:rFonts w:asciiTheme="majorBidi" w:hAnsiTheme="majorBidi" w:cstheme="majorBidi"/>
          <w:sz w:val="24"/>
          <w:szCs w:val="24"/>
        </w:rPr>
        <w:t>over</w:t>
      </w:r>
      <w:r w:rsidRPr="00D40F4E">
        <w:rPr>
          <w:rFonts w:asciiTheme="majorBidi" w:hAnsiTheme="majorBidi" w:cstheme="majorBidi"/>
          <w:sz w:val="24"/>
          <w:szCs w:val="24"/>
        </w:rPr>
        <w:t xml:space="preserve"> half of the population in the Gaza Strip is living in extreme poverty, and more than 1.3 million Palestinians out of 2.1 million in the Gaza Strip, </w:t>
      </w:r>
      <w:r w:rsidR="0097489E" w:rsidRPr="00D40F4E">
        <w:rPr>
          <w:rFonts w:asciiTheme="majorBidi" w:hAnsiTheme="majorBidi" w:cstheme="majorBidi"/>
          <w:sz w:val="24"/>
          <w:szCs w:val="24"/>
        </w:rPr>
        <w:t>i.e.</w:t>
      </w:r>
      <w:r w:rsidRPr="00D40F4E">
        <w:rPr>
          <w:rFonts w:asciiTheme="majorBidi" w:hAnsiTheme="majorBidi" w:cstheme="majorBidi"/>
          <w:sz w:val="24"/>
          <w:szCs w:val="24"/>
        </w:rPr>
        <w:t xml:space="preserve"> 62 percent of the population, are in dire need</w:t>
      </w:r>
      <w:r w:rsidR="0097489E" w:rsidRPr="00D40F4E">
        <w:rPr>
          <w:rFonts w:asciiTheme="majorBidi" w:hAnsiTheme="majorBidi" w:cstheme="majorBidi"/>
          <w:sz w:val="24"/>
          <w:szCs w:val="24"/>
        </w:rPr>
        <w:t xml:space="preserve"> of food aid</w:t>
      </w:r>
      <w:r w:rsidRPr="00D40F4E">
        <w:rPr>
          <w:rFonts w:asciiTheme="majorBidi" w:hAnsiTheme="majorBidi" w:cstheme="majorBidi"/>
          <w:sz w:val="24"/>
          <w:szCs w:val="24"/>
        </w:rPr>
        <w:t xml:space="preserve">. This is in addition to the high unemployment rates in the Gaza Strip to unprecedented levels, as the rate of the unemployed during the first quarter of 2022 reached 46.6 percent, compared to the average of 34.8 percent in 2006, while </w:t>
      </w:r>
      <w:r w:rsidR="0097489E" w:rsidRPr="00D40F4E">
        <w:rPr>
          <w:rFonts w:asciiTheme="majorBidi" w:hAnsiTheme="majorBidi" w:cstheme="majorBidi"/>
          <w:sz w:val="24"/>
          <w:szCs w:val="24"/>
        </w:rPr>
        <w:t>t</w:t>
      </w:r>
      <w:r w:rsidRPr="00D40F4E">
        <w:rPr>
          <w:rFonts w:asciiTheme="majorBidi" w:hAnsiTheme="majorBidi" w:cstheme="majorBidi"/>
          <w:sz w:val="24"/>
          <w:szCs w:val="24"/>
        </w:rPr>
        <w:t>he youth unemployment rate rose to 62.5 percent during the same period, making Gaza's unemployment levels among the highest in the world.</w:t>
      </w:r>
      <w:r w:rsidR="0097489E" w:rsidRPr="00D40F4E">
        <w:rPr>
          <w:rStyle w:val="FootnoteReference"/>
          <w:rFonts w:asciiTheme="majorBidi" w:hAnsiTheme="majorBidi" w:cstheme="majorBidi"/>
          <w:sz w:val="24"/>
          <w:szCs w:val="24"/>
        </w:rPr>
        <w:footnoteReference w:id="5"/>
      </w:r>
    </w:p>
    <w:p w14:paraId="4D25632D" w14:textId="77777777" w:rsidR="00AE153B" w:rsidRPr="00D40F4E" w:rsidRDefault="00AE153B" w:rsidP="00D40F4E">
      <w:pPr>
        <w:jc w:val="both"/>
        <w:rPr>
          <w:rFonts w:asciiTheme="majorBidi" w:hAnsiTheme="majorBidi" w:cstheme="majorBidi"/>
          <w:b/>
          <w:bCs/>
          <w:sz w:val="24"/>
          <w:szCs w:val="24"/>
        </w:rPr>
      </w:pPr>
      <w:r w:rsidRPr="00D40F4E">
        <w:rPr>
          <w:rFonts w:asciiTheme="majorBidi" w:hAnsiTheme="majorBidi" w:cstheme="majorBidi"/>
          <w:b/>
          <w:bCs/>
          <w:sz w:val="24"/>
          <w:szCs w:val="24"/>
        </w:rPr>
        <w:t>Recommendations:</w:t>
      </w:r>
    </w:p>
    <w:p w14:paraId="2E5A80BA" w14:textId="77777777" w:rsidR="00AE153B" w:rsidRPr="00D40F4E" w:rsidRDefault="00AE153B"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Lifting the siege imposed on the Gaza Strip, stopping the closure of the crossings, and allowing unimpeded access to provide urgent humanitarian assistance.</w:t>
      </w:r>
    </w:p>
    <w:p w14:paraId="61092F11" w14:textId="77777777" w:rsidR="00AE153B" w:rsidRPr="00D40F4E" w:rsidRDefault="00B51206"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Facilitating</w:t>
      </w:r>
      <w:r w:rsidR="00AE153B" w:rsidRPr="00D40F4E">
        <w:rPr>
          <w:rFonts w:asciiTheme="majorBidi" w:hAnsiTheme="majorBidi" w:cstheme="majorBidi"/>
          <w:sz w:val="24"/>
          <w:szCs w:val="24"/>
        </w:rPr>
        <w:t xml:space="preserve"> the freedom of movement of Palestinians within the Occupied Palestinian Territories, including East Jerusalem and the Gaza Strip, and ensure that any measures restricting the freedom of movement of civilians and goods to, from and within the Gaza Strip are consistent with its obligations under the covenant.</w:t>
      </w:r>
    </w:p>
    <w:p w14:paraId="385F94AA" w14:textId="77777777" w:rsidR="00AE153B" w:rsidRPr="00D40F4E" w:rsidRDefault="00B51206"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Ceasing</w:t>
      </w:r>
      <w:r w:rsidR="00AE153B" w:rsidRPr="00D40F4E">
        <w:rPr>
          <w:rFonts w:asciiTheme="majorBidi" w:hAnsiTheme="majorBidi" w:cstheme="majorBidi"/>
          <w:sz w:val="24"/>
          <w:szCs w:val="24"/>
        </w:rPr>
        <w:t xml:space="preserve"> all settlement policies and settlement building in the West Bank.</w:t>
      </w:r>
    </w:p>
    <w:p w14:paraId="45D71067" w14:textId="77777777" w:rsidR="00AE153B" w:rsidRPr="00D40F4E" w:rsidRDefault="00AE153B" w:rsidP="00D40F4E">
      <w:pPr>
        <w:jc w:val="both"/>
        <w:rPr>
          <w:rFonts w:asciiTheme="majorBidi" w:hAnsiTheme="majorBidi" w:cstheme="majorBidi"/>
          <w:b/>
          <w:bCs/>
          <w:color w:val="7030A0"/>
          <w:sz w:val="24"/>
          <w:szCs w:val="24"/>
        </w:rPr>
      </w:pPr>
      <w:r w:rsidRPr="00D40F4E">
        <w:rPr>
          <w:rFonts w:asciiTheme="majorBidi" w:hAnsiTheme="majorBidi" w:cstheme="majorBidi"/>
          <w:b/>
          <w:bCs/>
          <w:color w:val="7030A0"/>
          <w:sz w:val="24"/>
          <w:szCs w:val="24"/>
        </w:rPr>
        <w:t>Paragraph 24-33: The right to work</w:t>
      </w:r>
    </w:p>
    <w:p w14:paraId="669D26AB" w14:textId="77777777" w:rsidR="00AE153B" w:rsidRPr="00D40F4E" w:rsidRDefault="00AE153B" w:rsidP="00D40F4E">
      <w:pPr>
        <w:jc w:val="both"/>
        <w:rPr>
          <w:rFonts w:asciiTheme="majorBidi" w:hAnsiTheme="majorBidi" w:cstheme="majorBidi"/>
          <w:sz w:val="24"/>
          <w:szCs w:val="24"/>
        </w:rPr>
      </w:pPr>
      <w:r w:rsidRPr="00D40F4E">
        <w:rPr>
          <w:rFonts w:asciiTheme="majorBidi" w:hAnsiTheme="majorBidi" w:cstheme="majorBidi"/>
          <w:sz w:val="24"/>
          <w:szCs w:val="24"/>
        </w:rPr>
        <w:t xml:space="preserve">During the concluding observations on its fourth periodic report, the State of Israel received recommendations urging it to increase the participation of Arab women in the labor market in Israel, take measures to prevent harassment of migrant workers in the labor market, and implement the 1951 Work and Rest Law to migrant workers. </w:t>
      </w:r>
      <w:r w:rsidR="00FF4E7A" w:rsidRPr="00D40F4E">
        <w:rPr>
          <w:rFonts w:asciiTheme="majorBidi" w:hAnsiTheme="majorBidi" w:cstheme="majorBidi"/>
          <w:sz w:val="24"/>
          <w:szCs w:val="24"/>
        </w:rPr>
        <w:t>However</w:t>
      </w:r>
      <w:r w:rsidRPr="00D40F4E">
        <w:rPr>
          <w:rFonts w:asciiTheme="majorBidi" w:hAnsiTheme="majorBidi" w:cstheme="majorBidi"/>
          <w:sz w:val="24"/>
          <w:szCs w:val="24"/>
        </w:rPr>
        <w:t xml:space="preserve">, the percentage of Arab women participating in the labor market in Israel is still very low, as they still suffer from limited opportunities to enjoy the right to work, and they are still concentrated in low-paid sectors. In this regard, a recent study indicated that Arab women </w:t>
      </w:r>
      <w:r w:rsidR="00FF4E7A" w:rsidRPr="00D40F4E">
        <w:rPr>
          <w:rFonts w:asciiTheme="majorBidi" w:hAnsiTheme="majorBidi" w:cstheme="majorBidi"/>
          <w:sz w:val="24"/>
          <w:szCs w:val="24"/>
        </w:rPr>
        <w:t>in</w:t>
      </w:r>
      <w:r w:rsidRPr="00D40F4E">
        <w:rPr>
          <w:rFonts w:asciiTheme="majorBidi" w:hAnsiTheme="majorBidi" w:cstheme="majorBidi"/>
          <w:sz w:val="24"/>
          <w:szCs w:val="24"/>
        </w:rPr>
        <w:t xml:space="preserve"> Israel have one of the lowest rates in the world in terms of participation in the labor market, as the rate of </w:t>
      </w:r>
      <w:r w:rsidR="002835BC" w:rsidRPr="00D40F4E">
        <w:rPr>
          <w:rFonts w:asciiTheme="majorBidi" w:hAnsiTheme="majorBidi" w:cstheme="majorBidi"/>
          <w:sz w:val="24"/>
          <w:szCs w:val="24"/>
        </w:rPr>
        <w:t>their</w:t>
      </w:r>
      <w:r w:rsidRPr="00D40F4E">
        <w:rPr>
          <w:rFonts w:asciiTheme="majorBidi" w:hAnsiTheme="majorBidi" w:cstheme="majorBidi"/>
          <w:sz w:val="24"/>
          <w:szCs w:val="24"/>
        </w:rPr>
        <w:t xml:space="preserve"> participation in the Israeli market does not exceed 30 percent, while </w:t>
      </w:r>
      <w:r w:rsidR="002835BC" w:rsidRPr="00D40F4E">
        <w:rPr>
          <w:rFonts w:asciiTheme="majorBidi" w:hAnsiTheme="majorBidi" w:cstheme="majorBidi"/>
          <w:sz w:val="24"/>
          <w:szCs w:val="24"/>
        </w:rPr>
        <w:t>their</w:t>
      </w:r>
      <w:r w:rsidRPr="00D40F4E">
        <w:rPr>
          <w:rFonts w:asciiTheme="majorBidi" w:hAnsiTheme="majorBidi" w:cstheme="majorBidi"/>
          <w:sz w:val="24"/>
          <w:szCs w:val="24"/>
        </w:rPr>
        <w:t xml:space="preserve"> Jewish counterpart acquire more than 70 percent </w:t>
      </w:r>
      <w:r w:rsidRPr="00D40F4E">
        <w:rPr>
          <w:rFonts w:asciiTheme="majorBidi" w:hAnsiTheme="majorBidi" w:cstheme="majorBidi"/>
          <w:sz w:val="24"/>
          <w:szCs w:val="24"/>
        </w:rPr>
        <w:lastRenderedPageBreak/>
        <w:t>of the market, which means, according to the same study, that 3 One in four Arab women is outside the labor market, compared to only one in four Jewish women.</w:t>
      </w:r>
      <w:r w:rsidR="002835BC" w:rsidRPr="00D40F4E">
        <w:rPr>
          <w:rStyle w:val="FootnoteReference"/>
          <w:rFonts w:asciiTheme="majorBidi" w:hAnsiTheme="majorBidi" w:cstheme="majorBidi"/>
          <w:sz w:val="24"/>
          <w:szCs w:val="24"/>
        </w:rPr>
        <w:footnoteReference w:id="6"/>
      </w:r>
    </w:p>
    <w:p w14:paraId="35E15380" w14:textId="77777777" w:rsidR="00AE153B" w:rsidRPr="00D40F4E" w:rsidRDefault="00AE153B"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 xml:space="preserve">In addition, migrant care workers, especially women, are still subjected to widespread human rights </w:t>
      </w:r>
      <w:r w:rsidR="002835BC" w:rsidRPr="00D40F4E">
        <w:rPr>
          <w:rFonts w:asciiTheme="majorBidi" w:hAnsiTheme="majorBidi" w:cstheme="majorBidi"/>
          <w:sz w:val="24"/>
          <w:szCs w:val="24"/>
        </w:rPr>
        <w:t>violations</w:t>
      </w:r>
      <w:r w:rsidRPr="00D40F4E">
        <w:rPr>
          <w:rFonts w:asciiTheme="majorBidi" w:hAnsiTheme="majorBidi" w:cstheme="majorBidi"/>
          <w:sz w:val="24"/>
          <w:szCs w:val="24"/>
        </w:rPr>
        <w:t xml:space="preserve"> by employers in Israel, including sexual harassment, beatings, and abuse, they are still excluded from the 1951 Work and Rest Law,</w:t>
      </w:r>
      <w:r w:rsidR="002835BC" w:rsidRPr="00D40F4E">
        <w:rPr>
          <w:rFonts w:asciiTheme="majorBidi" w:hAnsiTheme="majorBidi" w:cstheme="majorBidi"/>
          <w:sz w:val="24"/>
          <w:szCs w:val="24"/>
        </w:rPr>
        <w:t xml:space="preserve"> </w:t>
      </w:r>
      <w:r w:rsidR="00FF4E7A" w:rsidRPr="00D40F4E">
        <w:rPr>
          <w:rFonts w:asciiTheme="majorBidi" w:hAnsiTheme="majorBidi" w:cstheme="majorBidi"/>
          <w:sz w:val="24"/>
          <w:szCs w:val="24"/>
        </w:rPr>
        <w:t>which</w:t>
      </w:r>
      <w:r w:rsidR="002835BC" w:rsidRPr="00D40F4E">
        <w:rPr>
          <w:rFonts w:asciiTheme="majorBidi" w:hAnsiTheme="majorBidi" w:cstheme="majorBidi"/>
          <w:sz w:val="24"/>
          <w:szCs w:val="24"/>
        </w:rPr>
        <w:t xml:space="preserve"> makes them vulnerable to forced labor for long hours without breaks and with low wages. In this regard, a recent report indicated that all migrant agricultural workers were subjected to harassment and sexual assault in Israel. The report, which was conducted on a sample of 654 foreign workers in Israel, confirmed that 100 percent of foreign agricultural workers had been sexually assaulted, as of the 654 foreign workers </w:t>
      </w:r>
      <w:r w:rsidR="00FA3AA8" w:rsidRPr="00D40F4E">
        <w:rPr>
          <w:rFonts w:asciiTheme="majorBidi" w:hAnsiTheme="majorBidi" w:cstheme="majorBidi"/>
          <w:sz w:val="24"/>
          <w:szCs w:val="24"/>
        </w:rPr>
        <w:t>questioned;</w:t>
      </w:r>
      <w:r w:rsidR="002835BC" w:rsidRPr="00D40F4E">
        <w:rPr>
          <w:rFonts w:asciiTheme="majorBidi" w:hAnsiTheme="majorBidi" w:cstheme="majorBidi"/>
          <w:sz w:val="24"/>
          <w:szCs w:val="24"/>
        </w:rPr>
        <w:t xml:space="preserve"> all admitted that they had been sexually assaulted.</w:t>
      </w:r>
      <w:r w:rsidR="002835BC" w:rsidRPr="00D40F4E">
        <w:rPr>
          <w:rStyle w:val="FootnoteReference"/>
          <w:rFonts w:asciiTheme="majorBidi" w:hAnsiTheme="majorBidi" w:cstheme="majorBidi"/>
          <w:sz w:val="24"/>
          <w:szCs w:val="24"/>
        </w:rPr>
        <w:footnoteReference w:id="7"/>
      </w:r>
    </w:p>
    <w:p w14:paraId="204D2620" w14:textId="77777777" w:rsidR="00FA3AA8" w:rsidRPr="00D40F4E" w:rsidRDefault="00FA3AA8" w:rsidP="00D40F4E">
      <w:pPr>
        <w:jc w:val="both"/>
        <w:rPr>
          <w:rFonts w:asciiTheme="majorBidi" w:hAnsiTheme="majorBidi" w:cstheme="majorBidi"/>
          <w:b/>
          <w:bCs/>
          <w:sz w:val="24"/>
          <w:szCs w:val="24"/>
        </w:rPr>
      </w:pPr>
      <w:r w:rsidRPr="00D40F4E">
        <w:rPr>
          <w:rFonts w:asciiTheme="majorBidi" w:hAnsiTheme="majorBidi" w:cstheme="majorBidi"/>
          <w:b/>
          <w:bCs/>
          <w:sz w:val="24"/>
          <w:szCs w:val="24"/>
        </w:rPr>
        <w:t>Recommendations:</w:t>
      </w:r>
    </w:p>
    <w:p w14:paraId="4ABC5E2F" w14:textId="77777777" w:rsidR="00FA3AA8" w:rsidRPr="00D40F4E" w:rsidRDefault="00FA71BD"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Intensifying</w:t>
      </w:r>
      <w:r w:rsidR="00FA3AA8" w:rsidRPr="00D40F4E">
        <w:rPr>
          <w:rFonts w:asciiTheme="majorBidi" w:hAnsiTheme="majorBidi" w:cstheme="majorBidi"/>
          <w:sz w:val="24"/>
          <w:szCs w:val="24"/>
        </w:rPr>
        <w:t xml:space="preserve"> efforts to increase Arab women's participation in the labor market, including by providing education and vocational training that suits their experience and level of job skills.</w:t>
      </w:r>
    </w:p>
    <w:p w14:paraId="377612A2" w14:textId="77777777" w:rsidR="00FA3AA8" w:rsidRPr="00D40F4E" w:rsidRDefault="00FA71BD"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Ensuring</w:t>
      </w:r>
      <w:r w:rsidR="00FA3AA8" w:rsidRPr="00D40F4E">
        <w:rPr>
          <w:rFonts w:asciiTheme="majorBidi" w:hAnsiTheme="majorBidi" w:cstheme="majorBidi"/>
          <w:sz w:val="24"/>
          <w:szCs w:val="24"/>
        </w:rPr>
        <w:t xml:space="preserve"> that migrant care workers receive adequate pay for overtime work and a weekly rest period of at least 25 hours, and apply the Hours of Work and Rest </w:t>
      </w:r>
      <w:r w:rsidR="00DD6379" w:rsidRPr="00D40F4E">
        <w:rPr>
          <w:rFonts w:asciiTheme="majorBidi" w:hAnsiTheme="majorBidi" w:cstheme="majorBidi"/>
          <w:sz w:val="24"/>
          <w:szCs w:val="24"/>
        </w:rPr>
        <w:t>Law</w:t>
      </w:r>
      <w:r w:rsidR="00FA3AA8" w:rsidRPr="00D40F4E">
        <w:rPr>
          <w:rFonts w:asciiTheme="majorBidi" w:hAnsiTheme="majorBidi" w:cstheme="majorBidi"/>
          <w:sz w:val="24"/>
          <w:szCs w:val="24"/>
        </w:rPr>
        <w:t xml:space="preserve"> 1951 to these workers.</w:t>
      </w:r>
    </w:p>
    <w:p w14:paraId="47B5975C" w14:textId="77777777" w:rsidR="00FA3AA8" w:rsidRPr="00D40F4E" w:rsidRDefault="00FA71BD"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Taking</w:t>
      </w:r>
      <w:r w:rsidR="00FA3AA8" w:rsidRPr="00D40F4E">
        <w:rPr>
          <w:rFonts w:asciiTheme="majorBidi" w:hAnsiTheme="majorBidi" w:cstheme="majorBidi"/>
          <w:sz w:val="24"/>
          <w:szCs w:val="24"/>
        </w:rPr>
        <w:t xml:space="preserve"> measures to prevent sexual assault and harassment against women migrant workers and ensure that reports of sexual harassment are duly investigated and prosecuted, perpetrators are adequately punished, and victims have access to adequate redress, including compensation.</w:t>
      </w:r>
    </w:p>
    <w:p w14:paraId="1C7C7B57" w14:textId="77777777" w:rsidR="00FA3AA8" w:rsidRPr="00D40F4E" w:rsidRDefault="00FA3AA8" w:rsidP="00D40F4E">
      <w:pPr>
        <w:jc w:val="both"/>
        <w:rPr>
          <w:rFonts w:asciiTheme="majorBidi" w:hAnsiTheme="majorBidi" w:cstheme="majorBidi"/>
          <w:b/>
          <w:bCs/>
          <w:color w:val="7030A0"/>
          <w:sz w:val="24"/>
          <w:szCs w:val="24"/>
        </w:rPr>
      </w:pPr>
      <w:r w:rsidRPr="00D40F4E">
        <w:rPr>
          <w:rFonts w:asciiTheme="majorBidi" w:hAnsiTheme="majorBidi" w:cstheme="majorBidi"/>
          <w:b/>
          <w:bCs/>
          <w:color w:val="7030A0"/>
          <w:sz w:val="24"/>
          <w:szCs w:val="24"/>
        </w:rPr>
        <w:t xml:space="preserve">Paragraph 52-53: Home Demolition Practices in the </w:t>
      </w:r>
      <w:r w:rsidR="00FA71BD" w:rsidRPr="00D40F4E">
        <w:rPr>
          <w:rFonts w:asciiTheme="majorBidi" w:hAnsiTheme="majorBidi" w:cstheme="majorBidi"/>
          <w:b/>
          <w:bCs/>
          <w:color w:val="7030A0"/>
          <w:sz w:val="24"/>
          <w:szCs w:val="24"/>
        </w:rPr>
        <w:t>OPT</w:t>
      </w:r>
    </w:p>
    <w:p w14:paraId="6E94870E" w14:textId="77777777" w:rsidR="00FA3AA8" w:rsidRPr="00D40F4E" w:rsidRDefault="00FA3AA8" w:rsidP="00D40F4E">
      <w:pPr>
        <w:ind w:firstLine="720"/>
        <w:jc w:val="both"/>
        <w:rPr>
          <w:rFonts w:asciiTheme="majorBidi" w:hAnsiTheme="majorBidi" w:cstheme="majorBidi"/>
          <w:sz w:val="24"/>
          <w:szCs w:val="24"/>
        </w:rPr>
      </w:pPr>
      <w:r w:rsidRPr="00D40F4E">
        <w:rPr>
          <w:rFonts w:asciiTheme="majorBidi" w:hAnsiTheme="majorBidi" w:cstheme="majorBidi"/>
          <w:sz w:val="24"/>
          <w:szCs w:val="24"/>
        </w:rPr>
        <w:t xml:space="preserve">Despite the recommendations made by the Committee to Israel during the concluding observations on its fourth periodic report regarding an immediate halt to the practice of mass demolitions of homes and private property on pretexts including lack of Israeli building permits, or sometimes as a form of punishment, Maat has noted Israel’s complete disregard for these recommendations, Israeli policies of demolition of Palestinian buildings and homes in the West Bank continued under several pretexts, including the lack of Israeli building permits that are practically impossible for Palestinians to obtain, or as a form of punishment against Palestinians who carry out attacks on Israeli civilians or Israeli security forces. In this regard, UN reports </w:t>
      </w:r>
      <w:r w:rsidRPr="00D40F4E">
        <w:rPr>
          <w:rFonts w:asciiTheme="majorBidi" w:hAnsiTheme="majorBidi" w:cstheme="majorBidi"/>
          <w:sz w:val="24"/>
          <w:szCs w:val="24"/>
        </w:rPr>
        <w:lastRenderedPageBreak/>
        <w:t>indicated that during the first half of 2022, more than 300 buildings and homes were demolished throughout the West Bank, including East Jerusalem.</w:t>
      </w:r>
      <w:r w:rsidR="00DD6379" w:rsidRPr="00D40F4E">
        <w:rPr>
          <w:rStyle w:val="FootnoteReference"/>
          <w:rFonts w:asciiTheme="majorBidi" w:hAnsiTheme="majorBidi" w:cstheme="majorBidi"/>
          <w:sz w:val="24"/>
          <w:szCs w:val="24"/>
        </w:rPr>
        <w:footnoteReference w:id="8"/>
      </w:r>
    </w:p>
    <w:p w14:paraId="530E04BE" w14:textId="77777777" w:rsidR="00FA3AA8" w:rsidRPr="00D40F4E" w:rsidRDefault="00FA3AA8" w:rsidP="00D40F4E">
      <w:pPr>
        <w:jc w:val="both"/>
        <w:rPr>
          <w:rFonts w:asciiTheme="majorBidi" w:hAnsiTheme="majorBidi" w:cstheme="majorBidi"/>
          <w:b/>
          <w:bCs/>
          <w:sz w:val="24"/>
          <w:szCs w:val="24"/>
        </w:rPr>
      </w:pPr>
      <w:r w:rsidRPr="00D40F4E">
        <w:rPr>
          <w:rFonts w:asciiTheme="majorBidi" w:hAnsiTheme="majorBidi" w:cstheme="majorBidi"/>
          <w:b/>
          <w:bCs/>
          <w:sz w:val="24"/>
          <w:szCs w:val="24"/>
        </w:rPr>
        <w:t>Recommendations:</w:t>
      </w:r>
    </w:p>
    <w:p w14:paraId="5BD8D326" w14:textId="77777777" w:rsidR="00F2242F" w:rsidRPr="00D40F4E" w:rsidRDefault="00DD6379" w:rsidP="00D40F4E">
      <w:pPr>
        <w:pStyle w:val="ListParagraph"/>
        <w:numPr>
          <w:ilvl w:val="0"/>
          <w:numId w:val="5"/>
        </w:numPr>
        <w:jc w:val="both"/>
        <w:rPr>
          <w:rFonts w:asciiTheme="majorBidi" w:hAnsiTheme="majorBidi" w:cstheme="majorBidi"/>
          <w:sz w:val="24"/>
          <w:szCs w:val="24"/>
        </w:rPr>
      </w:pPr>
      <w:r w:rsidRPr="00D40F4E">
        <w:rPr>
          <w:rFonts w:asciiTheme="majorBidi" w:hAnsiTheme="majorBidi" w:cstheme="majorBidi"/>
          <w:sz w:val="24"/>
          <w:szCs w:val="24"/>
        </w:rPr>
        <w:t>Stopping</w:t>
      </w:r>
      <w:r w:rsidR="00FA3AA8" w:rsidRPr="00D40F4E">
        <w:rPr>
          <w:rFonts w:asciiTheme="majorBidi" w:hAnsiTheme="majorBidi" w:cstheme="majorBidi"/>
          <w:sz w:val="24"/>
          <w:szCs w:val="24"/>
        </w:rPr>
        <w:t xml:space="preserve"> the practice of mass demolition of homes and private property under the pretext of lack of building permits, or as a form of punishment, and </w:t>
      </w:r>
      <w:r w:rsidR="008B6983" w:rsidRPr="00D40F4E">
        <w:rPr>
          <w:rFonts w:asciiTheme="majorBidi" w:hAnsiTheme="majorBidi" w:cstheme="majorBidi"/>
          <w:sz w:val="24"/>
          <w:szCs w:val="24"/>
        </w:rPr>
        <w:t>ensuring</w:t>
      </w:r>
      <w:r w:rsidR="00FA3AA8" w:rsidRPr="00D40F4E">
        <w:rPr>
          <w:rFonts w:asciiTheme="majorBidi" w:hAnsiTheme="majorBidi" w:cstheme="majorBidi"/>
          <w:sz w:val="24"/>
          <w:szCs w:val="24"/>
        </w:rPr>
        <w:t xml:space="preserve"> full and effective compensation for the victims of these practices, including the return of damaged property.</w:t>
      </w:r>
      <w:r w:rsidR="00745CDA" w:rsidRPr="00D40F4E">
        <w:rPr>
          <w:rFonts w:asciiTheme="majorBidi" w:hAnsiTheme="majorBidi" w:cstheme="majorBidi"/>
          <w:sz w:val="24"/>
          <w:szCs w:val="24"/>
        </w:rPr>
        <w:tab/>
      </w:r>
    </w:p>
    <w:sectPr w:rsidR="00F2242F" w:rsidRPr="00D40F4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89C7F" w14:textId="77777777" w:rsidR="00675480" w:rsidRDefault="00675480" w:rsidP="00745CDA">
      <w:pPr>
        <w:spacing w:after="0" w:line="240" w:lineRule="auto"/>
      </w:pPr>
      <w:r>
        <w:separator/>
      </w:r>
    </w:p>
  </w:endnote>
  <w:endnote w:type="continuationSeparator" w:id="0">
    <w:p w14:paraId="48F19400" w14:textId="77777777" w:rsidR="00675480" w:rsidRDefault="00675480" w:rsidP="00745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79161" w14:textId="77777777" w:rsidR="00675480" w:rsidRDefault="00675480" w:rsidP="00745CDA">
      <w:pPr>
        <w:spacing w:after="0" w:line="240" w:lineRule="auto"/>
      </w:pPr>
      <w:r>
        <w:separator/>
      </w:r>
    </w:p>
  </w:footnote>
  <w:footnote w:type="continuationSeparator" w:id="0">
    <w:p w14:paraId="25541013" w14:textId="77777777" w:rsidR="00675480" w:rsidRDefault="00675480" w:rsidP="00745CDA">
      <w:pPr>
        <w:spacing w:after="0" w:line="240" w:lineRule="auto"/>
      </w:pPr>
      <w:r>
        <w:continuationSeparator/>
      </w:r>
    </w:p>
  </w:footnote>
  <w:footnote w:id="1">
    <w:p w14:paraId="6127CD0D" w14:textId="77777777" w:rsidR="00FA3AA8" w:rsidRDefault="00FA3AA8">
      <w:pPr>
        <w:pStyle w:val="FootnoteText"/>
      </w:pPr>
      <w:r>
        <w:rPr>
          <w:rStyle w:val="FootnoteReference"/>
        </w:rPr>
        <w:footnoteRef/>
      </w:r>
      <w:r>
        <w:t xml:space="preserve"> </w:t>
      </w:r>
      <w:r w:rsidRPr="00C87225">
        <w:rPr>
          <w:lang w:bidi="ar-EG"/>
        </w:rPr>
        <w:t>See paragraph 2 of the information received from Israel on follow-up to concluding observations</w:t>
      </w:r>
      <w:r>
        <w:rPr>
          <w:lang w:bidi="ar-EG"/>
        </w:rPr>
        <w:t xml:space="preserve"> on its fourth periodic report , link: </w:t>
      </w:r>
      <w:hyperlink r:id="rId1" w:history="1">
        <w:r w:rsidRPr="00B16EBE">
          <w:rPr>
            <w:rStyle w:val="Hyperlink"/>
            <w:lang w:bidi="ar-EG"/>
          </w:rPr>
          <w:t>https://bit.ly/3zYOEU8</w:t>
        </w:r>
      </w:hyperlink>
    </w:p>
  </w:footnote>
  <w:footnote w:id="2">
    <w:p w14:paraId="4EF25A51" w14:textId="77777777" w:rsidR="00FA3AA8" w:rsidRDefault="00FA3AA8">
      <w:pPr>
        <w:pStyle w:val="FootnoteText"/>
      </w:pPr>
      <w:r>
        <w:rPr>
          <w:rStyle w:val="FootnoteReference"/>
        </w:rPr>
        <w:footnoteRef/>
      </w:r>
      <w:r>
        <w:t xml:space="preserve"> </w:t>
      </w:r>
      <w:r w:rsidRPr="006E69A2">
        <w:t xml:space="preserve">Legal Consequences of the Construction of a Wall in the Occupied Palestinian Territory (Advisory Opinion) ICJ Rep 2004, </w:t>
      </w:r>
      <w:r>
        <w:t xml:space="preserve">link: </w:t>
      </w:r>
      <w:hyperlink r:id="rId2" w:history="1">
        <w:r w:rsidRPr="00B16EBE">
          <w:rPr>
            <w:rStyle w:val="Hyperlink"/>
          </w:rPr>
          <w:t>https://bit.ly/3AqGJjA</w:t>
        </w:r>
      </w:hyperlink>
      <w:r>
        <w:t xml:space="preserve"> </w:t>
      </w:r>
      <w:r>
        <w:rPr>
          <w:rFonts w:hint="cs"/>
          <w:rtl/>
        </w:rPr>
        <w:t xml:space="preserve"> </w:t>
      </w:r>
    </w:p>
  </w:footnote>
  <w:footnote w:id="3">
    <w:p w14:paraId="427FB329" w14:textId="77777777" w:rsidR="00FA3AA8" w:rsidRDefault="00FA3AA8" w:rsidP="0097489E">
      <w:pPr>
        <w:pStyle w:val="FootnoteText"/>
        <w:bidi/>
      </w:pPr>
      <w:r>
        <w:rPr>
          <w:rStyle w:val="FootnoteReference"/>
        </w:rPr>
        <w:footnoteRef/>
      </w:r>
      <w:r w:rsidRPr="0030123F">
        <w:rPr>
          <w:rFonts w:cs="Arial" w:hint="eastAsia"/>
          <w:rtl/>
          <w:lang w:bidi="ar-EG"/>
        </w:rPr>
        <w:t>تقرير</w:t>
      </w:r>
      <w:r w:rsidRPr="0030123F">
        <w:rPr>
          <w:rFonts w:cs="Arial"/>
          <w:rtl/>
          <w:lang w:bidi="ar-EG"/>
        </w:rPr>
        <w:t xml:space="preserve"> </w:t>
      </w:r>
      <w:r w:rsidRPr="0030123F">
        <w:rPr>
          <w:rFonts w:cs="Arial" w:hint="eastAsia"/>
          <w:rtl/>
          <w:lang w:bidi="ar-EG"/>
        </w:rPr>
        <w:t>المقرر</w:t>
      </w:r>
      <w:r w:rsidRPr="0030123F">
        <w:rPr>
          <w:rFonts w:cs="Arial"/>
          <w:rtl/>
          <w:lang w:bidi="ar-EG"/>
        </w:rPr>
        <w:t xml:space="preserve"> </w:t>
      </w:r>
      <w:r w:rsidRPr="0030123F">
        <w:rPr>
          <w:rFonts w:cs="Arial" w:hint="eastAsia"/>
          <w:rtl/>
          <w:lang w:bidi="ar-EG"/>
        </w:rPr>
        <w:t>الخاص</w:t>
      </w:r>
      <w:r w:rsidRPr="0030123F">
        <w:rPr>
          <w:rFonts w:cs="Arial"/>
          <w:rtl/>
          <w:lang w:bidi="ar-EG"/>
        </w:rPr>
        <w:t xml:space="preserve"> </w:t>
      </w:r>
      <w:r w:rsidRPr="0030123F">
        <w:rPr>
          <w:rFonts w:cs="Arial" w:hint="eastAsia"/>
          <w:rtl/>
          <w:lang w:bidi="ar-EG"/>
        </w:rPr>
        <w:t>المعني</w:t>
      </w:r>
      <w:r w:rsidRPr="0030123F">
        <w:rPr>
          <w:rFonts w:cs="Arial"/>
          <w:rtl/>
          <w:lang w:bidi="ar-EG"/>
        </w:rPr>
        <w:t xml:space="preserve"> </w:t>
      </w:r>
      <w:r w:rsidRPr="0030123F">
        <w:rPr>
          <w:rFonts w:cs="Arial" w:hint="eastAsia"/>
          <w:rtl/>
          <w:lang w:bidi="ar-EG"/>
        </w:rPr>
        <w:t>بحالة</w:t>
      </w:r>
      <w:r w:rsidRPr="0030123F">
        <w:rPr>
          <w:rFonts w:cs="Arial"/>
          <w:rtl/>
          <w:lang w:bidi="ar-EG"/>
        </w:rPr>
        <w:t xml:space="preserve"> </w:t>
      </w:r>
      <w:r w:rsidRPr="0030123F">
        <w:rPr>
          <w:rFonts w:cs="Arial" w:hint="eastAsia"/>
          <w:rtl/>
          <w:lang w:bidi="ar-EG"/>
        </w:rPr>
        <w:t>حقوق</w:t>
      </w:r>
      <w:r w:rsidRPr="0030123F">
        <w:rPr>
          <w:rFonts w:cs="Arial"/>
          <w:rtl/>
          <w:lang w:bidi="ar-EG"/>
        </w:rPr>
        <w:t xml:space="preserve"> </w:t>
      </w:r>
      <w:r w:rsidRPr="0030123F">
        <w:rPr>
          <w:rFonts w:cs="Arial" w:hint="eastAsia"/>
          <w:rtl/>
          <w:lang w:bidi="ar-EG"/>
        </w:rPr>
        <w:t>الإنسان</w:t>
      </w:r>
      <w:r w:rsidRPr="0030123F">
        <w:rPr>
          <w:rFonts w:cs="Arial"/>
          <w:rtl/>
          <w:lang w:bidi="ar-EG"/>
        </w:rPr>
        <w:t xml:space="preserve"> </w:t>
      </w:r>
      <w:r w:rsidRPr="0030123F">
        <w:rPr>
          <w:rFonts w:cs="Arial" w:hint="eastAsia"/>
          <w:rtl/>
          <w:lang w:bidi="ar-EG"/>
        </w:rPr>
        <w:t>في</w:t>
      </w:r>
      <w:r w:rsidRPr="0030123F">
        <w:rPr>
          <w:rFonts w:cs="Arial"/>
          <w:rtl/>
          <w:lang w:bidi="ar-EG"/>
        </w:rPr>
        <w:t xml:space="preserve"> </w:t>
      </w:r>
      <w:r w:rsidRPr="0030123F">
        <w:rPr>
          <w:rFonts w:cs="Arial" w:hint="eastAsia"/>
          <w:rtl/>
          <w:lang w:bidi="ar-EG"/>
        </w:rPr>
        <w:t>الأراضي</w:t>
      </w:r>
      <w:r w:rsidRPr="0030123F">
        <w:rPr>
          <w:rFonts w:cs="Arial"/>
          <w:rtl/>
          <w:lang w:bidi="ar-EG"/>
        </w:rPr>
        <w:t xml:space="preserve"> </w:t>
      </w:r>
      <w:r w:rsidRPr="0030123F">
        <w:rPr>
          <w:rFonts w:cs="Arial" w:hint="eastAsia"/>
          <w:rtl/>
          <w:lang w:bidi="ar-EG"/>
        </w:rPr>
        <w:t>الفلسطينية</w:t>
      </w:r>
      <w:r w:rsidRPr="0030123F">
        <w:rPr>
          <w:rFonts w:cs="Arial"/>
          <w:rtl/>
          <w:lang w:bidi="ar-EG"/>
        </w:rPr>
        <w:t xml:space="preserve"> </w:t>
      </w:r>
      <w:r w:rsidRPr="0030123F">
        <w:rPr>
          <w:rFonts w:cs="Arial" w:hint="eastAsia"/>
          <w:rtl/>
          <w:lang w:bidi="ar-EG"/>
        </w:rPr>
        <w:t>المحتلة</w:t>
      </w:r>
      <w:r w:rsidRPr="0030123F">
        <w:rPr>
          <w:rFonts w:cs="Arial"/>
          <w:rtl/>
          <w:lang w:bidi="ar-EG"/>
        </w:rPr>
        <w:t xml:space="preserve"> </w:t>
      </w:r>
      <w:r w:rsidRPr="0030123F">
        <w:rPr>
          <w:rFonts w:cs="Arial" w:hint="eastAsia"/>
          <w:rtl/>
          <w:lang w:bidi="ar-EG"/>
        </w:rPr>
        <w:t>منذ</w:t>
      </w:r>
      <w:r w:rsidRPr="0030123F">
        <w:rPr>
          <w:rFonts w:cs="Arial"/>
          <w:rtl/>
          <w:lang w:bidi="ar-EG"/>
        </w:rPr>
        <w:t xml:space="preserve"> </w:t>
      </w:r>
      <w:r w:rsidRPr="0030123F">
        <w:rPr>
          <w:rFonts w:cs="Arial" w:hint="eastAsia"/>
          <w:rtl/>
          <w:lang w:bidi="ar-EG"/>
        </w:rPr>
        <w:t>عام</w:t>
      </w:r>
      <w:r w:rsidRPr="0030123F">
        <w:rPr>
          <w:rFonts w:cs="Arial"/>
          <w:rtl/>
          <w:lang w:bidi="ar-EG"/>
        </w:rPr>
        <w:t xml:space="preserve"> 1967 </w:t>
      </w:r>
      <w:r w:rsidRPr="0030123F">
        <w:rPr>
          <w:lang w:bidi="ar-EG"/>
        </w:rPr>
        <w:t xml:space="preserve">A / 72/556) </w:t>
      </w:r>
      <w:r>
        <w:rPr>
          <w:rFonts w:hint="cs"/>
          <w:rtl/>
          <w:lang w:bidi="ar-EG"/>
        </w:rPr>
        <w:t xml:space="preserve"> ) </w:t>
      </w:r>
      <w:r>
        <w:rPr>
          <w:rFonts w:cs="Arial" w:hint="cs"/>
          <w:rtl/>
          <w:lang w:bidi="ar-EG"/>
        </w:rPr>
        <w:t xml:space="preserve">23 </w:t>
      </w:r>
      <w:r w:rsidRPr="0030123F">
        <w:rPr>
          <w:rFonts w:cs="Arial" w:hint="eastAsia"/>
          <w:rtl/>
          <w:lang w:bidi="ar-EG"/>
        </w:rPr>
        <w:t>أكتوبر</w:t>
      </w:r>
      <w:r w:rsidRPr="0030123F">
        <w:rPr>
          <w:rFonts w:cs="Arial"/>
          <w:rtl/>
          <w:lang w:bidi="ar-EG"/>
        </w:rPr>
        <w:t xml:space="preserve"> 2017. </w:t>
      </w:r>
      <w:r w:rsidRPr="0030123F">
        <w:rPr>
          <w:rFonts w:cs="Arial" w:hint="eastAsia"/>
          <w:rtl/>
          <w:lang w:bidi="ar-EG"/>
        </w:rPr>
        <w:t>الفقرة</w:t>
      </w:r>
      <w:r w:rsidRPr="0030123F">
        <w:rPr>
          <w:rFonts w:cs="Arial"/>
          <w:rtl/>
          <w:lang w:bidi="ar-EG"/>
        </w:rPr>
        <w:t>. 56</w:t>
      </w:r>
      <w:r>
        <w:rPr>
          <w:rFonts w:hint="cs"/>
          <w:rtl/>
          <w:lang w:bidi="ar-EG"/>
        </w:rPr>
        <w:t xml:space="preserve">، الرابط: </w:t>
      </w:r>
      <w:hyperlink r:id="rId3" w:history="1">
        <w:r w:rsidRPr="005732D0">
          <w:rPr>
            <w:rStyle w:val="Hyperlink"/>
            <w:lang w:bidi="ar-EG"/>
          </w:rPr>
          <w:t>https://bit.ly/3c4giqQ</w:t>
        </w:r>
      </w:hyperlink>
      <w:r>
        <w:rPr>
          <w:rFonts w:hint="cs"/>
          <w:rtl/>
          <w:lang w:bidi="ar-EG"/>
        </w:rPr>
        <w:t xml:space="preserve"> </w:t>
      </w:r>
      <w:r>
        <w:t xml:space="preserve"> </w:t>
      </w:r>
    </w:p>
  </w:footnote>
  <w:footnote w:id="4">
    <w:p w14:paraId="38090EA7" w14:textId="77777777" w:rsidR="00FA3AA8" w:rsidRDefault="00FA3AA8" w:rsidP="0097489E">
      <w:pPr>
        <w:pStyle w:val="FootnoteText"/>
        <w:bidi/>
      </w:pPr>
      <w:r>
        <w:rPr>
          <w:rStyle w:val="FootnoteReference"/>
        </w:rPr>
        <w:footnoteRef/>
      </w:r>
      <w:r>
        <w:t xml:space="preserve"> </w:t>
      </w:r>
      <w:r w:rsidRPr="00241542">
        <w:rPr>
          <w:rFonts w:cs="Arial"/>
          <w:rtl/>
          <w:lang w:bidi="ar-EG"/>
        </w:rPr>
        <w:t xml:space="preserve">15 </w:t>
      </w:r>
      <w:r w:rsidRPr="00241542">
        <w:rPr>
          <w:rFonts w:cs="Arial" w:hint="eastAsia"/>
          <w:rtl/>
          <w:lang w:bidi="ar-EG"/>
        </w:rPr>
        <w:t>عاما</w:t>
      </w:r>
      <w:r w:rsidRPr="00241542">
        <w:rPr>
          <w:rFonts w:cs="Arial"/>
          <w:rtl/>
          <w:lang w:bidi="ar-EG"/>
        </w:rPr>
        <w:t xml:space="preserve"> </w:t>
      </w:r>
      <w:r w:rsidRPr="00241542">
        <w:rPr>
          <w:rFonts w:cs="Arial" w:hint="eastAsia"/>
          <w:rtl/>
          <w:lang w:bidi="ar-EG"/>
        </w:rPr>
        <w:t>على</w:t>
      </w:r>
      <w:r w:rsidRPr="00241542">
        <w:rPr>
          <w:rFonts w:cs="Arial"/>
          <w:rtl/>
          <w:lang w:bidi="ar-EG"/>
        </w:rPr>
        <w:t xml:space="preserve"> </w:t>
      </w:r>
      <w:r w:rsidRPr="00241542">
        <w:rPr>
          <w:rFonts w:cs="Arial" w:hint="eastAsia"/>
          <w:rtl/>
          <w:lang w:bidi="ar-EG"/>
        </w:rPr>
        <w:t>حصار</w:t>
      </w:r>
      <w:r w:rsidRPr="00241542">
        <w:rPr>
          <w:rFonts w:cs="Arial"/>
          <w:rtl/>
          <w:lang w:bidi="ar-EG"/>
        </w:rPr>
        <w:t xml:space="preserve"> </w:t>
      </w:r>
      <w:r w:rsidRPr="00241542">
        <w:rPr>
          <w:rFonts w:cs="Arial" w:hint="eastAsia"/>
          <w:rtl/>
          <w:lang w:bidi="ar-EG"/>
        </w:rPr>
        <w:t>غزة</w:t>
      </w:r>
      <w:r w:rsidRPr="00241542">
        <w:rPr>
          <w:rFonts w:cs="Arial"/>
          <w:rtl/>
          <w:lang w:bidi="ar-EG"/>
        </w:rPr>
        <w:t xml:space="preserve">: 62% </w:t>
      </w:r>
      <w:r w:rsidRPr="00241542">
        <w:rPr>
          <w:rFonts w:cs="Arial" w:hint="eastAsia"/>
          <w:rtl/>
          <w:lang w:bidi="ar-EG"/>
        </w:rPr>
        <w:t>من</w:t>
      </w:r>
      <w:r w:rsidRPr="00241542">
        <w:rPr>
          <w:rFonts w:cs="Arial"/>
          <w:rtl/>
          <w:lang w:bidi="ar-EG"/>
        </w:rPr>
        <w:t xml:space="preserve"> </w:t>
      </w:r>
      <w:r w:rsidRPr="00241542">
        <w:rPr>
          <w:rFonts w:cs="Arial" w:hint="eastAsia"/>
          <w:rtl/>
          <w:lang w:bidi="ar-EG"/>
        </w:rPr>
        <w:t>سكان</w:t>
      </w:r>
      <w:r w:rsidRPr="00241542">
        <w:rPr>
          <w:rFonts w:cs="Arial"/>
          <w:rtl/>
          <w:lang w:bidi="ar-EG"/>
        </w:rPr>
        <w:t xml:space="preserve"> </w:t>
      </w:r>
      <w:r w:rsidRPr="00241542">
        <w:rPr>
          <w:rFonts w:cs="Arial" w:hint="eastAsia"/>
          <w:rtl/>
          <w:lang w:bidi="ar-EG"/>
        </w:rPr>
        <w:t>القطاع</w:t>
      </w:r>
      <w:r w:rsidRPr="00241542">
        <w:rPr>
          <w:rFonts w:cs="Arial"/>
          <w:rtl/>
          <w:lang w:bidi="ar-EG"/>
        </w:rPr>
        <w:t xml:space="preserve"> </w:t>
      </w:r>
      <w:r w:rsidRPr="00241542">
        <w:rPr>
          <w:rFonts w:cs="Arial" w:hint="eastAsia"/>
          <w:rtl/>
          <w:lang w:bidi="ar-EG"/>
        </w:rPr>
        <w:t>بحاجة</w:t>
      </w:r>
      <w:r w:rsidRPr="00241542">
        <w:rPr>
          <w:rFonts w:cs="Arial"/>
          <w:rtl/>
          <w:lang w:bidi="ar-EG"/>
        </w:rPr>
        <w:t xml:space="preserve"> </w:t>
      </w:r>
      <w:r w:rsidRPr="00241542">
        <w:rPr>
          <w:rFonts w:cs="Arial" w:hint="eastAsia"/>
          <w:rtl/>
          <w:lang w:bidi="ar-EG"/>
        </w:rPr>
        <w:t>إلى</w:t>
      </w:r>
      <w:r w:rsidRPr="00241542">
        <w:rPr>
          <w:rFonts w:cs="Arial"/>
          <w:rtl/>
          <w:lang w:bidi="ar-EG"/>
        </w:rPr>
        <w:t xml:space="preserve"> </w:t>
      </w:r>
      <w:r w:rsidRPr="00241542">
        <w:rPr>
          <w:rFonts w:cs="Arial" w:hint="eastAsia"/>
          <w:rtl/>
          <w:lang w:bidi="ar-EG"/>
        </w:rPr>
        <w:t>مساعدات</w:t>
      </w:r>
      <w:r w:rsidRPr="00241542">
        <w:rPr>
          <w:rFonts w:cs="Arial"/>
          <w:rtl/>
          <w:lang w:bidi="ar-EG"/>
        </w:rPr>
        <w:t xml:space="preserve"> </w:t>
      </w:r>
      <w:r w:rsidRPr="00241542">
        <w:rPr>
          <w:rFonts w:cs="Arial" w:hint="eastAsia"/>
          <w:rtl/>
          <w:lang w:bidi="ar-EG"/>
        </w:rPr>
        <w:t>غذائية</w:t>
      </w:r>
      <w:r w:rsidRPr="00241542">
        <w:rPr>
          <w:rFonts w:cs="Arial"/>
          <w:rtl/>
          <w:lang w:bidi="ar-EG"/>
        </w:rPr>
        <w:t xml:space="preserve"> </w:t>
      </w:r>
      <w:r w:rsidRPr="00241542">
        <w:rPr>
          <w:rFonts w:cs="Arial" w:hint="eastAsia"/>
          <w:rtl/>
          <w:lang w:bidi="ar-EG"/>
        </w:rPr>
        <w:t>ونسبة</w:t>
      </w:r>
      <w:r w:rsidRPr="00241542">
        <w:rPr>
          <w:rFonts w:cs="Arial"/>
          <w:rtl/>
          <w:lang w:bidi="ar-EG"/>
        </w:rPr>
        <w:t xml:space="preserve"> </w:t>
      </w:r>
      <w:r w:rsidRPr="00241542">
        <w:rPr>
          <w:rFonts w:cs="Arial" w:hint="eastAsia"/>
          <w:rtl/>
          <w:lang w:bidi="ar-EG"/>
        </w:rPr>
        <w:t>البطالة</w:t>
      </w:r>
      <w:r w:rsidRPr="00241542">
        <w:rPr>
          <w:rFonts w:cs="Arial"/>
          <w:rtl/>
          <w:lang w:bidi="ar-EG"/>
        </w:rPr>
        <w:t xml:space="preserve"> </w:t>
      </w:r>
      <w:r w:rsidRPr="00241542">
        <w:rPr>
          <w:rFonts w:cs="Arial" w:hint="eastAsia"/>
          <w:rtl/>
          <w:lang w:bidi="ar-EG"/>
        </w:rPr>
        <w:t>من</w:t>
      </w:r>
      <w:r w:rsidRPr="00241542">
        <w:rPr>
          <w:rFonts w:cs="Arial"/>
          <w:rtl/>
          <w:lang w:bidi="ar-EG"/>
        </w:rPr>
        <w:t xml:space="preserve"> </w:t>
      </w:r>
      <w:r w:rsidRPr="00241542">
        <w:rPr>
          <w:rFonts w:cs="Arial" w:hint="eastAsia"/>
          <w:rtl/>
          <w:lang w:bidi="ar-EG"/>
        </w:rPr>
        <w:t>بين</w:t>
      </w:r>
      <w:r w:rsidRPr="00241542">
        <w:rPr>
          <w:rFonts w:cs="Arial"/>
          <w:rtl/>
          <w:lang w:bidi="ar-EG"/>
        </w:rPr>
        <w:t xml:space="preserve"> </w:t>
      </w:r>
      <w:r w:rsidRPr="00241542">
        <w:rPr>
          <w:rFonts w:cs="Arial" w:hint="eastAsia"/>
          <w:rtl/>
          <w:lang w:bidi="ar-EG"/>
        </w:rPr>
        <w:t>الأعلى</w:t>
      </w:r>
      <w:r w:rsidRPr="00241542">
        <w:rPr>
          <w:rFonts w:cs="Arial"/>
          <w:rtl/>
          <w:lang w:bidi="ar-EG"/>
        </w:rPr>
        <w:t xml:space="preserve"> </w:t>
      </w:r>
      <w:r w:rsidRPr="00241542">
        <w:rPr>
          <w:rFonts w:cs="Arial" w:hint="eastAsia"/>
          <w:rtl/>
          <w:lang w:bidi="ar-EG"/>
        </w:rPr>
        <w:t>في</w:t>
      </w:r>
      <w:r w:rsidRPr="00241542">
        <w:rPr>
          <w:rFonts w:cs="Arial"/>
          <w:rtl/>
          <w:lang w:bidi="ar-EG"/>
        </w:rPr>
        <w:t xml:space="preserve"> </w:t>
      </w:r>
      <w:r w:rsidRPr="00241542">
        <w:rPr>
          <w:rFonts w:cs="Arial" w:hint="eastAsia"/>
          <w:rtl/>
          <w:lang w:bidi="ar-EG"/>
        </w:rPr>
        <w:t>العالم</w:t>
      </w:r>
      <w:r>
        <w:rPr>
          <w:rFonts w:cs="Arial" w:hint="cs"/>
          <w:rtl/>
          <w:lang w:bidi="ar-EG"/>
        </w:rPr>
        <w:t xml:space="preserve">، أخبار الامم المتحدة، 30 يونيو 2022، الرابط: </w:t>
      </w:r>
      <w:hyperlink r:id="rId4" w:history="1">
        <w:r w:rsidRPr="00B16EBE">
          <w:rPr>
            <w:rStyle w:val="Hyperlink"/>
            <w:rFonts w:cs="Arial"/>
            <w:lang w:bidi="ar-EG"/>
          </w:rPr>
          <w:t>https://bit.ly/3A58VHk</w:t>
        </w:r>
      </w:hyperlink>
    </w:p>
  </w:footnote>
  <w:footnote w:id="5">
    <w:p w14:paraId="4E83DF94" w14:textId="77777777" w:rsidR="00FA3AA8" w:rsidRDefault="00FA3AA8" w:rsidP="0097489E">
      <w:pPr>
        <w:pStyle w:val="FootnoteText"/>
        <w:bidi/>
      </w:pPr>
      <w:r>
        <w:rPr>
          <w:rStyle w:val="FootnoteReference"/>
        </w:rPr>
        <w:footnoteRef/>
      </w:r>
      <w:r>
        <w:t xml:space="preserve"> </w:t>
      </w:r>
      <w:r>
        <w:rPr>
          <w:rFonts w:hint="cs"/>
          <w:rtl/>
          <w:lang w:bidi="ar-EG"/>
        </w:rPr>
        <w:t>المرجع السابق نفسه.</w:t>
      </w:r>
    </w:p>
  </w:footnote>
  <w:footnote w:id="6">
    <w:p w14:paraId="34251279" w14:textId="77777777" w:rsidR="00FA3AA8" w:rsidRDefault="00FA3AA8" w:rsidP="002835BC">
      <w:pPr>
        <w:pStyle w:val="FootnoteText"/>
        <w:bidi/>
      </w:pPr>
      <w:r>
        <w:rPr>
          <w:rStyle w:val="FootnoteReference"/>
        </w:rPr>
        <w:footnoteRef/>
      </w:r>
      <w:r>
        <w:t xml:space="preserve"> </w:t>
      </w:r>
      <w:r w:rsidRPr="00294BCE">
        <w:rPr>
          <w:rFonts w:cs="Arial" w:hint="eastAsia"/>
          <w:rtl/>
          <w:lang w:bidi="ar-EG"/>
        </w:rPr>
        <w:t>سوق</w:t>
      </w:r>
      <w:r w:rsidRPr="00294BCE">
        <w:rPr>
          <w:rFonts w:cs="Arial"/>
          <w:rtl/>
          <w:lang w:bidi="ar-EG"/>
        </w:rPr>
        <w:t xml:space="preserve"> </w:t>
      </w:r>
      <w:r w:rsidRPr="00294BCE">
        <w:rPr>
          <w:rFonts w:cs="Arial" w:hint="eastAsia"/>
          <w:rtl/>
          <w:lang w:bidi="ar-EG"/>
        </w:rPr>
        <w:t>العمل</w:t>
      </w:r>
      <w:r w:rsidRPr="00294BCE">
        <w:rPr>
          <w:rFonts w:cs="Arial"/>
          <w:rtl/>
          <w:lang w:bidi="ar-EG"/>
        </w:rPr>
        <w:t xml:space="preserve"> </w:t>
      </w:r>
      <w:r w:rsidRPr="00294BCE">
        <w:rPr>
          <w:rFonts w:cs="Arial" w:hint="eastAsia"/>
          <w:rtl/>
          <w:lang w:bidi="ar-EG"/>
        </w:rPr>
        <w:t>الإسرائيلية</w:t>
      </w:r>
      <w:r w:rsidRPr="00294BCE">
        <w:rPr>
          <w:rFonts w:cs="Arial"/>
          <w:rtl/>
          <w:lang w:bidi="ar-EG"/>
        </w:rPr>
        <w:t xml:space="preserve"> </w:t>
      </w:r>
      <w:r w:rsidRPr="00294BCE">
        <w:rPr>
          <w:rFonts w:cs="Arial" w:hint="eastAsia"/>
          <w:rtl/>
          <w:lang w:bidi="ar-EG"/>
        </w:rPr>
        <w:t>تضيق</w:t>
      </w:r>
      <w:r w:rsidRPr="00294BCE">
        <w:rPr>
          <w:rFonts w:cs="Arial"/>
          <w:rtl/>
          <w:lang w:bidi="ar-EG"/>
        </w:rPr>
        <w:t xml:space="preserve"> </w:t>
      </w:r>
      <w:r w:rsidRPr="00294BCE">
        <w:rPr>
          <w:rFonts w:cs="Arial" w:hint="eastAsia"/>
          <w:rtl/>
          <w:lang w:bidi="ar-EG"/>
        </w:rPr>
        <w:t>بالفلسطينيات</w:t>
      </w:r>
      <w:r w:rsidRPr="00294BCE">
        <w:rPr>
          <w:rFonts w:cs="Arial"/>
          <w:rtl/>
          <w:lang w:bidi="ar-EG"/>
        </w:rPr>
        <w:t xml:space="preserve"> </w:t>
      </w:r>
      <w:r w:rsidRPr="00294BCE">
        <w:rPr>
          <w:rFonts w:cs="Arial" w:hint="eastAsia"/>
          <w:rtl/>
          <w:lang w:bidi="ar-EG"/>
        </w:rPr>
        <w:t>واليهوديات</w:t>
      </w:r>
      <w:r w:rsidRPr="00294BCE">
        <w:rPr>
          <w:rFonts w:cs="Arial"/>
          <w:rtl/>
          <w:lang w:bidi="ar-EG"/>
        </w:rPr>
        <w:t xml:space="preserve"> </w:t>
      </w:r>
      <w:r w:rsidRPr="00294BCE">
        <w:rPr>
          <w:rFonts w:cs="Arial" w:hint="eastAsia"/>
          <w:rtl/>
          <w:lang w:bidi="ar-EG"/>
        </w:rPr>
        <w:t>ينخرطن</w:t>
      </w:r>
      <w:r w:rsidRPr="00294BCE">
        <w:rPr>
          <w:rFonts w:cs="Arial"/>
          <w:rtl/>
          <w:lang w:bidi="ar-EG"/>
        </w:rPr>
        <w:t xml:space="preserve"> </w:t>
      </w:r>
      <w:r w:rsidRPr="00294BCE">
        <w:rPr>
          <w:rFonts w:cs="Arial" w:hint="eastAsia"/>
          <w:rtl/>
          <w:lang w:bidi="ar-EG"/>
        </w:rPr>
        <w:t>فيه</w:t>
      </w:r>
      <w:r w:rsidRPr="00294BCE">
        <w:rPr>
          <w:rFonts w:cs="Arial"/>
          <w:rtl/>
          <w:lang w:bidi="ar-EG"/>
        </w:rPr>
        <w:t xml:space="preserve"> </w:t>
      </w:r>
      <w:r w:rsidRPr="00294BCE">
        <w:rPr>
          <w:rFonts w:cs="Arial" w:hint="eastAsia"/>
          <w:rtl/>
          <w:lang w:bidi="ar-EG"/>
        </w:rPr>
        <w:t>بتفوق</w:t>
      </w:r>
      <w:r>
        <w:rPr>
          <w:rFonts w:hint="cs"/>
          <w:rtl/>
          <w:lang w:bidi="ar-EG"/>
        </w:rPr>
        <w:t xml:space="preserve">، </w:t>
      </w:r>
      <w:r>
        <w:rPr>
          <w:lang w:bidi="ar-EG"/>
        </w:rPr>
        <w:t>I</w:t>
      </w:r>
      <w:r w:rsidRPr="00294BCE">
        <w:rPr>
          <w:lang w:bidi="ar-EG"/>
        </w:rPr>
        <w:t>ndependent</w:t>
      </w:r>
      <w:r>
        <w:rPr>
          <w:lang w:bidi="ar-EG"/>
        </w:rPr>
        <w:t xml:space="preserve"> A</w:t>
      </w:r>
      <w:r w:rsidRPr="00294BCE">
        <w:rPr>
          <w:lang w:bidi="ar-EG"/>
        </w:rPr>
        <w:t>rabia</w:t>
      </w:r>
      <w:r>
        <w:rPr>
          <w:rFonts w:hint="cs"/>
          <w:rtl/>
          <w:lang w:bidi="ar-EG"/>
        </w:rPr>
        <w:t xml:space="preserve">، </w:t>
      </w:r>
      <w:r w:rsidRPr="00294BCE">
        <w:rPr>
          <w:rFonts w:cs="Arial"/>
          <w:rtl/>
          <w:lang w:bidi="ar-EG"/>
        </w:rPr>
        <w:t xml:space="preserve">24 </w:t>
      </w:r>
      <w:r w:rsidRPr="00294BCE">
        <w:rPr>
          <w:rFonts w:cs="Arial" w:hint="eastAsia"/>
          <w:rtl/>
          <w:lang w:bidi="ar-EG"/>
        </w:rPr>
        <w:t>أغسطس</w:t>
      </w:r>
      <w:r w:rsidRPr="00294BCE">
        <w:rPr>
          <w:rFonts w:cs="Arial"/>
          <w:rtl/>
          <w:lang w:bidi="ar-EG"/>
        </w:rPr>
        <w:t xml:space="preserve"> 2021</w:t>
      </w:r>
      <w:r>
        <w:rPr>
          <w:rFonts w:cs="Arial" w:hint="cs"/>
          <w:rtl/>
          <w:lang w:bidi="ar-EG"/>
        </w:rPr>
        <w:t xml:space="preserve">، الرابط: </w:t>
      </w:r>
      <w:hyperlink r:id="rId5" w:history="1">
        <w:r w:rsidRPr="005732D0">
          <w:rPr>
            <w:rStyle w:val="Hyperlink"/>
            <w:rFonts w:cs="Arial"/>
            <w:lang w:bidi="ar-EG"/>
          </w:rPr>
          <w:t>https://bit.ly/3ApC8yj</w:t>
        </w:r>
      </w:hyperlink>
    </w:p>
  </w:footnote>
  <w:footnote w:id="7">
    <w:p w14:paraId="0D428068" w14:textId="77777777" w:rsidR="00FA3AA8" w:rsidRDefault="00FA3AA8">
      <w:pPr>
        <w:pStyle w:val="FootnoteText"/>
      </w:pPr>
      <w:r>
        <w:rPr>
          <w:rStyle w:val="FootnoteReference"/>
        </w:rPr>
        <w:footnoteRef/>
      </w:r>
      <w:r>
        <w:t xml:space="preserve"> </w:t>
      </w:r>
      <w:r w:rsidRPr="009779DC">
        <w:rPr>
          <w:lang w:bidi="ar-EG"/>
        </w:rPr>
        <w:t>Every Thai foreign worker has been sexually abused in Israel, says a new report</w:t>
      </w:r>
      <w:r>
        <w:rPr>
          <w:lang w:bidi="ar-EG"/>
        </w:rPr>
        <w:t>, M</w:t>
      </w:r>
      <w:r w:rsidRPr="009779DC">
        <w:rPr>
          <w:lang w:bidi="ar-EG"/>
        </w:rPr>
        <w:t>iddle</w:t>
      </w:r>
      <w:r>
        <w:rPr>
          <w:lang w:bidi="ar-EG"/>
        </w:rPr>
        <w:t xml:space="preserve"> E</w:t>
      </w:r>
      <w:r w:rsidRPr="009779DC">
        <w:rPr>
          <w:lang w:bidi="ar-EG"/>
        </w:rPr>
        <w:t>ast</w:t>
      </w:r>
      <w:r>
        <w:rPr>
          <w:lang w:bidi="ar-EG"/>
        </w:rPr>
        <w:t xml:space="preserve"> M</w:t>
      </w:r>
      <w:r w:rsidRPr="009779DC">
        <w:rPr>
          <w:lang w:bidi="ar-EG"/>
        </w:rPr>
        <w:t>onitor</w:t>
      </w:r>
      <w:r>
        <w:rPr>
          <w:lang w:bidi="ar-EG"/>
        </w:rPr>
        <w:t xml:space="preserve">, link: </w:t>
      </w:r>
      <w:hyperlink r:id="rId6" w:history="1">
        <w:r w:rsidRPr="005732D0">
          <w:rPr>
            <w:rStyle w:val="Hyperlink"/>
            <w:lang w:bidi="ar-EG"/>
          </w:rPr>
          <w:t>https://bit.ly/3dFEfoV</w:t>
        </w:r>
      </w:hyperlink>
    </w:p>
  </w:footnote>
  <w:footnote w:id="8">
    <w:p w14:paraId="4B44BE18" w14:textId="77777777" w:rsidR="00DD6379" w:rsidRDefault="00DD6379" w:rsidP="00DD6379">
      <w:pPr>
        <w:pStyle w:val="FootnoteText"/>
        <w:bidi/>
      </w:pPr>
      <w:r>
        <w:rPr>
          <w:rStyle w:val="FootnoteReference"/>
        </w:rPr>
        <w:footnoteRef/>
      </w:r>
      <w:r w:rsidRPr="00DE57B6">
        <w:rPr>
          <w:rFonts w:cs="Arial" w:hint="eastAsia"/>
          <w:rtl/>
          <w:lang w:bidi="ar-EG"/>
        </w:rPr>
        <w:t>هدم</w:t>
      </w:r>
      <w:r w:rsidRPr="00DE57B6">
        <w:rPr>
          <w:rFonts w:cs="Arial"/>
          <w:rtl/>
          <w:lang w:bidi="ar-EG"/>
        </w:rPr>
        <w:t xml:space="preserve"> </w:t>
      </w:r>
      <w:r w:rsidRPr="00DE57B6">
        <w:rPr>
          <w:rFonts w:cs="Arial" w:hint="eastAsia"/>
          <w:rtl/>
          <w:lang w:bidi="ar-EG"/>
        </w:rPr>
        <w:t>بناية</w:t>
      </w:r>
      <w:r w:rsidRPr="00DE57B6">
        <w:rPr>
          <w:rFonts w:cs="Arial"/>
          <w:rtl/>
          <w:lang w:bidi="ar-EG"/>
        </w:rPr>
        <w:t xml:space="preserve"> </w:t>
      </w:r>
      <w:r w:rsidRPr="00DE57B6">
        <w:rPr>
          <w:rFonts w:cs="Arial" w:hint="eastAsia"/>
          <w:rtl/>
          <w:lang w:bidi="ar-EG"/>
        </w:rPr>
        <w:t>في</w:t>
      </w:r>
      <w:r w:rsidRPr="00DE57B6">
        <w:rPr>
          <w:rFonts w:cs="Arial"/>
          <w:rtl/>
          <w:lang w:bidi="ar-EG"/>
        </w:rPr>
        <w:t xml:space="preserve"> </w:t>
      </w:r>
      <w:r w:rsidRPr="00DE57B6">
        <w:rPr>
          <w:rFonts w:cs="Arial" w:hint="eastAsia"/>
          <w:rtl/>
          <w:lang w:bidi="ar-EG"/>
        </w:rPr>
        <w:t>القدس</w:t>
      </w:r>
      <w:r w:rsidRPr="00DE57B6">
        <w:rPr>
          <w:rFonts w:cs="Arial"/>
          <w:rtl/>
          <w:lang w:bidi="ar-EG"/>
        </w:rPr>
        <w:t xml:space="preserve"> </w:t>
      </w:r>
      <w:r w:rsidRPr="00DE57B6">
        <w:rPr>
          <w:rFonts w:cs="Arial" w:hint="eastAsia"/>
          <w:rtl/>
          <w:lang w:bidi="ar-EG"/>
        </w:rPr>
        <w:t>الشرقية</w:t>
      </w:r>
      <w:r w:rsidRPr="00DE57B6">
        <w:rPr>
          <w:rFonts w:cs="Arial"/>
          <w:rtl/>
          <w:lang w:bidi="ar-EG"/>
        </w:rPr>
        <w:t xml:space="preserve"> </w:t>
      </w:r>
      <w:r w:rsidRPr="00DE57B6">
        <w:rPr>
          <w:rFonts w:cs="Arial" w:hint="eastAsia"/>
          <w:rtl/>
          <w:lang w:bidi="ar-EG"/>
        </w:rPr>
        <w:t>قد</w:t>
      </w:r>
      <w:r w:rsidRPr="00DE57B6">
        <w:rPr>
          <w:rFonts w:cs="Arial"/>
          <w:rtl/>
          <w:lang w:bidi="ar-EG"/>
        </w:rPr>
        <w:t xml:space="preserve"> </w:t>
      </w:r>
      <w:r w:rsidRPr="00DE57B6">
        <w:rPr>
          <w:rFonts w:cs="Arial" w:hint="eastAsia"/>
          <w:rtl/>
          <w:lang w:bidi="ar-EG"/>
        </w:rPr>
        <w:t>يترك</w:t>
      </w:r>
      <w:r w:rsidRPr="00DE57B6">
        <w:rPr>
          <w:rFonts w:cs="Arial"/>
          <w:rtl/>
          <w:lang w:bidi="ar-EG"/>
        </w:rPr>
        <w:t xml:space="preserve"> 74 </w:t>
      </w:r>
      <w:r w:rsidRPr="00DE57B6">
        <w:rPr>
          <w:rFonts w:cs="Arial" w:hint="eastAsia"/>
          <w:rtl/>
          <w:lang w:bidi="ar-EG"/>
        </w:rPr>
        <w:t>فلسطينيًا</w:t>
      </w:r>
      <w:r w:rsidRPr="00DE57B6">
        <w:rPr>
          <w:rFonts w:cs="Arial"/>
          <w:rtl/>
          <w:lang w:bidi="ar-EG"/>
        </w:rPr>
        <w:t xml:space="preserve"> </w:t>
      </w:r>
      <w:r w:rsidRPr="00DE57B6">
        <w:rPr>
          <w:rFonts w:cs="Arial" w:hint="eastAsia"/>
          <w:rtl/>
          <w:lang w:bidi="ar-EG"/>
        </w:rPr>
        <w:t>بلا</w:t>
      </w:r>
      <w:r w:rsidRPr="00DE57B6">
        <w:rPr>
          <w:rFonts w:cs="Arial"/>
          <w:rtl/>
          <w:lang w:bidi="ar-EG"/>
        </w:rPr>
        <w:t xml:space="preserve"> </w:t>
      </w:r>
      <w:r w:rsidRPr="00DE57B6">
        <w:rPr>
          <w:rFonts w:cs="Arial" w:hint="eastAsia"/>
          <w:rtl/>
          <w:lang w:bidi="ar-EG"/>
        </w:rPr>
        <w:t>مأوى</w:t>
      </w:r>
      <w:r>
        <w:rPr>
          <w:rFonts w:hint="cs"/>
          <w:rtl/>
          <w:lang w:bidi="ar-EG"/>
        </w:rPr>
        <w:t xml:space="preserve">، </w:t>
      </w:r>
      <w:r w:rsidRPr="00DE57B6">
        <w:rPr>
          <w:rFonts w:cs="Arial" w:hint="eastAsia"/>
          <w:rtl/>
          <w:lang w:bidi="ar-EG"/>
        </w:rPr>
        <w:t>مكتب</w:t>
      </w:r>
      <w:r w:rsidRPr="00DE57B6">
        <w:rPr>
          <w:rFonts w:cs="Arial"/>
          <w:rtl/>
          <w:lang w:bidi="ar-EG"/>
        </w:rPr>
        <w:t xml:space="preserve"> </w:t>
      </w:r>
      <w:r w:rsidRPr="00DE57B6">
        <w:rPr>
          <w:rFonts w:cs="Arial" w:hint="eastAsia"/>
          <w:rtl/>
          <w:lang w:bidi="ar-EG"/>
        </w:rPr>
        <w:t>تنسيق</w:t>
      </w:r>
      <w:r w:rsidRPr="00DE57B6">
        <w:rPr>
          <w:rFonts w:cs="Arial"/>
          <w:rtl/>
          <w:lang w:bidi="ar-EG"/>
        </w:rPr>
        <w:t xml:space="preserve"> </w:t>
      </w:r>
      <w:r w:rsidRPr="00DE57B6">
        <w:rPr>
          <w:rFonts w:cs="Arial" w:hint="eastAsia"/>
          <w:rtl/>
          <w:lang w:bidi="ar-EG"/>
        </w:rPr>
        <w:t>الشؤون</w:t>
      </w:r>
      <w:r w:rsidRPr="00DE57B6">
        <w:rPr>
          <w:rFonts w:cs="Arial"/>
          <w:rtl/>
          <w:lang w:bidi="ar-EG"/>
        </w:rPr>
        <w:t xml:space="preserve"> </w:t>
      </w:r>
      <w:r w:rsidRPr="00DE57B6">
        <w:rPr>
          <w:rFonts w:cs="Arial" w:hint="eastAsia"/>
          <w:rtl/>
          <w:lang w:bidi="ar-EG"/>
        </w:rPr>
        <w:t>الإنسانية</w:t>
      </w:r>
      <w:r w:rsidRPr="00DE57B6">
        <w:rPr>
          <w:rFonts w:cs="Arial"/>
          <w:rtl/>
          <w:lang w:bidi="ar-EG"/>
        </w:rPr>
        <w:t xml:space="preserve"> </w:t>
      </w:r>
      <w:r w:rsidRPr="00DE57B6">
        <w:rPr>
          <w:rFonts w:cs="Arial" w:hint="eastAsia"/>
          <w:rtl/>
          <w:lang w:bidi="ar-EG"/>
        </w:rPr>
        <w:t>في</w:t>
      </w:r>
      <w:r w:rsidRPr="00DE57B6">
        <w:rPr>
          <w:rFonts w:cs="Arial"/>
          <w:rtl/>
          <w:lang w:bidi="ar-EG"/>
        </w:rPr>
        <w:t xml:space="preserve"> </w:t>
      </w:r>
      <w:r w:rsidRPr="00DE57B6">
        <w:rPr>
          <w:rFonts w:cs="Arial" w:hint="eastAsia"/>
          <w:rtl/>
          <w:lang w:bidi="ar-EG"/>
        </w:rPr>
        <w:t>الأرض</w:t>
      </w:r>
      <w:r w:rsidRPr="00DE57B6">
        <w:rPr>
          <w:rFonts w:cs="Arial"/>
          <w:rtl/>
          <w:lang w:bidi="ar-EG"/>
        </w:rPr>
        <w:t xml:space="preserve"> </w:t>
      </w:r>
      <w:r w:rsidRPr="00DE57B6">
        <w:rPr>
          <w:rFonts w:cs="Arial" w:hint="eastAsia"/>
          <w:rtl/>
          <w:lang w:bidi="ar-EG"/>
        </w:rPr>
        <w:t>الفلسطينية</w:t>
      </w:r>
      <w:r w:rsidRPr="00DE57B6">
        <w:rPr>
          <w:rFonts w:cs="Arial"/>
          <w:rtl/>
          <w:lang w:bidi="ar-EG"/>
        </w:rPr>
        <w:t xml:space="preserve"> </w:t>
      </w:r>
      <w:r w:rsidRPr="00DE57B6">
        <w:rPr>
          <w:rFonts w:cs="Arial" w:hint="eastAsia"/>
          <w:rtl/>
          <w:lang w:bidi="ar-EG"/>
        </w:rPr>
        <w:t>المحتلة</w:t>
      </w:r>
      <w:r>
        <w:rPr>
          <w:rFonts w:hint="cs"/>
          <w:rtl/>
          <w:lang w:bidi="ar-EG"/>
        </w:rPr>
        <w:t xml:space="preserve">، </w:t>
      </w:r>
      <w:r w:rsidRPr="00C854AA">
        <w:rPr>
          <w:rFonts w:cs="Arial"/>
          <w:rtl/>
          <w:lang w:bidi="ar-EG"/>
        </w:rPr>
        <w:t xml:space="preserve">05 </w:t>
      </w:r>
      <w:r w:rsidRPr="00C854AA">
        <w:rPr>
          <w:rFonts w:cs="Arial" w:hint="eastAsia"/>
          <w:rtl/>
          <w:lang w:bidi="ar-EG"/>
        </w:rPr>
        <w:t>يونيو</w:t>
      </w:r>
      <w:r w:rsidRPr="00C854AA">
        <w:rPr>
          <w:rFonts w:cs="Arial"/>
          <w:rtl/>
          <w:lang w:bidi="ar-EG"/>
        </w:rPr>
        <w:t xml:space="preserve"> 2022</w:t>
      </w:r>
      <w:r>
        <w:rPr>
          <w:rFonts w:cs="Arial" w:hint="cs"/>
          <w:rtl/>
          <w:lang w:bidi="ar-EG"/>
        </w:rPr>
        <w:t xml:space="preserve">، الرابط: </w:t>
      </w:r>
      <w:hyperlink r:id="rId7" w:history="1">
        <w:r w:rsidRPr="00264733">
          <w:rPr>
            <w:rStyle w:val="Hyperlink"/>
            <w:rFonts w:cs="Arial"/>
            <w:lang w:bidi="ar-EG"/>
          </w:rPr>
          <w:t>https://bit.ly/3PpX0tD</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A48E" w14:textId="77777777" w:rsidR="00FA3AA8" w:rsidRDefault="00FA3AA8" w:rsidP="00EC13C1">
    <w:pPr>
      <w:pStyle w:val="Header"/>
    </w:pPr>
    <w:r>
      <w:rPr>
        <w:rFonts w:hint="cs"/>
        <w:noProof/>
        <w:lang w:val="en-GB" w:eastAsia="en-GB"/>
      </w:rPr>
      <w:drawing>
        <wp:inline distT="0" distB="0" distL="0" distR="0" wp14:anchorId="411388CB" wp14:editId="2573A904">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C1DAA"/>
    <w:multiLevelType w:val="hybridMultilevel"/>
    <w:tmpl w:val="61E033DA"/>
    <w:lvl w:ilvl="0" w:tplc="F93AEBD6">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A96B76"/>
    <w:multiLevelType w:val="hybridMultilevel"/>
    <w:tmpl w:val="07EC269E"/>
    <w:lvl w:ilvl="0" w:tplc="F93AEBD6">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4661C3"/>
    <w:multiLevelType w:val="hybridMultilevel"/>
    <w:tmpl w:val="6BB20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61285"/>
    <w:multiLevelType w:val="hybridMultilevel"/>
    <w:tmpl w:val="5602F164"/>
    <w:lvl w:ilvl="0" w:tplc="CA14E2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DBA7117"/>
    <w:multiLevelType w:val="hybridMultilevel"/>
    <w:tmpl w:val="96166606"/>
    <w:lvl w:ilvl="0" w:tplc="CA14E2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FB3FCE"/>
    <w:multiLevelType w:val="hybridMultilevel"/>
    <w:tmpl w:val="19986000"/>
    <w:lvl w:ilvl="0" w:tplc="CA14E2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ACD6512"/>
    <w:multiLevelType w:val="hybridMultilevel"/>
    <w:tmpl w:val="86363BAE"/>
    <w:lvl w:ilvl="0" w:tplc="CA14E2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E17"/>
    <w:rsid w:val="00082AC8"/>
    <w:rsid w:val="00097608"/>
    <w:rsid w:val="001744E5"/>
    <w:rsid w:val="001D0DE8"/>
    <w:rsid w:val="001E355A"/>
    <w:rsid w:val="0021482F"/>
    <w:rsid w:val="002835BC"/>
    <w:rsid w:val="002E6B37"/>
    <w:rsid w:val="00315CBE"/>
    <w:rsid w:val="0032053E"/>
    <w:rsid w:val="00350111"/>
    <w:rsid w:val="003677E0"/>
    <w:rsid w:val="003F7C95"/>
    <w:rsid w:val="004469A1"/>
    <w:rsid w:val="00487E17"/>
    <w:rsid w:val="004B63F4"/>
    <w:rsid w:val="004F4E9C"/>
    <w:rsid w:val="00531172"/>
    <w:rsid w:val="00582D67"/>
    <w:rsid w:val="00607833"/>
    <w:rsid w:val="00675480"/>
    <w:rsid w:val="0069654A"/>
    <w:rsid w:val="00745CDA"/>
    <w:rsid w:val="00813EAA"/>
    <w:rsid w:val="008B6983"/>
    <w:rsid w:val="0097489E"/>
    <w:rsid w:val="00A17E73"/>
    <w:rsid w:val="00A24CA7"/>
    <w:rsid w:val="00AE153B"/>
    <w:rsid w:val="00B216F0"/>
    <w:rsid w:val="00B51206"/>
    <w:rsid w:val="00C85D41"/>
    <w:rsid w:val="00CB51F1"/>
    <w:rsid w:val="00CB65B2"/>
    <w:rsid w:val="00CE6421"/>
    <w:rsid w:val="00D40F4E"/>
    <w:rsid w:val="00D8561B"/>
    <w:rsid w:val="00DA32F1"/>
    <w:rsid w:val="00DA4B6A"/>
    <w:rsid w:val="00DD6379"/>
    <w:rsid w:val="00E123C1"/>
    <w:rsid w:val="00E50C7C"/>
    <w:rsid w:val="00E672C2"/>
    <w:rsid w:val="00EC13C1"/>
    <w:rsid w:val="00F2242F"/>
    <w:rsid w:val="00F97C5C"/>
    <w:rsid w:val="00FA3AA8"/>
    <w:rsid w:val="00FA71BD"/>
    <w:rsid w:val="00FD55BE"/>
    <w:rsid w:val="00FF4E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C0BAE"/>
  <w15:docId w15:val="{534B335F-E5C1-4BAD-8F78-FAAF1F2E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5C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CDA"/>
  </w:style>
  <w:style w:type="paragraph" w:styleId="Footer">
    <w:name w:val="footer"/>
    <w:basedOn w:val="Normal"/>
    <w:link w:val="FooterChar"/>
    <w:uiPriority w:val="99"/>
    <w:unhideWhenUsed/>
    <w:rsid w:val="00745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CDA"/>
  </w:style>
  <w:style w:type="paragraph" w:styleId="BalloonText">
    <w:name w:val="Balloon Text"/>
    <w:basedOn w:val="Normal"/>
    <w:link w:val="BalloonTextChar"/>
    <w:uiPriority w:val="99"/>
    <w:semiHidden/>
    <w:unhideWhenUsed/>
    <w:rsid w:val="00745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CDA"/>
    <w:rPr>
      <w:rFonts w:ascii="Tahoma" w:hAnsi="Tahoma" w:cs="Tahoma"/>
      <w:sz w:val="16"/>
      <w:szCs w:val="16"/>
    </w:rPr>
  </w:style>
  <w:style w:type="paragraph" w:styleId="FootnoteText">
    <w:name w:val="footnote text"/>
    <w:basedOn w:val="Normal"/>
    <w:link w:val="FootnoteTextChar"/>
    <w:uiPriority w:val="99"/>
    <w:semiHidden/>
    <w:unhideWhenUsed/>
    <w:rsid w:val="00CB6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65B2"/>
    <w:rPr>
      <w:sz w:val="20"/>
      <w:szCs w:val="20"/>
    </w:rPr>
  </w:style>
  <w:style w:type="character" w:styleId="FootnoteReference">
    <w:name w:val="footnote reference"/>
    <w:basedOn w:val="DefaultParagraphFont"/>
    <w:uiPriority w:val="99"/>
    <w:semiHidden/>
    <w:unhideWhenUsed/>
    <w:rsid w:val="00CB65B2"/>
    <w:rPr>
      <w:vertAlign w:val="superscript"/>
    </w:rPr>
  </w:style>
  <w:style w:type="character" w:styleId="Hyperlink">
    <w:name w:val="Hyperlink"/>
    <w:basedOn w:val="DefaultParagraphFont"/>
    <w:uiPriority w:val="99"/>
    <w:unhideWhenUsed/>
    <w:rsid w:val="00E672C2"/>
    <w:rPr>
      <w:color w:val="0000FF" w:themeColor="hyperlink"/>
      <w:u w:val="single"/>
    </w:rPr>
  </w:style>
  <w:style w:type="paragraph" w:styleId="ListParagraph">
    <w:name w:val="List Paragraph"/>
    <w:basedOn w:val="Normal"/>
    <w:uiPriority w:val="34"/>
    <w:qFormat/>
    <w:rsid w:val="00AE15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it.ly/3c4giqQ" TargetMode="External"/><Relationship Id="rId7" Type="http://schemas.openxmlformats.org/officeDocument/2006/relationships/hyperlink" Target="https://bit.ly/3PpX0tD" TargetMode="External"/><Relationship Id="rId2" Type="http://schemas.openxmlformats.org/officeDocument/2006/relationships/hyperlink" Target="https://bit.ly/3AqGJjA" TargetMode="External"/><Relationship Id="rId1" Type="http://schemas.openxmlformats.org/officeDocument/2006/relationships/hyperlink" Target="https://bit.ly/3zYOEU8" TargetMode="External"/><Relationship Id="rId6" Type="http://schemas.openxmlformats.org/officeDocument/2006/relationships/hyperlink" Target="https://bit.ly/3dFEfoV" TargetMode="External"/><Relationship Id="rId5" Type="http://schemas.openxmlformats.org/officeDocument/2006/relationships/hyperlink" Target="https://bit.ly/3ApC8yj" TargetMode="External"/><Relationship Id="rId4" Type="http://schemas.openxmlformats.org/officeDocument/2006/relationships/hyperlink" Target="https://bit.ly/3A58VH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80FAEF-7451-4189-9ED1-8F36886BD895}">
  <ds:schemaRefs>
    <ds:schemaRef ds:uri="http://schemas.openxmlformats.org/officeDocument/2006/bibliography"/>
  </ds:schemaRefs>
</ds:datastoreItem>
</file>

<file path=customXml/itemProps2.xml><?xml version="1.0" encoding="utf-8"?>
<ds:datastoreItem xmlns:ds="http://schemas.openxmlformats.org/officeDocument/2006/customXml" ds:itemID="{F3534689-622F-4F64-918A-217E43BBCB49}"/>
</file>

<file path=customXml/itemProps3.xml><?xml version="1.0" encoding="utf-8"?>
<ds:datastoreItem xmlns:ds="http://schemas.openxmlformats.org/officeDocument/2006/customXml" ds:itemID="{6E899C0D-AE60-483A-9A24-173A98D2C798}"/>
</file>

<file path=customXml/itemProps4.xml><?xml version="1.0" encoding="utf-8"?>
<ds:datastoreItem xmlns:ds="http://schemas.openxmlformats.org/officeDocument/2006/customXml" ds:itemID="{96A09C05-3295-4D98-BF4D-1A856926F64C}"/>
</file>

<file path=docProps/app.xml><?xml version="1.0" encoding="utf-8"?>
<Properties xmlns="http://schemas.openxmlformats.org/officeDocument/2006/extended-properties" xmlns:vt="http://schemas.openxmlformats.org/officeDocument/2006/docPropsVTypes">
  <Template>Normal.dotm</Template>
  <TotalTime>0</TotalTime>
  <Pages>5</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REYNAUD Céline</cp:lastModifiedBy>
  <cp:revision>2</cp:revision>
  <dcterms:created xsi:type="dcterms:W3CDTF">2022-08-30T14:08:00Z</dcterms:created>
  <dcterms:modified xsi:type="dcterms:W3CDTF">2022-08-30T14:08:00Z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