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1D96C" w14:textId="27D0EC1D" w:rsidR="00525490" w:rsidRPr="00B838EF" w:rsidRDefault="00B838EF" w:rsidP="00124E0C">
      <w:pPr>
        <w:pStyle w:val="BFrontcovermaintitle"/>
        <w:rPr>
          <w:shd w:val="clear" w:color="auto" w:fill="FFFF00"/>
        </w:rPr>
      </w:pPr>
      <w:r>
        <w:rPr>
          <w:shd w:val="clear" w:color="auto" w:fill="FFFF00"/>
        </w:rPr>
        <w:t xml:space="preserve"> </w:t>
      </w:r>
      <w:r w:rsidR="00F20B40">
        <w:rPr>
          <w:shd w:val="clear" w:color="auto" w:fill="FFFF00"/>
        </w:rPr>
        <w:t>ARGENTINA</w:t>
      </w:r>
    </w:p>
    <w:p w14:paraId="092ADB06" w14:textId="77777777" w:rsidR="00750845" w:rsidRPr="00750845" w:rsidRDefault="00750845" w:rsidP="00750845">
      <w:pPr>
        <w:rPr>
          <w:rFonts w:ascii="Amnesty Trade Gothic Cn" w:eastAsiaTheme="minorEastAsia" w:hAnsi="Amnesty Trade Gothic Cn"/>
          <w:bCs/>
          <w:caps/>
          <w:sz w:val="44"/>
          <w:szCs w:val="44"/>
        </w:rPr>
      </w:pPr>
      <w:r w:rsidRPr="00750845">
        <w:rPr>
          <w:rFonts w:ascii="Amnesty Trade Gothic Cn" w:eastAsiaTheme="minorEastAsia" w:hAnsi="Amnesty Trade Gothic Cn"/>
          <w:bCs/>
          <w:caps/>
          <w:sz w:val="44"/>
          <w:szCs w:val="44"/>
        </w:rPr>
        <w:t>INFORME para el Comité para la Eliminación de la Discriminación contra la Mujer</w:t>
      </w:r>
    </w:p>
    <w:p w14:paraId="4C2124C2" w14:textId="77777777" w:rsidR="00750845" w:rsidRPr="00750845" w:rsidRDefault="00750845" w:rsidP="00750845">
      <w:pPr>
        <w:rPr>
          <w:rFonts w:ascii="Amnesty Trade Gothic Cn" w:eastAsiaTheme="minorEastAsia" w:hAnsi="Amnesty Trade Gothic Cn"/>
          <w:bCs/>
          <w:caps/>
          <w:sz w:val="44"/>
          <w:szCs w:val="44"/>
          <w:lang w:val="es-AR"/>
        </w:rPr>
      </w:pPr>
      <w:r w:rsidRPr="00750845">
        <w:rPr>
          <w:rFonts w:ascii="Amnesty Trade Gothic Cn" w:eastAsiaTheme="minorEastAsia" w:hAnsi="Amnesty Trade Gothic Cn"/>
          <w:bCs/>
          <w:caps/>
          <w:sz w:val="44"/>
          <w:szCs w:val="44"/>
          <w:lang w:val="es-AR"/>
        </w:rPr>
        <w:t>92° periodo de sesiones del grupo de trabajo, 2 al 20 de febrero 2026</w:t>
      </w:r>
    </w:p>
    <w:p w14:paraId="459641EC" w14:textId="77777777" w:rsidR="00065FFC" w:rsidRPr="00750845" w:rsidRDefault="00065FFC" w:rsidP="00B0223B">
      <w:pPr>
        <w:rPr>
          <w:lang w:val="es-AR"/>
        </w:rPr>
      </w:pPr>
    </w:p>
    <w:p w14:paraId="306BCFC7" w14:textId="34E7FE8E" w:rsidR="00065FFC" w:rsidRDefault="00AA3692" w:rsidP="00B0223B">
      <w:r w:rsidRPr="001C750C">
        <w:rPr>
          <w:rStyle w:val="BBodyTextChar"/>
          <w:sz w:val="56"/>
          <w:szCs w:val="56"/>
          <w:lang w:val="es-AR"/>
        </w:rPr>
        <w:t xml:space="preserve"> </w:t>
      </w:r>
      <w:r w:rsidRPr="00823FD3">
        <w:rPr>
          <w:rStyle w:val="PageNumber"/>
          <w:noProof/>
          <w:sz w:val="56"/>
          <w:szCs w:val="56"/>
          <w:lang w:val="en-US"/>
        </w:rPr>
        <w:drawing>
          <wp:anchor distT="0" distB="144145" distL="114300" distR="114300" simplePos="0" relativeHeight="251658249" behindDoc="0" locked="1" layoutInCell="1" allowOverlap="1" wp14:anchorId="77831699" wp14:editId="07FFB47D">
            <wp:simplePos x="0" y="0"/>
            <wp:positionH relativeFrom="margin">
              <wp:align>center</wp:align>
            </wp:positionH>
            <wp:positionV relativeFrom="margin">
              <wp:posOffset>2590165</wp:posOffset>
            </wp:positionV>
            <wp:extent cx="2685415" cy="4525010"/>
            <wp:effectExtent l="0" t="0" r="635" b="8890"/>
            <wp:wrapNone/>
            <wp:docPr id="1439139957"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Default="00065FFC" w:rsidP="00065FFC">
      <w:pPr>
        <w:pStyle w:val="BContentsheading"/>
      </w:pPr>
      <w:r>
        <w:lastRenderedPageBreak/>
        <w:t>Índice</w:t>
      </w:r>
    </w:p>
    <w:sdt>
      <w:sdtPr>
        <w:rPr>
          <w:rFonts w:ascii="Amnesty Trade Gothic Light" w:eastAsiaTheme="minorHAnsi" w:hAnsi="Amnesty Trade Gothic Light" w:cs="Arial"/>
          <w:color w:val="000000" w:themeColor="text1"/>
          <w:sz w:val="20"/>
          <w:szCs w:val="20"/>
        </w:rPr>
        <w:id w:val="1466389523"/>
        <w:docPartObj>
          <w:docPartGallery w:val="Table of Contents"/>
          <w:docPartUnique/>
        </w:docPartObj>
      </w:sdtPr>
      <w:sdtEndPr>
        <w:rPr>
          <w:b/>
          <w:bCs/>
          <w:noProof/>
        </w:rPr>
      </w:sdtEndPr>
      <w:sdtContent>
        <w:p w14:paraId="30B337AA" w14:textId="20604636" w:rsidR="00B33F9E" w:rsidRDefault="00B33F9E">
          <w:pPr>
            <w:pStyle w:val="TOCHeading"/>
          </w:pPr>
        </w:p>
        <w:p w14:paraId="1D69C5CA" w14:textId="3A19A23D"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r>
            <w:fldChar w:fldCharType="begin"/>
          </w:r>
          <w:r>
            <w:instrText xml:space="preserve"> TOC \o "1-3" \h \z \u </w:instrText>
          </w:r>
          <w:r>
            <w:fldChar w:fldCharType="separate"/>
          </w:r>
          <w:hyperlink w:anchor="_Toc216368329" w:history="1">
            <w:r w:rsidRPr="00674833">
              <w:rPr>
                <w:rStyle w:val="Hyperlink"/>
              </w:rPr>
              <w:t>1.</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rPr>
              <w:t>IntrodUcción</w:t>
            </w:r>
            <w:r>
              <w:rPr>
                <w:webHidden/>
              </w:rPr>
              <w:tab/>
            </w:r>
            <w:r>
              <w:rPr>
                <w:webHidden/>
              </w:rPr>
              <w:fldChar w:fldCharType="begin"/>
            </w:r>
            <w:r>
              <w:rPr>
                <w:webHidden/>
              </w:rPr>
              <w:instrText xml:space="preserve"> PAGEREF _Toc216368329 \h </w:instrText>
            </w:r>
            <w:r>
              <w:rPr>
                <w:webHidden/>
              </w:rPr>
            </w:r>
            <w:r>
              <w:rPr>
                <w:webHidden/>
              </w:rPr>
              <w:fldChar w:fldCharType="separate"/>
            </w:r>
            <w:r w:rsidR="001048F8">
              <w:rPr>
                <w:webHidden/>
              </w:rPr>
              <w:t>3</w:t>
            </w:r>
            <w:r>
              <w:rPr>
                <w:webHidden/>
              </w:rPr>
              <w:fldChar w:fldCharType="end"/>
            </w:r>
          </w:hyperlink>
        </w:p>
        <w:p w14:paraId="7DD59698" w14:textId="4918D42D" w:rsidR="00B33F9E" w:rsidRDefault="00B33F9E">
          <w:pPr>
            <w:pStyle w:val="TOC2"/>
            <w:rPr>
              <w:rFonts w:asciiTheme="minorHAnsi" w:eastAsiaTheme="minorEastAsia" w:hAnsiTheme="minorHAnsi" w:cstheme="minorBidi"/>
              <w:bCs w:val="0"/>
              <w:kern w:val="2"/>
              <w:sz w:val="24"/>
              <w:u w:val="none"/>
              <w:lang w:val="en-GB"/>
              <w14:ligatures w14:val="standardContextual"/>
            </w:rPr>
          </w:pPr>
          <w:hyperlink w:anchor="_Toc216368330" w:history="1">
            <w:r w:rsidRPr="00674833">
              <w:rPr>
                <w:rStyle w:val="Hyperlink"/>
                <w:lang w:val="es-AR"/>
              </w:rPr>
              <w:t>1.1</w:t>
            </w:r>
            <w:r>
              <w:rPr>
                <w:rFonts w:asciiTheme="minorHAnsi" w:eastAsiaTheme="minorEastAsia" w:hAnsiTheme="minorHAnsi" w:cstheme="minorBidi"/>
                <w:bCs w:val="0"/>
                <w:kern w:val="2"/>
                <w:sz w:val="24"/>
                <w:u w:val="none"/>
                <w:lang w:val="en-GB"/>
                <w14:ligatures w14:val="standardContextual"/>
              </w:rPr>
              <w:tab/>
            </w:r>
            <w:r w:rsidRPr="00674833">
              <w:rPr>
                <w:rStyle w:val="Hyperlink"/>
                <w:lang w:val="es-AR"/>
              </w:rPr>
              <w:t>INFORMACIÓN DE CONTEXTO</w:t>
            </w:r>
            <w:r>
              <w:rPr>
                <w:webHidden/>
              </w:rPr>
              <w:tab/>
            </w:r>
            <w:r>
              <w:rPr>
                <w:webHidden/>
              </w:rPr>
              <w:fldChar w:fldCharType="begin"/>
            </w:r>
            <w:r>
              <w:rPr>
                <w:webHidden/>
              </w:rPr>
              <w:instrText xml:space="preserve"> PAGEREF _Toc216368330 \h </w:instrText>
            </w:r>
            <w:r>
              <w:rPr>
                <w:webHidden/>
              </w:rPr>
            </w:r>
            <w:r>
              <w:rPr>
                <w:webHidden/>
              </w:rPr>
              <w:fldChar w:fldCharType="separate"/>
            </w:r>
            <w:r w:rsidR="001048F8">
              <w:rPr>
                <w:webHidden/>
              </w:rPr>
              <w:t>3</w:t>
            </w:r>
            <w:r>
              <w:rPr>
                <w:webHidden/>
              </w:rPr>
              <w:fldChar w:fldCharType="end"/>
            </w:r>
          </w:hyperlink>
        </w:p>
        <w:p w14:paraId="05FF389D" w14:textId="40571D01"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1" w:history="1">
            <w:r w:rsidRPr="00674833">
              <w:rPr>
                <w:rStyle w:val="Hyperlink"/>
                <w:lang w:val="es-AR"/>
              </w:rPr>
              <w:t>2.</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Educación Sexual Integral</w:t>
            </w:r>
            <w:r>
              <w:rPr>
                <w:webHidden/>
              </w:rPr>
              <w:tab/>
            </w:r>
            <w:r>
              <w:rPr>
                <w:webHidden/>
              </w:rPr>
              <w:fldChar w:fldCharType="begin"/>
            </w:r>
            <w:r>
              <w:rPr>
                <w:webHidden/>
              </w:rPr>
              <w:instrText xml:space="preserve"> PAGEREF _Toc216368331 \h </w:instrText>
            </w:r>
            <w:r>
              <w:rPr>
                <w:webHidden/>
              </w:rPr>
            </w:r>
            <w:r>
              <w:rPr>
                <w:webHidden/>
              </w:rPr>
              <w:fldChar w:fldCharType="separate"/>
            </w:r>
            <w:r w:rsidR="001048F8">
              <w:rPr>
                <w:webHidden/>
              </w:rPr>
              <w:t>3</w:t>
            </w:r>
            <w:r>
              <w:rPr>
                <w:webHidden/>
              </w:rPr>
              <w:fldChar w:fldCharType="end"/>
            </w:r>
          </w:hyperlink>
        </w:p>
        <w:p w14:paraId="2B2B8806" w14:textId="5451A4ED"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2" w:history="1">
            <w:r w:rsidRPr="00674833">
              <w:rPr>
                <w:rStyle w:val="Hyperlink"/>
                <w:lang w:val="es-AR"/>
              </w:rPr>
              <w:t>3.</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Embarazo no intencional en la adolescencia</w:t>
            </w:r>
            <w:r>
              <w:rPr>
                <w:webHidden/>
              </w:rPr>
              <w:tab/>
            </w:r>
            <w:r>
              <w:rPr>
                <w:webHidden/>
              </w:rPr>
              <w:fldChar w:fldCharType="begin"/>
            </w:r>
            <w:r>
              <w:rPr>
                <w:webHidden/>
              </w:rPr>
              <w:instrText xml:space="preserve"> PAGEREF _Toc216368332 \h </w:instrText>
            </w:r>
            <w:r>
              <w:rPr>
                <w:webHidden/>
              </w:rPr>
            </w:r>
            <w:r>
              <w:rPr>
                <w:webHidden/>
              </w:rPr>
              <w:fldChar w:fldCharType="separate"/>
            </w:r>
            <w:r w:rsidR="001048F8">
              <w:rPr>
                <w:webHidden/>
              </w:rPr>
              <w:t>4</w:t>
            </w:r>
            <w:r>
              <w:rPr>
                <w:webHidden/>
              </w:rPr>
              <w:fldChar w:fldCharType="end"/>
            </w:r>
          </w:hyperlink>
        </w:p>
        <w:p w14:paraId="400E0F5E" w14:textId="7E7C6457"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3" w:history="1">
            <w:r w:rsidRPr="00674833">
              <w:rPr>
                <w:rStyle w:val="Hyperlink"/>
                <w:lang w:val="es-AR"/>
              </w:rPr>
              <w:t>4.</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Aborto legal</w:t>
            </w:r>
            <w:r>
              <w:rPr>
                <w:webHidden/>
              </w:rPr>
              <w:tab/>
            </w:r>
            <w:r>
              <w:rPr>
                <w:webHidden/>
              </w:rPr>
              <w:fldChar w:fldCharType="begin"/>
            </w:r>
            <w:r>
              <w:rPr>
                <w:webHidden/>
              </w:rPr>
              <w:instrText xml:space="preserve"> PAGEREF _Toc216368333 \h </w:instrText>
            </w:r>
            <w:r>
              <w:rPr>
                <w:webHidden/>
              </w:rPr>
            </w:r>
            <w:r>
              <w:rPr>
                <w:webHidden/>
              </w:rPr>
              <w:fldChar w:fldCharType="separate"/>
            </w:r>
            <w:r w:rsidR="001048F8">
              <w:rPr>
                <w:webHidden/>
              </w:rPr>
              <w:t>4</w:t>
            </w:r>
            <w:r>
              <w:rPr>
                <w:webHidden/>
              </w:rPr>
              <w:fldChar w:fldCharType="end"/>
            </w:r>
          </w:hyperlink>
        </w:p>
        <w:p w14:paraId="76706409" w14:textId="12925EA8"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4" w:history="1">
            <w:r w:rsidRPr="00674833">
              <w:rPr>
                <w:rStyle w:val="Hyperlink"/>
                <w:lang w:val="es-AR"/>
              </w:rPr>
              <w:t>5.</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Violencia de género</w:t>
            </w:r>
            <w:r>
              <w:rPr>
                <w:webHidden/>
              </w:rPr>
              <w:tab/>
            </w:r>
            <w:r>
              <w:rPr>
                <w:webHidden/>
              </w:rPr>
              <w:fldChar w:fldCharType="begin"/>
            </w:r>
            <w:r>
              <w:rPr>
                <w:webHidden/>
              </w:rPr>
              <w:instrText xml:space="preserve"> PAGEREF _Toc216368334 \h </w:instrText>
            </w:r>
            <w:r>
              <w:rPr>
                <w:webHidden/>
              </w:rPr>
            </w:r>
            <w:r>
              <w:rPr>
                <w:webHidden/>
              </w:rPr>
              <w:fldChar w:fldCharType="separate"/>
            </w:r>
            <w:r w:rsidR="001048F8">
              <w:rPr>
                <w:webHidden/>
              </w:rPr>
              <w:t>5</w:t>
            </w:r>
            <w:r>
              <w:rPr>
                <w:webHidden/>
              </w:rPr>
              <w:fldChar w:fldCharType="end"/>
            </w:r>
          </w:hyperlink>
        </w:p>
        <w:p w14:paraId="50BA93C5" w14:textId="5E01548F"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5" w:history="1">
            <w:r w:rsidRPr="00674833">
              <w:rPr>
                <w:rStyle w:val="Hyperlink"/>
                <w:lang w:val="es-AR"/>
              </w:rPr>
              <w:t>6.</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Violencia por orientación sexual e identidad de género</w:t>
            </w:r>
            <w:r>
              <w:rPr>
                <w:webHidden/>
              </w:rPr>
              <w:tab/>
            </w:r>
            <w:r>
              <w:rPr>
                <w:webHidden/>
              </w:rPr>
              <w:fldChar w:fldCharType="begin"/>
            </w:r>
            <w:r>
              <w:rPr>
                <w:webHidden/>
              </w:rPr>
              <w:instrText xml:space="preserve"> PAGEREF _Toc216368335 \h </w:instrText>
            </w:r>
            <w:r>
              <w:rPr>
                <w:webHidden/>
              </w:rPr>
            </w:r>
            <w:r>
              <w:rPr>
                <w:webHidden/>
              </w:rPr>
              <w:fldChar w:fldCharType="separate"/>
            </w:r>
            <w:r w:rsidR="001048F8">
              <w:rPr>
                <w:webHidden/>
              </w:rPr>
              <w:t>6</w:t>
            </w:r>
            <w:r>
              <w:rPr>
                <w:webHidden/>
              </w:rPr>
              <w:fldChar w:fldCharType="end"/>
            </w:r>
          </w:hyperlink>
        </w:p>
        <w:p w14:paraId="20C3D8FD" w14:textId="07624614"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6" w:history="1">
            <w:r w:rsidRPr="00674833">
              <w:rPr>
                <w:rStyle w:val="Hyperlink"/>
                <w:lang w:val="es-AR"/>
              </w:rPr>
              <w:t>7.</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Violencia de género online hacia periodistas</w:t>
            </w:r>
            <w:r>
              <w:rPr>
                <w:webHidden/>
              </w:rPr>
              <w:tab/>
            </w:r>
            <w:r>
              <w:rPr>
                <w:webHidden/>
              </w:rPr>
              <w:fldChar w:fldCharType="begin"/>
            </w:r>
            <w:r>
              <w:rPr>
                <w:webHidden/>
              </w:rPr>
              <w:instrText xml:space="preserve"> PAGEREF _Toc216368336 \h </w:instrText>
            </w:r>
            <w:r>
              <w:rPr>
                <w:webHidden/>
              </w:rPr>
            </w:r>
            <w:r>
              <w:rPr>
                <w:webHidden/>
              </w:rPr>
              <w:fldChar w:fldCharType="separate"/>
            </w:r>
            <w:r w:rsidR="001048F8">
              <w:rPr>
                <w:webHidden/>
              </w:rPr>
              <w:t>6</w:t>
            </w:r>
            <w:r>
              <w:rPr>
                <w:webHidden/>
              </w:rPr>
              <w:fldChar w:fldCharType="end"/>
            </w:r>
          </w:hyperlink>
        </w:p>
        <w:p w14:paraId="14683562" w14:textId="58E921A4"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7" w:history="1">
            <w:r w:rsidRPr="00674833">
              <w:rPr>
                <w:rStyle w:val="Hyperlink"/>
                <w:lang w:val="es-AR"/>
              </w:rPr>
              <w:t>8.</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Participación en la vida política y pública</w:t>
            </w:r>
            <w:r>
              <w:rPr>
                <w:webHidden/>
              </w:rPr>
              <w:tab/>
            </w:r>
            <w:r>
              <w:rPr>
                <w:webHidden/>
              </w:rPr>
              <w:fldChar w:fldCharType="begin"/>
            </w:r>
            <w:r>
              <w:rPr>
                <w:webHidden/>
              </w:rPr>
              <w:instrText xml:space="preserve"> PAGEREF _Toc216368337 \h </w:instrText>
            </w:r>
            <w:r>
              <w:rPr>
                <w:webHidden/>
              </w:rPr>
            </w:r>
            <w:r>
              <w:rPr>
                <w:webHidden/>
              </w:rPr>
              <w:fldChar w:fldCharType="separate"/>
            </w:r>
            <w:r w:rsidR="001048F8">
              <w:rPr>
                <w:webHidden/>
              </w:rPr>
              <w:t>7</w:t>
            </w:r>
            <w:r>
              <w:rPr>
                <w:webHidden/>
              </w:rPr>
              <w:fldChar w:fldCharType="end"/>
            </w:r>
          </w:hyperlink>
        </w:p>
        <w:p w14:paraId="7CD4B169" w14:textId="13FD3D82" w:rsidR="00B33F9E" w:rsidRDefault="00B33F9E">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368338" w:history="1">
            <w:r w:rsidRPr="00674833">
              <w:rPr>
                <w:rStyle w:val="Hyperlink"/>
                <w:lang w:val="es-AR"/>
              </w:rPr>
              <w:t>9.</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74833">
              <w:rPr>
                <w:rStyle w:val="Hyperlink"/>
                <w:lang w:val="es-AR"/>
              </w:rPr>
              <w:t>Recomendaciones</w:t>
            </w:r>
            <w:r>
              <w:rPr>
                <w:webHidden/>
              </w:rPr>
              <w:tab/>
            </w:r>
            <w:r>
              <w:rPr>
                <w:webHidden/>
              </w:rPr>
              <w:fldChar w:fldCharType="begin"/>
            </w:r>
            <w:r>
              <w:rPr>
                <w:webHidden/>
              </w:rPr>
              <w:instrText xml:space="preserve"> PAGEREF _Toc216368338 \h </w:instrText>
            </w:r>
            <w:r>
              <w:rPr>
                <w:webHidden/>
              </w:rPr>
            </w:r>
            <w:r>
              <w:rPr>
                <w:webHidden/>
              </w:rPr>
              <w:fldChar w:fldCharType="separate"/>
            </w:r>
            <w:r w:rsidR="001048F8">
              <w:rPr>
                <w:webHidden/>
              </w:rPr>
              <w:t>7</w:t>
            </w:r>
            <w:r>
              <w:rPr>
                <w:webHidden/>
              </w:rPr>
              <w:fldChar w:fldCharType="end"/>
            </w:r>
          </w:hyperlink>
        </w:p>
        <w:p w14:paraId="666B42FB" w14:textId="06A70DEC" w:rsidR="00B33F9E" w:rsidRDefault="00B33F9E">
          <w:r>
            <w:rPr>
              <w:b/>
              <w:bCs/>
              <w:noProof/>
            </w:rPr>
            <w:fldChar w:fldCharType="end"/>
          </w:r>
        </w:p>
      </w:sdtContent>
    </w:sdt>
    <w:p w14:paraId="7A995A44" w14:textId="69F9B677" w:rsidR="00AA3692" w:rsidRDefault="00AA3692" w:rsidP="001153D5">
      <w:pPr>
        <w:pStyle w:val="BBodyText"/>
      </w:pPr>
    </w:p>
    <w:p w14:paraId="01008DC7" w14:textId="77777777" w:rsidR="00B448CE" w:rsidRPr="00B448CE" w:rsidRDefault="00B448CE" w:rsidP="00B448CE"/>
    <w:p w14:paraId="2D2D4563" w14:textId="77777777" w:rsidR="00B448CE" w:rsidRPr="00B448CE" w:rsidRDefault="00B448CE" w:rsidP="00B448CE"/>
    <w:p w14:paraId="70025CD2" w14:textId="77777777" w:rsidR="00B448CE" w:rsidRPr="00B448CE" w:rsidRDefault="00B448CE" w:rsidP="00B448CE"/>
    <w:p w14:paraId="64934D7C" w14:textId="77777777" w:rsidR="00B448CE" w:rsidRPr="00B448CE" w:rsidRDefault="00B448CE" w:rsidP="00B448CE"/>
    <w:p w14:paraId="4F2E2A6E" w14:textId="77777777" w:rsidR="00B448CE" w:rsidRPr="00B448CE" w:rsidRDefault="00B448CE" w:rsidP="00B448CE"/>
    <w:p w14:paraId="68DA37CE" w14:textId="77777777" w:rsidR="00B448CE" w:rsidRDefault="00B448CE" w:rsidP="00B448CE">
      <w:pPr>
        <w:rPr>
          <w:bCs/>
          <w:color w:val="auto"/>
          <w:sz w:val="21"/>
          <w:szCs w:val="24"/>
        </w:rPr>
      </w:pPr>
    </w:p>
    <w:p w14:paraId="718A6003" w14:textId="77777777" w:rsidR="00B448CE" w:rsidRDefault="00B448CE" w:rsidP="00B448CE">
      <w:pPr>
        <w:jc w:val="center"/>
        <w:rPr>
          <w:bCs/>
          <w:color w:val="auto"/>
          <w:sz w:val="21"/>
          <w:szCs w:val="24"/>
        </w:rPr>
      </w:pPr>
    </w:p>
    <w:p w14:paraId="1F25DA57" w14:textId="2BD9ECFE" w:rsidR="00B448CE" w:rsidRPr="00B448CE" w:rsidRDefault="007F26F0" w:rsidP="00B448CE">
      <w:pPr>
        <w:tabs>
          <w:tab w:val="center" w:pos="4535"/>
        </w:tabs>
        <w:sectPr w:rsidR="00B448CE" w:rsidRPr="00B448CE" w:rsidSect="005755FD">
          <w:footerReference w:type="default" r:id="rId9"/>
          <w:footerReference w:type="first" r:id="rId10"/>
          <w:pgSz w:w="11906" w:h="16838" w:code="9"/>
          <w:pgMar w:top="1474" w:right="1418" w:bottom="1418" w:left="1418" w:header="709" w:footer="709" w:gutter="0"/>
          <w:cols w:space="708"/>
          <w:titlePg/>
          <w:docGrid w:linePitch="360"/>
        </w:sectPr>
      </w:pPr>
      <w:r>
        <w:rPr>
          <w:noProof/>
        </w:rPr>
        <mc:AlternateContent>
          <mc:Choice Requires="wps">
            <w:drawing>
              <wp:anchor distT="45720" distB="45720" distL="114300" distR="114300" simplePos="0" relativeHeight="251658248" behindDoc="0" locked="0" layoutInCell="1" allowOverlap="1" wp14:anchorId="468B0429" wp14:editId="6265861E">
                <wp:simplePos x="0" y="0"/>
                <wp:positionH relativeFrom="margin">
                  <wp:align>right</wp:align>
                </wp:positionH>
                <wp:positionV relativeFrom="paragraph">
                  <wp:posOffset>649605</wp:posOffset>
                </wp:positionV>
                <wp:extent cx="3305175" cy="1409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1409700"/>
                        </a:xfrm>
                        <a:prstGeom prst="rect">
                          <a:avLst/>
                        </a:prstGeom>
                        <a:solidFill>
                          <a:srgbClr val="FFFFFF"/>
                        </a:solidFill>
                        <a:ln w="9525">
                          <a:solidFill>
                            <a:srgbClr val="000000"/>
                          </a:solidFill>
                          <a:miter lim="800000"/>
                          <a:headEnd/>
                          <a:tailEnd/>
                        </a:ln>
                      </wps:spPr>
                      <wps:txbx>
                        <w:txbxContent>
                          <w:p w14:paraId="3CACF3D6" w14:textId="0875BF1A" w:rsidR="00B448CE" w:rsidRPr="0014389E" w:rsidRDefault="00B448CE" w:rsidP="00B448CE">
                            <w:pPr>
                              <w:rPr>
                                <w:rFonts w:ascii="Amnesty Trade Gothic" w:hAnsi="Amnesty Trade Gothic"/>
                                <w:sz w:val="22"/>
                                <w:szCs w:val="22"/>
                                <w:lang w:val="es-AR"/>
                              </w:rPr>
                            </w:pPr>
                            <w:r w:rsidRPr="0014389E">
                              <w:rPr>
                                <w:rFonts w:ascii="Amnesty Trade Gothic" w:hAnsi="Amnesty Trade Gothic"/>
                                <w:sz w:val="22"/>
                                <w:szCs w:val="22"/>
                                <w:lang w:val="es-AR"/>
                              </w:rPr>
                              <w:t>Amnistía Internacional acerca al Comité el siguiente informe ante el examen del octavo informe periódico del Estado argentino. El presente documento tiene en cuenta la presentación realizada por la organización en 2023 ante la adopción de las cuestiones previas al informe periódico del Estado argentino.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8B0429" id="_x0000_t202" coordsize="21600,21600" o:spt="202" path="m,l,21600r21600,l21600,xe">
                <v:stroke joinstyle="miter"/>
                <v:path gradientshapeok="t" o:connecttype="rect"/>
              </v:shapetype>
              <v:shape id="Text Box 2" o:spid="_x0000_s1026" type="#_x0000_t202" style="position:absolute;margin-left:209.05pt;margin-top:51.15pt;width:260.25pt;height:111pt;z-index:2516582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">
                <v:textbox>
                  <w:txbxContent>
                    <w:p w14:paraId="3CACF3D6" w14:textId="0875BF1A" w:rsidR="00B448CE" w:rsidRPr="0014389E" w:rsidRDefault="00B448CE" w:rsidP="00B448CE">
                      <w:pPr>
                        <w:rPr>
                          <w:rFonts w:ascii="Amnesty Trade Gothic" w:hAnsi="Amnesty Trade Gothic"/>
                          <w:sz w:val="22"/>
                          <w:szCs w:val="22"/>
                          <w:lang w:val="es-AR"/>
                        </w:rPr>
                      </w:pPr>
                      <w:r w:rsidRPr="0014389E">
                        <w:rPr>
                          <w:rFonts w:ascii="Amnesty Trade Gothic" w:hAnsi="Amnesty Trade Gothic"/>
                          <w:sz w:val="22"/>
                          <w:szCs w:val="22"/>
                          <w:lang w:val="es-AR"/>
                        </w:rPr>
                        <w:t>Amnistía Internacional acerca al Comité el siguiente informe ante el examen del octavo informe periódico del Estado argentino. El presente documento tiene en cuenta la presentación realizada por la organización en 2023 ante la adopción de las cuestiones previas al informe periódico del Estado argentino.</w:t>
                      </w:r>
                    </w:p>
                  </w:txbxContent>
                </v:textbox>
                <w10:wrap type="square" anchorx="margin"/>
              </v:shape>
            </w:pict>
          </mc:Fallback>
        </mc:AlternateContent>
      </w:r>
      <w:r w:rsidR="00B448CE">
        <w:tab/>
      </w:r>
    </w:p>
    <w:p w14:paraId="3742287C" w14:textId="77777777" w:rsidR="007F26F0" w:rsidRDefault="007F26F0" w:rsidP="007F26F0">
      <w:pPr>
        <w:pStyle w:val="BNumberedHeading"/>
      </w:pPr>
      <w:bookmarkStart w:id="0" w:name="_Toc32181954"/>
      <w:bookmarkStart w:id="1" w:name="_Toc216368329"/>
      <w:r>
        <w:lastRenderedPageBreak/>
        <w:t>IntrodUcción</w:t>
      </w:r>
      <w:bookmarkEnd w:id="0"/>
      <w:bookmarkEnd w:id="1"/>
    </w:p>
    <w:p w14:paraId="0017DEC3" w14:textId="77777777" w:rsidR="007F26F0" w:rsidRDefault="007F26F0" w:rsidP="007F26F0">
      <w:pPr>
        <w:pStyle w:val="RTBodyText"/>
        <w:rPr>
          <w:sz w:val="20"/>
          <w:szCs w:val="20"/>
          <w:lang w:val="es-AR"/>
        </w:rPr>
      </w:pPr>
      <w:r w:rsidRPr="00906EE1">
        <w:rPr>
          <w:sz w:val="20"/>
          <w:szCs w:val="20"/>
          <w:lang w:val="es-AR"/>
        </w:rPr>
        <w:t>Amnistía Internacional acerca al Comité el siguiente informe ante el examen del octavo informe</w:t>
      </w:r>
      <w:r w:rsidRPr="00906EE1">
        <w:rPr>
          <w:rStyle w:val="FootnoteReference"/>
          <w:sz w:val="20"/>
          <w:szCs w:val="20"/>
          <w:lang w:val="es-AR"/>
        </w:rPr>
        <w:footnoteReference w:id="2"/>
      </w:r>
      <w:r w:rsidRPr="00906EE1">
        <w:rPr>
          <w:sz w:val="20"/>
          <w:szCs w:val="20"/>
          <w:lang w:val="es-AR"/>
        </w:rPr>
        <w:t xml:space="preserve"> periódico del Estado argentino. El presente documento tiene en cuenta la presentación realizada por la organización en 2023 ante la adopción de las cuestiones previas al informe periódico del Estado argentino.</w:t>
      </w:r>
      <w:r w:rsidRPr="00906EE1">
        <w:rPr>
          <w:rStyle w:val="FootnoteReference"/>
          <w:sz w:val="20"/>
          <w:szCs w:val="20"/>
          <w:lang w:val="es-AR"/>
        </w:rPr>
        <w:footnoteReference w:id="3"/>
      </w:r>
      <w:r w:rsidRPr="00906EE1">
        <w:rPr>
          <w:sz w:val="20"/>
          <w:szCs w:val="20"/>
          <w:lang w:val="es-AR"/>
        </w:rPr>
        <w:t xml:space="preserve"> </w:t>
      </w:r>
    </w:p>
    <w:p w14:paraId="5F9BE763" w14:textId="77777777" w:rsidR="00906EE1" w:rsidRPr="00906EE1" w:rsidRDefault="00906EE1" w:rsidP="007F26F0">
      <w:pPr>
        <w:pStyle w:val="RTBodyText"/>
        <w:rPr>
          <w:sz w:val="20"/>
          <w:szCs w:val="20"/>
          <w:lang w:val="es-AR"/>
        </w:rPr>
      </w:pPr>
    </w:p>
    <w:p w14:paraId="2EC99DC8" w14:textId="179F771D" w:rsidR="007F26F0" w:rsidRPr="0066686A" w:rsidRDefault="007F26F0" w:rsidP="007F26F0">
      <w:pPr>
        <w:pStyle w:val="BNumberedSubheading"/>
        <w:rPr>
          <w:lang w:val="es-AR"/>
        </w:rPr>
      </w:pPr>
      <w:bookmarkStart w:id="2" w:name="_Toc1250226628"/>
      <w:bookmarkStart w:id="3" w:name="_Toc216368330"/>
      <w:r w:rsidRPr="1CFD89D8">
        <w:rPr>
          <w:lang w:val="es-AR"/>
        </w:rPr>
        <w:t xml:space="preserve">INFORMACIÓN DE </w:t>
      </w:r>
      <w:r w:rsidRPr="7D51797D">
        <w:rPr>
          <w:lang w:val="es-AR"/>
        </w:rPr>
        <w:t>CONTEXTO</w:t>
      </w:r>
      <w:bookmarkEnd w:id="2"/>
      <w:bookmarkEnd w:id="3"/>
    </w:p>
    <w:p w14:paraId="07B6CB51" w14:textId="77777777" w:rsidR="007F26F0" w:rsidRPr="00906EE1" w:rsidRDefault="007F26F0" w:rsidP="007F26F0">
      <w:pPr>
        <w:pStyle w:val="RTBodyText"/>
        <w:rPr>
          <w:sz w:val="20"/>
          <w:szCs w:val="20"/>
          <w:lang w:val="es-AR"/>
        </w:rPr>
      </w:pPr>
      <w:r w:rsidRPr="00906EE1">
        <w:rPr>
          <w:sz w:val="20"/>
          <w:szCs w:val="20"/>
          <w:lang w:val="es-AR"/>
        </w:rPr>
        <w:t>El 10 de diciembre de 2023 asumió como presidente de Argentina Javier Milei. Desde su asunción, se han observados profundos retrocesos en los derechos de las mujeres, niñas y diversidades debido al desmantelamiento de políticas públicas específicas para la prevención y erradicación de la violencia de género y el acceso a los derechos sexuales y reproductivos, el desprestigio de las instituciones de género y el drástico recorte de presupuesto.</w:t>
      </w:r>
      <w:r w:rsidRPr="00906EE1">
        <w:rPr>
          <w:rStyle w:val="FootnoteReference"/>
          <w:sz w:val="20"/>
          <w:szCs w:val="20"/>
          <w:lang w:val="es-AR"/>
        </w:rPr>
        <w:footnoteReference w:id="4"/>
      </w:r>
      <w:r w:rsidRPr="00906EE1">
        <w:rPr>
          <w:sz w:val="20"/>
          <w:szCs w:val="20"/>
          <w:lang w:val="es-AR"/>
        </w:rPr>
        <w:t xml:space="preserve"> </w:t>
      </w:r>
    </w:p>
    <w:p w14:paraId="0AA29262" w14:textId="77777777" w:rsidR="007F26F0" w:rsidRPr="00906EE1" w:rsidDel="002D7A4B" w:rsidRDefault="007F26F0" w:rsidP="007F26F0">
      <w:pPr>
        <w:pStyle w:val="RTBodyText"/>
        <w:rPr>
          <w:sz w:val="20"/>
          <w:szCs w:val="20"/>
          <w:lang w:val="es-AR"/>
        </w:rPr>
      </w:pPr>
      <w:r w:rsidRPr="00906EE1">
        <w:rPr>
          <w:sz w:val="20"/>
          <w:szCs w:val="20"/>
          <w:lang w:val="es-AR"/>
        </w:rPr>
        <w:t>Por primera vez en cuatro décadas, Argentina carece de un organismo institucional con jerarquía nacional responsable de la prevención y el abordaje integral de la violencia de género.</w:t>
      </w:r>
      <w:r w:rsidRPr="00906EE1">
        <w:rPr>
          <w:rStyle w:val="FootnoteReference"/>
          <w:sz w:val="20"/>
          <w:szCs w:val="20"/>
          <w:lang w:val="es-AR"/>
        </w:rPr>
        <w:footnoteReference w:id="5"/>
      </w:r>
      <w:r w:rsidRPr="00906EE1">
        <w:rPr>
          <w:sz w:val="20"/>
          <w:szCs w:val="20"/>
          <w:lang w:val="es-AR"/>
        </w:rPr>
        <w:t xml:space="preserve">  </w:t>
      </w:r>
    </w:p>
    <w:p w14:paraId="19D676AC" w14:textId="77777777" w:rsidR="007F26F0" w:rsidRPr="0066686A" w:rsidRDefault="007F26F0" w:rsidP="007F26F0">
      <w:pPr>
        <w:pStyle w:val="BNumberedHeading"/>
        <w:rPr>
          <w:lang w:val="es-AR"/>
        </w:rPr>
      </w:pPr>
      <w:bookmarkStart w:id="4" w:name="_Toc1211703085"/>
      <w:bookmarkStart w:id="5" w:name="_Toc216368331"/>
      <w:r w:rsidRPr="1CFD89D8">
        <w:rPr>
          <w:lang w:val="es-AR"/>
        </w:rPr>
        <w:t>Educación Sexual Integral</w:t>
      </w:r>
      <w:bookmarkEnd w:id="4"/>
      <w:bookmarkEnd w:id="5"/>
    </w:p>
    <w:p w14:paraId="53935962" w14:textId="77777777" w:rsidR="007F26F0" w:rsidRPr="00906EE1" w:rsidRDefault="007F26F0" w:rsidP="007F26F0">
      <w:pPr>
        <w:pStyle w:val="RTBodyText"/>
        <w:rPr>
          <w:sz w:val="20"/>
          <w:szCs w:val="20"/>
          <w:lang w:val="es-AR"/>
        </w:rPr>
      </w:pPr>
      <w:r w:rsidRPr="00906EE1">
        <w:rPr>
          <w:sz w:val="20"/>
          <w:szCs w:val="20"/>
          <w:lang w:val="es-AR"/>
        </w:rPr>
        <w:t>El Programa Nacional de Educación Sexual Integral (ESI), creado por la Ley 26.150 en 2006 fue desfinanciado. En 2024 tuvo el presupuesto más bajo de los últimos 7 años y en 2025 no se asignó ninguna partida presupuestaria para la ESI, un hecho inédito desde 2006.</w:t>
      </w:r>
      <w:r w:rsidRPr="00906EE1">
        <w:rPr>
          <w:rStyle w:val="FootnoteReference"/>
          <w:sz w:val="20"/>
          <w:szCs w:val="20"/>
          <w:lang w:val="es-AR"/>
        </w:rPr>
        <w:footnoteReference w:id="6"/>
      </w:r>
      <w:r w:rsidRPr="00906EE1">
        <w:rPr>
          <w:sz w:val="20"/>
          <w:szCs w:val="20"/>
          <w:lang w:val="es-AR"/>
        </w:rPr>
        <w:t xml:space="preserve"> Distintas provincias evidencian el impacto del desmantelamiento del Programa a nivel federal.</w:t>
      </w:r>
      <w:r w:rsidRPr="00906EE1">
        <w:rPr>
          <w:rStyle w:val="FootnoteReference"/>
          <w:sz w:val="20"/>
          <w:szCs w:val="20"/>
          <w:lang w:val="es-AR"/>
        </w:rPr>
        <w:footnoteReference w:id="7"/>
      </w:r>
      <w:r w:rsidRPr="00906EE1">
        <w:rPr>
          <w:sz w:val="20"/>
          <w:szCs w:val="20"/>
          <w:lang w:val="es-AR"/>
        </w:rPr>
        <w:t xml:space="preserve">  </w:t>
      </w:r>
    </w:p>
    <w:p w14:paraId="56D8E795" w14:textId="77777777" w:rsidR="007F26F0" w:rsidRPr="00906EE1" w:rsidRDefault="007F26F0" w:rsidP="007F26F0">
      <w:pPr>
        <w:pStyle w:val="RTBodyText"/>
        <w:rPr>
          <w:sz w:val="20"/>
          <w:szCs w:val="20"/>
          <w:lang w:val="es-AR"/>
        </w:rPr>
      </w:pPr>
      <w:r w:rsidRPr="00906EE1">
        <w:rPr>
          <w:sz w:val="20"/>
          <w:szCs w:val="20"/>
          <w:lang w:val="es-AR"/>
        </w:rPr>
        <w:t>Desde diciembre de 2023, se encuentran paralizadas las capacitaciones de formación docente en ESI a través del Instituto Nacional de Formación Docente. En febrero de 2024, el Gobierno Nacional anunció la prohibición de la perspectiva de género en la administración pública</w:t>
      </w:r>
      <w:r w:rsidRPr="00906EE1">
        <w:rPr>
          <w:rStyle w:val="FootnoteReference"/>
          <w:sz w:val="20"/>
          <w:szCs w:val="20"/>
          <w:lang w:val="es-AR"/>
        </w:rPr>
        <w:footnoteReference w:id="8"/>
      </w:r>
      <w:r w:rsidRPr="00906EE1">
        <w:rPr>
          <w:sz w:val="20"/>
          <w:szCs w:val="20"/>
          <w:lang w:val="es-AR"/>
        </w:rPr>
        <w:t xml:space="preserve"> y en 2025, eliminó por decreto</w:t>
      </w:r>
      <w:r w:rsidRPr="00906EE1">
        <w:rPr>
          <w:rStyle w:val="FootnoteReference"/>
          <w:sz w:val="20"/>
          <w:szCs w:val="20"/>
          <w:lang w:val="es-AR"/>
        </w:rPr>
        <w:footnoteReference w:id="9"/>
      </w:r>
      <w:r w:rsidRPr="00906EE1">
        <w:rPr>
          <w:sz w:val="20"/>
          <w:szCs w:val="20"/>
          <w:lang w:val="es-AR"/>
        </w:rPr>
        <w:t xml:space="preserve">  las jornadas “Educar en Igualdad”, de prevención de la violencia de género, que deben realizarse anualmente, en todas las escuelas del país -ley 27.234-. Las máximas autoridades han manifestado en reiteradas oportunidades que la ESI es “ideología de género” y constituye una herramienta de adoctrinamiento y destrucción de las familias.</w:t>
      </w:r>
      <w:r w:rsidRPr="00906EE1">
        <w:rPr>
          <w:rStyle w:val="FootnoteReference"/>
          <w:sz w:val="20"/>
          <w:szCs w:val="20"/>
          <w:lang w:val="es-AR"/>
        </w:rPr>
        <w:footnoteReference w:id="10"/>
      </w:r>
      <w:r w:rsidRPr="00906EE1">
        <w:rPr>
          <w:sz w:val="20"/>
          <w:szCs w:val="20"/>
          <w:lang w:val="es-AR"/>
        </w:rPr>
        <w:t xml:space="preserve"> </w:t>
      </w:r>
    </w:p>
    <w:p w14:paraId="5A3916F2" w14:textId="77777777" w:rsidR="007F26F0" w:rsidRDefault="007F26F0" w:rsidP="007F26F0">
      <w:pPr>
        <w:pStyle w:val="BNumberedHeading"/>
        <w:rPr>
          <w:lang w:val="es-AR"/>
        </w:rPr>
      </w:pPr>
      <w:bookmarkStart w:id="6" w:name="_Toc574828456"/>
      <w:bookmarkStart w:id="7" w:name="_Toc216368332"/>
      <w:r w:rsidRPr="2D47115A">
        <w:rPr>
          <w:lang w:val="es-AR"/>
        </w:rPr>
        <w:lastRenderedPageBreak/>
        <w:t>Embarazo no intencional en la adolescencia</w:t>
      </w:r>
      <w:bookmarkEnd w:id="6"/>
      <w:bookmarkEnd w:id="7"/>
    </w:p>
    <w:p w14:paraId="5B321742" w14:textId="77777777" w:rsidR="007F26F0" w:rsidRPr="00906EE1" w:rsidRDefault="007F26F0" w:rsidP="007F26F0">
      <w:pPr>
        <w:pStyle w:val="RTBodyText"/>
        <w:spacing w:before="240" w:after="240" w:line="259" w:lineRule="auto"/>
        <w:rPr>
          <w:sz w:val="20"/>
          <w:szCs w:val="20"/>
        </w:rPr>
      </w:pPr>
      <w:r w:rsidRPr="00906EE1">
        <w:rPr>
          <w:sz w:val="20"/>
          <w:szCs w:val="20"/>
        </w:rPr>
        <w:t xml:space="preserve">En 2023 se registró el nacimiento de 39.504 hijos e hijas de adolescentes (15 a 19 años): 7 de cada 10 son embarazos no intencionales. Asimismo, 1.056 nacimientos correspondieron a niñas menores de 15 años, y el 85% de esos embarazos fueron no intencionales￼   </w:t>
      </w:r>
    </w:p>
    <w:p w14:paraId="2BB3148C" w14:textId="1906C4A0" w:rsidR="007F26F0" w:rsidRPr="00906EE1" w:rsidRDefault="007F26F0" w:rsidP="007F26F0">
      <w:pPr>
        <w:pStyle w:val="RTBodyText"/>
        <w:spacing w:before="240" w:after="240" w:line="259" w:lineRule="auto"/>
        <w:rPr>
          <w:sz w:val="20"/>
          <w:szCs w:val="20"/>
        </w:rPr>
      </w:pPr>
      <w:r w:rsidRPr="00906EE1">
        <w:rPr>
          <w:sz w:val="20"/>
          <w:szCs w:val="20"/>
        </w:rPr>
        <w:t>Si bien estas cifras reflejan una reducción del 50% de la tasa específica de embarazo adolescente desde 2018, resultado asociado a la implementación del Plan Nacional de Prevención del Embarazo No Intencional en la Adolescencia (ENIA), la continuidad y alcance de esta política pública se encuentran hoy en riesgo.</w:t>
      </w:r>
      <w:r w:rsidRPr="00906EE1">
        <w:rPr>
          <w:sz w:val="20"/>
          <w:szCs w:val="20"/>
          <w:vertAlign w:val="superscript"/>
        </w:rPr>
        <w:t>54</w:t>
      </w:r>
      <w:r w:rsidRPr="00906EE1">
        <w:rPr>
          <w:sz w:val="20"/>
          <w:szCs w:val="20"/>
        </w:rPr>
        <w:t> En abril de 2024, el Ministerio de Salud de la Nación anunció el rediseño y reestructuración del Plan: su tarea se redujo a la compra y distribución de insumos</w:t>
      </w:r>
      <w:r w:rsidRPr="00906EE1">
        <w:rPr>
          <w:rStyle w:val="FootnoteReference"/>
          <w:sz w:val="20"/>
          <w:szCs w:val="20"/>
        </w:rPr>
        <w:footnoteReference w:id="11"/>
      </w:r>
      <w:r w:rsidRPr="00906EE1">
        <w:rPr>
          <w:sz w:val="20"/>
          <w:szCs w:val="20"/>
        </w:rPr>
        <w:t xml:space="preserve"> y se despidió a los 619 agentes territoriales que llevaban adelante la política pública en las provincias. Aun así, en 2024, solo distribuyó un 43% de los insumos programados.</w:t>
      </w:r>
      <w:r w:rsidRPr="00906EE1">
        <w:rPr>
          <w:rStyle w:val="FootnoteReference"/>
          <w:sz w:val="20"/>
          <w:szCs w:val="20"/>
        </w:rPr>
        <w:footnoteReference w:id="12"/>
      </w:r>
      <w:r w:rsidRPr="00906EE1">
        <w:rPr>
          <w:sz w:val="20"/>
          <w:szCs w:val="20"/>
        </w:rPr>
        <w:t xml:space="preserve"> En lo que respecta a la distribución de preservativos, en 2024 solo se distribuyó el 9,3% de lo programado para el año y a junio de 2025, no se registra distribución.</w:t>
      </w:r>
      <w:r w:rsidRPr="00906EE1">
        <w:rPr>
          <w:rStyle w:val="FootnoteReference"/>
          <w:sz w:val="20"/>
          <w:szCs w:val="20"/>
        </w:rPr>
        <w:footnoteReference w:id="13"/>
      </w:r>
      <w:r w:rsidRPr="00906EE1">
        <w:rPr>
          <w:sz w:val="20"/>
          <w:szCs w:val="20"/>
        </w:rPr>
        <w:t xml:space="preserve"> El presupuesto asignado al Plan ENIA se redujo drásticamente en un 85% en términos reales en 2025 respecto de 2023.</w:t>
      </w:r>
      <w:r w:rsidRPr="00906EE1">
        <w:rPr>
          <w:rStyle w:val="FootnoteReference"/>
          <w:sz w:val="20"/>
          <w:szCs w:val="20"/>
        </w:rPr>
        <w:footnoteReference w:id="14"/>
      </w:r>
    </w:p>
    <w:p w14:paraId="102802F9" w14:textId="77777777" w:rsidR="007F26F0" w:rsidRPr="0066686A" w:rsidRDefault="007F26F0" w:rsidP="007F26F0">
      <w:pPr>
        <w:pStyle w:val="BNumberedHeading"/>
        <w:rPr>
          <w:lang w:val="es-AR"/>
        </w:rPr>
      </w:pPr>
      <w:bookmarkStart w:id="8" w:name="_Toc136740246"/>
      <w:bookmarkStart w:id="9" w:name="_Toc216368333"/>
      <w:r w:rsidRPr="1CFD89D8">
        <w:rPr>
          <w:lang w:val="es-AR"/>
        </w:rPr>
        <w:t>Aborto legal</w:t>
      </w:r>
      <w:bookmarkEnd w:id="8"/>
      <w:bookmarkEnd w:id="9"/>
    </w:p>
    <w:p w14:paraId="6A06C234" w14:textId="77777777" w:rsidR="007F26F0" w:rsidRPr="00906EE1" w:rsidRDefault="007F26F0" w:rsidP="007F26F0">
      <w:pPr>
        <w:pStyle w:val="RTBodyText"/>
        <w:spacing w:line="259" w:lineRule="auto"/>
        <w:rPr>
          <w:rFonts w:ascii="Amnesty Trade Gothic Light" w:hAnsi="Amnesty Trade Gothic Light"/>
          <w:sz w:val="20"/>
          <w:szCs w:val="20"/>
          <w:lang w:val="es-AR"/>
        </w:rPr>
      </w:pPr>
      <w:r w:rsidRPr="00906EE1">
        <w:rPr>
          <w:rFonts w:ascii="Amnesty Trade Gothic Light" w:hAnsi="Amnesty Trade Gothic Light"/>
          <w:sz w:val="20"/>
          <w:szCs w:val="20"/>
          <w:lang w:val="es-AR"/>
        </w:rPr>
        <w:t>A cinco años de la sanción de la Ley 27.610, los avances en salud pública son innegables: entre 2021 y 2023, 245.015 personas accedieron a abortos seguros en el sistema de salud.</w:t>
      </w:r>
      <w:r w:rsidRPr="00906EE1">
        <w:rPr>
          <w:rStyle w:val="FootnoteReference"/>
          <w:rFonts w:ascii="Amnesty Trade Gothic Light" w:hAnsi="Amnesty Trade Gothic Light"/>
          <w:sz w:val="20"/>
          <w:szCs w:val="20"/>
          <w:lang w:val="es-AR"/>
        </w:rPr>
        <w:footnoteReference w:id="15"/>
      </w:r>
      <w:r w:rsidRPr="00906EE1">
        <w:rPr>
          <w:rFonts w:ascii="Amnesty Trade Gothic Light" w:hAnsi="Amnesty Trade Gothic Light"/>
          <w:sz w:val="20"/>
          <w:szCs w:val="20"/>
          <w:lang w:val="es-AR"/>
        </w:rPr>
        <w:t xml:space="preserve"> El acceso temprano a información, insumos y servicios de salud sexual y reproductiva de calidad permitió que el 90% de las interrupciones voluntarias del embarazo (IVE) se realizaran durante el primer trimestre.</w:t>
      </w:r>
      <w:r w:rsidRPr="00906EE1">
        <w:rPr>
          <w:rStyle w:val="FootnoteReference"/>
          <w:rFonts w:ascii="Amnesty Trade Gothic Light" w:hAnsi="Amnesty Trade Gothic Light"/>
          <w:sz w:val="20"/>
          <w:szCs w:val="20"/>
          <w:lang w:val="es-AR"/>
        </w:rPr>
        <w:footnoteReference w:id="16"/>
      </w:r>
      <w:r w:rsidRPr="00906EE1">
        <w:rPr>
          <w:rFonts w:ascii="Amnesty Trade Gothic Light" w:hAnsi="Amnesty Trade Gothic Light"/>
          <w:sz w:val="20"/>
          <w:szCs w:val="20"/>
          <w:lang w:val="es-AR"/>
        </w:rPr>
        <w:t xml:space="preserve"> Además, aumentó un 118% la cantidad de efectores de salud que garantizan el aborto, generando condiciones para un acceso seguro y contribuyendo a la reducción de la mortalidad materna por aborto.</w:t>
      </w:r>
      <w:r w:rsidRPr="00906EE1">
        <w:rPr>
          <w:rStyle w:val="FootnoteReference"/>
          <w:rFonts w:ascii="Amnesty Trade Gothic Light" w:hAnsi="Amnesty Trade Gothic Light"/>
          <w:sz w:val="20"/>
          <w:szCs w:val="20"/>
          <w:lang w:val="es-AR"/>
        </w:rPr>
        <w:footnoteReference w:id="17"/>
      </w:r>
    </w:p>
    <w:p w14:paraId="20552420" w14:textId="77777777" w:rsidR="007F26F0" w:rsidRPr="00906EE1" w:rsidRDefault="007F26F0" w:rsidP="007F26F0">
      <w:pPr>
        <w:pStyle w:val="RTBodyText"/>
        <w:spacing w:line="259" w:lineRule="auto"/>
        <w:rPr>
          <w:rFonts w:ascii="Amnesty Trade Gothic Light" w:hAnsi="Amnesty Trade Gothic Light"/>
          <w:color w:val="FF0000"/>
          <w:sz w:val="20"/>
          <w:szCs w:val="20"/>
          <w:lang w:val="es-AR"/>
        </w:rPr>
      </w:pPr>
      <w:r w:rsidRPr="00906EE1">
        <w:rPr>
          <w:rFonts w:ascii="Amnesty Trade Gothic Light" w:hAnsi="Amnesty Trade Gothic Light"/>
          <w:color w:val="auto"/>
          <w:sz w:val="20"/>
          <w:szCs w:val="20"/>
          <w:lang w:val="es-AR"/>
        </w:rPr>
        <w:t>Sin embargo, el actual gobierno dejó de comprar y distribuir insumos esenciales para garantizar este derecho.</w:t>
      </w:r>
      <w:r w:rsidRPr="00906EE1">
        <w:rPr>
          <w:rStyle w:val="FootnoteReference"/>
          <w:rFonts w:ascii="Amnesty Trade Gothic Light" w:hAnsi="Amnesty Trade Gothic Light"/>
          <w:color w:val="auto"/>
          <w:sz w:val="20"/>
          <w:szCs w:val="20"/>
          <w:lang w:val="es-AR"/>
        </w:rPr>
        <w:footnoteReference w:id="18"/>
      </w:r>
      <w:r w:rsidRPr="00906EE1">
        <w:rPr>
          <w:rFonts w:ascii="Amnesty Trade Gothic Light" w:hAnsi="Amnesty Trade Gothic Light"/>
          <w:color w:val="auto"/>
          <w:sz w:val="20"/>
          <w:szCs w:val="20"/>
          <w:lang w:val="es-AR"/>
        </w:rPr>
        <w:t xml:space="preserve"> En consecuencia, más de la mitad de las provincias reportó faltante de misoprostol y casi todas, desabastecimiento de mifepristona y </w:t>
      </w:r>
      <w:proofErr w:type="spellStart"/>
      <w:r w:rsidRPr="00906EE1">
        <w:rPr>
          <w:rFonts w:ascii="Amnesty Trade Gothic Light" w:hAnsi="Amnesty Trade Gothic Light"/>
          <w:i/>
          <w:iCs/>
          <w:color w:val="auto"/>
          <w:sz w:val="20"/>
          <w:szCs w:val="20"/>
          <w:lang w:val="es-AR"/>
        </w:rPr>
        <w:t>combipack</w:t>
      </w:r>
      <w:proofErr w:type="spellEnd"/>
      <w:r w:rsidRPr="00906EE1">
        <w:rPr>
          <w:rFonts w:ascii="Amnesty Trade Gothic Light" w:hAnsi="Amnesty Trade Gothic Light"/>
          <w:color w:val="auto"/>
          <w:sz w:val="20"/>
          <w:szCs w:val="20"/>
          <w:lang w:val="es-AR"/>
        </w:rPr>
        <w:t>.</w:t>
      </w:r>
      <w:r w:rsidRPr="00906EE1">
        <w:rPr>
          <w:rStyle w:val="FootnoteReference"/>
          <w:rFonts w:ascii="Amnesty Trade Gothic Light" w:hAnsi="Amnesty Trade Gothic Light"/>
          <w:color w:val="auto"/>
          <w:sz w:val="20"/>
          <w:szCs w:val="20"/>
          <w:lang w:val="es-AR"/>
        </w:rPr>
        <w:footnoteReference w:id="19"/>
      </w:r>
      <w:r w:rsidRPr="00906EE1">
        <w:rPr>
          <w:rFonts w:ascii="Amnesty Trade Gothic Light" w:hAnsi="Amnesty Trade Gothic Light"/>
          <w:color w:val="auto"/>
          <w:sz w:val="20"/>
          <w:szCs w:val="20"/>
          <w:lang w:val="es-AR"/>
        </w:rPr>
        <w:t xml:space="preserve"> Por primera vez en más de 20 años, el Estado Nacional ha dejado en manos de las provincias la provisión de estos insumos</w:t>
      </w:r>
      <w:r w:rsidRPr="00906EE1">
        <w:rPr>
          <w:rStyle w:val="FootnoteReference"/>
          <w:rFonts w:ascii="Amnesty Trade Gothic Light" w:hAnsi="Amnesty Trade Gothic Light"/>
          <w:color w:val="auto"/>
          <w:sz w:val="20"/>
          <w:szCs w:val="20"/>
          <w:lang w:val="es-AR"/>
        </w:rPr>
        <w:footnoteReference w:id="20"/>
      </w:r>
      <w:r w:rsidRPr="00906EE1">
        <w:rPr>
          <w:rFonts w:ascii="Amnesty Trade Gothic Light" w:hAnsi="Amnesty Trade Gothic Light"/>
          <w:color w:val="auto"/>
          <w:sz w:val="20"/>
          <w:szCs w:val="20"/>
          <w:lang w:val="es-AR"/>
        </w:rPr>
        <w:t>, agravando las desigualdades territoriales y poniendo en riesgo el acceso al aborto en condiciones seguras y de calidad.</w:t>
      </w:r>
    </w:p>
    <w:p w14:paraId="7D57B44A" w14:textId="77777777" w:rsidR="007F26F0" w:rsidRPr="00906EE1" w:rsidRDefault="007F26F0" w:rsidP="007F26F0">
      <w:pPr>
        <w:pStyle w:val="RTBodyText"/>
        <w:spacing w:line="259" w:lineRule="auto"/>
        <w:rPr>
          <w:rFonts w:ascii="Amnesty Trade Gothic Light" w:hAnsi="Amnesty Trade Gothic Light"/>
          <w:sz w:val="20"/>
          <w:szCs w:val="20"/>
        </w:rPr>
      </w:pPr>
      <w:r w:rsidRPr="00906EE1">
        <w:rPr>
          <w:rFonts w:ascii="Amnesty Trade Gothic Light" w:hAnsi="Amnesty Trade Gothic Light"/>
          <w:sz w:val="20"/>
          <w:szCs w:val="20"/>
        </w:rPr>
        <w:t>A ello se suma una reducción del 81% en la distribución de métodos anticonceptivos, anticonceptivos hormonales de emergencia y test de embarazo entre 2023 y 2024</w:t>
      </w:r>
      <w:r w:rsidRPr="00906EE1" w:rsidDel="00ED004A">
        <w:rPr>
          <w:rFonts w:ascii="Amnesty Trade Gothic Light" w:hAnsi="Amnesty Trade Gothic Light"/>
          <w:sz w:val="20"/>
          <w:szCs w:val="20"/>
        </w:rPr>
        <w:t>.</w:t>
      </w:r>
      <w:r w:rsidRPr="00906EE1">
        <w:rPr>
          <w:rStyle w:val="FootnoteReference"/>
          <w:rFonts w:ascii="Amnesty Trade Gothic Light" w:hAnsi="Amnesty Trade Gothic Light"/>
          <w:sz w:val="20"/>
          <w:szCs w:val="20"/>
        </w:rPr>
        <w:footnoteReference w:id="21"/>
      </w:r>
      <w:r w:rsidRPr="00906EE1">
        <w:rPr>
          <w:rFonts w:ascii="Amnesty Trade Gothic Light" w:hAnsi="Amnesty Trade Gothic Light"/>
          <w:sz w:val="20"/>
          <w:szCs w:val="20"/>
        </w:rPr>
        <w:t xml:space="preserve"> En este contexto regresivo, las denuncias por obstáculos en el acceso al aborto recibidas por Amnistía Internacional</w:t>
      </w:r>
      <w:r w:rsidRPr="00906EE1" w:rsidDel="000D6AFF">
        <w:rPr>
          <w:rFonts w:ascii="Amnesty Trade Gothic Light" w:hAnsi="Amnesty Trade Gothic Light"/>
          <w:sz w:val="20"/>
          <w:szCs w:val="20"/>
        </w:rPr>
        <w:t xml:space="preserve"> </w:t>
      </w:r>
      <w:r w:rsidRPr="00906EE1">
        <w:rPr>
          <w:rFonts w:ascii="Amnesty Trade Gothic Light" w:hAnsi="Amnesty Trade Gothic Light"/>
          <w:sz w:val="20"/>
          <w:szCs w:val="20"/>
        </w:rPr>
        <w:t>se triplicaron en comparación con el año 2024, casi el 60% corresponden a barreras en el acceso a</w:t>
      </w:r>
      <w:r w:rsidRPr="00906EE1">
        <w:rPr>
          <w:rFonts w:ascii="Amnesty Trade Gothic Light" w:hAnsi="Amnesty Trade Gothic Light"/>
          <w:b/>
          <w:bCs/>
          <w:sz w:val="20"/>
          <w:szCs w:val="20"/>
        </w:rPr>
        <w:t xml:space="preserve"> </w:t>
      </w:r>
      <w:r w:rsidRPr="00906EE1">
        <w:rPr>
          <w:rFonts w:ascii="Amnesty Trade Gothic Light" w:hAnsi="Amnesty Trade Gothic Light"/>
          <w:sz w:val="20"/>
          <w:szCs w:val="20"/>
        </w:rPr>
        <w:t>información</w:t>
      </w:r>
      <w:r w:rsidRPr="00906EE1">
        <w:rPr>
          <w:rFonts w:ascii="Amnesty Trade Gothic Light" w:hAnsi="Amnesty Trade Gothic Light"/>
          <w:b/>
          <w:bCs/>
          <w:sz w:val="20"/>
          <w:szCs w:val="20"/>
        </w:rPr>
        <w:t xml:space="preserve"> </w:t>
      </w:r>
      <w:r w:rsidRPr="00906EE1">
        <w:rPr>
          <w:rFonts w:ascii="Amnesty Trade Gothic Light" w:hAnsi="Amnesty Trade Gothic Light"/>
          <w:sz w:val="20"/>
          <w:szCs w:val="20"/>
        </w:rPr>
        <w:t>sobre dónde y cómo acceder a un aborto.</w:t>
      </w:r>
      <w:r w:rsidRPr="00906EE1">
        <w:rPr>
          <w:rStyle w:val="FootnoteReference"/>
          <w:rFonts w:ascii="Amnesty Trade Gothic Light" w:hAnsi="Amnesty Trade Gothic Light"/>
          <w:sz w:val="20"/>
          <w:szCs w:val="20"/>
        </w:rPr>
        <w:footnoteReference w:id="22"/>
      </w:r>
    </w:p>
    <w:p w14:paraId="28AC84D4" w14:textId="77777777" w:rsidR="007F26F0" w:rsidRPr="00906EE1" w:rsidRDefault="007F26F0" w:rsidP="007F26F0">
      <w:pPr>
        <w:pStyle w:val="RTBodyText"/>
        <w:spacing w:line="259" w:lineRule="auto"/>
        <w:rPr>
          <w:rFonts w:ascii="Amnesty Trade Gothic Light" w:hAnsi="Amnesty Trade Gothic Light"/>
          <w:sz w:val="20"/>
          <w:szCs w:val="20"/>
          <w:lang w:val="es-AR"/>
        </w:rPr>
      </w:pPr>
      <w:r w:rsidRPr="00906EE1">
        <w:rPr>
          <w:rFonts w:ascii="Amnesty Trade Gothic Light" w:hAnsi="Amnesty Trade Gothic Light"/>
          <w:sz w:val="20"/>
          <w:szCs w:val="20"/>
          <w:lang w:val="es-AR"/>
        </w:rPr>
        <w:t>Asimismo, se observa un deterioro de las obligaciones de transparencia activa. El Estado Nacional ha dejado de producir y publicar información oficial sobre la implementación de la política, lo que agrava la vulneración de derechos.</w:t>
      </w:r>
      <w:r w:rsidRPr="00906EE1">
        <w:rPr>
          <w:rStyle w:val="FootnoteReference"/>
          <w:rFonts w:ascii="Amnesty Trade Gothic Light" w:hAnsi="Amnesty Trade Gothic Light"/>
          <w:sz w:val="20"/>
          <w:szCs w:val="20"/>
          <w:lang w:val="es-AR"/>
        </w:rPr>
        <w:footnoteReference w:id="23"/>
      </w:r>
      <w:r w:rsidRPr="00906EE1">
        <w:rPr>
          <w:rFonts w:ascii="Amnesty Trade Gothic Light" w:hAnsi="Amnesty Trade Gothic Light"/>
          <w:sz w:val="20"/>
          <w:szCs w:val="20"/>
          <w:lang w:val="es-AR"/>
        </w:rPr>
        <w:t xml:space="preserve">  También hay hostigamiento contra personal médico que practica abortos</w:t>
      </w:r>
      <w:r w:rsidRPr="00906EE1">
        <w:rPr>
          <w:rStyle w:val="FootnoteReference"/>
          <w:rFonts w:ascii="Amnesty Trade Gothic Light" w:hAnsi="Amnesty Trade Gothic Light"/>
          <w:sz w:val="20"/>
          <w:szCs w:val="20"/>
          <w:lang w:val="es-AR"/>
        </w:rPr>
        <w:footnoteReference w:id="24"/>
      </w:r>
      <w:r w:rsidRPr="00906EE1">
        <w:rPr>
          <w:rFonts w:ascii="Amnesty Trade Gothic Light" w:hAnsi="Amnesty Trade Gothic Light"/>
          <w:sz w:val="20"/>
          <w:szCs w:val="20"/>
          <w:lang w:val="es-AR"/>
        </w:rPr>
        <w:t xml:space="preserve"> y medidas institucionales para desalentar a las mujeres de acceder a abortos seguros, enquistadas dentro de hospitales públicos del municipio de San Isidro, en la Provincia de Buenos Aires.</w:t>
      </w:r>
      <w:r w:rsidRPr="00906EE1">
        <w:rPr>
          <w:rStyle w:val="FootnoteReference"/>
          <w:rFonts w:ascii="Amnesty Trade Gothic Light" w:hAnsi="Amnesty Trade Gothic Light"/>
          <w:sz w:val="20"/>
          <w:szCs w:val="20"/>
          <w:lang w:val="es-AR"/>
        </w:rPr>
        <w:footnoteReference w:id="25"/>
      </w:r>
    </w:p>
    <w:p w14:paraId="7D707BEC" w14:textId="77777777" w:rsidR="007F26F0" w:rsidRPr="0066686A" w:rsidRDefault="007F26F0" w:rsidP="007F26F0">
      <w:pPr>
        <w:pStyle w:val="BNumberedHeading"/>
        <w:rPr>
          <w:lang w:val="es-AR"/>
        </w:rPr>
      </w:pPr>
      <w:bookmarkStart w:id="10" w:name="_Toc1033192665"/>
      <w:bookmarkStart w:id="11" w:name="_Toc216368334"/>
      <w:r w:rsidRPr="61B9C644">
        <w:rPr>
          <w:lang w:val="es-AR"/>
        </w:rPr>
        <w:t>Violencia de género</w:t>
      </w:r>
      <w:bookmarkEnd w:id="10"/>
      <w:bookmarkEnd w:id="11"/>
    </w:p>
    <w:p w14:paraId="5F4F14CD" w14:textId="77777777" w:rsidR="007F26F0" w:rsidRPr="00906EE1" w:rsidRDefault="007F26F0" w:rsidP="007F26F0">
      <w:pPr>
        <w:pStyle w:val="RTBodyText"/>
        <w:rPr>
          <w:rFonts w:ascii="Amnesty Trade Gothic Light" w:hAnsi="Amnesty Trade Gothic Light"/>
          <w:color w:val="auto"/>
          <w:sz w:val="20"/>
          <w:szCs w:val="20"/>
          <w:lang w:val="es-AR"/>
        </w:rPr>
      </w:pPr>
      <w:r w:rsidRPr="00906EE1">
        <w:rPr>
          <w:sz w:val="20"/>
          <w:szCs w:val="20"/>
          <w:lang w:val="es-AR"/>
        </w:rPr>
        <w:t>En 2024, en Argentina se registró un femicidio cada 39 horas. Es decir, un total de 247 mujeres fueron víctimas letales de la violencia de género en nuestro país.</w:t>
      </w:r>
      <w:r w:rsidRPr="00906EE1">
        <w:rPr>
          <w:rStyle w:val="FootnoteReference"/>
          <w:sz w:val="20"/>
          <w:szCs w:val="20"/>
          <w:lang w:val="es-AR"/>
        </w:rPr>
        <w:footnoteReference w:id="26"/>
      </w:r>
      <w:r w:rsidRPr="00906EE1">
        <w:rPr>
          <w:sz w:val="20"/>
          <w:szCs w:val="20"/>
          <w:lang w:val="es-AR"/>
        </w:rPr>
        <w:t xml:space="preserve"> </w:t>
      </w:r>
      <w:r w:rsidRPr="00906EE1">
        <w:rPr>
          <w:color w:val="auto"/>
          <w:sz w:val="20"/>
          <w:szCs w:val="20"/>
          <w:lang w:val="es-AR"/>
        </w:rPr>
        <w:t>De ellas, el 86% conocía a la persona agresora.</w:t>
      </w:r>
      <w:r w:rsidRPr="00906EE1">
        <w:rPr>
          <w:rStyle w:val="FootnoteReference"/>
          <w:color w:val="auto"/>
          <w:sz w:val="20"/>
          <w:szCs w:val="20"/>
          <w:lang w:val="es-AR"/>
        </w:rPr>
        <w:footnoteReference w:id="27"/>
      </w:r>
      <w:r w:rsidRPr="00906EE1">
        <w:rPr>
          <w:color w:val="auto"/>
          <w:sz w:val="20"/>
          <w:szCs w:val="20"/>
          <w:lang w:val="es-AR"/>
        </w:rPr>
        <w:t xml:space="preserve"> Como consecuencia de estos asesinatos, 204 niños, niñas y adolescentes quedaron sin madre en 2024.</w:t>
      </w:r>
      <w:r w:rsidRPr="00906EE1">
        <w:rPr>
          <w:rStyle w:val="FootnoteReference"/>
          <w:color w:val="auto"/>
          <w:sz w:val="20"/>
          <w:szCs w:val="20"/>
          <w:lang w:val="es-AR"/>
        </w:rPr>
        <w:footnoteReference w:id="28"/>
      </w:r>
      <w:r w:rsidRPr="00906EE1" w:rsidDel="005D7AC3">
        <w:rPr>
          <w:color w:val="auto"/>
          <w:sz w:val="20"/>
          <w:szCs w:val="20"/>
          <w:lang w:val="es-AR"/>
        </w:rPr>
        <w:t xml:space="preserve"> </w:t>
      </w:r>
      <w:r w:rsidRPr="00906EE1">
        <w:rPr>
          <w:color w:val="auto"/>
          <w:sz w:val="20"/>
          <w:szCs w:val="20"/>
          <w:lang w:val="es-AR"/>
        </w:rPr>
        <w:t>Asimismo, al menos el 17% de las víctimas había denunciado previamente a su agresor, lo que evidencia las graves fallas del Estado y los persistentes obstáculos que enfrentan las mujeres para acceder a la justicia y obtener protección efectiva frente a la violencia de género.</w:t>
      </w:r>
      <w:r w:rsidRPr="00906EE1">
        <w:rPr>
          <w:rStyle w:val="FootnoteReference"/>
          <w:color w:val="auto"/>
          <w:sz w:val="20"/>
          <w:szCs w:val="20"/>
          <w:lang w:val="es-AR"/>
        </w:rPr>
        <w:footnoteReference w:id="29"/>
      </w:r>
      <w:r w:rsidRPr="00906EE1">
        <w:rPr>
          <w:color w:val="auto"/>
          <w:sz w:val="20"/>
          <w:szCs w:val="20"/>
          <w:lang w:val="es-AR"/>
        </w:rPr>
        <w:t xml:space="preserve"> </w:t>
      </w:r>
    </w:p>
    <w:p w14:paraId="77DDF747" w14:textId="77777777" w:rsidR="007F26F0" w:rsidRPr="00906EE1" w:rsidRDefault="007F26F0" w:rsidP="007F26F0">
      <w:pPr>
        <w:pStyle w:val="RTBodyText"/>
        <w:rPr>
          <w:color w:val="auto"/>
          <w:sz w:val="20"/>
          <w:szCs w:val="20"/>
          <w:lang w:val="es-AR"/>
        </w:rPr>
      </w:pPr>
      <w:r w:rsidRPr="00906EE1">
        <w:rPr>
          <w:color w:val="auto"/>
          <w:sz w:val="20"/>
          <w:szCs w:val="20"/>
          <w:lang w:val="es-AR"/>
        </w:rPr>
        <w:t>Pese a la relevancia del problema, el presupuesto para los principales programas se redujo en un 89% desde 2024</w:t>
      </w:r>
      <w:r w:rsidRPr="00906EE1">
        <w:rPr>
          <w:rStyle w:val="FootnoteReference"/>
          <w:color w:val="auto"/>
          <w:sz w:val="20"/>
          <w:szCs w:val="20"/>
          <w:lang w:val="es-AR"/>
        </w:rPr>
        <w:footnoteReference w:id="30"/>
      </w:r>
      <w:r w:rsidRPr="00906EE1">
        <w:rPr>
          <w:color w:val="auto"/>
          <w:sz w:val="20"/>
          <w:szCs w:val="20"/>
          <w:lang w:val="es-AR"/>
        </w:rPr>
        <w:t xml:space="preserve"> y se eliminaron programas claves</w:t>
      </w:r>
      <w:r w:rsidRPr="00906EE1">
        <w:rPr>
          <w:rStyle w:val="FootnoteReference"/>
          <w:color w:val="auto"/>
          <w:sz w:val="20"/>
          <w:szCs w:val="20"/>
          <w:lang w:val="es-AR"/>
        </w:rPr>
        <w:footnoteReference w:id="31"/>
      </w:r>
      <w:r w:rsidRPr="00906EE1">
        <w:rPr>
          <w:color w:val="auto"/>
          <w:sz w:val="20"/>
          <w:szCs w:val="20"/>
          <w:lang w:val="es-AR"/>
        </w:rPr>
        <w:t>, entre ellos, los de apoyo urgente frente a violencias extremas por motivos de género y el Programa Acercar Derechos (PAD) que entre julio de 2023 y febrero de 2024 brindó asistencia jurídica y psicosocial a 59.032 mujeres y diversidades.</w:t>
      </w:r>
      <w:r w:rsidRPr="00906EE1">
        <w:rPr>
          <w:rStyle w:val="FootnoteReference"/>
          <w:color w:val="auto"/>
          <w:sz w:val="20"/>
          <w:szCs w:val="20"/>
          <w:lang w:val="es-AR"/>
        </w:rPr>
        <w:footnoteReference w:id="32"/>
      </w:r>
    </w:p>
    <w:p w14:paraId="196453D5" w14:textId="77777777" w:rsidR="007F26F0" w:rsidRPr="00906EE1" w:rsidRDefault="007F26F0" w:rsidP="007F26F0">
      <w:pPr>
        <w:pStyle w:val="RTBodyText"/>
        <w:rPr>
          <w:rFonts w:ascii="Amnesty Trade Gothic Light" w:hAnsi="Amnesty Trade Gothic Light"/>
          <w:color w:val="auto"/>
          <w:sz w:val="20"/>
          <w:szCs w:val="20"/>
          <w:lang w:val="es-AR"/>
        </w:rPr>
      </w:pPr>
      <w:r w:rsidRPr="00906EE1">
        <w:rPr>
          <w:color w:val="auto"/>
          <w:sz w:val="20"/>
          <w:szCs w:val="20"/>
          <w:lang w:val="es-AR"/>
        </w:rPr>
        <w:t>La Línea 144, que entre 2013 y 2023 atendió 920.050 comunicaciones por violencia de género,</w:t>
      </w:r>
      <w:r w:rsidRPr="00906EE1">
        <w:rPr>
          <w:rStyle w:val="FootnoteReference"/>
          <w:color w:val="auto"/>
          <w:sz w:val="20"/>
          <w:szCs w:val="20"/>
          <w:lang w:val="es-AR"/>
        </w:rPr>
        <w:footnoteReference w:id="33"/>
      </w:r>
      <w:r w:rsidRPr="00906EE1">
        <w:rPr>
          <w:color w:val="auto"/>
          <w:sz w:val="20"/>
          <w:szCs w:val="20"/>
          <w:lang w:val="es-AR"/>
        </w:rPr>
        <w:t xml:space="preserve"> fue transformada a un servicio genérico que atiende a “cualquier persona en situación de violencia”, eliminando su especificidad.</w:t>
      </w:r>
      <w:r w:rsidRPr="00906EE1">
        <w:rPr>
          <w:rStyle w:val="FootnoteReference"/>
          <w:color w:val="auto"/>
          <w:sz w:val="20"/>
          <w:szCs w:val="20"/>
          <w:lang w:val="es-AR"/>
        </w:rPr>
        <w:footnoteReference w:id="34"/>
      </w:r>
      <w:r w:rsidRPr="00906EE1">
        <w:rPr>
          <w:color w:val="auto"/>
          <w:sz w:val="20"/>
          <w:szCs w:val="20"/>
          <w:lang w:val="es-AR"/>
        </w:rPr>
        <w:t xml:space="preserve"> También</w:t>
      </w:r>
      <w:r w:rsidRPr="00906EE1">
        <w:rPr>
          <w:rFonts w:ascii="Amnesty Trade Gothic Light" w:hAnsi="Amnesty Trade Gothic Light"/>
          <w:color w:val="auto"/>
          <w:sz w:val="20"/>
          <w:szCs w:val="20"/>
          <w:lang w:val="es-AR"/>
        </w:rPr>
        <w:t xml:space="preserve"> perdió dos tercios de su presupuesto y en el proyecto de presupuesto 2026, se eliminó su partida específica.</w:t>
      </w:r>
      <w:r w:rsidRPr="00906EE1">
        <w:rPr>
          <w:rStyle w:val="FootnoteReference"/>
          <w:rFonts w:ascii="Amnesty Trade Gothic Light" w:hAnsi="Amnesty Trade Gothic Light"/>
          <w:color w:val="auto"/>
          <w:sz w:val="20"/>
          <w:szCs w:val="20"/>
          <w:lang w:val="es-AR"/>
        </w:rPr>
        <w:footnoteReference w:id="35"/>
      </w:r>
      <w:r w:rsidRPr="00906EE1">
        <w:rPr>
          <w:rFonts w:ascii="Amnesty Trade Gothic Light" w:hAnsi="Amnesty Trade Gothic Light"/>
          <w:color w:val="auto"/>
          <w:sz w:val="20"/>
          <w:szCs w:val="20"/>
          <w:lang w:val="es-AR"/>
        </w:rPr>
        <w:t xml:space="preserve"> </w:t>
      </w:r>
    </w:p>
    <w:p w14:paraId="38F0E1BB" w14:textId="77777777" w:rsidR="007F26F0" w:rsidRPr="00906EE1" w:rsidDel="00FA33AF" w:rsidRDefault="007F26F0" w:rsidP="007F26F0">
      <w:pPr>
        <w:pStyle w:val="RTBodyText"/>
        <w:rPr>
          <w:color w:val="auto"/>
          <w:sz w:val="20"/>
          <w:szCs w:val="20"/>
          <w:lang w:val="es-AR"/>
        </w:rPr>
      </w:pPr>
      <w:r w:rsidRPr="00906EE1">
        <w:rPr>
          <w:color w:val="auto"/>
          <w:sz w:val="20"/>
          <w:szCs w:val="20"/>
          <w:lang w:val="es-AR"/>
        </w:rPr>
        <w:t>Por su parte, el Programa Acompañar, que desde su creación en 2020 brindó ayuda económica y apoyo a 350.000 mujeres en situación de riesgo para facilitar su salida de relaciones violentas</w:t>
      </w:r>
      <w:r w:rsidRPr="00906EE1">
        <w:rPr>
          <w:rStyle w:val="FootnoteReference"/>
          <w:color w:val="auto"/>
          <w:sz w:val="20"/>
          <w:szCs w:val="20"/>
          <w:lang w:val="es-AR"/>
        </w:rPr>
        <w:footnoteReference w:id="36"/>
      </w:r>
      <w:r w:rsidRPr="00906EE1">
        <w:rPr>
          <w:color w:val="auto"/>
          <w:sz w:val="20"/>
          <w:szCs w:val="20"/>
          <w:lang w:val="es-AR"/>
        </w:rPr>
        <w:t>, hoy atraviesa una situación crítica: su alcance se redujo, se restringieron las condiciones de acceso</w:t>
      </w:r>
      <w:r w:rsidRPr="00906EE1">
        <w:rPr>
          <w:rStyle w:val="FootnoteReference"/>
          <w:color w:val="auto"/>
          <w:sz w:val="20"/>
          <w:szCs w:val="20"/>
          <w:lang w:val="es-AR"/>
        </w:rPr>
        <w:footnoteReference w:id="37"/>
      </w:r>
      <w:r w:rsidRPr="00906EE1">
        <w:rPr>
          <w:color w:val="auto"/>
          <w:sz w:val="20"/>
          <w:szCs w:val="20"/>
          <w:lang w:val="es-AR"/>
        </w:rPr>
        <w:t xml:space="preserve"> y su presupuesto cayó un 90% en 2024 respecto del año anterior.</w:t>
      </w:r>
      <w:r w:rsidRPr="00906EE1">
        <w:rPr>
          <w:rStyle w:val="FootnoteReference"/>
          <w:color w:val="auto"/>
          <w:sz w:val="20"/>
          <w:szCs w:val="20"/>
          <w:lang w:val="es-AR"/>
        </w:rPr>
        <w:footnoteReference w:id="38"/>
      </w:r>
    </w:p>
    <w:p w14:paraId="0C108420" w14:textId="77777777" w:rsidR="007F26F0" w:rsidRPr="0066686A" w:rsidRDefault="007F26F0" w:rsidP="007F26F0">
      <w:pPr>
        <w:pStyle w:val="BNumberedHeading"/>
        <w:rPr>
          <w:lang w:val="es-AR"/>
        </w:rPr>
      </w:pPr>
      <w:bookmarkStart w:id="12" w:name="_Toc1793655281"/>
      <w:bookmarkStart w:id="13" w:name="_Toc216368335"/>
      <w:r w:rsidRPr="2D47115A">
        <w:rPr>
          <w:lang w:val="es-AR"/>
        </w:rPr>
        <w:t>Violencia por orientación sexual e identidad de género</w:t>
      </w:r>
      <w:bookmarkEnd w:id="12"/>
      <w:bookmarkEnd w:id="13"/>
    </w:p>
    <w:p w14:paraId="70A97426" w14:textId="77777777" w:rsidR="007F26F0" w:rsidRPr="00906EE1" w:rsidRDefault="007F26F0" w:rsidP="007F26F0">
      <w:pPr>
        <w:pStyle w:val="RTBodyText"/>
        <w:rPr>
          <w:sz w:val="20"/>
          <w:szCs w:val="20"/>
        </w:rPr>
      </w:pPr>
      <w:r w:rsidRPr="00906EE1">
        <w:rPr>
          <w:sz w:val="20"/>
          <w:szCs w:val="20"/>
        </w:rPr>
        <w:t>Desde diciembre de 2023, el país atraviesa un proceso de regresión acelerada en materia de derechos de las personas LGBTIQA+. El Gobierno desmanteló políticas y programas fundamentales</w:t>
      </w:r>
      <w:r w:rsidRPr="00906EE1">
        <w:rPr>
          <w:rStyle w:val="FootnoteReference"/>
          <w:sz w:val="20"/>
          <w:szCs w:val="20"/>
        </w:rPr>
        <w:footnoteReference w:id="39"/>
      </w:r>
      <w:r w:rsidRPr="00906EE1">
        <w:rPr>
          <w:sz w:val="20"/>
          <w:szCs w:val="20"/>
        </w:rPr>
        <w:t xml:space="preserve"> y se registra una profundización de narrativas que patologizan y deshumanizan a la diversidad sexo-genérica, que emanan incluso desde las máximas autoridades estatales del país,</w:t>
      </w:r>
      <w:r w:rsidRPr="00906EE1">
        <w:rPr>
          <w:rStyle w:val="FootnoteReference"/>
          <w:sz w:val="20"/>
          <w:szCs w:val="20"/>
        </w:rPr>
        <w:footnoteReference w:id="40"/>
      </w:r>
      <w:r w:rsidRPr="00906EE1">
        <w:rPr>
          <w:sz w:val="20"/>
          <w:szCs w:val="20"/>
        </w:rPr>
        <w:t xml:space="preserve"> y medidas regresivas que restringen el acceso a la salud de las adolescencias trans y no binarias y el derecho a la identidad de género de personas privadas de libertad.</w:t>
      </w:r>
      <w:r w:rsidRPr="00906EE1">
        <w:rPr>
          <w:rStyle w:val="FootnoteReference"/>
          <w:sz w:val="20"/>
          <w:szCs w:val="20"/>
        </w:rPr>
        <w:footnoteReference w:id="41"/>
      </w:r>
      <w:r w:rsidRPr="00906EE1">
        <w:rPr>
          <w:sz w:val="20"/>
          <w:szCs w:val="20"/>
        </w:rPr>
        <w:t xml:space="preserve"> </w:t>
      </w:r>
    </w:p>
    <w:p w14:paraId="4F19E8C2" w14:textId="5127DFB2" w:rsidR="007F26F0" w:rsidRPr="00906EE1" w:rsidRDefault="007F26F0" w:rsidP="007F26F0">
      <w:pPr>
        <w:pStyle w:val="RTBodyText"/>
        <w:rPr>
          <w:color w:val="FF0000"/>
          <w:sz w:val="20"/>
          <w:szCs w:val="20"/>
        </w:rPr>
      </w:pPr>
      <w:r w:rsidRPr="00906EE1">
        <w:rPr>
          <w:sz w:val="20"/>
          <w:szCs w:val="20"/>
        </w:rPr>
        <w:t>Las personas LGBTIQA+ enfrentan crecientes índices de violencia y discriminación por motivos de orientación sexual e identidad de género. En 2024, el Observatorio de Crímenes de Odio LGBTI+ registró 140 casos, entre ellos el ataque con fuego contra cuatro mujeres lesbianas en la Ciudad de Buenos Aires, en el que tres de ellas fallecieron. S</w:t>
      </w:r>
      <w:r w:rsidR="00DA01C9">
        <w:rPr>
          <w:sz w:val="20"/>
          <w:szCs w:val="20"/>
        </w:rPr>
        <w:t>.</w:t>
      </w:r>
      <w:r w:rsidRPr="00906EE1">
        <w:rPr>
          <w:sz w:val="20"/>
          <w:szCs w:val="20"/>
        </w:rPr>
        <w:t>C</w:t>
      </w:r>
      <w:r w:rsidR="00904467">
        <w:rPr>
          <w:sz w:val="20"/>
          <w:szCs w:val="20"/>
        </w:rPr>
        <w:t>.</w:t>
      </w:r>
      <w:r w:rsidRPr="00906EE1">
        <w:rPr>
          <w:sz w:val="20"/>
          <w:szCs w:val="20"/>
        </w:rPr>
        <w:t>R</w:t>
      </w:r>
      <w:r w:rsidR="00904467">
        <w:rPr>
          <w:sz w:val="20"/>
          <w:szCs w:val="20"/>
        </w:rPr>
        <w:t>.</w:t>
      </w:r>
      <w:r w:rsidRPr="00906EE1">
        <w:rPr>
          <w:sz w:val="20"/>
          <w:szCs w:val="20"/>
        </w:rPr>
        <w:t>, única sobreviviente, continúa reclamando justicia.</w:t>
      </w:r>
      <w:r w:rsidRPr="00906EE1">
        <w:rPr>
          <w:rStyle w:val="FootnoteReference"/>
          <w:sz w:val="20"/>
          <w:szCs w:val="20"/>
        </w:rPr>
        <w:footnoteReference w:id="42"/>
      </w:r>
      <w:r w:rsidRPr="00906EE1">
        <w:rPr>
          <w:sz w:val="20"/>
          <w:szCs w:val="20"/>
        </w:rPr>
        <w:t xml:space="preserve"> Solo en el primer semestre de 2025, se registró un aumento del 70% de casos con relación al año previo.</w:t>
      </w:r>
      <w:r w:rsidRPr="00906EE1">
        <w:rPr>
          <w:rStyle w:val="FootnoteReference"/>
          <w:sz w:val="20"/>
          <w:szCs w:val="20"/>
        </w:rPr>
        <w:footnoteReference w:id="43"/>
      </w:r>
      <w:r w:rsidRPr="00906EE1">
        <w:rPr>
          <w:sz w:val="20"/>
          <w:szCs w:val="20"/>
        </w:rPr>
        <w:t xml:space="preserve">  </w:t>
      </w:r>
    </w:p>
    <w:p w14:paraId="30032DF3" w14:textId="77777777" w:rsidR="007F26F0" w:rsidRPr="0066686A" w:rsidRDefault="007F26F0" w:rsidP="007F26F0">
      <w:pPr>
        <w:pStyle w:val="BNumberedHeading"/>
        <w:rPr>
          <w:lang w:val="es-AR"/>
        </w:rPr>
      </w:pPr>
      <w:bookmarkStart w:id="14" w:name="_Toc508938275"/>
      <w:bookmarkStart w:id="15" w:name="_Toc216368336"/>
      <w:r w:rsidRPr="61B9C644">
        <w:rPr>
          <w:lang w:val="es-AR"/>
        </w:rPr>
        <w:t>Violencia de género</w:t>
      </w:r>
      <w:r>
        <w:rPr>
          <w:lang w:val="es-AR"/>
        </w:rPr>
        <w:t xml:space="preserve"> online</w:t>
      </w:r>
      <w:r w:rsidRPr="61B9C644">
        <w:rPr>
          <w:lang w:val="es-AR"/>
        </w:rPr>
        <w:t xml:space="preserve"> hacia periodistas</w:t>
      </w:r>
      <w:bookmarkEnd w:id="14"/>
      <w:bookmarkEnd w:id="15"/>
    </w:p>
    <w:p w14:paraId="05068418" w14:textId="77777777" w:rsidR="007F26F0" w:rsidRPr="00906EE1" w:rsidRDefault="007F26F0" w:rsidP="007F26F0">
      <w:pPr>
        <w:spacing w:line="276" w:lineRule="auto"/>
        <w:rPr>
          <w:rFonts w:eastAsia="Amnesty Trade Gothic Light" w:cs="Amnesty Trade Gothic Light"/>
          <w:lang w:val="es-AR"/>
        </w:rPr>
      </w:pPr>
      <w:r w:rsidRPr="00906EE1">
        <w:rPr>
          <w:rFonts w:eastAsia="Amnesty Trade Gothic Light" w:cs="Amnesty Trade Gothic Light"/>
          <w:lang w:val="es-AR"/>
        </w:rPr>
        <w:t>Seis de cada 10 periodistas mujeres han sufrido violencia de género digital en Argentina.</w:t>
      </w:r>
      <w:r w:rsidRPr="00906EE1">
        <w:rPr>
          <w:rStyle w:val="FootnoteReference"/>
          <w:rFonts w:eastAsia="Amnesty Trade Gothic Light" w:cs="Amnesty Trade Gothic Light"/>
          <w:lang w:val="es-AR"/>
        </w:rPr>
        <w:footnoteReference w:id="44"/>
      </w:r>
      <w:r w:rsidRPr="00906EE1">
        <w:rPr>
          <w:rFonts w:eastAsia="Amnesty Trade Gothic Light" w:cs="Amnesty Trade Gothic Light"/>
          <w:lang w:val="es-AR"/>
        </w:rPr>
        <w:t xml:space="preserve"> De ellas, un 85,6% fue víctima de hostigamiento o </w:t>
      </w:r>
      <w:proofErr w:type="spellStart"/>
      <w:r w:rsidRPr="00906EE1">
        <w:rPr>
          <w:rFonts w:eastAsia="Amnesty Trade Gothic Light" w:cs="Amnesty Trade Gothic Light"/>
          <w:lang w:val="es-AR"/>
        </w:rPr>
        <w:t>trolleo</w:t>
      </w:r>
      <w:proofErr w:type="spellEnd"/>
      <w:r w:rsidRPr="00906EE1">
        <w:rPr>
          <w:rFonts w:eastAsia="Amnesty Trade Gothic Light" w:cs="Amnesty Trade Gothic Light"/>
          <w:lang w:val="es-AR"/>
        </w:rPr>
        <w:t xml:space="preserve"> y casi la mitad de acoso sexual o amenazas de violencia sexual.</w:t>
      </w:r>
      <w:r w:rsidRPr="00906EE1">
        <w:rPr>
          <w:rStyle w:val="FootnoteReference"/>
          <w:rFonts w:eastAsia="Amnesty Trade Gothic Light" w:cs="Amnesty Trade Gothic Light"/>
          <w:lang w:val="es-AR"/>
        </w:rPr>
        <w:footnoteReference w:id="45"/>
      </w:r>
      <w:r w:rsidRPr="00906EE1">
        <w:rPr>
          <w:rFonts w:eastAsia="Amnesty Trade Gothic Light" w:cs="Amnesty Trade Gothic Light"/>
        </w:rPr>
        <w:t xml:space="preserve"> Las agresiones se desencadenan especialmente tras coberturas sobre</w:t>
      </w:r>
      <w:r w:rsidRPr="00906EE1">
        <w:rPr>
          <w:rFonts w:eastAsia="Amnesty Trade Gothic Light" w:cs="Amnesty Trade Gothic Light"/>
          <w:lang w:val="es-AR"/>
        </w:rPr>
        <w:t>: aborto, femicidios y violencia de género, derechos humanos, política y educación sexual integral</w:t>
      </w:r>
      <w:r w:rsidRPr="00906EE1">
        <w:rPr>
          <w:rStyle w:val="FootnoteReference"/>
          <w:rFonts w:eastAsia="Amnesty Trade Gothic Light" w:cs="Amnesty Trade Gothic Light"/>
          <w:lang w:val="es-AR"/>
        </w:rPr>
        <w:footnoteReference w:id="46"/>
      </w:r>
      <w:r w:rsidRPr="00906EE1">
        <w:rPr>
          <w:rFonts w:eastAsia="Amnesty Trade Gothic Light" w:cs="Amnesty Trade Gothic Light"/>
          <w:lang w:val="es-AR"/>
        </w:rPr>
        <w:t xml:space="preserve">, </w:t>
      </w:r>
      <w:r w:rsidRPr="00906EE1">
        <w:rPr>
          <w:rFonts w:eastAsia="Amnesty Trade Gothic Light" w:cs="Amnesty Trade Gothic Light"/>
        </w:rPr>
        <w:t>lo que evidencia ataques dirigidos a silenciar voces que abordan agendas centrales de derechos humanos</w:t>
      </w:r>
      <w:r w:rsidRPr="00906EE1">
        <w:rPr>
          <w:rFonts w:eastAsia="Amnesty Trade Gothic Light" w:cs="Amnesty Trade Gothic Light"/>
          <w:lang w:val="es-AR"/>
        </w:rPr>
        <w:t>. Las consecuencias son severas: la mitad se autocensura, el 89% modifica su práctica profesional y se registran afectaciones graves a la salud mental.</w:t>
      </w:r>
      <w:r w:rsidRPr="00906EE1">
        <w:rPr>
          <w:rStyle w:val="FootnoteReference"/>
          <w:rFonts w:eastAsia="Amnesty Trade Gothic Light" w:cs="Amnesty Trade Gothic Light"/>
          <w:lang w:val="es-AR"/>
        </w:rPr>
        <w:footnoteReference w:id="47"/>
      </w:r>
    </w:p>
    <w:p w14:paraId="660644C3" w14:textId="77777777" w:rsidR="007F26F0" w:rsidRPr="00906EE1" w:rsidRDefault="007F26F0" w:rsidP="007F26F0">
      <w:pPr>
        <w:spacing w:before="240" w:after="240"/>
        <w:rPr>
          <w:rFonts w:eastAsia="Amnesty Trade Gothic Light" w:cs="Amnesty Trade Gothic Light"/>
          <w:lang w:val="es-AR"/>
        </w:rPr>
      </w:pPr>
      <w:r w:rsidRPr="00906EE1">
        <w:rPr>
          <w:rFonts w:eastAsia="Amnesty Trade Gothic Light" w:cs="Amnesty Trade Gothic Light"/>
          <w:lang w:val="es-AR"/>
        </w:rPr>
        <w:t>Estas agresiones atentan contra la libertad de expresión, deterioran el debate público y excluyen voces fundamentales. Hay un creciente hostigamiento estatal hacia la prensa: agresiones físicas, campañas de difamación y demandas estratégicas contra la participación pública (</w:t>
      </w:r>
      <w:proofErr w:type="spellStart"/>
      <w:r w:rsidRPr="00906EE1">
        <w:rPr>
          <w:rFonts w:eastAsia="Amnesty Trade Gothic Light" w:cs="Amnesty Trade Gothic Light"/>
          <w:lang w:val="es-AR"/>
        </w:rPr>
        <w:t>SLAPPs</w:t>
      </w:r>
      <w:proofErr w:type="spellEnd"/>
      <w:r w:rsidRPr="00906EE1">
        <w:rPr>
          <w:rFonts w:eastAsia="Amnesty Trade Gothic Light" w:cs="Amnesty Trade Gothic Light"/>
          <w:lang w:val="es-AR"/>
        </w:rPr>
        <w:t>), intensificadas bajo la actual administración.</w:t>
      </w:r>
      <w:r w:rsidRPr="00906EE1">
        <w:rPr>
          <w:rStyle w:val="FootnoteReference"/>
          <w:rFonts w:eastAsia="Amnesty Trade Gothic Light" w:cs="Amnesty Trade Gothic Light"/>
          <w:lang w:val="es-AR"/>
        </w:rPr>
        <w:footnoteReference w:id="48"/>
      </w:r>
      <w:r w:rsidRPr="00906EE1">
        <w:rPr>
          <w:rFonts w:eastAsia="Amnesty Trade Gothic Light" w:cs="Amnesty Trade Gothic Light"/>
          <w:lang w:val="es-AR"/>
        </w:rPr>
        <w:t xml:space="preserve"> Cuando las agresiones provienen de altas autoridades, su impacto se amplifica por la asimetría de poder y la exposición pública.</w:t>
      </w:r>
    </w:p>
    <w:p w14:paraId="1988E7F3" w14:textId="3E84D40B" w:rsidR="007F26F0" w:rsidRPr="00906EE1" w:rsidRDefault="007F26F0" w:rsidP="007F26F0">
      <w:pPr>
        <w:spacing w:before="240" w:after="240"/>
        <w:rPr>
          <w:rFonts w:eastAsia="Amnesty Trade Gothic Light" w:cs="Amnesty Trade Gothic Light"/>
          <w:lang w:val="es-AR"/>
        </w:rPr>
      </w:pPr>
      <w:r w:rsidRPr="00906EE1">
        <w:rPr>
          <w:rFonts w:eastAsia="Amnesty Trade Gothic Light" w:cs="Amnesty Trade Gothic Light"/>
          <w:lang w:val="es-AR"/>
        </w:rPr>
        <w:t>Un caso ilustrativo es el de J</w:t>
      </w:r>
      <w:r w:rsidR="00D21C92">
        <w:rPr>
          <w:rFonts w:eastAsia="Amnesty Trade Gothic Light" w:cs="Amnesty Trade Gothic Light"/>
          <w:lang w:val="es-AR"/>
        </w:rPr>
        <w:t>.</w:t>
      </w:r>
      <w:r w:rsidRPr="00906EE1">
        <w:rPr>
          <w:rFonts w:eastAsia="Amnesty Trade Gothic Light" w:cs="Amnesty Trade Gothic Light"/>
          <w:lang w:val="es-AR"/>
        </w:rPr>
        <w:t>M</w:t>
      </w:r>
      <w:r w:rsidR="00D21C92">
        <w:rPr>
          <w:rFonts w:eastAsia="Amnesty Trade Gothic Light" w:cs="Amnesty Trade Gothic Light"/>
          <w:lang w:val="es-AR"/>
        </w:rPr>
        <w:t>.</w:t>
      </w:r>
      <w:r w:rsidRPr="00906EE1">
        <w:rPr>
          <w:rFonts w:eastAsia="Amnesty Trade Gothic Light" w:cs="Amnesty Trade Gothic Light"/>
          <w:lang w:val="es-AR"/>
        </w:rPr>
        <w:t>, quien en junio de 2025 fue blanco de ataques sistemáticos en entornos digitales, que combinaron agresiones anónimas, el uso de inteligencia artificial para alterar imágenes, y acciones judiciales y administrativas promovidas desde el Estado con el objetivo de desprestigiarla y silenciarla.</w:t>
      </w:r>
      <w:r w:rsidRPr="00906EE1">
        <w:rPr>
          <w:rStyle w:val="FootnoteReference"/>
          <w:rFonts w:eastAsia="Amnesty Trade Gothic Light" w:cs="Amnesty Trade Gothic Light"/>
          <w:lang w:val="es-AR"/>
        </w:rPr>
        <w:footnoteReference w:id="49"/>
      </w:r>
      <w:r w:rsidRPr="00906EE1">
        <w:rPr>
          <w:rFonts w:eastAsia="Amnesty Trade Gothic Light" w:cs="Amnesty Trade Gothic Light"/>
          <w:lang w:val="es-AR"/>
        </w:rPr>
        <w:t xml:space="preserve"> </w:t>
      </w:r>
    </w:p>
    <w:p w14:paraId="34371977" w14:textId="77777777" w:rsidR="007F26F0" w:rsidRPr="00906EE1" w:rsidRDefault="007F26F0" w:rsidP="007F26F0">
      <w:pPr>
        <w:pStyle w:val="RTBodyText"/>
        <w:rPr>
          <w:rFonts w:ascii="Amnesty Trade Gothic Light" w:eastAsia="Amnesty Trade Gothic Light" w:hAnsi="Amnesty Trade Gothic Light" w:cs="Amnesty Trade Gothic Light"/>
          <w:sz w:val="20"/>
          <w:szCs w:val="20"/>
          <w:lang w:val="es-AR"/>
        </w:rPr>
      </w:pPr>
      <w:r w:rsidRPr="00906EE1">
        <w:rPr>
          <w:rFonts w:ascii="Amnesty Trade Gothic Light" w:eastAsia="Amnesty Trade Gothic Light" w:hAnsi="Amnesty Trade Gothic Light" w:cs="Amnesty Trade Gothic Light"/>
          <w:sz w:val="20"/>
          <w:szCs w:val="20"/>
          <w:lang w:val="es-AR"/>
        </w:rPr>
        <w:t>Aunque Argentina sancionó la Ley Olimpia incorporando la violencia digital como una modalidad de violencia de género, aún persisten serios obstáculos para el</w:t>
      </w:r>
      <w:r w:rsidRPr="00906EE1">
        <w:rPr>
          <w:rFonts w:ascii="Amnesty Trade Gothic Light" w:eastAsia="Amnesty Trade Gothic Light" w:hAnsi="Amnesty Trade Gothic Light" w:cs="Amnesty Trade Gothic Light"/>
          <w:sz w:val="20"/>
          <w:szCs w:val="20"/>
        </w:rPr>
        <w:t xml:space="preserve"> acceso a la justicia: minimización de los hechos; falta de análisis contextual — alcance potencial del agresor, anonimato, viralización y persistencia de la huella digital—; y ausencia de herramientas y formación para que operadores judiciales comprendan la naturaleza, magnitud e impacto de esta modalidad de violencia.</w:t>
      </w:r>
      <w:r w:rsidRPr="00906EE1">
        <w:rPr>
          <w:rStyle w:val="FootnoteReference"/>
          <w:rFonts w:ascii="Amnesty Trade Gothic Light" w:eastAsia="Amnesty Trade Gothic Light" w:hAnsi="Amnesty Trade Gothic Light" w:cs="Amnesty Trade Gothic Light"/>
          <w:sz w:val="20"/>
          <w:szCs w:val="20"/>
        </w:rPr>
        <w:footnoteReference w:id="50"/>
      </w:r>
      <w:r w:rsidRPr="00906EE1">
        <w:rPr>
          <w:rFonts w:ascii="Amnesty Trade Gothic Light" w:eastAsia="Amnesty Trade Gothic Light" w:hAnsi="Amnesty Trade Gothic Light" w:cs="Amnesty Trade Gothic Light"/>
          <w:sz w:val="20"/>
          <w:szCs w:val="20"/>
        </w:rPr>
        <w:t xml:space="preserve"> </w:t>
      </w:r>
    </w:p>
    <w:p w14:paraId="52D62707" w14:textId="77777777" w:rsidR="007F26F0" w:rsidRPr="0066686A" w:rsidDel="00097C7C" w:rsidRDefault="007F26F0" w:rsidP="007F26F0">
      <w:pPr>
        <w:pStyle w:val="BNumberedHeading"/>
        <w:rPr>
          <w:lang w:val="es-AR"/>
        </w:rPr>
      </w:pPr>
      <w:bookmarkStart w:id="16" w:name="_Toc1636132125"/>
      <w:bookmarkStart w:id="17" w:name="_Toc216368337"/>
      <w:r w:rsidRPr="61B9C644" w:rsidDel="00097C7C">
        <w:rPr>
          <w:lang w:val="es-AR"/>
        </w:rPr>
        <w:t>Participación en la vida política y pública</w:t>
      </w:r>
      <w:bookmarkEnd w:id="16"/>
      <w:bookmarkEnd w:id="17"/>
    </w:p>
    <w:p w14:paraId="7CA40C95" w14:textId="77777777" w:rsidR="007F26F0" w:rsidRPr="00906EE1" w:rsidRDefault="007F26F0" w:rsidP="007F26F0">
      <w:pPr>
        <w:pStyle w:val="RTBodyText"/>
        <w:rPr>
          <w:sz w:val="20"/>
          <w:szCs w:val="20"/>
          <w:lang w:val="es-AR"/>
        </w:rPr>
      </w:pPr>
      <w:r w:rsidRPr="00906EE1">
        <w:rPr>
          <w:sz w:val="20"/>
          <w:szCs w:val="20"/>
          <w:lang w:val="es-AR"/>
        </w:rPr>
        <w:t>De acuerdo con la Oficina de la Mujer de la Corte Suprema de Justicia de la Nación (CSJN), las mujeres ocupan el 31% de los cargos de magistrados de la justicia nacional y federal.</w:t>
      </w:r>
      <w:r w:rsidRPr="00906EE1">
        <w:rPr>
          <w:rStyle w:val="FootnoteReference"/>
          <w:sz w:val="20"/>
          <w:szCs w:val="20"/>
          <w:lang w:val="es-AR"/>
        </w:rPr>
        <w:footnoteReference w:id="51"/>
      </w:r>
      <w:r w:rsidRPr="00906EE1">
        <w:rPr>
          <w:sz w:val="20"/>
          <w:szCs w:val="20"/>
          <w:lang w:val="es-AR"/>
        </w:rPr>
        <w:t xml:space="preserve"> Actualmente, la CSJN está conformada solo por tres varones, y mantiene dos vacantes sin cubrir desde 2021, lo que profundiza la falta de representación de mujeres en la cúspide del Poder Judicial.</w:t>
      </w:r>
    </w:p>
    <w:p w14:paraId="3C83B68D" w14:textId="77777777" w:rsidR="007F26F0" w:rsidRDefault="007F26F0" w:rsidP="007F26F0">
      <w:pPr>
        <w:pStyle w:val="BNumberedHeading"/>
        <w:rPr>
          <w:lang w:val="es-AR"/>
        </w:rPr>
      </w:pPr>
      <w:bookmarkStart w:id="18" w:name="_Toc1101396070"/>
      <w:bookmarkStart w:id="19" w:name="_Toc216368338"/>
      <w:r w:rsidRPr="21C4E28D">
        <w:rPr>
          <w:lang w:val="es-AR"/>
        </w:rPr>
        <w:t>Recomendaciones</w:t>
      </w:r>
      <w:bookmarkEnd w:id="18"/>
      <w:bookmarkEnd w:id="19"/>
    </w:p>
    <w:p w14:paraId="23FF13F8" w14:textId="77777777" w:rsidR="007F26F0" w:rsidRPr="00906EE1" w:rsidRDefault="007F26F0" w:rsidP="007F26F0">
      <w:pPr>
        <w:pStyle w:val="RTBodyText"/>
        <w:numPr>
          <w:ilvl w:val="0"/>
          <w:numId w:val="31"/>
        </w:numPr>
        <w:rPr>
          <w:sz w:val="20"/>
          <w:szCs w:val="20"/>
          <w:lang w:val="es-AR"/>
        </w:rPr>
      </w:pPr>
      <w:r w:rsidRPr="00906EE1">
        <w:rPr>
          <w:sz w:val="20"/>
          <w:szCs w:val="20"/>
          <w:lang w:val="es-AR"/>
        </w:rPr>
        <w:t>Adoptar medidas urgentes para garantizar la implementación efectiva de la ESI en todas las escuelas del país, de gestión pública y privada, en todos los niveles obligatorios de enseñanza, de acuerdo con la etapa de desarrollo de niños, niñas y adolescentes. Asegurar la asignación del presupuesto adecuado para su cumplimiento.</w:t>
      </w:r>
    </w:p>
    <w:p w14:paraId="0BADD548" w14:textId="77777777" w:rsidR="007F26F0" w:rsidRPr="00906EE1" w:rsidRDefault="007F26F0" w:rsidP="007F26F0">
      <w:pPr>
        <w:pStyle w:val="RTBodyText"/>
        <w:numPr>
          <w:ilvl w:val="0"/>
          <w:numId w:val="31"/>
        </w:numPr>
        <w:rPr>
          <w:sz w:val="20"/>
          <w:szCs w:val="20"/>
          <w:lang w:val="es-AR"/>
        </w:rPr>
      </w:pPr>
      <w:r w:rsidRPr="00906EE1">
        <w:rPr>
          <w:sz w:val="20"/>
          <w:szCs w:val="20"/>
          <w:lang w:val="es-AR"/>
        </w:rPr>
        <w:t>Restablecer y fortalecer el monitoreo de las políticas de ESI y la capacitación docente obligatoria y continua.</w:t>
      </w:r>
    </w:p>
    <w:p w14:paraId="26DBE9E0" w14:textId="77777777" w:rsidR="007F26F0" w:rsidRPr="00906EE1" w:rsidRDefault="007F26F0" w:rsidP="007F26F0">
      <w:pPr>
        <w:pStyle w:val="RTBodyText"/>
        <w:numPr>
          <w:ilvl w:val="0"/>
          <w:numId w:val="31"/>
        </w:numPr>
        <w:rPr>
          <w:sz w:val="20"/>
          <w:szCs w:val="20"/>
          <w:lang w:val="es-AR"/>
        </w:rPr>
      </w:pPr>
      <w:r w:rsidRPr="00906EE1">
        <w:rPr>
          <w:sz w:val="20"/>
          <w:szCs w:val="20"/>
          <w:lang w:val="es-AR"/>
        </w:rPr>
        <w:t xml:space="preserve">Restablecer el Plan ENIA, con la asignación del presupuesto necesario para la provisión de insumos, recursos técnicos y de personal.  </w:t>
      </w:r>
    </w:p>
    <w:p w14:paraId="5DA7EB1F" w14:textId="77777777" w:rsidR="007F26F0" w:rsidRPr="00906EE1" w:rsidRDefault="007F26F0" w:rsidP="007F26F0">
      <w:pPr>
        <w:pStyle w:val="RTBodyText"/>
        <w:numPr>
          <w:ilvl w:val="0"/>
          <w:numId w:val="31"/>
        </w:numPr>
        <w:rPr>
          <w:sz w:val="20"/>
          <w:szCs w:val="20"/>
          <w:lang w:val="es-AR"/>
        </w:rPr>
      </w:pPr>
      <w:r w:rsidRPr="00906EE1">
        <w:rPr>
          <w:sz w:val="20"/>
          <w:szCs w:val="20"/>
          <w:lang w:val="es-AR"/>
        </w:rPr>
        <w:t>Garantizar la disponibilidad y accesibilidad de métodos anticonceptivos y los insumos necesarios para acceder al aborto en condiciones de igualdad, mediante la asignación de presupuesto suficiente y mecanismos de compra centralizados.</w:t>
      </w:r>
    </w:p>
    <w:p w14:paraId="0DF3FFAC" w14:textId="77777777" w:rsidR="007F26F0" w:rsidRPr="00906EE1" w:rsidRDefault="007F26F0" w:rsidP="007F26F0">
      <w:pPr>
        <w:pStyle w:val="RTBodyText"/>
        <w:numPr>
          <w:ilvl w:val="0"/>
          <w:numId w:val="31"/>
        </w:numPr>
        <w:rPr>
          <w:sz w:val="20"/>
          <w:szCs w:val="20"/>
          <w:lang w:val="es-AR"/>
        </w:rPr>
      </w:pPr>
      <w:r w:rsidRPr="00906EE1">
        <w:rPr>
          <w:sz w:val="20"/>
          <w:szCs w:val="20"/>
          <w:lang w:val="es-AR"/>
        </w:rPr>
        <w:t>Garantizar campañas públicas de información sobre el derecho a la interrupción voluntaria y legal del embarazo, cómo y dónde acceder.</w:t>
      </w:r>
    </w:p>
    <w:p w14:paraId="64A4232D" w14:textId="77777777" w:rsidR="007F26F0" w:rsidRPr="00906EE1" w:rsidRDefault="007F26F0" w:rsidP="007F26F0">
      <w:pPr>
        <w:pStyle w:val="RTBodyText"/>
        <w:numPr>
          <w:ilvl w:val="0"/>
          <w:numId w:val="31"/>
        </w:numPr>
        <w:rPr>
          <w:sz w:val="20"/>
          <w:szCs w:val="20"/>
          <w:lang w:val="es-AR"/>
        </w:rPr>
      </w:pPr>
      <w:r w:rsidRPr="00906EE1">
        <w:rPr>
          <w:sz w:val="20"/>
          <w:szCs w:val="20"/>
          <w:lang w:val="es-AR"/>
        </w:rPr>
        <w:t>Generar y publicar datos desagregados sobre la implementación de la Ley nº27.610, para garantizar la transparencia, la rendición de cuentas y el diseño de políticas basadas en evidencia.</w:t>
      </w:r>
    </w:p>
    <w:p w14:paraId="07E6704F" w14:textId="77777777" w:rsidR="007F26F0" w:rsidRPr="00906EE1" w:rsidRDefault="007F26F0" w:rsidP="007F26F0">
      <w:pPr>
        <w:pStyle w:val="RTBodyText"/>
        <w:numPr>
          <w:ilvl w:val="0"/>
          <w:numId w:val="31"/>
        </w:numPr>
        <w:spacing w:line="259" w:lineRule="auto"/>
        <w:rPr>
          <w:sz w:val="20"/>
          <w:szCs w:val="20"/>
          <w:lang w:val="es-AR"/>
        </w:rPr>
      </w:pPr>
      <w:r w:rsidRPr="00906EE1">
        <w:rPr>
          <w:sz w:val="20"/>
          <w:szCs w:val="20"/>
          <w:lang w:val="es-AR"/>
        </w:rPr>
        <w:t xml:space="preserve">Restablecer y fortalecer políticas públicas integrales orientadas a la prevención, sanción y erradicación de la violencia de género y la discriminación por orientación sexual o identidad de género, a través de presupuesto necesario. </w:t>
      </w:r>
    </w:p>
    <w:p w14:paraId="2E6F3CF3" w14:textId="77777777" w:rsidR="007F26F0" w:rsidRPr="00906EE1" w:rsidRDefault="007F26F0" w:rsidP="007F26F0">
      <w:pPr>
        <w:pStyle w:val="RTBodyText"/>
        <w:numPr>
          <w:ilvl w:val="0"/>
          <w:numId w:val="31"/>
        </w:numPr>
        <w:spacing w:line="259" w:lineRule="auto"/>
        <w:rPr>
          <w:sz w:val="20"/>
          <w:szCs w:val="20"/>
          <w:lang w:val="es-AR"/>
        </w:rPr>
      </w:pPr>
      <w:r w:rsidRPr="00906EE1">
        <w:rPr>
          <w:sz w:val="20"/>
          <w:szCs w:val="20"/>
          <w:lang w:val="es-AR"/>
        </w:rPr>
        <w:t xml:space="preserve">Abstenerse de promover discursos que inciten al odio contra las personas LGBTI+; tomar acciones para prevenir la violencia; investigar con debida diligencia reforzada los crímenes motivados por prejuicio de género, y asegurar justicia y reparación integral para las víctimas y sus familias. </w:t>
      </w:r>
    </w:p>
    <w:p w14:paraId="7C81FD3B" w14:textId="77777777" w:rsidR="007F26F0" w:rsidRPr="00906EE1" w:rsidRDefault="007F26F0" w:rsidP="007F26F0">
      <w:pPr>
        <w:pStyle w:val="RTBodyText"/>
        <w:numPr>
          <w:ilvl w:val="0"/>
          <w:numId w:val="31"/>
        </w:numPr>
        <w:spacing w:line="259" w:lineRule="auto"/>
        <w:rPr>
          <w:sz w:val="20"/>
          <w:szCs w:val="20"/>
          <w:lang w:val="es-AR"/>
        </w:rPr>
      </w:pPr>
      <w:r w:rsidRPr="00906EE1">
        <w:rPr>
          <w:sz w:val="20"/>
          <w:szCs w:val="20"/>
          <w:lang w:val="es-AR"/>
        </w:rPr>
        <w:t>Garantizar que las mujeres periodistas ejerzan su libertad de expresión libres de violencia y se garantice el acceso a la justicia ante la violencia de género digital.</w:t>
      </w:r>
    </w:p>
    <w:p w14:paraId="21DCC12A" w14:textId="77777777" w:rsidR="007F26F0" w:rsidRPr="00906EE1" w:rsidRDefault="007F26F0" w:rsidP="007F26F0">
      <w:pPr>
        <w:pStyle w:val="RTBodyText"/>
        <w:numPr>
          <w:ilvl w:val="0"/>
          <w:numId w:val="31"/>
        </w:numPr>
        <w:spacing w:line="259" w:lineRule="auto"/>
        <w:rPr>
          <w:sz w:val="20"/>
          <w:szCs w:val="20"/>
          <w:lang w:val="es-AR"/>
        </w:rPr>
      </w:pPr>
      <w:r w:rsidRPr="00906EE1">
        <w:rPr>
          <w:sz w:val="20"/>
          <w:szCs w:val="20"/>
          <w:lang w:val="es-AR"/>
        </w:rPr>
        <w:t>Garantizar el acceso a la justicia y reparación integral ante casos de violencia de género y desarrollar protocolos de actuación y pautas para la investigación de casos de violencia de género digital que permitan actuar de manera eficaz ante las denuncias.</w:t>
      </w:r>
    </w:p>
    <w:p w14:paraId="60083E12" w14:textId="2CEB1E22" w:rsidR="007F26F0" w:rsidRPr="00906EE1" w:rsidRDefault="007F26F0" w:rsidP="006D02BD">
      <w:pPr>
        <w:pStyle w:val="BBodyText"/>
        <w:numPr>
          <w:ilvl w:val="0"/>
          <w:numId w:val="31"/>
        </w:numPr>
        <w:rPr>
          <w:sz w:val="20"/>
          <w:szCs w:val="20"/>
          <w:lang w:eastAsia="en-GB"/>
        </w:rPr>
      </w:pPr>
      <w:r w:rsidRPr="00906EE1">
        <w:rPr>
          <w:sz w:val="20"/>
          <w:szCs w:val="20"/>
          <w:lang w:val="es-AR"/>
        </w:rPr>
        <w:t>Adoptar medidas para garantizar la paridad de género en todos los niveles del Poder Judicial, así como asegurar la cobertura urgente de las vacantes en la CSJN.</w:t>
      </w:r>
    </w:p>
    <w:p w14:paraId="22F7D4C5" w14:textId="7B69AC68" w:rsidR="005755FD" w:rsidRDefault="005755FD" w:rsidP="00661C0B">
      <w:pPr>
        <w:pStyle w:val="BBodyText"/>
        <w:sectPr w:rsidR="005755FD" w:rsidSect="005755FD">
          <w:footerReference w:type="first" r:id="rId11"/>
          <w:pgSz w:w="11906" w:h="16838" w:code="9"/>
          <w:pgMar w:top="1474" w:right="1418" w:bottom="1418" w:left="1418" w:header="709" w:footer="709" w:gutter="0"/>
          <w:cols w:space="708"/>
          <w:titlePg/>
          <w:docGrid w:linePitch="360"/>
        </w:sectPr>
      </w:pPr>
    </w:p>
    <w:p w14:paraId="0690BAE9" w14:textId="1CC66945" w:rsidR="00EE3C56" w:rsidRPr="00065FFC" w:rsidRDefault="0021059D" w:rsidP="004D2A5B">
      <w:pPr>
        <w:pStyle w:val="BBodyText"/>
      </w:pPr>
      <w:r>
        <w:rPr>
          <w:noProof/>
          <w:lang w:val="en-GB" w:eastAsia="en-GB"/>
        </w:rPr>
        <mc:AlternateContent>
          <mc:Choice Requires="wps">
            <w:drawing>
              <wp:anchor distT="0" distB="0" distL="114300" distR="114300" simplePos="0" relativeHeight="251658241" behindDoc="0" locked="0" layoutInCell="1" allowOverlap="1" wp14:anchorId="6E3CB8F7" wp14:editId="500C8091">
                <wp:simplePos x="0" y="0"/>
                <wp:positionH relativeFrom="margin">
                  <wp:align>center</wp:align>
                </wp:positionH>
                <wp:positionV relativeFrom="paragraph">
                  <wp:posOffset>97</wp:posOffset>
                </wp:positionV>
                <wp:extent cx="6647180" cy="4436745"/>
                <wp:effectExtent l="0" t="0" r="0" b="1905"/>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437185"/>
                        </a:xfrm>
                        <a:prstGeom prst="rect">
                          <a:avLst/>
                        </a:prstGeom>
                        <a:noFill/>
                        <a:ln w="6350">
                          <a:noFill/>
                        </a:ln>
                      </wps:spPr>
                      <wps:txbx>
                        <w:txbxContent>
                          <w:p w14:paraId="53F06D5C" w14:textId="1BBCBCD8" w:rsidR="00EE5B8A" w:rsidRPr="00D23E84" w:rsidRDefault="009A44FD" w:rsidP="008D2844">
                            <w:pPr>
                              <w:pStyle w:val="RTMissionStatement"/>
                              <w:rPr>
                                <w:rStyle w:val="RTHighlightedtext"/>
                                <w:sz w:val="40"/>
                                <w:szCs w:val="40"/>
                              </w:rPr>
                            </w:pPr>
                            <w:r w:rsidRPr="00D23E84">
                              <w:rPr>
                                <w:rStyle w:val="RTHighlightedtext"/>
                                <w:rFonts w:hint="eastAsia"/>
                                <w:sz w:val="40"/>
                                <w:szCs w:val="40"/>
                              </w:rPr>
                              <w:t> </w:t>
                            </w:r>
                            <w:r w:rsidR="00EE5B8A" w:rsidRPr="00D23E84">
                              <w:rPr>
                                <w:rStyle w:val="RTHighlightedtext"/>
                                <w:sz w:val="40"/>
                                <w:szCs w:val="40"/>
                              </w:rPr>
                              <w:t>Amnist</w:t>
                            </w:r>
                            <w:r w:rsidR="00EE5B8A" w:rsidRPr="00D23E84">
                              <w:rPr>
                                <w:rStyle w:val="RTHighlightedtext"/>
                                <w:rFonts w:hint="eastAsia"/>
                                <w:sz w:val="40"/>
                                <w:szCs w:val="40"/>
                              </w:rPr>
                              <w:t>í</w:t>
                            </w:r>
                            <w:r w:rsidR="00EE5B8A" w:rsidRPr="00D23E84">
                              <w:rPr>
                                <w:rStyle w:val="RTHighlightedtext"/>
                                <w:sz w:val="40"/>
                                <w:szCs w:val="40"/>
                              </w:rPr>
                              <w:t>a Internacional es un movimiento integrado por 10</w:t>
                            </w:r>
                            <w:r w:rsidRPr="00D23E84">
                              <w:rPr>
                                <w:rStyle w:val="RTHighlightedtext"/>
                                <w:sz w:val="40"/>
                                <w:szCs w:val="40"/>
                              </w:rPr>
                              <w:t xml:space="preserve"> </w:t>
                            </w:r>
                            <w:r w:rsidRPr="00D23E84">
                              <w:rPr>
                                <w:rStyle w:val="RTHighlightedtext"/>
                                <w:sz w:val="40"/>
                                <w:szCs w:val="40"/>
                              </w:rPr>
                              <w:br/>
                            </w:r>
                            <w:r w:rsidRPr="00D23E84">
                              <w:rPr>
                                <w:rStyle w:val="RTHighlightedtext"/>
                                <w:rFonts w:hint="eastAsia"/>
                                <w:sz w:val="40"/>
                                <w:szCs w:val="40"/>
                              </w:rPr>
                              <w:t> </w:t>
                            </w:r>
                            <w:r w:rsidR="00EE5B8A" w:rsidRPr="00D23E84">
                              <w:rPr>
                                <w:rStyle w:val="RTHighlightedtext"/>
                                <w:sz w:val="40"/>
                                <w:szCs w:val="40"/>
                              </w:rPr>
                              <w:t>millones de personas que activa el sentido de humanidad</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dentro de cada una de ellas y que hace campa</w:t>
                            </w:r>
                            <w:r w:rsidR="00EE5B8A" w:rsidRPr="00D23E84">
                              <w:rPr>
                                <w:rStyle w:val="RTHighlightedtext"/>
                                <w:rFonts w:hint="eastAsia"/>
                                <w:sz w:val="40"/>
                                <w:szCs w:val="40"/>
                              </w:rPr>
                              <w:t>ñ</w:t>
                            </w:r>
                            <w:r w:rsidR="00EE5B8A" w:rsidRPr="00D23E84">
                              <w:rPr>
                                <w:rStyle w:val="RTHighlightedtext"/>
                                <w:sz w:val="40"/>
                                <w:szCs w:val="40"/>
                              </w:rPr>
                              <w:t>a en favor de</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cambios que permitan que todo el mundo disfrute de sus</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derechos humanos. Nuestra visi</w:t>
                            </w:r>
                            <w:r w:rsidR="00EE5B8A" w:rsidRPr="00D23E84">
                              <w:rPr>
                                <w:rStyle w:val="RTHighlightedtext"/>
                                <w:rFonts w:hint="eastAsia"/>
                                <w:sz w:val="40"/>
                                <w:szCs w:val="40"/>
                              </w:rPr>
                              <w:t>ó</w:t>
                            </w:r>
                            <w:r w:rsidR="00EE5B8A" w:rsidRPr="00D23E84">
                              <w:rPr>
                                <w:rStyle w:val="RTHighlightedtext"/>
                                <w:sz w:val="40"/>
                                <w:szCs w:val="40"/>
                              </w:rPr>
                              <w:t>n es la de un mundo donde</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quienes est</w:t>
                            </w:r>
                            <w:r w:rsidR="00EE5B8A" w:rsidRPr="00D23E84">
                              <w:rPr>
                                <w:rStyle w:val="RTHighlightedtext"/>
                                <w:rFonts w:hint="eastAsia"/>
                                <w:sz w:val="40"/>
                                <w:szCs w:val="40"/>
                              </w:rPr>
                              <w:t>á</w:t>
                            </w:r>
                            <w:r w:rsidR="00EE5B8A" w:rsidRPr="00D23E84">
                              <w:rPr>
                                <w:rStyle w:val="RTHighlightedtext"/>
                                <w:sz w:val="40"/>
                                <w:szCs w:val="40"/>
                              </w:rPr>
                              <w:t>n en el poder cumplen sus promesas, respetan el</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derecho internacional y rinden cuentas. Somos</w:t>
                            </w:r>
                            <w:r w:rsidR="006D02BD" w:rsidRPr="00D23E84">
                              <w:rPr>
                                <w:rStyle w:val="RTHighlightedtext"/>
                                <w:sz w:val="40"/>
                                <w:szCs w:val="40"/>
                              </w:rPr>
                              <w:t xml:space="preserve"> i</w:t>
                            </w:r>
                            <w:r w:rsidR="00EE5B8A" w:rsidRPr="00D23E84">
                              <w:rPr>
                                <w:rStyle w:val="RTHighlightedtext"/>
                                <w:sz w:val="40"/>
                                <w:szCs w:val="40"/>
                              </w:rPr>
                              <w:t>ndependientes de todo gobierno, ideolog</w:t>
                            </w:r>
                            <w:r w:rsidR="00EE5B8A" w:rsidRPr="00D23E84">
                              <w:rPr>
                                <w:rStyle w:val="RTHighlightedtext"/>
                                <w:rFonts w:hint="eastAsia"/>
                                <w:sz w:val="40"/>
                                <w:szCs w:val="40"/>
                              </w:rPr>
                              <w:t>í</w:t>
                            </w:r>
                            <w:r w:rsidR="00EE5B8A" w:rsidRPr="00D23E84">
                              <w:rPr>
                                <w:rStyle w:val="RTHighlightedtext"/>
                                <w:sz w:val="40"/>
                                <w:szCs w:val="40"/>
                              </w:rPr>
                              <w:t>a pol</w:t>
                            </w:r>
                            <w:r w:rsidR="00EE5B8A" w:rsidRPr="00D23E84">
                              <w:rPr>
                                <w:rStyle w:val="RTHighlightedtext"/>
                                <w:rFonts w:hint="eastAsia"/>
                                <w:sz w:val="40"/>
                                <w:szCs w:val="40"/>
                              </w:rPr>
                              <w:t>í</w:t>
                            </w:r>
                            <w:r w:rsidR="00EE5B8A" w:rsidRPr="00D23E84">
                              <w:rPr>
                                <w:rStyle w:val="RTHighlightedtext"/>
                                <w:sz w:val="40"/>
                                <w:szCs w:val="40"/>
                              </w:rPr>
                              <w:t>tica, inter</w:t>
                            </w:r>
                            <w:r w:rsidR="00EE5B8A" w:rsidRPr="00D23E84">
                              <w:rPr>
                                <w:rStyle w:val="RTHighlightedtext"/>
                                <w:rFonts w:hint="eastAsia"/>
                                <w:sz w:val="40"/>
                                <w:szCs w:val="40"/>
                              </w:rPr>
                              <w:t>é</w:t>
                            </w:r>
                            <w:r w:rsidR="00EE5B8A" w:rsidRPr="00D23E84">
                              <w:rPr>
                                <w:rStyle w:val="RTHighlightedtext"/>
                                <w:sz w:val="40"/>
                                <w:szCs w:val="40"/>
                              </w:rPr>
                              <w:t>s</w:t>
                            </w:r>
                            <w:r w:rsidRPr="00D23E84">
                              <w:rPr>
                                <w:rStyle w:val="RTHighlightedtext"/>
                                <w:sz w:val="40"/>
                                <w:szCs w:val="40"/>
                              </w:rPr>
                              <w:t xml:space="preserve"> </w:t>
                            </w:r>
                            <w:r w:rsidR="00EE5B8A" w:rsidRPr="00D23E84">
                              <w:rPr>
                                <w:rStyle w:val="RTHighlightedtext"/>
                                <w:sz w:val="40"/>
                                <w:szCs w:val="40"/>
                              </w:rPr>
                              <w:t>econ</w:t>
                            </w:r>
                            <w:r w:rsidR="00EE5B8A" w:rsidRPr="00D23E84">
                              <w:rPr>
                                <w:rStyle w:val="RTHighlightedtext"/>
                                <w:rFonts w:hint="eastAsia"/>
                                <w:sz w:val="40"/>
                                <w:szCs w:val="40"/>
                              </w:rPr>
                              <w:t>ó</w:t>
                            </w:r>
                            <w:r w:rsidR="00EE5B8A" w:rsidRPr="00D23E84">
                              <w:rPr>
                                <w:rStyle w:val="RTHighlightedtext"/>
                                <w:sz w:val="40"/>
                                <w:szCs w:val="40"/>
                              </w:rPr>
                              <w:t>mico y credo religioso, y nuestro trabajo se financia</w:t>
                            </w:r>
                            <w:r w:rsidRPr="00D23E84">
                              <w:rPr>
                                <w:rStyle w:val="RTHighlightedtext"/>
                                <w:sz w:val="40"/>
                                <w:szCs w:val="40"/>
                              </w:rPr>
                              <w:t xml:space="preserve"> </w:t>
                            </w:r>
                            <w:r w:rsidR="00EE5B8A" w:rsidRPr="00D23E84">
                              <w:rPr>
                                <w:rStyle w:val="RTHighlightedtext"/>
                                <w:sz w:val="40"/>
                                <w:szCs w:val="40"/>
                              </w:rPr>
                              <w:t>principalmente con las contribuciones de nuestra membres</w:t>
                            </w:r>
                            <w:r w:rsidR="00EE5B8A" w:rsidRPr="00D23E84">
                              <w:rPr>
                                <w:rStyle w:val="RTHighlightedtext"/>
                                <w:rFonts w:hint="eastAsia"/>
                                <w:sz w:val="40"/>
                                <w:szCs w:val="40"/>
                              </w:rPr>
                              <w:t>í</w:t>
                            </w:r>
                            <w:r w:rsidR="00EE5B8A" w:rsidRPr="00D23E84">
                              <w:rPr>
                                <w:rStyle w:val="RTHighlightedtext"/>
                                <w:sz w:val="40"/>
                                <w:szCs w:val="40"/>
                              </w:rPr>
                              <w:t>a y con donativos. Creemos que actuar movidos por la</w:t>
                            </w:r>
                            <w:r w:rsidR="006D02BD" w:rsidRPr="00D23E84">
                              <w:rPr>
                                <w:rStyle w:val="RTHighlightedtext"/>
                                <w:sz w:val="40"/>
                                <w:szCs w:val="40"/>
                              </w:rPr>
                              <w:t xml:space="preserve"> </w:t>
                            </w:r>
                            <w:r w:rsidR="00EE5B8A" w:rsidRPr="00D23E84">
                              <w:rPr>
                                <w:rStyle w:val="RTHighlightedtext"/>
                                <w:sz w:val="40"/>
                                <w:szCs w:val="40"/>
                              </w:rPr>
                              <w:t>solidaridad y la compasi</w:t>
                            </w:r>
                            <w:r w:rsidR="00EE5B8A" w:rsidRPr="00D23E84">
                              <w:rPr>
                                <w:rStyle w:val="RTHighlightedtext"/>
                                <w:rFonts w:hint="eastAsia"/>
                                <w:sz w:val="40"/>
                                <w:szCs w:val="40"/>
                              </w:rPr>
                              <w:t>ó</w:t>
                            </w:r>
                            <w:r w:rsidR="00EE5B8A" w:rsidRPr="00D23E84">
                              <w:rPr>
                                <w:rStyle w:val="RTHighlightedtext"/>
                                <w:sz w:val="40"/>
                                <w:szCs w:val="40"/>
                              </w:rPr>
                              <w:t>n hacia nuestros semejantes en tod</w:t>
                            </w:r>
                            <w:r w:rsidR="006D02BD" w:rsidRPr="00D23E84">
                              <w:rPr>
                                <w:rStyle w:val="RTHighlightedtext"/>
                                <w:sz w:val="40"/>
                                <w:szCs w:val="40"/>
                              </w:rPr>
                              <w:t>o</w:t>
                            </w:r>
                            <w:r w:rsidR="00EE5B8A" w:rsidRPr="00D23E84">
                              <w:rPr>
                                <w:rStyle w:val="RTHighlightedtext"/>
                                <w:sz w:val="40"/>
                                <w:szCs w:val="40"/>
                              </w:rPr>
                              <w:t xml:space="preserve"> el mundo puede hacer mejorar nuestras sociedades.</w:t>
                            </w:r>
                            <w:r w:rsidR="00EE5B8A" w:rsidRPr="00D23E84">
                              <w:rPr>
                                <w:rStyle w:val="RTHighlightedtext"/>
                                <w:rFonts w:hint="eastAsia"/>
                                <w:sz w:val="40"/>
                                <w:szCs w:val="4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0;margin-top:0;width:523.4pt;height:349.3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" filled="f" stroked="f" strokeweight=".5pt">
                <v:textbox>
                  <w:txbxContent>
                    <w:p w14:paraId="53F06D5C" w14:textId="1BBCBCD8" w:rsidR="00EE5B8A" w:rsidRPr="00D23E84" w:rsidRDefault="009A44FD" w:rsidP="008D2844">
                      <w:pPr>
                        <w:pStyle w:val="RTMissionStatement"/>
                        <w:rPr>
                          <w:rStyle w:val="RTHighlightedtext"/>
                          <w:sz w:val="40"/>
                          <w:szCs w:val="40"/>
                        </w:rPr>
                      </w:pPr>
                      <w:r w:rsidRPr="00D23E84">
                        <w:rPr>
                          <w:rStyle w:val="RTHighlightedtext"/>
                          <w:rFonts w:hint="eastAsia"/>
                          <w:sz w:val="40"/>
                          <w:szCs w:val="40"/>
                        </w:rPr>
                        <w:t> </w:t>
                      </w:r>
                      <w:r w:rsidR="00EE5B8A" w:rsidRPr="00D23E84">
                        <w:rPr>
                          <w:rStyle w:val="RTHighlightedtext"/>
                          <w:sz w:val="40"/>
                          <w:szCs w:val="40"/>
                        </w:rPr>
                        <w:t>Amnist</w:t>
                      </w:r>
                      <w:r w:rsidR="00EE5B8A" w:rsidRPr="00D23E84">
                        <w:rPr>
                          <w:rStyle w:val="RTHighlightedtext"/>
                          <w:rFonts w:hint="eastAsia"/>
                          <w:sz w:val="40"/>
                          <w:szCs w:val="40"/>
                        </w:rPr>
                        <w:t>í</w:t>
                      </w:r>
                      <w:r w:rsidR="00EE5B8A" w:rsidRPr="00D23E84">
                        <w:rPr>
                          <w:rStyle w:val="RTHighlightedtext"/>
                          <w:sz w:val="40"/>
                          <w:szCs w:val="40"/>
                        </w:rPr>
                        <w:t>a Internacional es un movimiento integrado por 10</w:t>
                      </w:r>
                      <w:r w:rsidRPr="00D23E84">
                        <w:rPr>
                          <w:rStyle w:val="RTHighlightedtext"/>
                          <w:sz w:val="40"/>
                          <w:szCs w:val="40"/>
                        </w:rPr>
                        <w:t xml:space="preserve"> </w:t>
                      </w:r>
                      <w:r w:rsidRPr="00D23E84">
                        <w:rPr>
                          <w:rStyle w:val="RTHighlightedtext"/>
                          <w:sz w:val="40"/>
                          <w:szCs w:val="40"/>
                        </w:rPr>
                        <w:br/>
                      </w:r>
                      <w:r w:rsidRPr="00D23E84">
                        <w:rPr>
                          <w:rStyle w:val="RTHighlightedtext"/>
                          <w:rFonts w:hint="eastAsia"/>
                          <w:sz w:val="40"/>
                          <w:szCs w:val="40"/>
                        </w:rPr>
                        <w:t> </w:t>
                      </w:r>
                      <w:r w:rsidR="00EE5B8A" w:rsidRPr="00D23E84">
                        <w:rPr>
                          <w:rStyle w:val="RTHighlightedtext"/>
                          <w:sz w:val="40"/>
                          <w:szCs w:val="40"/>
                        </w:rPr>
                        <w:t>millones de personas que activa el sentido de humanidad</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dentro de cada una de ellas y que hace campa</w:t>
                      </w:r>
                      <w:r w:rsidR="00EE5B8A" w:rsidRPr="00D23E84">
                        <w:rPr>
                          <w:rStyle w:val="RTHighlightedtext"/>
                          <w:rFonts w:hint="eastAsia"/>
                          <w:sz w:val="40"/>
                          <w:szCs w:val="40"/>
                        </w:rPr>
                        <w:t>ñ</w:t>
                      </w:r>
                      <w:r w:rsidR="00EE5B8A" w:rsidRPr="00D23E84">
                        <w:rPr>
                          <w:rStyle w:val="RTHighlightedtext"/>
                          <w:sz w:val="40"/>
                          <w:szCs w:val="40"/>
                        </w:rPr>
                        <w:t>a en favor de</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cambios que permitan que todo el mundo disfrute de sus</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derechos humanos. Nuestra visi</w:t>
                      </w:r>
                      <w:r w:rsidR="00EE5B8A" w:rsidRPr="00D23E84">
                        <w:rPr>
                          <w:rStyle w:val="RTHighlightedtext"/>
                          <w:rFonts w:hint="eastAsia"/>
                          <w:sz w:val="40"/>
                          <w:szCs w:val="40"/>
                        </w:rPr>
                        <w:t>ó</w:t>
                      </w:r>
                      <w:r w:rsidR="00EE5B8A" w:rsidRPr="00D23E84">
                        <w:rPr>
                          <w:rStyle w:val="RTHighlightedtext"/>
                          <w:sz w:val="40"/>
                          <w:szCs w:val="40"/>
                        </w:rPr>
                        <w:t>n es la de un mundo donde</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quienes est</w:t>
                      </w:r>
                      <w:r w:rsidR="00EE5B8A" w:rsidRPr="00D23E84">
                        <w:rPr>
                          <w:rStyle w:val="RTHighlightedtext"/>
                          <w:rFonts w:hint="eastAsia"/>
                          <w:sz w:val="40"/>
                          <w:szCs w:val="40"/>
                        </w:rPr>
                        <w:t>á</w:t>
                      </w:r>
                      <w:r w:rsidR="00EE5B8A" w:rsidRPr="00D23E84">
                        <w:rPr>
                          <w:rStyle w:val="RTHighlightedtext"/>
                          <w:sz w:val="40"/>
                          <w:szCs w:val="40"/>
                        </w:rPr>
                        <w:t>n en el poder cumplen sus promesas, respetan el</w:t>
                      </w:r>
                      <w:r w:rsidRPr="00D23E84">
                        <w:rPr>
                          <w:rStyle w:val="RTHighlightedtext"/>
                          <w:sz w:val="40"/>
                          <w:szCs w:val="40"/>
                        </w:rPr>
                        <w:t xml:space="preserve"> </w:t>
                      </w:r>
                      <w:r w:rsidRPr="00D23E84">
                        <w:rPr>
                          <w:rStyle w:val="RTHighlightedtext"/>
                          <w:sz w:val="40"/>
                          <w:szCs w:val="40"/>
                        </w:rPr>
                        <w:br/>
                      </w:r>
                      <w:r w:rsidR="00EE5B8A" w:rsidRPr="00D23E84">
                        <w:rPr>
                          <w:rStyle w:val="RTHighlightedtext"/>
                          <w:sz w:val="40"/>
                          <w:szCs w:val="40"/>
                        </w:rPr>
                        <w:t xml:space="preserve"> derecho internacional y rinden cuentas. Somos</w:t>
                      </w:r>
                      <w:r w:rsidR="006D02BD" w:rsidRPr="00D23E84">
                        <w:rPr>
                          <w:rStyle w:val="RTHighlightedtext"/>
                          <w:sz w:val="40"/>
                          <w:szCs w:val="40"/>
                        </w:rPr>
                        <w:t xml:space="preserve"> i</w:t>
                      </w:r>
                      <w:r w:rsidR="00EE5B8A" w:rsidRPr="00D23E84">
                        <w:rPr>
                          <w:rStyle w:val="RTHighlightedtext"/>
                          <w:sz w:val="40"/>
                          <w:szCs w:val="40"/>
                        </w:rPr>
                        <w:t>ndependientes de todo gobierno, ideolog</w:t>
                      </w:r>
                      <w:r w:rsidR="00EE5B8A" w:rsidRPr="00D23E84">
                        <w:rPr>
                          <w:rStyle w:val="RTHighlightedtext"/>
                          <w:rFonts w:hint="eastAsia"/>
                          <w:sz w:val="40"/>
                          <w:szCs w:val="40"/>
                        </w:rPr>
                        <w:t>í</w:t>
                      </w:r>
                      <w:r w:rsidR="00EE5B8A" w:rsidRPr="00D23E84">
                        <w:rPr>
                          <w:rStyle w:val="RTHighlightedtext"/>
                          <w:sz w:val="40"/>
                          <w:szCs w:val="40"/>
                        </w:rPr>
                        <w:t>a pol</w:t>
                      </w:r>
                      <w:r w:rsidR="00EE5B8A" w:rsidRPr="00D23E84">
                        <w:rPr>
                          <w:rStyle w:val="RTHighlightedtext"/>
                          <w:rFonts w:hint="eastAsia"/>
                          <w:sz w:val="40"/>
                          <w:szCs w:val="40"/>
                        </w:rPr>
                        <w:t>í</w:t>
                      </w:r>
                      <w:r w:rsidR="00EE5B8A" w:rsidRPr="00D23E84">
                        <w:rPr>
                          <w:rStyle w:val="RTHighlightedtext"/>
                          <w:sz w:val="40"/>
                          <w:szCs w:val="40"/>
                        </w:rPr>
                        <w:t>tica, inter</w:t>
                      </w:r>
                      <w:r w:rsidR="00EE5B8A" w:rsidRPr="00D23E84">
                        <w:rPr>
                          <w:rStyle w:val="RTHighlightedtext"/>
                          <w:rFonts w:hint="eastAsia"/>
                          <w:sz w:val="40"/>
                          <w:szCs w:val="40"/>
                        </w:rPr>
                        <w:t>é</w:t>
                      </w:r>
                      <w:r w:rsidR="00EE5B8A" w:rsidRPr="00D23E84">
                        <w:rPr>
                          <w:rStyle w:val="RTHighlightedtext"/>
                          <w:sz w:val="40"/>
                          <w:szCs w:val="40"/>
                        </w:rPr>
                        <w:t>s</w:t>
                      </w:r>
                      <w:r w:rsidRPr="00D23E84">
                        <w:rPr>
                          <w:rStyle w:val="RTHighlightedtext"/>
                          <w:sz w:val="40"/>
                          <w:szCs w:val="40"/>
                        </w:rPr>
                        <w:t xml:space="preserve"> </w:t>
                      </w:r>
                      <w:r w:rsidR="00EE5B8A" w:rsidRPr="00D23E84">
                        <w:rPr>
                          <w:rStyle w:val="RTHighlightedtext"/>
                          <w:sz w:val="40"/>
                          <w:szCs w:val="40"/>
                        </w:rPr>
                        <w:t>econ</w:t>
                      </w:r>
                      <w:r w:rsidR="00EE5B8A" w:rsidRPr="00D23E84">
                        <w:rPr>
                          <w:rStyle w:val="RTHighlightedtext"/>
                          <w:rFonts w:hint="eastAsia"/>
                          <w:sz w:val="40"/>
                          <w:szCs w:val="40"/>
                        </w:rPr>
                        <w:t>ó</w:t>
                      </w:r>
                      <w:r w:rsidR="00EE5B8A" w:rsidRPr="00D23E84">
                        <w:rPr>
                          <w:rStyle w:val="RTHighlightedtext"/>
                          <w:sz w:val="40"/>
                          <w:szCs w:val="40"/>
                        </w:rPr>
                        <w:t>mico y credo religioso, y nuestro trabajo se financia</w:t>
                      </w:r>
                      <w:r w:rsidRPr="00D23E84">
                        <w:rPr>
                          <w:rStyle w:val="RTHighlightedtext"/>
                          <w:sz w:val="40"/>
                          <w:szCs w:val="40"/>
                        </w:rPr>
                        <w:t xml:space="preserve"> </w:t>
                      </w:r>
                      <w:r w:rsidR="00EE5B8A" w:rsidRPr="00D23E84">
                        <w:rPr>
                          <w:rStyle w:val="RTHighlightedtext"/>
                          <w:sz w:val="40"/>
                          <w:szCs w:val="40"/>
                        </w:rPr>
                        <w:t>principalmente con las contribuciones de nuestra membres</w:t>
                      </w:r>
                      <w:r w:rsidR="00EE5B8A" w:rsidRPr="00D23E84">
                        <w:rPr>
                          <w:rStyle w:val="RTHighlightedtext"/>
                          <w:rFonts w:hint="eastAsia"/>
                          <w:sz w:val="40"/>
                          <w:szCs w:val="40"/>
                        </w:rPr>
                        <w:t>í</w:t>
                      </w:r>
                      <w:r w:rsidR="00EE5B8A" w:rsidRPr="00D23E84">
                        <w:rPr>
                          <w:rStyle w:val="RTHighlightedtext"/>
                          <w:sz w:val="40"/>
                          <w:szCs w:val="40"/>
                        </w:rPr>
                        <w:t>a y con donativos. Creemos que actuar movidos por la</w:t>
                      </w:r>
                      <w:r w:rsidR="006D02BD" w:rsidRPr="00D23E84">
                        <w:rPr>
                          <w:rStyle w:val="RTHighlightedtext"/>
                          <w:sz w:val="40"/>
                          <w:szCs w:val="40"/>
                        </w:rPr>
                        <w:t xml:space="preserve"> </w:t>
                      </w:r>
                      <w:r w:rsidR="00EE5B8A" w:rsidRPr="00D23E84">
                        <w:rPr>
                          <w:rStyle w:val="RTHighlightedtext"/>
                          <w:sz w:val="40"/>
                          <w:szCs w:val="40"/>
                        </w:rPr>
                        <w:t>solidaridad y la compasi</w:t>
                      </w:r>
                      <w:r w:rsidR="00EE5B8A" w:rsidRPr="00D23E84">
                        <w:rPr>
                          <w:rStyle w:val="RTHighlightedtext"/>
                          <w:rFonts w:hint="eastAsia"/>
                          <w:sz w:val="40"/>
                          <w:szCs w:val="40"/>
                        </w:rPr>
                        <w:t>ó</w:t>
                      </w:r>
                      <w:r w:rsidR="00EE5B8A" w:rsidRPr="00D23E84">
                        <w:rPr>
                          <w:rStyle w:val="RTHighlightedtext"/>
                          <w:sz w:val="40"/>
                          <w:szCs w:val="40"/>
                        </w:rPr>
                        <w:t>n hacia nuestros semejantes en tod</w:t>
                      </w:r>
                      <w:r w:rsidR="006D02BD" w:rsidRPr="00D23E84">
                        <w:rPr>
                          <w:rStyle w:val="RTHighlightedtext"/>
                          <w:sz w:val="40"/>
                          <w:szCs w:val="40"/>
                        </w:rPr>
                        <w:t>o</w:t>
                      </w:r>
                      <w:r w:rsidR="00EE5B8A" w:rsidRPr="00D23E84">
                        <w:rPr>
                          <w:rStyle w:val="RTHighlightedtext"/>
                          <w:sz w:val="40"/>
                          <w:szCs w:val="40"/>
                        </w:rPr>
                        <w:t xml:space="preserve"> el mundo puede hacer mejorar nuestras sociedades.</w:t>
                      </w:r>
                      <w:r w:rsidR="00EE5B8A" w:rsidRPr="00D23E84">
                        <w:rPr>
                          <w:rStyle w:val="RTHighlightedtext"/>
                          <w:rFonts w:hint="eastAsia"/>
                          <w:sz w:val="40"/>
                          <w:szCs w:val="40"/>
                        </w:rPr>
                        <w:t> </w:t>
                      </w:r>
                    </w:p>
                  </w:txbxContent>
                </v:textbox>
                <w10:wrap type="square" anchorx="margin"/>
              </v:shape>
            </w:pict>
          </mc:Fallback>
        </mc:AlternateContent>
      </w:r>
      <w:r>
        <w:rPr>
          <w:rFonts w:ascii="Amnesty Trade Gothic" w:hAnsi="Amnesty Trade Gothic"/>
          <w:noProof/>
          <w:color w:val="000000"/>
          <w:lang w:val="en-GB" w:eastAsia="en-GB"/>
        </w:rPr>
        <mc:AlternateContent>
          <mc:Choice Requires="wps">
            <w:drawing>
              <wp:anchor distT="0" distB="0" distL="114300" distR="114300" simplePos="0" relativeHeight="251658242" behindDoc="0" locked="0" layoutInCell="1" allowOverlap="1" wp14:anchorId="010DED38" wp14:editId="0CAA7599">
                <wp:simplePos x="0" y="0"/>
                <wp:positionH relativeFrom="column">
                  <wp:posOffset>3399448</wp:posOffset>
                </wp:positionH>
                <wp:positionV relativeFrom="paragraph">
                  <wp:posOffset>6343992</wp:posOffset>
                </wp:positionV>
                <wp:extent cx="2050496" cy="1905000"/>
                <wp:effectExtent l="0" t="0" r="6985" b="0"/>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050496" cy="1905000"/>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rP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El material atribuido a titulares de derechos de autor distintos de Amnistía Internacional no está protegido por la licencia Creative Commons.</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12" w:history="1">
                              <w:r>
                                <w:rPr>
                                  <w:rStyle w:val="Hyperlink"/>
                                  <w:sz w:val="16"/>
                                  <w:szCs w:val="16"/>
                                </w:rPr>
                                <w:t>Permisos</w:t>
                              </w:r>
                            </w:hyperlink>
                            <w:r>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8" type="#_x0000_t202" style="position:absolute;margin-left:267.65pt;margin-top:499.55pt;width:161.45pt;height:1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rP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El material atribuido a titulares de derechos de autor distintos de Amnistía Internacional no está protegido por la licencia Creative Commons.</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13" w:history="1">
                        <w:r>
                          <w:rPr>
                            <w:rStyle w:val="Hyperlink"/>
                            <w:sz w:val="16"/>
                            <w:szCs w:val="16"/>
                          </w:rPr>
                          <w:t>Permisos</w:t>
                        </w:r>
                      </w:hyperlink>
                      <w:r>
                        <w:rPr>
                          <w:sz w:val="16"/>
                          <w:szCs w:val="16"/>
                        </w:rPr>
                        <w:t xml:space="preserve"> del sitio web de Amnistía Internacional.</w:t>
                      </w:r>
                    </w:p>
                  </w:txbxContent>
                </v:textbox>
              </v:shape>
            </w:pict>
          </mc:Fallback>
        </mc:AlternateContent>
      </w:r>
      <w:r>
        <w:rPr>
          <w:rFonts w:ascii="Amnesty Trade Gothic Cn" w:hAnsi="Amnesty Trade Gothic Cn"/>
          <w:b/>
          <w:noProof/>
          <w:lang w:val="en-GB" w:eastAsia="en-GB"/>
        </w:rPr>
        <w:drawing>
          <wp:anchor distT="0" distB="0" distL="114300" distR="114300" simplePos="0" relativeHeight="251658246" behindDoc="0" locked="0" layoutInCell="1" allowOverlap="1" wp14:anchorId="010B26C5" wp14:editId="622DCD07">
            <wp:simplePos x="0" y="0"/>
            <wp:positionH relativeFrom="column">
              <wp:posOffset>2097063</wp:posOffset>
            </wp:positionH>
            <wp:positionV relativeFrom="paragraph">
              <wp:posOffset>6319130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64820" cy="464820"/>
                    </a:xfrm>
                    <a:prstGeom prst="rect">
                      <a:avLst/>
                    </a:prstGeom>
                  </pic:spPr>
                </pic:pic>
              </a:graphicData>
            </a:graphic>
          </wp:anchor>
        </w:drawing>
      </w:r>
      <w:r>
        <w:rPr>
          <w:rFonts w:ascii="Amnesty Trade Gothic" w:hAnsi="Amnesty Trade Gothic"/>
          <w:noProof/>
          <w:color w:val="000000"/>
          <w:lang w:val="en-GB" w:eastAsia="en-GB"/>
        </w:rPr>
        <mc:AlternateContent>
          <mc:Choice Requires="wps">
            <w:drawing>
              <wp:anchor distT="0" distB="0" distL="114300" distR="114300" simplePos="0" relativeHeight="251658247" behindDoc="0" locked="0" layoutInCell="1" allowOverlap="1" wp14:anchorId="3878D2F4" wp14:editId="35D937BA">
                <wp:simplePos x="0" y="0"/>
                <wp:positionH relativeFrom="column">
                  <wp:posOffset>327904</wp:posOffset>
                </wp:positionH>
                <wp:positionV relativeFrom="paragraph">
                  <wp:posOffset>6336420</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9" type="#_x0000_t202" style="position:absolute;margin-left:25.8pt;margin-top:498.9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9/HA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Pr>
          <w:rFonts w:ascii="Amnesty Trade Gothic" w:hAnsi="Amnesty Trade Gothic"/>
          <w:noProof/>
          <w:color w:val="000000"/>
          <w:lang w:val="en-GB" w:eastAsia="en-GB"/>
        </w:rPr>
        <mc:AlternateContent>
          <mc:Choice Requires="wps">
            <w:drawing>
              <wp:anchor distT="0" distB="0" distL="114300" distR="114300" simplePos="0" relativeHeight="251658244" behindDoc="0" locked="0" layoutInCell="1" allowOverlap="1" wp14:anchorId="243877C8" wp14:editId="4560509B">
                <wp:simplePos x="0" y="0"/>
                <wp:positionH relativeFrom="column">
                  <wp:posOffset>1713816</wp:posOffset>
                </wp:positionH>
                <wp:positionV relativeFrom="paragraph">
                  <wp:posOffset>6642979</wp:posOffset>
                </wp:positionV>
                <wp:extent cx="1223938" cy="1476522"/>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23938" cy="1476522"/>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008442008" name="Graphic 100844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Reino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34.95pt;margin-top:523.05pt;width:96.35pt;height:116.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008442008" name="Graphic 100844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Reino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v:textbox>
              </v:shape>
            </w:pict>
          </mc:Fallback>
        </mc:AlternateContent>
      </w:r>
      <w:r>
        <w:rPr>
          <w:rFonts w:ascii="Amnesty Trade Gothic" w:hAnsi="Amnesty Trade Gothic"/>
          <w:noProof/>
          <w:color w:val="000000"/>
          <w:lang w:val="en-GB" w:eastAsia="en-GB"/>
        </w:rPr>
        <mc:AlternateContent>
          <mc:Choice Requires="wps">
            <w:drawing>
              <wp:anchor distT="0" distB="0" distL="114300" distR="114300" simplePos="0" relativeHeight="251658245" behindDoc="0" locked="0" layoutInCell="1" allowOverlap="1" wp14:anchorId="128BAEFD" wp14:editId="5DBF0CBF">
                <wp:simplePos x="0" y="0"/>
                <wp:positionH relativeFrom="column">
                  <wp:posOffset>-151862</wp:posOffset>
                </wp:positionH>
                <wp:positionV relativeFrom="paragraph">
                  <wp:posOffset>6369733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583322683" name="Picture 58332268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8"/>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19" w:history="1">
                              <w:r>
                                <w:rPr>
                                  <w:rStyle w:val="Hyperlink"/>
                                  <w:rFonts w:ascii="Amnesty Trade Gothic Cn" w:hAnsi="Amnesty Trade Gothic Cn"/>
                                  <w:b/>
                                  <w:bCs/>
                                  <w:color w:val="auto"/>
                                  <w:szCs w:val="21"/>
                                </w:rPr>
                                <w:t>info@amnesty.org</w:t>
                              </w:r>
                            </w:hyperlink>
                          </w:p>
                          <w:p w14:paraId="61AA5AD3" w14:textId="0E60EB23" w:rsidR="00EE5B8A" w:rsidRPr="00D4065A" w:rsidRDefault="00EE5B8A" w:rsidP="004E5E19">
                            <w:pPr>
                              <w:pStyle w:val="BBodyText"/>
                              <w:jc w:val="center"/>
                              <w:rPr>
                                <w:rStyle w:val="Hyperlink"/>
                                <w:rFonts w:ascii="Amnesty Trade Gothic Cn" w:hAnsi="Amnesty Trade Gothic Cn"/>
                                <w:color w:val="auto"/>
                              </w:rPr>
                            </w:pPr>
                            <w:hyperlink r:id="rId20" w:history="1">
                              <w:r>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557209607" name="Picture 155720960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1"/>
                                            <a:stretch>
                                              <a:fillRect/>
                                            </a:stretch>
                                          </pic:blipFill>
                                          <pic:spPr>
                                            <a:xfrm>
                                              <a:off x="0" y="0"/>
                                              <a:ext cx="290598" cy="290598"/>
                                            </a:xfrm>
                                            <a:prstGeom prst="rect">
                                              <a:avLst/>
                                            </a:prstGeom>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783217828" name="Picture 78321782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2"/>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31" type="#_x0000_t202" style="position:absolute;margin-left:-11.95pt;margin-top:501.55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gRyGw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583322683" name="Picture 58332268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8"/>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3" w:history="1">
                        <w:r>
                          <w:rPr>
                            <w:rStyle w:val="Hyperlink"/>
                            <w:rFonts w:ascii="Amnesty Trade Gothic Cn" w:hAnsi="Amnesty Trade Gothic Cn"/>
                            <w:b/>
                            <w:bCs/>
                            <w:color w:val="auto"/>
                            <w:szCs w:val="21"/>
                          </w:rPr>
                          <w:t>info@amnesty.org</w:t>
                        </w:r>
                      </w:hyperlink>
                    </w:p>
                    <w:p w14:paraId="61AA5AD3" w14:textId="0E60EB23" w:rsidR="00EE5B8A" w:rsidRPr="00D4065A" w:rsidRDefault="00EE5B8A" w:rsidP="004E5E19">
                      <w:pPr>
                        <w:pStyle w:val="BBodyText"/>
                        <w:jc w:val="center"/>
                        <w:rPr>
                          <w:rStyle w:val="Hyperlink"/>
                          <w:rFonts w:ascii="Amnesty Trade Gothic Cn" w:hAnsi="Amnesty Trade Gothic Cn"/>
                          <w:color w:val="auto"/>
                        </w:rPr>
                      </w:pPr>
                      <w:hyperlink r:id="rId24" w:history="1">
                        <w:r>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557209607" name="Picture 155720960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1"/>
                                      <a:stretch>
                                        <a:fillRect/>
                                      </a:stretch>
                                    </pic:blipFill>
                                    <pic:spPr>
                                      <a:xfrm>
                                        <a:off x="0" y="0"/>
                                        <a:ext cx="290598" cy="290598"/>
                                      </a:xfrm>
                                      <a:prstGeom prst="rect">
                                        <a:avLst/>
                                      </a:prstGeom>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783217828" name="Picture 78321782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2"/>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Pr>
          <w:rFonts w:ascii="Amnesty Trade Gothic" w:hAnsi="Amnesty Trade Gothic"/>
          <w:noProof/>
          <w:color w:val="000000"/>
          <w:lang w:val="en-GB" w:eastAsia="en-GB"/>
        </w:rPr>
        <mc:AlternateContent>
          <mc:Choice Requires="wps">
            <w:drawing>
              <wp:anchor distT="0" distB="0" distL="114300" distR="114300" simplePos="0" relativeHeight="251658240" behindDoc="0" locked="0" layoutInCell="1" allowOverlap="1" wp14:anchorId="3EFA15FC" wp14:editId="7425C453">
                <wp:simplePos x="0" y="0"/>
                <wp:positionH relativeFrom="column">
                  <wp:posOffset>-156210</wp:posOffset>
                </wp:positionH>
                <wp:positionV relativeFrom="page">
                  <wp:posOffset>7255217</wp:posOffset>
                </wp:positionV>
                <wp:extent cx="2994660" cy="1895475"/>
                <wp:effectExtent l="0" t="0" r="0" b="9525"/>
                <wp:wrapThrough wrapText="bothSides">
                  <wp:wrapPolygon edited="0">
                    <wp:start x="0" y="0"/>
                    <wp:lineTo x="0" y="21491"/>
                    <wp:lineTo x="21435" y="21491"/>
                    <wp:lineTo x="21435"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994660" cy="189547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2" type="#_x0000_t202" style="position:absolute;margin-left:-12.3pt;margin-top:571.3pt;width:235.8pt;height:14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r w:rsidR="00A22D79">
        <w:rPr>
          <w:rFonts w:ascii="Amnesty Trade Gothic" w:hAnsi="Amnesty Trade Gothic"/>
          <w:noProof/>
          <w:color w:val="000000"/>
          <w:lang w:val="en-GB" w:eastAsia="en-GB"/>
        </w:rPr>
        <mc:AlternateContent>
          <mc:Choice Requires="wps">
            <w:drawing>
              <wp:anchor distT="0" distB="0" distL="114300" distR="114300" simplePos="0" relativeHeight="251658243" behindDoc="0" locked="0" layoutInCell="1" allowOverlap="1" wp14:anchorId="0B425283" wp14:editId="15F3825D">
                <wp:simplePos x="0" y="0"/>
                <wp:positionH relativeFrom="column">
                  <wp:posOffset>-259162</wp:posOffset>
                </wp:positionH>
                <wp:positionV relativeFrom="paragraph">
                  <wp:posOffset>8326763</wp:posOffset>
                </wp:positionV>
                <wp:extent cx="2315688" cy="950026"/>
                <wp:effectExtent l="0" t="0" r="8890" b="2540"/>
                <wp:wrapNone/>
                <wp:docPr id="25" name="Text Box 25"/>
                <wp:cNvGraphicFramePr/>
                <a:graphic xmlns:a="http://schemas.openxmlformats.org/drawingml/2006/main">
                  <a:graphicData uri="http://schemas.microsoft.com/office/word/2010/wordprocessingShape">
                    <wps:wsp>
                      <wps:cNvSpPr txBox="1"/>
                      <wps:spPr>
                        <a:xfrm>
                          <a:off x="0" y="0"/>
                          <a:ext cx="2315688" cy="950026"/>
                        </a:xfrm>
                        <a:prstGeom prst="rect">
                          <a:avLst/>
                        </a:prstGeom>
                        <a:solidFill>
                          <a:schemeClr val="lt1"/>
                        </a:solidFill>
                        <a:ln w="6350">
                          <a:noFill/>
                        </a:ln>
                      </wps:spPr>
                      <wps:txbx>
                        <w:txbxContent>
                          <w:p w14:paraId="13A3F353" w14:textId="5D7A2F43" w:rsidR="00EE5B8A" w:rsidRPr="00A22D79" w:rsidRDefault="00EE5B8A" w:rsidP="0081658E">
                            <w:pPr>
                              <w:pStyle w:val="BCopyrightsmallprint"/>
                              <w:rPr>
                                <w:rStyle w:val="Boldbodycharacter"/>
                                <w:sz w:val="21"/>
                                <w:szCs w:val="21"/>
                              </w:rPr>
                            </w:pPr>
                            <w:r w:rsidRPr="00A22D79">
                              <w:rPr>
                                <w:sz w:val="21"/>
                                <w:szCs w:val="21"/>
                              </w:rPr>
                              <w:t xml:space="preserve">Índice: </w:t>
                            </w:r>
                            <w:r w:rsidR="009E6BA8" w:rsidRPr="00A22D79">
                              <w:rPr>
                                <w:sz w:val="21"/>
                                <w:szCs w:val="21"/>
                              </w:rPr>
                              <w:t>IOR 40/0561/2025</w:t>
                            </w:r>
                            <w:r w:rsidRPr="00A22D79">
                              <w:rPr>
                                <w:rStyle w:val="Boldbodycharacter"/>
                                <w:sz w:val="21"/>
                                <w:szCs w:val="21"/>
                              </w:rPr>
                              <w:t xml:space="preserve"> SPANISH</w:t>
                            </w:r>
                          </w:p>
                          <w:p w14:paraId="13BA83E2" w14:textId="76FE50C9" w:rsidR="00EE5B8A" w:rsidRPr="00A22D79" w:rsidRDefault="00EE5B8A" w:rsidP="0081658E">
                            <w:pPr>
                              <w:pStyle w:val="BCopyrightsmallprint"/>
                              <w:rPr>
                                <w:sz w:val="21"/>
                                <w:szCs w:val="21"/>
                              </w:rPr>
                            </w:pPr>
                            <w:r w:rsidRPr="00A22D79">
                              <w:rPr>
                                <w:sz w:val="21"/>
                                <w:szCs w:val="21"/>
                              </w:rPr>
                              <w:t xml:space="preserve">Publicación: </w:t>
                            </w:r>
                            <w:r w:rsidR="00A22D79" w:rsidRPr="00A22D79">
                              <w:rPr>
                                <w:rStyle w:val="Boldbodycharacter"/>
                                <w:sz w:val="21"/>
                                <w:szCs w:val="21"/>
                              </w:rPr>
                              <w:t>diciembre</w:t>
                            </w:r>
                            <w:r w:rsidR="00B33F9E" w:rsidRPr="00A22D79">
                              <w:rPr>
                                <w:rStyle w:val="Boldbodycharacter"/>
                                <w:sz w:val="21"/>
                                <w:szCs w:val="21"/>
                              </w:rPr>
                              <w:t xml:space="preserve"> 2025</w:t>
                            </w:r>
                          </w:p>
                          <w:p w14:paraId="75622893" w14:textId="4612CA55" w:rsidR="00EE5B8A" w:rsidRPr="00A22D79" w:rsidRDefault="00EE5B8A" w:rsidP="0081658E">
                            <w:pPr>
                              <w:pStyle w:val="BCopyrightsmallprint"/>
                              <w:rPr>
                                <w:sz w:val="21"/>
                                <w:szCs w:val="21"/>
                              </w:rPr>
                            </w:pPr>
                            <w:r w:rsidRPr="00A22D79">
                              <w:rPr>
                                <w:sz w:val="21"/>
                                <w:szCs w:val="21"/>
                              </w:rPr>
                              <w:t xml:space="preserve">Idioma original: </w:t>
                            </w:r>
                            <w:r w:rsidR="00B33F9E" w:rsidRPr="00A22D79">
                              <w:rPr>
                                <w:rFonts w:ascii="Amnesty Trade Gothic" w:hAnsi="Amnesty Trade Gothic"/>
                                <w:b/>
                                <w:bCs w:val="0"/>
                                <w:sz w:val="21"/>
                                <w:szCs w:val="21"/>
                              </w:rPr>
                              <w:t>español</w:t>
                            </w:r>
                          </w:p>
                          <w:p w14:paraId="51BB8770" w14:textId="02B5BAE7" w:rsidR="00EE5B8A" w:rsidRPr="000660E7" w:rsidRDefault="00EE5B8A" w:rsidP="00140418">
                            <w:pPr>
                              <w:pStyle w:val="BCopyrightsmallprint"/>
                              <w:rPr>
                                <w:sz w:val="16"/>
                                <w:szCs w:val="16"/>
                              </w:rPr>
                            </w:pPr>
                            <w:r w:rsidRPr="00A22D79">
                              <w:rPr>
                                <w:sz w:val="16"/>
                                <w:szCs w:val="16"/>
                              </w:rPr>
                              <w:t>© Amnesty International 20</w:t>
                            </w:r>
                            <w:r w:rsidR="00B33F9E" w:rsidRPr="00A22D79">
                              <w:rPr>
                                <w:sz w:val="16"/>
                                <w:szCs w:val="16"/>
                              </w:rPr>
                              <w:t>25</w:t>
                            </w:r>
                          </w:p>
                          <w:p w14:paraId="2247AD3B"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25283" id="Text Box 25" o:spid="_x0000_s1033" type="#_x0000_t202" style="position:absolute;margin-left:-20.4pt;margin-top:655.65pt;width:182.35pt;height:74.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" fillcolor="white [3201]" stroked="f" strokeweight=".5pt">
                <v:textbox>
                  <w:txbxContent>
                    <w:p w14:paraId="13A3F353" w14:textId="5D7A2F43" w:rsidR="00EE5B8A" w:rsidRPr="00A22D79" w:rsidRDefault="00EE5B8A" w:rsidP="0081658E">
                      <w:pPr>
                        <w:pStyle w:val="BCopyrightsmallprint"/>
                        <w:rPr>
                          <w:rStyle w:val="Boldbodycharacter"/>
                          <w:sz w:val="21"/>
                          <w:szCs w:val="21"/>
                        </w:rPr>
                      </w:pPr>
                      <w:r w:rsidRPr="00A22D79">
                        <w:rPr>
                          <w:sz w:val="21"/>
                          <w:szCs w:val="21"/>
                        </w:rPr>
                        <w:t xml:space="preserve">Índice: </w:t>
                      </w:r>
                      <w:r w:rsidR="009E6BA8" w:rsidRPr="00A22D79">
                        <w:rPr>
                          <w:sz w:val="21"/>
                          <w:szCs w:val="21"/>
                        </w:rPr>
                        <w:t>IOR 40/0561/2025</w:t>
                      </w:r>
                      <w:r w:rsidRPr="00A22D79">
                        <w:rPr>
                          <w:rStyle w:val="Boldbodycharacter"/>
                          <w:sz w:val="21"/>
                          <w:szCs w:val="21"/>
                        </w:rPr>
                        <w:t xml:space="preserve"> SPANISH</w:t>
                      </w:r>
                    </w:p>
                    <w:p w14:paraId="13BA83E2" w14:textId="76FE50C9" w:rsidR="00EE5B8A" w:rsidRPr="00A22D79" w:rsidRDefault="00EE5B8A" w:rsidP="0081658E">
                      <w:pPr>
                        <w:pStyle w:val="BCopyrightsmallprint"/>
                        <w:rPr>
                          <w:sz w:val="21"/>
                          <w:szCs w:val="21"/>
                        </w:rPr>
                      </w:pPr>
                      <w:r w:rsidRPr="00A22D79">
                        <w:rPr>
                          <w:sz w:val="21"/>
                          <w:szCs w:val="21"/>
                        </w:rPr>
                        <w:t xml:space="preserve">Publicación: </w:t>
                      </w:r>
                      <w:r w:rsidR="00A22D79" w:rsidRPr="00A22D79">
                        <w:rPr>
                          <w:rStyle w:val="Boldbodycharacter"/>
                          <w:sz w:val="21"/>
                          <w:szCs w:val="21"/>
                        </w:rPr>
                        <w:t>diciembre</w:t>
                      </w:r>
                      <w:r w:rsidR="00B33F9E" w:rsidRPr="00A22D79">
                        <w:rPr>
                          <w:rStyle w:val="Boldbodycharacter"/>
                          <w:sz w:val="21"/>
                          <w:szCs w:val="21"/>
                        </w:rPr>
                        <w:t xml:space="preserve"> 2025</w:t>
                      </w:r>
                    </w:p>
                    <w:p w14:paraId="75622893" w14:textId="4612CA55" w:rsidR="00EE5B8A" w:rsidRPr="00A22D79" w:rsidRDefault="00EE5B8A" w:rsidP="0081658E">
                      <w:pPr>
                        <w:pStyle w:val="BCopyrightsmallprint"/>
                        <w:rPr>
                          <w:sz w:val="21"/>
                          <w:szCs w:val="21"/>
                        </w:rPr>
                      </w:pPr>
                      <w:r w:rsidRPr="00A22D79">
                        <w:rPr>
                          <w:sz w:val="21"/>
                          <w:szCs w:val="21"/>
                        </w:rPr>
                        <w:t xml:space="preserve">Idioma original: </w:t>
                      </w:r>
                      <w:r w:rsidR="00B33F9E" w:rsidRPr="00A22D79">
                        <w:rPr>
                          <w:rFonts w:ascii="Amnesty Trade Gothic" w:hAnsi="Amnesty Trade Gothic"/>
                          <w:b/>
                          <w:bCs w:val="0"/>
                          <w:sz w:val="21"/>
                          <w:szCs w:val="21"/>
                        </w:rPr>
                        <w:t>español</w:t>
                      </w:r>
                    </w:p>
                    <w:p w14:paraId="51BB8770" w14:textId="02B5BAE7" w:rsidR="00EE5B8A" w:rsidRPr="000660E7" w:rsidRDefault="00EE5B8A" w:rsidP="00140418">
                      <w:pPr>
                        <w:pStyle w:val="BCopyrightsmallprint"/>
                        <w:rPr>
                          <w:sz w:val="16"/>
                          <w:szCs w:val="16"/>
                        </w:rPr>
                      </w:pPr>
                      <w:r w:rsidRPr="00A22D79">
                        <w:rPr>
                          <w:sz w:val="16"/>
                          <w:szCs w:val="16"/>
                        </w:rPr>
                        <w:t>© Amnesty International 20</w:t>
                      </w:r>
                      <w:r w:rsidR="00B33F9E" w:rsidRPr="00A22D79">
                        <w:rPr>
                          <w:sz w:val="16"/>
                          <w:szCs w:val="16"/>
                        </w:rPr>
                        <w:t>25</w:t>
                      </w:r>
                    </w:p>
                    <w:p w14:paraId="2247AD3B" w14:textId="77777777" w:rsidR="00EE5B8A" w:rsidRDefault="00EE5B8A"/>
                  </w:txbxContent>
                </v:textbox>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0FCA2" w14:textId="77777777" w:rsidR="005F7F31" w:rsidRDefault="005F7F31" w:rsidP="003A7195">
      <w:r>
        <w:separator/>
      </w:r>
    </w:p>
  </w:endnote>
  <w:endnote w:type="continuationSeparator" w:id="0">
    <w:p w14:paraId="7C07A461" w14:textId="77777777" w:rsidR="005F7F31" w:rsidRDefault="005F7F31" w:rsidP="003A7195">
      <w:r>
        <w:continuationSeparator/>
      </w:r>
    </w:p>
  </w:endnote>
  <w:endnote w:type="continuationNotice" w:id="1">
    <w:p w14:paraId="69692DBF" w14:textId="77777777" w:rsidR="005F7F31" w:rsidRDefault="005F7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EA59E" w14:textId="043F5BBA" w:rsidR="004D2C1A" w:rsidRPr="008E24AA" w:rsidRDefault="00A926B7" w:rsidP="004D2C1A">
    <w:pPr>
      <w:pStyle w:val="BFootertitle"/>
      <w:spacing w:before="160"/>
    </w:pPr>
    <w:r>
      <w:t>ARGENTINA</w:t>
    </w:r>
  </w:p>
  <w:p w14:paraId="7EE0FB74" w14:textId="77777777" w:rsidR="00A926B7" w:rsidRPr="00A926B7" w:rsidRDefault="00A926B7" w:rsidP="00A926B7">
    <w:pPr>
      <w:tabs>
        <w:tab w:val="center" w:pos="4423"/>
        <w:tab w:val="right" w:pos="9923"/>
      </w:tabs>
      <w:rPr>
        <w:rFonts w:ascii="Amnesty Trade Gothic Cn" w:eastAsiaTheme="minorEastAsia" w:hAnsi="Amnesty Trade Gothic Cn"/>
        <w:bCs/>
        <w:caps/>
        <w:sz w:val="15"/>
        <w:szCs w:val="15"/>
      </w:rPr>
    </w:pPr>
    <w:r w:rsidRPr="00A926B7">
      <w:rPr>
        <w:rFonts w:ascii="Amnesty Trade Gothic Cn" w:eastAsiaTheme="minorEastAsia" w:hAnsi="Amnesty Trade Gothic Cn"/>
        <w:bCs/>
        <w:caps/>
        <w:sz w:val="15"/>
        <w:szCs w:val="15"/>
      </w:rPr>
      <w:t>INFORME para el Comité para la Eliminación de la Discriminación contra la Mujer</w:t>
    </w:r>
  </w:p>
  <w:p w14:paraId="38AB6AFD" w14:textId="479B1A82"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0BD8" w14:textId="43A73CCB" w:rsidR="00EE5B8A" w:rsidRDefault="00BD5DF0">
    <w:pPr>
      <w:pStyle w:val="Footer"/>
    </w:pPr>
    <w:r w:rsidRPr="00341440">
      <w:rPr>
        <w:noProof/>
        <w:lang w:val="en-GB" w:eastAsia="en-GB"/>
      </w:rPr>
      <w:drawing>
        <wp:anchor distT="0" distB="0" distL="114300" distR="114300" simplePos="0" relativeHeight="251658240"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43984" w14:textId="77777777" w:rsidR="00906EE1" w:rsidRPr="008E24AA" w:rsidRDefault="00906EE1" w:rsidP="00906EE1">
    <w:pPr>
      <w:pStyle w:val="BFootertitle"/>
      <w:spacing w:before="160"/>
    </w:pPr>
    <w:r>
      <w:t>ARGENTINA</w:t>
    </w:r>
  </w:p>
  <w:p w14:paraId="6A6F6D45" w14:textId="77777777" w:rsidR="00906EE1" w:rsidRPr="00A926B7" w:rsidRDefault="00906EE1" w:rsidP="00906EE1">
    <w:pPr>
      <w:tabs>
        <w:tab w:val="center" w:pos="4423"/>
        <w:tab w:val="right" w:pos="9923"/>
      </w:tabs>
      <w:rPr>
        <w:rFonts w:ascii="Amnesty Trade Gothic Cn" w:eastAsiaTheme="minorEastAsia" w:hAnsi="Amnesty Trade Gothic Cn"/>
        <w:bCs/>
        <w:caps/>
        <w:sz w:val="15"/>
        <w:szCs w:val="15"/>
      </w:rPr>
    </w:pPr>
    <w:r w:rsidRPr="00A926B7">
      <w:rPr>
        <w:rFonts w:ascii="Amnesty Trade Gothic Cn" w:eastAsiaTheme="minorEastAsia" w:hAnsi="Amnesty Trade Gothic Cn"/>
        <w:bCs/>
        <w:caps/>
        <w:sz w:val="15"/>
        <w:szCs w:val="15"/>
      </w:rPr>
      <w:t>INFORME para el Comité para la Eliminación de la Discriminación contra la Mujer</w:t>
    </w:r>
  </w:p>
  <w:p w14:paraId="744004DF" w14:textId="6D40AF6A" w:rsidR="007F26F0" w:rsidRPr="00906EE1" w:rsidRDefault="00906EE1" w:rsidP="00906EE1">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w:t>
    </w:r>
    <w:r w:rsidRPr="003E2AA1">
      <w:rPr>
        <w:rFonts w:ascii="Amnesty Trade Gothic Cn" w:hAnsi="Amnesty Trade Gothic Cn"/>
      </w:rPr>
      <w:t>st</w:t>
    </w:r>
    <w:r>
      <w:rPr>
        <w:rFonts w:ascii="Amnesty Trade Gothic Cn" w:hAnsi="Amnesty Trade Gothic Cn"/>
      </w:rPr>
      <w:t>ía</w:t>
    </w:r>
    <w:r w:rsidRPr="003E2AA1">
      <w:rPr>
        <w:rFonts w:ascii="Amnesty Trade Gothic Cn" w:hAnsi="Amnesty Trade Gothic Cn"/>
      </w:rPr>
      <w:t xml:space="preserve"> Interna</w:t>
    </w:r>
    <w:r>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4F325" w14:textId="0AB57B8D" w:rsidR="0014389E" w:rsidRPr="00906EE1" w:rsidRDefault="0014389E" w:rsidP="00906EE1">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9997C" w14:textId="77777777" w:rsidR="005F7F31" w:rsidRDefault="005F7F31" w:rsidP="003A7195">
      <w:r>
        <w:separator/>
      </w:r>
    </w:p>
  </w:footnote>
  <w:footnote w:type="continuationSeparator" w:id="0">
    <w:p w14:paraId="3EA9FB9F" w14:textId="77777777" w:rsidR="005F7F31" w:rsidRDefault="005F7F31" w:rsidP="003A7195">
      <w:r>
        <w:continuationSeparator/>
      </w:r>
    </w:p>
  </w:footnote>
  <w:footnote w:type="continuationNotice" w:id="1">
    <w:p w14:paraId="60069052" w14:textId="77777777" w:rsidR="005F7F31" w:rsidRDefault="005F7F31"/>
  </w:footnote>
  <w:footnote w:id="2">
    <w:p w14:paraId="52EFC8D4"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UN Doc,CEDAW/C/ARG/8, 15 de enero de 2024, </w:t>
      </w:r>
      <w:hyperlink r:id="rId1" w:history="1">
        <w:r w:rsidRPr="00906EE1">
          <w:rPr>
            <w:rStyle w:val="Hyperlink"/>
            <w:rFonts w:asciiTheme="minorHAnsi" w:hAnsiTheme="minorHAnsi"/>
            <w:sz w:val="16"/>
            <w:szCs w:val="16"/>
          </w:rPr>
          <w:t>tbinternet.ohchr.org/_layouts/15/treatybodyexternal/Download.aspx?symbolno=CEDAW%2FC%2FARG%2F8&amp;Lang=en</w:t>
        </w:r>
      </w:hyperlink>
      <w:r w:rsidRPr="00906EE1">
        <w:rPr>
          <w:rFonts w:asciiTheme="minorHAnsi" w:hAnsiTheme="minorHAnsi"/>
          <w:sz w:val="16"/>
          <w:szCs w:val="16"/>
        </w:rPr>
        <w:t xml:space="preserve"> </w:t>
      </w:r>
    </w:p>
  </w:footnote>
  <w:footnote w:id="3">
    <w:p w14:paraId="79EDACC2" w14:textId="6A24385D" w:rsidR="007F26F0" w:rsidRPr="00906EE1" w:rsidRDefault="007F26F0" w:rsidP="007F26F0">
      <w:pPr>
        <w:pStyle w:val="FootnoteText"/>
        <w:rPr>
          <w:rStyle w:val="Hyperlink"/>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Amnistía Internacional, Argentina: Informe al Comité para la Eliminación de la Discriminación contra la Mujer: 86° periodo de pre-sesiones del Grupo de Trabajo, lista de cuestiones previa a la presentación, 27 de febrero al 3 de marzo 2023 (AMR 13/6387/2023), 29 enero de 2023, </w:t>
      </w:r>
      <w:hyperlink r:id="rId2" w:history="1">
        <w:r w:rsidRPr="00906EE1">
          <w:rPr>
            <w:rStyle w:val="Hyperlink"/>
            <w:rFonts w:asciiTheme="minorHAnsi" w:hAnsiTheme="minorHAnsi"/>
            <w:sz w:val="16"/>
            <w:szCs w:val="16"/>
          </w:rPr>
          <w:t>https://www.amnesty.org/es/documents/amr13/6387/2023/es/</w:t>
        </w:r>
      </w:hyperlink>
    </w:p>
  </w:footnote>
  <w:footnote w:id="4">
    <w:p w14:paraId="2E0982FE"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Amnistía Internacional, “También es por vos: defender el acceso al aborto ante el retroceso de políticas públicas”, 2025. Disponible en: </w:t>
      </w:r>
      <w:hyperlink r:id="rId3">
        <w:r w:rsidRPr="00906EE1">
          <w:rPr>
            <w:rStyle w:val="Hyperlink"/>
            <w:rFonts w:asciiTheme="minorHAnsi" w:hAnsiTheme="minorHAnsi"/>
            <w:sz w:val="16"/>
            <w:szCs w:val="16"/>
          </w:rPr>
          <w:t>https://amnistia.org.ar/storage/uploads/4215e14b-70ff-4a68-b5f9-4e266e9382ec/Tambien-es-por-vos-Digital.pdf;</w:t>
        </w:r>
      </w:hyperlink>
      <w:r w:rsidRPr="00906EE1">
        <w:rPr>
          <w:rFonts w:asciiTheme="minorHAnsi" w:hAnsiTheme="minorHAnsi"/>
          <w:sz w:val="16"/>
          <w:szCs w:val="16"/>
        </w:rPr>
        <w:t xml:space="preserve"> AIA, “Alerta de la CIDH: Argentina debe sostener sus políticas de género para proteger derechos humanos”, 2024. En: </w:t>
      </w:r>
      <w:hyperlink r:id="rId4">
        <w:r w:rsidRPr="00906EE1">
          <w:rPr>
            <w:rStyle w:val="Hyperlink"/>
            <w:rFonts w:asciiTheme="minorHAnsi" w:hAnsiTheme="minorHAnsi"/>
            <w:sz w:val="16"/>
            <w:szCs w:val="16"/>
          </w:rPr>
          <w:t>https://amnistia.org.ar/noticias/alerta-de-la-cidh-argentina-debe-sostener-sus-politicas-de-genero-para-proteger-derechos-humanos-3</w:t>
        </w:r>
      </w:hyperlink>
      <w:r w:rsidRPr="00906EE1">
        <w:rPr>
          <w:rFonts w:asciiTheme="minorHAnsi" w:hAnsiTheme="minorHAnsi"/>
          <w:sz w:val="16"/>
          <w:szCs w:val="16"/>
        </w:rPr>
        <w:t xml:space="preserve">; ACIJ, ELA. “Análisis de las partidas vinculadas a género en el Proyecto de Presupuesto 2026”, 2026. En: </w:t>
      </w:r>
      <w:hyperlink r:id="rId5">
        <w:r w:rsidRPr="00906EE1">
          <w:rPr>
            <w:rStyle w:val="Hyperlink"/>
            <w:rFonts w:asciiTheme="minorHAnsi" w:hAnsiTheme="minorHAnsi"/>
            <w:sz w:val="16"/>
            <w:szCs w:val="16"/>
          </w:rPr>
          <w:t>https://acij.org.ar/wp-content/uploads/2025/10/Informe-ACIJ-ELA-Presupuesto-Genero-2026-2.pdf?utm_source=mailup&amp;utm_medium=emai</w:t>
        </w:r>
      </w:hyperlink>
      <w:r w:rsidRPr="00906EE1">
        <w:rPr>
          <w:rFonts w:asciiTheme="minorHAnsi" w:hAnsiTheme="minorHAnsi"/>
          <w:sz w:val="16"/>
          <w:szCs w:val="16"/>
        </w:rPr>
        <w:t xml:space="preserve"> </w:t>
      </w:r>
    </w:p>
  </w:footnote>
  <w:footnote w:id="5">
    <w:p w14:paraId="3DF30F22"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Justicia de la Nación, “Se concretó el cierre del ex Ministerio de la Mujer”, 7 de junio de 2024. Disponible en: https://www.instagram.com/p/C75T5aZOSYZ/.</w:t>
      </w:r>
    </w:p>
  </w:footnote>
  <w:footnote w:id="6">
    <w:p w14:paraId="3098626B"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ACIJ y ELA, “PRESUPUESTO 2025. Una distribución injusta de los recursos para mujeres, niñas y adolescentes”, 2024. https://ela.</w:t>
      </w:r>
    </w:p>
    <w:p w14:paraId="61047F42" w14:textId="180421F3" w:rsidR="007F26F0" w:rsidRPr="00906EE1" w:rsidRDefault="007F26F0" w:rsidP="007F26F0">
      <w:pPr>
        <w:pStyle w:val="FootnoteText"/>
        <w:rPr>
          <w:rFonts w:asciiTheme="minorHAnsi" w:hAnsiTheme="minorHAnsi"/>
          <w:sz w:val="16"/>
          <w:szCs w:val="16"/>
        </w:rPr>
      </w:pPr>
      <w:r w:rsidRPr="00906EE1">
        <w:rPr>
          <w:rFonts w:asciiTheme="minorHAnsi" w:hAnsiTheme="minorHAnsi"/>
          <w:sz w:val="16"/>
          <w:szCs w:val="16"/>
        </w:rPr>
        <w:t xml:space="preserve">org.ar/wp-content/uploads/2024/10/Analisis-del-proyecto-de-Presupuesto-2025-Politicas-de-genero-ELA-y-ACIJ.pdf.  </w:t>
      </w:r>
    </w:p>
  </w:footnote>
  <w:footnote w:id="7">
    <w:p w14:paraId="0492DF65"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Chaco (Ref. E60-2024-718-Ae) y Corrientes (Exp. 320-15-8658/24), conforme respuestas brindadas por las jurisdicciones a pedidos de acceso a la información pública realizados por AIA.</w:t>
      </w:r>
    </w:p>
  </w:footnote>
  <w:footnote w:id="8">
    <w:p w14:paraId="1190E60F" w14:textId="38CAC8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Gobierno Nacional, </w:t>
      </w:r>
      <w:r w:rsidR="00206D03" w:rsidRPr="00906EE1">
        <w:rPr>
          <w:rFonts w:asciiTheme="minorHAnsi" w:hAnsiTheme="minorHAnsi"/>
          <w:sz w:val="16"/>
          <w:szCs w:val="16"/>
        </w:rPr>
        <w:t>“</w:t>
      </w:r>
      <w:r w:rsidRPr="00906EE1">
        <w:rPr>
          <w:rFonts w:asciiTheme="minorHAnsi" w:hAnsiTheme="minorHAnsi"/>
          <w:sz w:val="16"/>
          <w:szCs w:val="16"/>
        </w:rPr>
        <w:t>Declaración de Manuel Adorni, vocero presidencial”, 27 de febrero de 2024, Agencial Télam</w:t>
      </w:r>
      <w:r w:rsidRPr="00906EE1" w:rsidDel="00977CFA">
        <w:rPr>
          <w:rFonts w:asciiTheme="minorHAnsi" w:hAnsiTheme="minorHAnsi"/>
          <w:sz w:val="16"/>
          <w:szCs w:val="16"/>
        </w:rPr>
        <w:t>,</w:t>
      </w:r>
      <w:r w:rsidRPr="00906EE1">
        <w:rPr>
          <w:rFonts w:asciiTheme="minorHAnsi" w:hAnsiTheme="minorHAnsi"/>
          <w:sz w:val="16"/>
          <w:szCs w:val="16"/>
        </w:rPr>
        <w:t xml:space="preserve"> https://www.y </w:t>
      </w:r>
      <w:hyperlink r:id="rId6">
        <w:r w:rsidRPr="00906EE1">
          <w:rPr>
            <w:rStyle w:val="Hyperlink"/>
            <w:rFonts w:asciiTheme="minorHAnsi" w:hAnsiTheme="minorHAnsi"/>
            <w:sz w:val="16"/>
            <w:szCs w:val="16"/>
          </w:rPr>
          <w:t>https://www.youtube.com/watch?v=AZqzznl-7ck</w:t>
        </w:r>
      </w:hyperlink>
      <w:r w:rsidRPr="00906EE1">
        <w:rPr>
          <w:rFonts w:asciiTheme="minorHAnsi" w:hAnsiTheme="minorHAnsi"/>
          <w:sz w:val="16"/>
          <w:szCs w:val="16"/>
        </w:rPr>
        <w:t xml:space="preserve"> </w:t>
      </w:r>
      <w:r w:rsidRPr="00906EE1">
        <w:rPr>
          <w:rFonts w:asciiTheme="minorHAnsi" w:eastAsia="Aptos Display" w:hAnsiTheme="minorHAnsi" w:cs="Aptos Display"/>
          <w:sz w:val="16"/>
          <w:szCs w:val="16"/>
        </w:rPr>
        <w:t xml:space="preserve"> </w:t>
      </w:r>
      <w:r w:rsidRPr="00906EE1">
        <w:rPr>
          <w:rFonts w:asciiTheme="minorHAnsi" w:hAnsiTheme="minorHAnsi"/>
          <w:sz w:val="16"/>
          <w:szCs w:val="16"/>
        </w:rPr>
        <w:t xml:space="preserve"> </w:t>
      </w:r>
    </w:p>
  </w:footnote>
  <w:footnote w:id="9">
    <w:p w14:paraId="7ED6820C" w14:textId="77777777" w:rsidR="007F26F0" w:rsidRPr="00906EE1" w:rsidRDefault="007F26F0" w:rsidP="007F26F0">
      <w:pPr>
        <w:pStyle w:val="FootnoteText"/>
        <w:rPr>
          <w:rFonts w:asciiTheme="minorHAnsi" w:hAnsiTheme="minorHAnsi"/>
          <w:sz w:val="16"/>
          <w:szCs w:val="16"/>
          <w:lang w:val="es-AR"/>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w:t>
      </w:r>
      <w:r w:rsidRPr="00906EE1">
        <w:rPr>
          <w:rFonts w:asciiTheme="minorHAnsi" w:hAnsiTheme="minorHAnsi"/>
          <w:sz w:val="16"/>
          <w:szCs w:val="16"/>
          <w:lang w:val="es-AR"/>
        </w:rPr>
        <w:t>Decreto presidencial 436/2025.</w:t>
      </w:r>
    </w:p>
  </w:footnote>
  <w:footnote w:id="10">
    <w:p w14:paraId="0647F3D5"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Discurso del presidente de la Nación, Javier Milei, desde el Foro de Davos, Suiza. 23 de enero de 2025. </w:t>
      </w:r>
    </w:p>
  </w:footnote>
  <w:footnote w:id="11">
    <w:p w14:paraId="1161F465"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El embarazo no intencional en la adolescencia, 2024, https://amnistia.org.ar/wp-content/uploads/delightful-downloads/2024/09/AMNISTIA_PlanEnia-VF.pdf</w:t>
      </w:r>
    </w:p>
  </w:footnote>
  <w:footnote w:id="12">
    <w:p w14:paraId="75E97B23"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Subsecretaría de Presupuesto – Oficina Nacional de Presupuesto, Ejecución físico financiera 2024, pg. 99. https://www.economia.gob.ar/onp/documentos/fisica_presupuesto/2024/4totrim24.pdf</w:t>
      </w:r>
    </w:p>
  </w:footnote>
  <w:footnote w:id="13">
    <w:p w14:paraId="1925F39D"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Subsecretaría de Presupuesto – Oficina Nacional de Presupuesto, Ejecución físico financiera. 2do trimestres 2025, pg..85. https://www.economia.gob.ar/onp/documentos/fisica_presupuesto/2025/2dotrim25.pdf</w:t>
      </w:r>
    </w:p>
  </w:footnote>
  <w:footnote w:id="14">
    <w:p w14:paraId="5FFF984A"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ACIJ, ELA, REDAAS y CEDES. Situación del Plan ENIA. 2025, pg. 7, https://ela.org.ar/wp-content/uploads/2025/06/Situacion-del-Plan-ENIA-28-de-mayo-2025.pdf</w:t>
      </w:r>
    </w:p>
  </w:footnote>
  <w:footnote w:id="15">
    <w:p w14:paraId="6B8228F2"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Dirección Nacional de Salud Sexual y Reproductiva, Ministerio de Salud de Nación, Implementar IVE-ILE, Ley 27.610, años 2021, 2022 e informe actualizado a 2023</w:t>
      </w:r>
    </w:p>
  </w:footnote>
  <w:footnote w:id="16">
    <w:p w14:paraId="7B69B27D"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Salud. Salud sexual y reproductiva en la Ciudad de Buenos Aires. Situación y respuesta. Actualización 2022. Coordinación Salud Sexual, VIH e ITS, 2023. y GPBA. Ministerio de Salud. Informe epidemiológico. Aborto en la Provincia de Buenos Aires. 2022. </w:t>
      </w:r>
    </w:p>
  </w:footnote>
  <w:footnote w:id="17">
    <w:p w14:paraId="20F158E0"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Salud de la Nación, ImplementAR IVE-ILE, informe anual 2023, diciembre 2023.</w:t>
      </w:r>
    </w:p>
  </w:footnote>
  <w:footnote w:id="18">
    <w:p w14:paraId="65EB5FC4"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Salud de la Nación, Dirección Nacional de Salud Sexual y Reproductiva, Respuesta a pedido de acceso a la información pública realizado por Amnistía Internacional Argentina y ELA, 13 de febrero de 2025.</w:t>
      </w:r>
    </w:p>
  </w:footnote>
  <w:footnote w:id="19">
    <w:p w14:paraId="11C5CC9B"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Ibidem.</w:t>
      </w:r>
    </w:p>
  </w:footnote>
  <w:footnote w:id="20">
    <w:p w14:paraId="6C470716"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Desde la ley 25.673 (2002), el Ministerio de Salud fortaleció un modelo de rectoría que integra funciones clave como la planificación, regulación y provisión de insumos. A través del programa Remediar, consolidó una logística federal que garantiza el suministro continuo de insumos de salud sexual y reproductiva en todo el país, incluso en zonas de difícil acceso.</w:t>
      </w:r>
    </w:p>
  </w:footnote>
  <w:footnote w:id="21">
    <w:p w14:paraId="7BE7BA58"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Salud de la Nación, Dirección Nacional de Salud Sexual y Reproductiva, Respuesta a pedido de acceso a la información pública (citado previamente).</w:t>
      </w:r>
    </w:p>
  </w:footnote>
  <w:footnote w:id="22">
    <w:p w14:paraId="03E4BCC8"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“Se triplican en 2025 las denuncias recibidas por Amnistía Internacional sobre barreras para acceder al aborto“, 2025, </w:t>
      </w:r>
      <w:hyperlink r:id="rId7">
        <w:r w:rsidRPr="00906EE1">
          <w:rPr>
            <w:rStyle w:val="Hyperlink"/>
            <w:rFonts w:asciiTheme="minorHAnsi" w:hAnsiTheme="minorHAnsi"/>
            <w:sz w:val="16"/>
            <w:szCs w:val="16"/>
          </w:rPr>
          <w:t>https://amnistia.org.ar/noticias/se-triplican-en-2025-las-denuncias-recibidas-por-amnistia-internacional-sobre-barreras-para-acceder-al-aborto</w:t>
        </w:r>
      </w:hyperlink>
      <w:r w:rsidRPr="00906EE1">
        <w:rPr>
          <w:rFonts w:asciiTheme="minorHAnsi" w:hAnsiTheme="minorHAnsi"/>
          <w:sz w:val="16"/>
          <w:szCs w:val="16"/>
        </w:rPr>
        <w:t xml:space="preserve"> </w:t>
      </w:r>
    </w:p>
  </w:footnote>
  <w:footnote w:id="23">
    <w:p w14:paraId="792AED0A"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El último informe de gestión publicado por el Estado Nacional data del año 2023.</w:t>
      </w:r>
    </w:p>
  </w:footnote>
  <w:footnote w:id="24">
    <w:p w14:paraId="3C6B41E7" w14:textId="7536F2D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Amnistía Internacional, </w:t>
      </w:r>
      <w:hyperlink r:id="rId8">
        <w:r w:rsidRPr="00906EE1">
          <w:rPr>
            <w:rStyle w:val="Hyperlink"/>
            <w:rFonts w:asciiTheme="minorHAnsi" w:hAnsiTheme="minorHAnsi"/>
            <w:sz w:val="16"/>
            <w:szCs w:val="16"/>
          </w:rPr>
          <w:t>Organizaciones internacionales llaman a proteger a profesionales de la salud que sufren ataques por garantizar el derecho al aborto,</w:t>
        </w:r>
      </w:hyperlink>
      <w:r w:rsidRPr="00906EE1">
        <w:rPr>
          <w:rFonts w:asciiTheme="minorHAnsi" w:hAnsiTheme="minorHAnsi"/>
          <w:sz w:val="16"/>
          <w:szCs w:val="16"/>
        </w:rPr>
        <w:t xml:space="preserve"> Publicado el 9 de diciembre de 2024.</w:t>
      </w:r>
    </w:p>
  </w:footnote>
  <w:footnote w:id="25">
    <w:p w14:paraId="79CC0611" w14:textId="0A932706"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“Manifiesta preocupación ante la obstaculización en el acceso a la interrupción voluntaria y legal del embarazo en el Hospital materno infantil de San Isidro. Solicita información.”, 2025. </w:t>
      </w:r>
      <w:hyperlink r:id="rId9">
        <w:r w:rsidRPr="00906EE1">
          <w:rPr>
            <w:rStyle w:val="Hyperlink"/>
            <w:rFonts w:asciiTheme="minorHAnsi" w:hAnsiTheme="minorHAnsi"/>
            <w:sz w:val="16"/>
            <w:szCs w:val="16"/>
          </w:rPr>
          <w:t>https://amnistia.org.ar/storage/uploads/424c2682-5d59-4d5e-9393-f0742801bf97/Nota-a-HMI-San-Isidro.pdf;</w:t>
        </w:r>
      </w:hyperlink>
      <w:hyperlink r:id="rId10">
        <w:r w:rsidRPr="00906EE1">
          <w:rPr>
            <w:rStyle w:val="Hyperlink"/>
            <w:rFonts w:asciiTheme="minorHAnsi" w:hAnsiTheme="minorHAnsi"/>
            <w:sz w:val="16"/>
            <w:szCs w:val="16"/>
          </w:rPr>
          <w:t>.</w:t>
        </w:r>
      </w:hyperlink>
    </w:p>
  </w:footnote>
  <w:footnote w:id="26">
    <w:p w14:paraId="2311C180"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Corte Suprema de Justicia de la Nación, Registro Nacional de femicidios de la justicia argentina, Informe 2024. Disponible en: </w:t>
      </w:r>
      <w:hyperlink r:id="rId11">
        <w:r w:rsidRPr="00906EE1">
          <w:rPr>
            <w:rStyle w:val="Hyperlink"/>
            <w:rFonts w:asciiTheme="minorHAnsi" w:hAnsiTheme="minorHAnsi"/>
            <w:sz w:val="16"/>
            <w:szCs w:val="16"/>
          </w:rPr>
          <w:t>https://om.csjn.gob.ar/consultaTalleresWeb/public/documentoConsulta/verDocumentoById?idDocumento=333</w:t>
        </w:r>
      </w:hyperlink>
      <w:r w:rsidRPr="00906EE1">
        <w:rPr>
          <w:rFonts w:asciiTheme="minorHAnsi" w:hAnsiTheme="minorHAnsi"/>
          <w:sz w:val="16"/>
          <w:szCs w:val="16"/>
        </w:rPr>
        <w:t xml:space="preserve"> </w:t>
      </w:r>
    </w:p>
  </w:footnote>
  <w:footnote w:id="27">
    <w:p w14:paraId="7B3900C5"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Ibidem.</w:t>
      </w:r>
    </w:p>
  </w:footnote>
  <w:footnote w:id="28">
    <w:p w14:paraId="54DF8B63"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Ibidem.</w:t>
      </w:r>
    </w:p>
  </w:footnote>
  <w:footnote w:id="29">
    <w:p w14:paraId="1EF33EB1"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Ibidem.</w:t>
      </w:r>
    </w:p>
  </w:footnote>
  <w:footnote w:id="30">
    <w:p w14:paraId="74B8CB16"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ACIJ, ELA. “Análisis de las partidas vinculadas a género en el Proyecto de Presupuesto 2026”, (Citado previamente).</w:t>
      </w:r>
      <w:r w:rsidRPr="00906EE1" w:rsidDel="00550FB1">
        <w:rPr>
          <w:rFonts w:asciiTheme="minorHAnsi" w:hAnsiTheme="minorHAnsi"/>
          <w:sz w:val="16"/>
          <w:szCs w:val="16"/>
        </w:rPr>
        <w:t xml:space="preserve"> </w:t>
      </w:r>
    </w:p>
  </w:footnote>
  <w:footnote w:id="31">
    <w:p w14:paraId="7054136F"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Justicia, respuesta a pedido de acceso a la información pública realizado por Amnistía Internacional, agosto de 2025. Disponible en: </w:t>
      </w:r>
      <w:hyperlink r:id="rId12">
        <w:r w:rsidRPr="00906EE1">
          <w:rPr>
            <w:rStyle w:val="Hyperlink"/>
            <w:rFonts w:asciiTheme="minorHAnsi" w:hAnsiTheme="minorHAnsi"/>
            <w:sz w:val="16"/>
            <w:szCs w:val="16"/>
          </w:rPr>
          <w:t>https://amnistia.org.ar/storage/uploads/477a4745-3384-4c10-bfa7-f683ceb6d848/2.-Respuesta-Secretaria-de-derechos-humanos-(acompa%C3%B1ar).pdf</w:t>
        </w:r>
      </w:hyperlink>
      <w:r w:rsidRPr="00906EE1">
        <w:rPr>
          <w:rFonts w:asciiTheme="minorHAnsi" w:hAnsiTheme="minorHAnsi"/>
          <w:sz w:val="16"/>
          <w:szCs w:val="16"/>
        </w:rPr>
        <w:t xml:space="preserve"> </w:t>
      </w:r>
    </w:p>
  </w:footnote>
  <w:footnote w:id="32">
    <w:p w14:paraId="647A80AF"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Justicia, Respuesta a pedido de acceso a la información pública realizado por Amnistía Internacional, agosto de 2024</w:t>
      </w:r>
    </w:p>
  </w:footnote>
  <w:footnote w:id="33">
    <w:p w14:paraId="4AA7A10D"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Sitio web oficial del Estado Argentino, “Línea 144: en 10 años se recibieron más de 900 mil comunicaciones por violencia de género.” Comunicado, 2023, argentina.gob.ar/noticias/linea-144-en-10-anos-se-recibieron-mas-de-900-mil-comunicaciones-por violencia-de-genero.  </w:t>
      </w:r>
    </w:p>
  </w:footnote>
  <w:footnote w:id="34">
    <w:p w14:paraId="1BDA43A5"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Justicia, respuesta a pedido de acceso a la información pública realizado por Amnistía Internacional, septiembre de 2024. </w:t>
      </w:r>
      <w:hyperlink r:id="rId13">
        <w:r w:rsidRPr="00906EE1">
          <w:rPr>
            <w:rStyle w:val="Hyperlink"/>
            <w:rFonts w:asciiTheme="minorHAnsi" w:hAnsiTheme="minorHAnsi"/>
            <w:sz w:val="16"/>
            <w:szCs w:val="16"/>
          </w:rPr>
          <w:t>https://amnistia.org.ar/wp-content/uploads/delightful-downloads/2024/11/Pedido-de-informaci%C3%B3n-p%C3%BAblica-al-Ministerio-de-Justicia-de-Naci%C3%B3n.pdf?utm_source=perfit&amp;utm_medium=email</w:t>
        </w:r>
      </w:hyperlink>
    </w:p>
  </w:footnote>
  <w:footnote w:id="35">
    <w:p w14:paraId="1F61D534"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ACIJ, ELA. “Análisis de las partidas vinculadas a género en el Proyecto de Presupuesto 2026”, (citado previamente).</w:t>
      </w:r>
    </w:p>
  </w:footnote>
  <w:footnote w:id="36">
    <w:p w14:paraId="073CF194"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Ministerio de Mujeres, Género y Diversidades de la Nación, Secretaría de Políticas contra la Violencia por razones de Género, Informe de gestión 2019 – 2023.</w:t>
      </w:r>
    </w:p>
  </w:footnote>
  <w:footnote w:id="37">
    <w:p w14:paraId="480C6B65"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Amnistía Internacional, Respuesta a pedido de acceso a la información pública al Ministerio de Justicia, agosto de 2025.  (citado previamente).</w:t>
      </w:r>
    </w:p>
  </w:footnote>
  <w:footnote w:id="38">
    <w:p w14:paraId="1F80D71D"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ACIJ, ELA. “Análisis de las partidas vinculadas a género en el Proyecto de Presupuesto 2026” (citado previamente)</w:t>
      </w:r>
    </w:p>
  </w:footnote>
  <w:footnote w:id="39">
    <w:p w14:paraId="2CC929B6"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w:t>
      </w:r>
      <w:r w:rsidRPr="00906EE1">
        <w:rPr>
          <w:rFonts w:asciiTheme="minorHAnsi" w:eastAsia="Aptos" w:hAnsiTheme="minorHAnsi" w:cs="Aptos"/>
          <w:sz w:val="16"/>
          <w:szCs w:val="16"/>
          <w:lang w:val="es-AR"/>
        </w:rPr>
        <w:t>CIDH. Informe anual 2024, capítulo IV.a, párr. 40, 47, 49, 64 y 65. Pg. 486 y ss.; Mandatos de la Relatora Especial sobre la violencia contra las mujeres y las niñas, sus causas y consecuencias; del Relator Especial sobre ejecuciones extrajudiciales, sumarias o arbitrarias y del Grupo de Trabajo sobre la discriminación contra las mujeres y las niñas. 15 de agosto de 2024. Ref.: AL ARG 8/2024. https://spcommreports.ohchr.org/TMResultsBase/DownLoadPublicCommunicationFile?gId=29265</w:t>
      </w:r>
    </w:p>
  </w:footnote>
  <w:footnote w:id="40">
    <w:p w14:paraId="3C51EB1B"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“La ofensiva contra los derechos LGBTI+ en Argentina”, 2025, </w:t>
      </w:r>
      <w:hyperlink r:id="rId14">
        <w:r w:rsidRPr="00906EE1">
          <w:rPr>
            <w:rStyle w:val="Hyperlink"/>
            <w:rFonts w:asciiTheme="minorHAnsi" w:hAnsiTheme="minorHAnsi"/>
            <w:sz w:val="16"/>
            <w:szCs w:val="16"/>
          </w:rPr>
          <w:t>https://amnistia.org.ar/storage/uploads/11be609a-231a-4a54-a87e-75dcca240434/Informe_La-ofensiva-contra-los-derechos-LGBTI+_Amnist%C3%ADa-Internacional_112025.pdf</w:t>
        </w:r>
      </w:hyperlink>
    </w:p>
  </w:footnote>
  <w:footnote w:id="41">
    <w:p w14:paraId="2DB5494B"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ILGA. “Los retrocesos en derechos de las personas trans en Argentina: Declaración de ILGALAC e ILGA Mundo sobre los decretos 61 y 62/2025”, 2025, </w:t>
      </w:r>
      <w:hyperlink r:id="rId15">
        <w:r w:rsidRPr="00906EE1">
          <w:rPr>
            <w:rStyle w:val="Hyperlink"/>
            <w:rFonts w:asciiTheme="minorHAnsi" w:hAnsiTheme="minorHAnsi"/>
            <w:sz w:val="16"/>
            <w:szCs w:val="16"/>
          </w:rPr>
          <w:t>https://ilga.org/es/news/argentina-ley-identidad-genero/</w:t>
        </w:r>
      </w:hyperlink>
      <w:r w:rsidRPr="00906EE1">
        <w:rPr>
          <w:rFonts w:asciiTheme="minorHAnsi" w:hAnsiTheme="minorHAnsi"/>
          <w:sz w:val="16"/>
          <w:szCs w:val="16"/>
        </w:rPr>
        <w:t xml:space="preserve"> </w:t>
      </w:r>
    </w:p>
  </w:footnote>
  <w:footnote w:id="42">
    <w:p w14:paraId="1EC99DF6"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Sofía, única sobreviviente, exige justicia, 2025,</w:t>
      </w:r>
      <w:hyperlink r:id="rId16">
        <w:r w:rsidRPr="00906EE1">
          <w:rPr>
            <w:rStyle w:val="Hyperlink"/>
            <w:rFonts w:asciiTheme="minorHAnsi" w:hAnsiTheme="minorHAnsi"/>
            <w:sz w:val="16"/>
            <w:szCs w:val="16"/>
          </w:rPr>
          <w:t>https://amnistia.org.ar/causas/derechos-lgbti/crimen-de-odio-en-barracas-contra-cuatro-mujeres-lesbianas</w:t>
        </w:r>
      </w:hyperlink>
      <w:r w:rsidRPr="00906EE1">
        <w:rPr>
          <w:rFonts w:asciiTheme="minorHAnsi" w:hAnsiTheme="minorHAnsi"/>
          <w:sz w:val="16"/>
          <w:szCs w:val="16"/>
        </w:rPr>
        <w:t xml:space="preserve"> </w:t>
      </w:r>
    </w:p>
  </w:footnote>
  <w:footnote w:id="43">
    <w:p w14:paraId="37BDA66F"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Defensoría del Pueblo de la Defensoría del Pueblo CBA y PBA, 2025, </w:t>
      </w:r>
      <w:hyperlink r:id="rId17">
        <w:r w:rsidRPr="00906EE1">
          <w:rPr>
            <w:rStyle w:val="Hyperlink"/>
            <w:rFonts w:asciiTheme="minorHAnsi" w:hAnsiTheme="minorHAnsi"/>
            <w:sz w:val="16"/>
            <w:szCs w:val="16"/>
          </w:rPr>
          <w:t>https://drive.google.com/file/d/1R1fppxpro1D9qxFTSDILK8-IZqT8Sjm1/view</w:t>
        </w:r>
      </w:hyperlink>
      <w:r w:rsidRPr="00906EE1">
        <w:rPr>
          <w:rFonts w:asciiTheme="minorHAnsi" w:hAnsiTheme="minorHAnsi"/>
          <w:sz w:val="16"/>
          <w:szCs w:val="16"/>
        </w:rPr>
        <w:t xml:space="preserve"> </w:t>
      </w:r>
    </w:p>
  </w:footnote>
  <w:footnote w:id="44">
    <w:p w14:paraId="01A6AF6B"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”Muteadas: el impacto de la violencia digital contra las periodistas”, 2024. Disponible en: </w:t>
      </w:r>
      <w:hyperlink r:id="rId18">
        <w:r w:rsidRPr="00906EE1">
          <w:rPr>
            <w:rStyle w:val="Hyperlink"/>
            <w:rFonts w:asciiTheme="minorHAnsi" w:hAnsiTheme="minorHAnsi"/>
            <w:sz w:val="16"/>
            <w:szCs w:val="16"/>
          </w:rPr>
          <w:t>https://amnistia.org.ar/wp-content/uploads/delightful-downloads/2024/10/Muteadas_InformeCompleto.pdf</w:t>
        </w:r>
      </w:hyperlink>
    </w:p>
  </w:footnote>
  <w:footnote w:id="45">
    <w:p w14:paraId="72A44D19"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Ibidem.</w:t>
      </w:r>
    </w:p>
  </w:footnote>
  <w:footnote w:id="46">
    <w:p w14:paraId="242E9EE3"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Casi el 60% de las periodistas que sufrieron violencia señaló que cubrir temas vinculados al derecho al aborto fue el principal desencadenante de las agresiones. También mencionaron femicidios y violencia de género (47,3%), derechos humanos (46,1%), política (44,1%) y ESI (41%).</w:t>
      </w:r>
    </w:p>
  </w:footnote>
  <w:footnote w:id="47">
    <w:p w14:paraId="2B923193" w14:textId="2F4C67C9"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”Muteadas: el impacto de la violencia digital contra las periodistas” (citado previamente).</w:t>
      </w:r>
    </w:p>
  </w:footnote>
  <w:footnote w:id="48">
    <w:p w14:paraId="22849657" w14:textId="77777777" w:rsidR="007F26F0" w:rsidRPr="00906EE1" w:rsidRDefault="007F26F0" w:rsidP="007F26F0">
      <w:pPr>
        <w:pStyle w:val="FootnoteText"/>
        <w:rPr>
          <w:rFonts w:asciiTheme="minorHAnsi" w:hAnsiTheme="minorHAnsi"/>
          <w:sz w:val="16"/>
          <w:szCs w:val="16"/>
          <w:lang w:val="es-AR"/>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Argentina ante la CIDH: alerta sobre libertad de expresión y una posible visita al país”, 2025. Disponible en: </w:t>
      </w:r>
      <w:hyperlink r:id="rId19">
        <w:r w:rsidRPr="00906EE1">
          <w:rPr>
            <w:rStyle w:val="Hyperlink"/>
            <w:rFonts w:asciiTheme="minorHAnsi" w:hAnsiTheme="minorHAnsi"/>
            <w:sz w:val="16"/>
            <w:szCs w:val="16"/>
          </w:rPr>
          <w:t>https://amnistia.org.ar/noticias/argentina-ante-la-cidh-alerta-sobre-libertad-de-expresion-y-una-posible-visita-al-pais</w:t>
        </w:r>
      </w:hyperlink>
      <w:r w:rsidRPr="00906EE1">
        <w:rPr>
          <w:rFonts w:asciiTheme="minorHAnsi" w:hAnsiTheme="minorHAnsi"/>
          <w:sz w:val="16"/>
          <w:szCs w:val="16"/>
        </w:rPr>
        <w:t xml:space="preserve">; AIA, ”Derechos en Argentina: 12 meses de gestión, 12 derechos perdidos”, 2024. Disponible en: </w:t>
      </w:r>
      <w:hyperlink r:id="rId20">
        <w:r w:rsidRPr="00906EE1">
          <w:rPr>
            <w:rStyle w:val="Hyperlink"/>
            <w:rFonts w:asciiTheme="minorHAnsi" w:hAnsiTheme="minorHAnsi"/>
            <w:sz w:val="16"/>
            <w:szCs w:val="16"/>
          </w:rPr>
          <w:t>https://amnistia.org.ar/wp-content/uploads/delightful-downloads/2024/12/DDHH-en-Argentina-2024-1-a%C3%B1o-12-derechos-perdidos-vf-11.12.pdf</w:t>
        </w:r>
      </w:hyperlink>
    </w:p>
  </w:footnote>
  <w:footnote w:id="49">
    <w:p w14:paraId="53885B73" w14:textId="77777777" w:rsidR="007F26F0" w:rsidRPr="00906EE1" w:rsidRDefault="007F26F0" w:rsidP="007F26F0">
      <w:pPr>
        <w:pStyle w:val="FootnoteText"/>
        <w:rPr>
          <w:rFonts w:asciiTheme="minorHAnsi" w:hAnsiTheme="minorHAnsi"/>
          <w:sz w:val="16"/>
          <w:szCs w:val="16"/>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AIA, Argentina ante la CIDH: el deterioro de la libertad de expresión y la agenda fiscal bajo la lupa internacional, 2025. Citado previamente.</w:t>
      </w:r>
    </w:p>
  </w:footnote>
  <w:footnote w:id="50">
    <w:p w14:paraId="31292E6F" w14:textId="77777777" w:rsidR="007F26F0" w:rsidRPr="00906EE1" w:rsidRDefault="007F26F0" w:rsidP="007F26F0">
      <w:pPr>
        <w:pStyle w:val="FootnoteText"/>
        <w:rPr>
          <w:rFonts w:asciiTheme="minorHAnsi" w:hAnsiTheme="minorHAnsi"/>
          <w:sz w:val="16"/>
          <w:szCs w:val="16"/>
          <w:lang w:val="es-AR"/>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w:t>
      </w:r>
      <w:r w:rsidRPr="00906EE1">
        <w:rPr>
          <w:rFonts w:asciiTheme="minorHAnsi" w:hAnsiTheme="minorHAnsi"/>
          <w:sz w:val="16"/>
          <w:szCs w:val="16"/>
          <w:lang w:val="es-AR"/>
        </w:rPr>
        <w:t>Muteadas, “El impacto de la violencia digital contra las periodistas”, (citado previamente).</w:t>
      </w:r>
    </w:p>
  </w:footnote>
  <w:footnote w:id="51">
    <w:p w14:paraId="13E72222" w14:textId="77777777" w:rsidR="007F26F0" w:rsidRPr="00906EE1" w:rsidRDefault="007F26F0" w:rsidP="007F26F0">
      <w:pPr>
        <w:pStyle w:val="FootnoteText"/>
        <w:rPr>
          <w:rFonts w:asciiTheme="minorHAnsi" w:hAnsiTheme="minorHAnsi"/>
          <w:sz w:val="16"/>
          <w:szCs w:val="16"/>
          <w:lang w:val="es-AR"/>
        </w:rPr>
      </w:pPr>
      <w:r w:rsidRPr="00906EE1">
        <w:rPr>
          <w:rStyle w:val="FootnoteReference"/>
          <w:rFonts w:asciiTheme="minorHAnsi" w:hAnsiTheme="minorHAnsi"/>
          <w:sz w:val="16"/>
          <w:szCs w:val="16"/>
        </w:rPr>
        <w:footnoteRef/>
      </w:r>
      <w:r w:rsidRPr="00906EE1">
        <w:rPr>
          <w:rFonts w:asciiTheme="minorHAnsi" w:hAnsiTheme="minorHAnsi"/>
          <w:sz w:val="16"/>
          <w:szCs w:val="16"/>
        </w:rPr>
        <w:t xml:space="preserve"> </w:t>
      </w:r>
      <w:r w:rsidRPr="00906EE1">
        <w:rPr>
          <w:rFonts w:asciiTheme="minorHAnsi" w:hAnsiTheme="minorHAnsi"/>
          <w:sz w:val="16"/>
          <w:szCs w:val="16"/>
          <w:lang w:val="es-AR"/>
        </w:rPr>
        <w:t>Corte Suprema de Justicia de la Nación, Mapa de Género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8EC991D"/>
    <w:multiLevelType w:val="hybridMultilevel"/>
    <w:tmpl w:val="16E47880"/>
    <w:lvl w:ilvl="0" w:tplc="3F9A60AC">
      <w:start w:val="1"/>
      <w:numFmt w:val="decimal"/>
      <w:lvlText w:val="%1."/>
      <w:lvlJc w:val="left"/>
      <w:pPr>
        <w:ind w:left="720" w:hanging="360"/>
      </w:pPr>
    </w:lvl>
    <w:lvl w:ilvl="1" w:tplc="11926DDC">
      <w:start w:val="1"/>
      <w:numFmt w:val="lowerLetter"/>
      <w:lvlText w:val="%2."/>
      <w:lvlJc w:val="left"/>
      <w:pPr>
        <w:ind w:left="1440" w:hanging="360"/>
      </w:pPr>
    </w:lvl>
    <w:lvl w:ilvl="2" w:tplc="1B5840A8">
      <w:start w:val="1"/>
      <w:numFmt w:val="lowerRoman"/>
      <w:lvlText w:val="%3."/>
      <w:lvlJc w:val="right"/>
      <w:pPr>
        <w:ind w:left="2160" w:hanging="180"/>
      </w:pPr>
    </w:lvl>
    <w:lvl w:ilvl="3" w:tplc="CE120B0A">
      <w:start w:val="1"/>
      <w:numFmt w:val="decimal"/>
      <w:lvlText w:val="%4."/>
      <w:lvlJc w:val="left"/>
      <w:pPr>
        <w:ind w:left="2880" w:hanging="360"/>
      </w:pPr>
    </w:lvl>
    <w:lvl w:ilvl="4" w:tplc="D72C3BEE">
      <w:start w:val="1"/>
      <w:numFmt w:val="lowerLetter"/>
      <w:lvlText w:val="%5."/>
      <w:lvlJc w:val="left"/>
      <w:pPr>
        <w:ind w:left="3600" w:hanging="360"/>
      </w:pPr>
    </w:lvl>
    <w:lvl w:ilvl="5" w:tplc="976EDD00">
      <w:start w:val="1"/>
      <w:numFmt w:val="lowerRoman"/>
      <w:lvlText w:val="%6."/>
      <w:lvlJc w:val="right"/>
      <w:pPr>
        <w:ind w:left="4320" w:hanging="180"/>
      </w:pPr>
    </w:lvl>
    <w:lvl w:ilvl="6" w:tplc="E93E9616">
      <w:start w:val="1"/>
      <w:numFmt w:val="decimal"/>
      <w:lvlText w:val="%7."/>
      <w:lvlJc w:val="left"/>
      <w:pPr>
        <w:ind w:left="5040" w:hanging="360"/>
      </w:pPr>
    </w:lvl>
    <w:lvl w:ilvl="7" w:tplc="702A626A">
      <w:start w:val="1"/>
      <w:numFmt w:val="lowerLetter"/>
      <w:lvlText w:val="%8."/>
      <w:lvlJc w:val="left"/>
      <w:pPr>
        <w:ind w:left="5760" w:hanging="360"/>
      </w:pPr>
    </w:lvl>
    <w:lvl w:ilvl="8" w:tplc="F45022BE">
      <w:start w:val="1"/>
      <w:numFmt w:val="lowerRoman"/>
      <w:lvlText w:val="%9."/>
      <w:lvlJc w:val="right"/>
      <w:pPr>
        <w:ind w:left="6480" w:hanging="180"/>
      </w:pPr>
    </w:lvl>
  </w:abstractNum>
  <w:abstractNum w:abstractNumId="17"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1"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5202299">
    <w:abstractNumId w:val="20"/>
  </w:num>
  <w:num w:numId="2" w16cid:durableId="338775136">
    <w:abstractNumId w:val="20"/>
  </w:num>
  <w:num w:numId="3" w16cid:durableId="1821265233">
    <w:abstractNumId w:val="20"/>
  </w:num>
  <w:num w:numId="4" w16cid:durableId="1894269040">
    <w:abstractNumId w:val="20"/>
  </w:num>
  <w:num w:numId="5" w16cid:durableId="474182085">
    <w:abstractNumId w:val="20"/>
  </w:num>
  <w:num w:numId="6" w16cid:durableId="379525386">
    <w:abstractNumId w:val="20"/>
  </w:num>
  <w:num w:numId="7" w16cid:durableId="1361779096">
    <w:abstractNumId w:val="20"/>
  </w:num>
  <w:num w:numId="8" w16cid:durableId="1768698956">
    <w:abstractNumId w:val="20"/>
  </w:num>
  <w:num w:numId="9" w16cid:durableId="551621503">
    <w:abstractNumId w:val="19"/>
  </w:num>
  <w:num w:numId="10" w16cid:durableId="1321739938">
    <w:abstractNumId w:val="21"/>
  </w:num>
  <w:num w:numId="11" w16cid:durableId="642277786">
    <w:abstractNumId w:val="23"/>
  </w:num>
  <w:num w:numId="12" w16cid:durableId="21593618">
    <w:abstractNumId w:val="12"/>
  </w:num>
  <w:num w:numId="13" w16cid:durableId="650718959">
    <w:abstractNumId w:val="14"/>
  </w:num>
  <w:num w:numId="14" w16cid:durableId="1635790502">
    <w:abstractNumId w:val="10"/>
  </w:num>
  <w:num w:numId="15" w16cid:durableId="1964966204">
    <w:abstractNumId w:val="11"/>
  </w:num>
  <w:num w:numId="16" w16cid:durableId="2029287020">
    <w:abstractNumId w:val="22"/>
  </w:num>
  <w:num w:numId="17" w16cid:durableId="1803229117">
    <w:abstractNumId w:val="18"/>
  </w:num>
  <w:num w:numId="18" w16cid:durableId="2019039769">
    <w:abstractNumId w:val="9"/>
  </w:num>
  <w:num w:numId="19" w16cid:durableId="105394285">
    <w:abstractNumId w:val="7"/>
  </w:num>
  <w:num w:numId="20" w16cid:durableId="82341086">
    <w:abstractNumId w:val="6"/>
  </w:num>
  <w:num w:numId="21" w16cid:durableId="377824617">
    <w:abstractNumId w:val="5"/>
  </w:num>
  <w:num w:numId="22" w16cid:durableId="881290273">
    <w:abstractNumId w:val="4"/>
  </w:num>
  <w:num w:numId="23" w16cid:durableId="1864593753">
    <w:abstractNumId w:val="8"/>
  </w:num>
  <w:num w:numId="24" w16cid:durableId="233199414">
    <w:abstractNumId w:val="3"/>
  </w:num>
  <w:num w:numId="25" w16cid:durableId="669874162">
    <w:abstractNumId w:val="2"/>
  </w:num>
  <w:num w:numId="26" w16cid:durableId="1184131395">
    <w:abstractNumId w:val="1"/>
  </w:num>
  <w:num w:numId="27" w16cid:durableId="1093815179">
    <w:abstractNumId w:val="0"/>
  </w:num>
  <w:num w:numId="28" w16cid:durableId="1580476743">
    <w:abstractNumId w:val="13"/>
  </w:num>
  <w:num w:numId="29" w16cid:durableId="1336684570">
    <w:abstractNumId w:val="17"/>
  </w:num>
  <w:num w:numId="30" w16cid:durableId="1323898444">
    <w:abstractNumId w:val="15"/>
  </w:num>
  <w:num w:numId="31" w16cid:durableId="7245970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1154"/>
    <w:rsid w:val="00021885"/>
    <w:rsid w:val="00022B80"/>
    <w:rsid w:val="000259F7"/>
    <w:rsid w:val="00025AFD"/>
    <w:rsid w:val="00031C00"/>
    <w:rsid w:val="000357E2"/>
    <w:rsid w:val="0005087E"/>
    <w:rsid w:val="00056576"/>
    <w:rsid w:val="000604C6"/>
    <w:rsid w:val="00065FFC"/>
    <w:rsid w:val="000660E7"/>
    <w:rsid w:val="0006664D"/>
    <w:rsid w:val="0006667A"/>
    <w:rsid w:val="00070657"/>
    <w:rsid w:val="0007677B"/>
    <w:rsid w:val="000808AF"/>
    <w:rsid w:val="00081537"/>
    <w:rsid w:val="0008415F"/>
    <w:rsid w:val="00085AA0"/>
    <w:rsid w:val="00090DB1"/>
    <w:rsid w:val="000922C7"/>
    <w:rsid w:val="000A080C"/>
    <w:rsid w:val="000A1082"/>
    <w:rsid w:val="000A66E9"/>
    <w:rsid w:val="000B3317"/>
    <w:rsid w:val="000B3BD6"/>
    <w:rsid w:val="000B7EEA"/>
    <w:rsid w:val="000C2825"/>
    <w:rsid w:val="000C5B09"/>
    <w:rsid w:val="000D2B44"/>
    <w:rsid w:val="000D2BD5"/>
    <w:rsid w:val="000E083A"/>
    <w:rsid w:val="000E15E9"/>
    <w:rsid w:val="000F5DC9"/>
    <w:rsid w:val="001048F8"/>
    <w:rsid w:val="00106694"/>
    <w:rsid w:val="001078C8"/>
    <w:rsid w:val="00112CAF"/>
    <w:rsid w:val="00113E91"/>
    <w:rsid w:val="001140D3"/>
    <w:rsid w:val="001153D5"/>
    <w:rsid w:val="00116223"/>
    <w:rsid w:val="001231E9"/>
    <w:rsid w:val="001239F3"/>
    <w:rsid w:val="00124E0C"/>
    <w:rsid w:val="00125850"/>
    <w:rsid w:val="001263C5"/>
    <w:rsid w:val="00126A84"/>
    <w:rsid w:val="00130C4E"/>
    <w:rsid w:val="00131015"/>
    <w:rsid w:val="00132E35"/>
    <w:rsid w:val="00133535"/>
    <w:rsid w:val="00136468"/>
    <w:rsid w:val="00137621"/>
    <w:rsid w:val="00140418"/>
    <w:rsid w:val="0014349E"/>
    <w:rsid w:val="0014389E"/>
    <w:rsid w:val="0014563D"/>
    <w:rsid w:val="0015226A"/>
    <w:rsid w:val="00154926"/>
    <w:rsid w:val="00160BEF"/>
    <w:rsid w:val="0016172B"/>
    <w:rsid w:val="00162896"/>
    <w:rsid w:val="00163908"/>
    <w:rsid w:val="0016768A"/>
    <w:rsid w:val="00176364"/>
    <w:rsid w:val="001822A9"/>
    <w:rsid w:val="00183E7F"/>
    <w:rsid w:val="00186073"/>
    <w:rsid w:val="0018795D"/>
    <w:rsid w:val="0019203A"/>
    <w:rsid w:val="00195520"/>
    <w:rsid w:val="001A03AE"/>
    <w:rsid w:val="001A0E99"/>
    <w:rsid w:val="001A1A6A"/>
    <w:rsid w:val="001B2B26"/>
    <w:rsid w:val="001B51CA"/>
    <w:rsid w:val="001C36E1"/>
    <w:rsid w:val="001C5866"/>
    <w:rsid w:val="001C750C"/>
    <w:rsid w:val="001D411B"/>
    <w:rsid w:val="001D51A7"/>
    <w:rsid w:val="001D5317"/>
    <w:rsid w:val="001D7D31"/>
    <w:rsid w:val="001E449A"/>
    <w:rsid w:val="001E76B1"/>
    <w:rsid w:val="001E7BBB"/>
    <w:rsid w:val="001F0F4A"/>
    <w:rsid w:val="001F392A"/>
    <w:rsid w:val="001F6ADE"/>
    <w:rsid w:val="00206D03"/>
    <w:rsid w:val="0021059D"/>
    <w:rsid w:val="00210F45"/>
    <w:rsid w:val="002146C5"/>
    <w:rsid w:val="00217DDF"/>
    <w:rsid w:val="00220669"/>
    <w:rsid w:val="0022451F"/>
    <w:rsid w:val="00224635"/>
    <w:rsid w:val="00231581"/>
    <w:rsid w:val="00232DD3"/>
    <w:rsid w:val="00242E00"/>
    <w:rsid w:val="00243174"/>
    <w:rsid w:val="00244215"/>
    <w:rsid w:val="002541A8"/>
    <w:rsid w:val="00254FC0"/>
    <w:rsid w:val="002603C2"/>
    <w:rsid w:val="00262EB8"/>
    <w:rsid w:val="00263834"/>
    <w:rsid w:val="00266153"/>
    <w:rsid w:val="002710FE"/>
    <w:rsid w:val="00272FBA"/>
    <w:rsid w:val="002731B3"/>
    <w:rsid w:val="00284B69"/>
    <w:rsid w:val="002959EB"/>
    <w:rsid w:val="00295C31"/>
    <w:rsid w:val="0029650E"/>
    <w:rsid w:val="00297B06"/>
    <w:rsid w:val="002A2D81"/>
    <w:rsid w:val="002A4507"/>
    <w:rsid w:val="002A76CF"/>
    <w:rsid w:val="002B5487"/>
    <w:rsid w:val="002B5E67"/>
    <w:rsid w:val="002C1757"/>
    <w:rsid w:val="002C26F6"/>
    <w:rsid w:val="002C4B9C"/>
    <w:rsid w:val="002C4EAA"/>
    <w:rsid w:val="002C6498"/>
    <w:rsid w:val="002D4105"/>
    <w:rsid w:val="002E05E9"/>
    <w:rsid w:val="002E4CC8"/>
    <w:rsid w:val="002E7F19"/>
    <w:rsid w:val="002F23A4"/>
    <w:rsid w:val="002F283E"/>
    <w:rsid w:val="002F5913"/>
    <w:rsid w:val="002F6FCC"/>
    <w:rsid w:val="003002FD"/>
    <w:rsid w:val="00301EE2"/>
    <w:rsid w:val="003047FD"/>
    <w:rsid w:val="00306C0E"/>
    <w:rsid w:val="0031064C"/>
    <w:rsid w:val="00311291"/>
    <w:rsid w:val="00313DC6"/>
    <w:rsid w:val="00315190"/>
    <w:rsid w:val="003159EB"/>
    <w:rsid w:val="00315AAE"/>
    <w:rsid w:val="00317C85"/>
    <w:rsid w:val="00321055"/>
    <w:rsid w:val="0032480A"/>
    <w:rsid w:val="003345F7"/>
    <w:rsid w:val="00335368"/>
    <w:rsid w:val="0033617D"/>
    <w:rsid w:val="003408CB"/>
    <w:rsid w:val="00342011"/>
    <w:rsid w:val="003454C8"/>
    <w:rsid w:val="00346173"/>
    <w:rsid w:val="0035046C"/>
    <w:rsid w:val="00350C78"/>
    <w:rsid w:val="00352EB8"/>
    <w:rsid w:val="00355567"/>
    <w:rsid w:val="003618E5"/>
    <w:rsid w:val="00363BFE"/>
    <w:rsid w:val="00364BCD"/>
    <w:rsid w:val="00365804"/>
    <w:rsid w:val="00376059"/>
    <w:rsid w:val="00391D04"/>
    <w:rsid w:val="00392F19"/>
    <w:rsid w:val="003A0A63"/>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27D71"/>
    <w:rsid w:val="004325EC"/>
    <w:rsid w:val="00435004"/>
    <w:rsid w:val="00436B70"/>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B55BB"/>
    <w:rsid w:val="004C01CF"/>
    <w:rsid w:val="004C01F4"/>
    <w:rsid w:val="004C039E"/>
    <w:rsid w:val="004C33B2"/>
    <w:rsid w:val="004C5791"/>
    <w:rsid w:val="004C62B3"/>
    <w:rsid w:val="004C6D9E"/>
    <w:rsid w:val="004D279E"/>
    <w:rsid w:val="004D2A5B"/>
    <w:rsid w:val="004D2C1A"/>
    <w:rsid w:val="004E0D0A"/>
    <w:rsid w:val="004E3F54"/>
    <w:rsid w:val="004E5E19"/>
    <w:rsid w:val="004F2B82"/>
    <w:rsid w:val="004F41F5"/>
    <w:rsid w:val="00505990"/>
    <w:rsid w:val="00506088"/>
    <w:rsid w:val="00506147"/>
    <w:rsid w:val="00506C83"/>
    <w:rsid w:val="00507292"/>
    <w:rsid w:val="00507A8D"/>
    <w:rsid w:val="0051177D"/>
    <w:rsid w:val="00511B3B"/>
    <w:rsid w:val="00511F2A"/>
    <w:rsid w:val="00512576"/>
    <w:rsid w:val="005148F8"/>
    <w:rsid w:val="00514A8A"/>
    <w:rsid w:val="0051756F"/>
    <w:rsid w:val="00524A26"/>
    <w:rsid w:val="00525490"/>
    <w:rsid w:val="005309BB"/>
    <w:rsid w:val="00531BAC"/>
    <w:rsid w:val="00542848"/>
    <w:rsid w:val="00547487"/>
    <w:rsid w:val="00550480"/>
    <w:rsid w:val="00552DA7"/>
    <w:rsid w:val="005542B1"/>
    <w:rsid w:val="00556F7B"/>
    <w:rsid w:val="00560D5E"/>
    <w:rsid w:val="0056576E"/>
    <w:rsid w:val="005673F7"/>
    <w:rsid w:val="005755FD"/>
    <w:rsid w:val="00575CFA"/>
    <w:rsid w:val="005761EA"/>
    <w:rsid w:val="00577572"/>
    <w:rsid w:val="005805A9"/>
    <w:rsid w:val="00580C70"/>
    <w:rsid w:val="00581876"/>
    <w:rsid w:val="005947CE"/>
    <w:rsid w:val="00596471"/>
    <w:rsid w:val="00597411"/>
    <w:rsid w:val="005A2CDF"/>
    <w:rsid w:val="005A4670"/>
    <w:rsid w:val="005A6C3C"/>
    <w:rsid w:val="005B0527"/>
    <w:rsid w:val="005B3B02"/>
    <w:rsid w:val="005B4CE5"/>
    <w:rsid w:val="005B6A4A"/>
    <w:rsid w:val="005C14E2"/>
    <w:rsid w:val="005C57D4"/>
    <w:rsid w:val="005C58FF"/>
    <w:rsid w:val="005D106B"/>
    <w:rsid w:val="005D3676"/>
    <w:rsid w:val="005D3A1B"/>
    <w:rsid w:val="005D5C6F"/>
    <w:rsid w:val="005E5767"/>
    <w:rsid w:val="005E6F94"/>
    <w:rsid w:val="005F5691"/>
    <w:rsid w:val="005F7F31"/>
    <w:rsid w:val="00603CE3"/>
    <w:rsid w:val="00607A4C"/>
    <w:rsid w:val="006154D8"/>
    <w:rsid w:val="00615A29"/>
    <w:rsid w:val="006164DC"/>
    <w:rsid w:val="00620197"/>
    <w:rsid w:val="00624209"/>
    <w:rsid w:val="006247AA"/>
    <w:rsid w:val="00625E6A"/>
    <w:rsid w:val="00626C8F"/>
    <w:rsid w:val="00636D85"/>
    <w:rsid w:val="00636E70"/>
    <w:rsid w:val="0064277D"/>
    <w:rsid w:val="00651242"/>
    <w:rsid w:val="00656B9B"/>
    <w:rsid w:val="006570CD"/>
    <w:rsid w:val="0065763F"/>
    <w:rsid w:val="00661C0B"/>
    <w:rsid w:val="00662C5D"/>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02BD"/>
    <w:rsid w:val="006D26B1"/>
    <w:rsid w:val="006D34EC"/>
    <w:rsid w:val="006D553A"/>
    <w:rsid w:val="006D7894"/>
    <w:rsid w:val="006E4064"/>
    <w:rsid w:val="006E5F23"/>
    <w:rsid w:val="006F2A33"/>
    <w:rsid w:val="006F41F0"/>
    <w:rsid w:val="006F4625"/>
    <w:rsid w:val="006F5182"/>
    <w:rsid w:val="006F729A"/>
    <w:rsid w:val="007000E2"/>
    <w:rsid w:val="00705969"/>
    <w:rsid w:val="00712C7F"/>
    <w:rsid w:val="007169C7"/>
    <w:rsid w:val="0072109E"/>
    <w:rsid w:val="00725146"/>
    <w:rsid w:val="007279B6"/>
    <w:rsid w:val="007304C2"/>
    <w:rsid w:val="00735443"/>
    <w:rsid w:val="0073651F"/>
    <w:rsid w:val="00742EE9"/>
    <w:rsid w:val="00743842"/>
    <w:rsid w:val="00750845"/>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579B"/>
    <w:rsid w:val="007A7750"/>
    <w:rsid w:val="007B0778"/>
    <w:rsid w:val="007B3230"/>
    <w:rsid w:val="007B7274"/>
    <w:rsid w:val="007C116E"/>
    <w:rsid w:val="007C2D0D"/>
    <w:rsid w:val="007C3D92"/>
    <w:rsid w:val="007C431D"/>
    <w:rsid w:val="007C528E"/>
    <w:rsid w:val="007C632C"/>
    <w:rsid w:val="007C6C3F"/>
    <w:rsid w:val="007D096D"/>
    <w:rsid w:val="007D1698"/>
    <w:rsid w:val="007D1AE8"/>
    <w:rsid w:val="007D2CC8"/>
    <w:rsid w:val="007E2E87"/>
    <w:rsid w:val="007E442C"/>
    <w:rsid w:val="007E4B97"/>
    <w:rsid w:val="007E5AEF"/>
    <w:rsid w:val="007F26F0"/>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B14"/>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4467"/>
    <w:rsid w:val="009055DA"/>
    <w:rsid w:val="00906EE1"/>
    <w:rsid w:val="009071EE"/>
    <w:rsid w:val="00917A5A"/>
    <w:rsid w:val="009254DD"/>
    <w:rsid w:val="00941599"/>
    <w:rsid w:val="0094564F"/>
    <w:rsid w:val="0094789C"/>
    <w:rsid w:val="00947912"/>
    <w:rsid w:val="00951603"/>
    <w:rsid w:val="009528CB"/>
    <w:rsid w:val="0095511C"/>
    <w:rsid w:val="0095521F"/>
    <w:rsid w:val="00961312"/>
    <w:rsid w:val="00962784"/>
    <w:rsid w:val="009645AB"/>
    <w:rsid w:val="0096741A"/>
    <w:rsid w:val="00970D4C"/>
    <w:rsid w:val="009730BD"/>
    <w:rsid w:val="00973F85"/>
    <w:rsid w:val="009815DF"/>
    <w:rsid w:val="00981DD2"/>
    <w:rsid w:val="009A0CBC"/>
    <w:rsid w:val="009A3965"/>
    <w:rsid w:val="009A44FD"/>
    <w:rsid w:val="009A6D60"/>
    <w:rsid w:val="009A6F95"/>
    <w:rsid w:val="009B141F"/>
    <w:rsid w:val="009C24A1"/>
    <w:rsid w:val="009C6598"/>
    <w:rsid w:val="009C7548"/>
    <w:rsid w:val="009D1CED"/>
    <w:rsid w:val="009D38F3"/>
    <w:rsid w:val="009E0814"/>
    <w:rsid w:val="009E3F41"/>
    <w:rsid w:val="009E5B43"/>
    <w:rsid w:val="009E5CD2"/>
    <w:rsid w:val="009E6786"/>
    <w:rsid w:val="009E6BA8"/>
    <w:rsid w:val="009F20B2"/>
    <w:rsid w:val="009F603B"/>
    <w:rsid w:val="009F6BAA"/>
    <w:rsid w:val="009F7136"/>
    <w:rsid w:val="009F756E"/>
    <w:rsid w:val="009F7FE7"/>
    <w:rsid w:val="00A008E9"/>
    <w:rsid w:val="00A10EE4"/>
    <w:rsid w:val="00A131DD"/>
    <w:rsid w:val="00A138BD"/>
    <w:rsid w:val="00A17087"/>
    <w:rsid w:val="00A2033A"/>
    <w:rsid w:val="00A22524"/>
    <w:rsid w:val="00A22D79"/>
    <w:rsid w:val="00A31034"/>
    <w:rsid w:val="00A354A1"/>
    <w:rsid w:val="00A361D0"/>
    <w:rsid w:val="00A373E9"/>
    <w:rsid w:val="00A41BBA"/>
    <w:rsid w:val="00A44D23"/>
    <w:rsid w:val="00A5109B"/>
    <w:rsid w:val="00A51830"/>
    <w:rsid w:val="00A52768"/>
    <w:rsid w:val="00A52E32"/>
    <w:rsid w:val="00A543A0"/>
    <w:rsid w:val="00A6153A"/>
    <w:rsid w:val="00A64BD0"/>
    <w:rsid w:val="00A72775"/>
    <w:rsid w:val="00A85BAA"/>
    <w:rsid w:val="00A916B2"/>
    <w:rsid w:val="00A926B7"/>
    <w:rsid w:val="00A92C02"/>
    <w:rsid w:val="00A93A4E"/>
    <w:rsid w:val="00A96594"/>
    <w:rsid w:val="00AA354E"/>
    <w:rsid w:val="00AA3692"/>
    <w:rsid w:val="00AA45E1"/>
    <w:rsid w:val="00AA6BA7"/>
    <w:rsid w:val="00AA6C22"/>
    <w:rsid w:val="00AB0170"/>
    <w:rsid w:val="00AB0F34"/>
    <w:rsid w:val="00AB224A"/>
    <w:rsid w:val="00AB4821"/>
    <w:rsid w:val="00AC5A52"/>
    <w:rsid w:val="00AC7F90"/>
    <w:rsid w:val="00AD2583"/>
    <w:rsid w:val="00AD318D"/>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44F"/>
    <w:rsid w:val="00B2691C"/>
    <w:rsid w:val="00B3222A"/>
    <w:rsid w:val="00B3369D"/>
    <w:rsid w:val="00B33BCE"/>
    <w:rsid w:val="00B33F9E"/>
    <w:rsid w:val="00B448CE"/>
    <w:rsid w:val="00B61AFE"/>
    <w:rsid w:val="00B632E8"/>
    <w:rsid w:val="00B64F84"/>
    <w:rsid w:val="00B702DD"/>
    <w:rsid w:val="00B7100E"/>
    <w:rsid w:val="00B772D5"/>
    <w:rsid w:val="00B80C70"/>
    <w:rsid w:val="00B81A44"/>
    <w:rsid w:val="00B830F7"/>
    <w:rsid w:val="00B838EF"/>
    <w:rsid w:val="00B93717"/>
    <w:rsid w:val="00B946FF"/>
    <w:rsid w:val="00B97309"/>
    <w:rsid w:val="00BA23EB"/>
    <w:rsid w:val="00BB031B"/>
    <w:rsid w:val="00BB1C71"/>
    <w:rsid w:val="00BC3FCB"/>
    <w:rsid w:val="00BC7BD9"/>
    <w:rsid w:val="00BD07B1"/>
    <w:rsid w:val="00BD139E"/>
    <w:rsid w:val="00BD175B"/>
    <w:rsid w:val="00BD5DF0"/>
    <w:rsid w:val="00BE030D"/>
    <w:rsid w:val="00BE10DC"/>
    <w:rsid w:val="00BE1493"/>
    <w:rsid w:val="00BE3701"/>
    <w:rsid w:val="00BE57D1"/>
    <w:rsid w:val="00BF1CC6"/>
    <w:rsid w:val="00BF2E8D"/>
    <w:rsid w:val="00BF3D13"/>
    <w:rsid w:val="00BF4869"/>
    <w:rsid w:val="00BF799E"/>
    <w:rsid w:val="00C02099"/>
    <w:rsid w:val="00C02A18"/>
    <w:rsid w:val="00C074C2"/>
    <w:rsid w:val="00C16CC3"/>
    <w:rsid w:val="00C172ED"/>
    <w:rsid w:val="00C219BE"/>
    <w:rsid w:val="00C246D9"/>
    <w:rsid w:val="00C26D46"/>
    <w:rsid w:val="00C27472"/>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524"/>
    <w:rsid w:val="00CB4453"/>
    <w:rsid w:val="00CB4F4E"/>
    <w:rsid w:val="00CC014D"/>
    <w:rsid w:val="00CE3E3F"/>
    <w:rsid w:val="00CE56F4"/>
    <w:rsid w:val="00CE795F"/>
    <w:rsid w:val="00CF1451"/>
    <w:rsid w:val="00CF1A91"/>
    <w:rsid w:val="00CF2F2F"/>
    <w:rsid w:val="00CF4A36"/>
    <w:rsid w:val="00D008BD"/>
    <w:rsid w:val="00D01191"/>
    <w:rsid w:val="00D121AC"/>
    <w:rsid w:val="00D157EC"/>
    <w:rsid w:val="00D15AF7"/>
    <w:rsid w:val="00D172EF"/>
    <w:rsid w:val="00D215B6"/>
    <w:rsid w:val="00D21C92"/>
    <w:rsid w:val="00D22B76"/>
    <w:rsid w:val="00D23E84"/>
    <w:rsid w:val="00D3200C"/>
    <w:rsid w:val="00D32933"/>
    <w:rsid w:val="00D35769"/>
    <w:rsid w:val="00D4065A"/>
    <w:rsid w:val="00D51847"/>
    <w:rsid w:val="00D51E44"/>
    <w:rsid w:val="00D52AA7"/>
    <w:rsid w:val="00D53899"/>
    <w:rsid w:val="00D55FA8"/>
    <w:rsid w:val="00D60846"/>
    <w:rsid w:val="00D6093F"/>
    <w:rsid w:val="00D6346E"/>
    <w:rsid w:val="00D70E36"/>
    <w:rsid w:val="00D7128C"/>
    <w:rsid w:val="00D73A4B"/>
    <w:rsid w:val="00D80EE1"/>
    <w:rsid w:val="00D81E9E"/>
    <w:rsid w:val="00D90830"/>
    <w:rsid w:val="00D929FA"/>
    <w:rsid w:val="00DA01C9"/>
    <w:rsid w:val="00DA7998"/>
    <w:rsid w:val="00DB64F9"/>
    <w:rsid w:val="00DB6939"/>
    <w:rsid w:val="00DB6ED7"/>
    <w:rsid w:val="00DC5C46"/>
    <w:rsid w:val="00DC7082"/>
    <w:rsid w:val="00DD3CCC"/>
    <w:rsid w:val="00DE06BC"/>
    <w:rsid w:val="00DE19B7"/>
    <w:rsid w:val="00DF132C"/>
    <w:rsid w:val="00DF2D2B"/>
    <w:rsid w:val="00DF3C9E"/>
    <w:rsid w:val="00DF585A"/>
    <w:rsid w:val="00DF7982"/>
    <w:rsid w:val="00E008D0"/>
    <w:rsid w:val="00E02FEE"/>
    <w:rsid w:val="00E049FE"/>
    <w:rsid w:val="00E056B3"/>
    <w:rsid w:val="00E105E7"/>
    <w:rsid w:val="00E1481C"/>
    <w:rsid w:val="00E226FA"/>
    <w:rsid w:val="00E230C4"/>
    <w:rsid w:val="00E24A2D"/>
    <w:rsid w:val="00E3223D"/>
    <w:rsid w:val="00E33427"/>
    <w:rsid w:val="00E350B8"/>
    <w:rsid w:val="00E3733D"/>
    <w:rsid w:val="00E46ACE"/>
    <w:rsid w:val="00E50346"/>
    <w:rsid w:val="00E50DC9"/>
    <w:rsid w:val="00E60E45"/>
    <w:rsid w:val="00E630D5"/>
    <w:rsid w:val="00E64EB5"/>
    <w:rsid w:val="00E660B6"/>
    <w:rsid w:val="00E672DC"/>
    <w:rsid w:val="00E764BD"/>
    <w:rsid w:val="00E816B7"/>
    <w:rsid w:val="00E85741"/>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5B8A"/>
    <w:rsid w:val="00EE686B"/>
    <w:rsid w:val="00EE7F7B"/>
    <w:rsid w:val="00EF1389"/>
    <w:rsid w:val="00EF1CA2"/>
    <w:rsid w:val="00F06EBF"/>
    <w:rsid w:val="00F1413C"/>
    <w:rsid w:val="00F146AD"/>
    <w:rsid w:val="00F15084"/>
    <w:rsid w:val="00F16B15"/>
    <w:rsid w:val="00F20B40"/>
    <w:rsid w:val="00F234FC"/>
    <w:rsid w:val="00F23ABE"/>
    <w:rsid w:val="00F26799"/>
    <w:rsid w:val="00F30C72"/>
    <w:rsid w:val="00F3427D"/>
    <w:rsid w:val="00F374C5"/>
    <w:rsid w:val="00F407E1"/>
    <w:rsid w:val="00F41217"/>
    <w:rsid w:val="00F41619"/>
    <w:rsid w:val="00F42384"/>
    <w:rsid w:val="00F47693"/>
    <w:rsid w:val="00F47ABC"/>
    <w:rsid w:val="00F507D3"/>
    <w:rsid w:val="00F52821"/>
    <w:rsid w:val="00F54B00"/>
    <w:rsid w:val="00F60155"/>
    <w:rsid w:val="00F60EFF"/>
    <w:rsid w:val="00F707BB"/>
    <w:rsid w:val="00F708A6"/>
    <w:rsid w:val="00F73053"/>
    <w:rsid w:val="00F8352C"/>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6658"/>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character" w:styleId="PageNumber">
    <w:name w:val="page number"/>
    <w:basedOn w:val="DefaultParagraphFont"/>
    <w:uiPriority w:val="99"/>
    <w:semiHidden/>
    <w:rsid w:val="00AA3692"/>
    <w:rPr>
      <w:rFonts w:asciiTheme="majorHAnsi" w:hAnsiTheme="majorHAnsi"/>
      <w:b/>
      <w:sz w:val="18"/>
    </w:rPr>
  </w:style>
  <w:style w:type="paragraph" w:customStyle="1" w:styleId="RTBodyText">
    <w:name w:val="RT Body Text"/>
    <w:basedOn w:val="Normal"/>
    <w:uiPriority w:val="9"/>
    <w:qFormat/>
    <w:rsid w:val="007F26F0"/>
    <w:pPr>
      <w:suppressAutoHyphens/>
      <w:spacing w:after="120"/>
    </w:pPr>
    <w:rPr>
      <w:rFonts w:asciiTheme="minorHAnsi" w:eastAsiaTheme="minorEastAsia" w:hAnsiTheme="minorHAnsi"/>
      <w:sz w:val="18"/>
      <w:szCs w:val="24"/>
    </w:rPr>
  </w:style>
  <w:style w:type="paragraph" w:customStyle="1" w:styleId="BasicParagraph">
    <w:name w:val="[Basic Paragraph]"/>
    <w:basedOn w:val="Normal"/>
    <w:uiPriority w:val="99"/>
    <w:semiHidden/>
    <w:rsid w:val="007F26F0"/>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customStyle="1" w:styleId="RTHeadingnonumbers">
    <w:name w:val="RT Heading (no numbers)"/>
    <w:basedOn w:val="Normal"/>
    <w:next w:val="RTBodyText"/>
    <w:uiPriority w:val="3"/>
    <w:qFormat/>
    <w:rsid w:val="007F26F0"/>
    <w:pPr>
      <w:keepNext/>
      <w:tabs>
        <w:tab w:val="left" w:pos="851"/>
      </w:tabs>
      <w:suppressAutoHyphens/>
      <w:spacing w:before="480" w:after="100" w:line="420" w:lineRule="exact"/>
      <w:contextualSpacing/>
      <w:outlineLvl w:val="1"/>
    </w:pPr>
    <w:rPr>
      <w:rFonts w:ascii="Amnesty Trade Gothic Cn" w:eastAsiaTheme="minorEastAsia" w:hAnsi="Amnesty Trade Gothic Cn"/>
      <w:b/>
      <w:caps/>
      <w:noProof/>
      <w:sz w:val="4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mnesty.org/es/permissions/" TargetMode="Externa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amnesty.org/es/permissions/" TargetMode="External"/><Relationship Id="rId17" Type="http://schemas.openxmlformats.org/officeDocument/2006/relationships/image" Target="media/image6.sv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www.facebook.com/AmnestyGlob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www.facebook.com/AmnestyGlobal" TargetMode="External"/><Relationship Id="rId5" Type="http://schemas.openxmlformats.org/officeDocument/2006/relationships/webSettings" Target="webSettings.xml"/><Relationship Id="rId15" Type="http://schemas.openxmlformats.org/officeDocument/2006/relationships/image" Target="media/image4.svg"/><Relationship Id="rId23" Type="http://schemas.openxmlformats.org/officeDocument/2006/relationships/hyperlink" Target="mailto:info@amnesty.org" TargetMode="External"/><Relationship Id="rId10" Type="http://schemas.openxmlformats.org/officeDocument/2006/relationships/footer" Target="footer2.xml"/><Relationship Id="rId19" Type="http://schemas.openxmlformats.org/officeDocument/2006/relationships/hyperlink" Target="mailto:info@amnesty.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mnistia.org.ar/noticias/organizaciones-internacionales-llaman-a-proteger-a-profesionales-de-la-salud-que-sufren-ataques-por-garantizar-el-derecho-al-aborto" TargetMode="External"/><Relationship Id="rId13" Type="http://schemas.openxmlformats.org/officeDocument/2006/relationships/hyperlink" Target="https://amnistia.org.ar/wp-content/uploads/delightful-downloads/2024/11/Pedido-de-informaci%C3%B3n-p%C3%BAblica-al-Ministerio-de-Justicia-de-Naci%C3%B3n.pdf?utm_source=perfit&amp;utm_medium=email" TargetMode="External"/><Relationship Id="rId18" Type="http://schemas.openxmlformats.org/officeDocument/2006/relationships/hyperlink" Target="https://amnistia.org.ar/wp-content/uploads/delightful-downloads/2024/10/Muteadas_InformeCompleto.pdf" TargetMode="External"/><Relationship Id="rId3" Type="http://schemas.openxmlformats.org/officeDocument/2006/relationships/hyperlink" Target="https://amnistia.org.ar/storage/uploads/4215e14b-70ff-4a68-b5f9-4e266e9382ec/Tambien-es-por-vos-Digital.pdf;" TargetMode="External"/><Relationship Id="rId7" Type="http://schemas.openxmlformats.org/officeDocument/2006/relationships/hyperlink" Target="https://amnistia.org.ar/noticias/se-triplican-en-2025-las-denuncias-recibidas-por-amnistia-internacional-sobre-barreras-para-acceder-al-aborto" TargetMode="External"/><Relationship Id="rId12" Type="http://schemas.openxmlformats.org/officeDocument/2006/relationships/hyperlink" Target="https://amnistia.org.ar/storage/uploads/477a4745-3384-4c10-bfa7-f683ceb6d848/2.-Respuesta-Secretaria-de-derechos-humanos-(acompa%C3%B1ar).pdf" TargetMode="External"/><Relationship Id="rId17" Type="http://schemas.openxmlformats.org/officeDocument/2006/relationships/hyperlink" Target="https://drive.google.com/file/d/1R1fppxpro1D9qxFTSDILK8-IZqT8Sjm1/view" TargetMode="External"/><Relationship Id="rId2" Type="http://schemas.openxmlformats.org/officeDocument/2006/relationships/hyperlink" Target="https://www.amnesty.org/es/documents/amr13/6387/2023/es/" TargetMode="External"/><Relationship Id="rId16" Type="http://schemas.openxmlformats.org/officeDocument/2006/relationships/hyperlink" Target="https://amnistia.org.ar/causas/derechos-lgbti/crimen-de-odio-en-barracas-contra-cuatro-mujeres-lesbianas" TargetMode="External"/><Relationship Id="rId20" Type="http://schemas.openxmlformats.org/officeDocument/2006/relationships/hyperlink" Target="https://amnistia.org.ar/wp-content/uploads/delightful-downloads/2024/12/DDHH-en-Argentina-2024-1-a%C3%B1o-12-derechos-perdidos-vf-11.12.pdf" TargetMode="External"/><Relationship Id="rId1" Type="http://schemas.openxmlformats.org/officeDocument/2006/relationships/hyperlink" Target="https://tbinternet.ohchr.org/_layouts/15/treatybodyexternal/Download.aspx?symbolno=CEDAW%2FC%2FARG%2F8&amp;Lang=en" TargetMode="External"/><Relationship Id="rId6" Type="http://schemas.openxmlformats.org/officeDocument/2006/relationships/hyperlink" Target="https://www.youtube.com/watch?v=AZqzznl-7ck" TargetMode="External"/><Relationship Id="rId11" Type="http://schemas.openxmlformats.org/officeDocument/2006/relationships/hyperlink" Target="https://om.csjn.gob.ar/consultaTalleresWeb/public/documentoConsulta/verDocumentoById?idDocumento=333" TargetMode="External"/><Relationship Id="rId5" Type="http://schemas.openxmlformats.org/officeDocument/2006/relationships/hyperlink" Target="https://acij.org.ar/wp-content/uploads/2025/10/Informe-ACIJ-ELA-Presupuesto-Genero-2026-2.pdf?utm_source=mailup&amp;utm_medium=emai" TargetMode="External"/><Relationship Id="rId15" Type="http://schemas.openxmlformats.org/officeDocument/2006/relationships/hyperlink" Target="https://ilga.org/es/news/argentina-ley-identidad-genero/" TargetMode="External"/><Relationship Id="rId10" Type="http://schemas.openxmlformats.org/officeDocument/2006/relationships/hyperlink" Target="https://amnistia.org.ar/storage/uploads/424c2682-5d59-4d5e-9393-f0742801bf97/Nota-a-HMI-San-Isidro.pdf;" TargetMode="External"/><Relationship Id="rId19" Type="http://schemas.openxmlformats.org/officeDocument/2006/relationships/hyperlink" Target="https://amnistia.org.ar/noticias/argentina-ante-la-cidh-alerta-sobre-libertad-de-expresion-y-una-posible-visita-al-pais" TargetMode="External"/><Relationship Id="rId4" Type="http://schemas.openxmlformats.org/officeDocument/2006/relationships/hyperlink" Target="https://amnistia.org.ar/noticias/alerta-de-la-cidh-argentina-debe-sostener-sus-politicas-de-genero-para-proteger-derechos-humanos-3" TargetMode="External"/><Relationship Id="rId9" Type="http://schemas.openxmlformats.org/officeDocument/2006/relationships/hyperlink" Target="https://amnistia.org.ar/storage/uploads/424c2682-5d59-4d5e-9393-f0742801bf97/Nota-a-HMI-San-Isidro.pdf;" TargetMode="External"/><Relationship Id="rId14" Type="http://schemas.openxmlformats.org/officeDocument/2006/relationships/hyperlink" Target="https://amnistia.org.ar/storage/uploads/11be609a-231a-4a54-a87e-75dcca240434/Informe_La-ofensiva-contra-los-derechos-LGBTI+_Amnist%C3%ADa-Internacional_112025.pdf"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2077</Words>
  <Characters>11840</Characters>
  <Application>Microsoft Office Word</Application>
  <DocSecurity>0</DocSecurity>
  <Lines>98</Lines>
  <Paragraphs>27</Paragraphs>
  <ScaleCrop>false</ScaleCrop>
  <Company/>
  <LinksUpToDate>false</LinksUpToDate>
  <CharactersWithSpaces>13890</CharactersWithSpaces>
  <SharedDoc>false</SharedDoc>
  <HLinks>
    <vt:vector size="198" baseType="variant">
      <vt:variant>
        <vt:i4>1966129</vt:i4>
      </vt:variant>
      <vt:variant>
        <vt:i4>56</vt:i4>
      </vt:variant>
      <vt:variant>
        <vt:i4>0</vt:i4>
      </vt:variant>
      <vt:variant>
        <vt:i4>5</vt:i4>
      </vt:variant>
      <vt:variant>
        <vt:lpwstr/>
      </vt:variant>
      <vt:variant>
        <vt:lpwstr>_Toc216368338</vt:lpwstr>
      </vt:variant>
      <vt:variant>
        <vt:i4>1966129</vt:i4>
      </vt:variant>
      <vt:variant>
        <vt:i4>50</vt:i4>
      </vt:variant>
      <vt:variant>
        <vt:i4>0</vt:i4>
      </vt:variant>
      <vt:variant>
        <vt:i4>5</vt:i4>
      </vt:variant>
      <vt:variant>
        <vt:lpwstr/>
      </vt:variant>
      <vt:variant>
        <vt:lpwstr>_Toc216368337</vt:lpwstr>
      </vt:variant>
      <vt:variant>
        <vt:i4>1966129</vt:i4>
      </vt:variant>
      <vt:variant>
        <vt:i4>44</vt:i4>
      </vt:variant>
      <vt:variant>
        <vt:i4>0</vt:i4>
      </vt:variant>
      <vt:variant>
        <vt:i4>5</vt:i4>
      </vt:variant>
      <vt:variant>
        <vt:lpwstr/>
      </vt:variant>
      <vt:variant>
        <vt:lpwstr>_Toc216368336</vt:lpwstr>
      </vt:variant>
      <vt:variant>
        <vt:i4>1966129</vt:i4>
      </vt:variant>
      <vt:variant>
        <vt:i4>38</vt:i4>
      </vt:variant>
      <vt:variant>
        <vt:i4>0</vt:i4>
      </vt:variant>
      <vt:variant>
        <vt:i4>5</vt:i4>
      </vt:variant>
      <vt:variant>
        <vt:lpwstr/>
      </vt:variant>
      <vt:variant>
        <vt:lpwstr>_Toc216368335</vt:lpwstr>
      </vt:variant>
      <vt:variant>
        <vt:i4>1966129</vt:i4>
      </vt:variant>
      <vt:variant>
        <vt:i4>32</vt:i4>
      </vt:variant>
      <vt:variant>
        <vt:i4>0</vt:i4>
      </vt:variant>
      <vt:variant>
        <vt:i4>5</vt:i4>
      </vt:variant>
      <vt:variant>
        <vt:lpwstr/>
      </vt:variant>
      <vt:variant>
        <vt:lpwstr>_Toc216368334</vt:lpwstr>
      </vt:variant>
      <vt:variant>
        <vt:i4>1966129</vt:i4>
      </vt:variant>
      <vt:variant>
        <vt:i4>26</vt:i4>
      </vt:variant>
      <vt:variant>
        <vt:i4>0</vt:i4>
      </vt:variant>
      <vt:variant>
        <vt:i4>5</vt:i4>
      </vt:variant>
      <vt:variant>
        <vt:lpwstr/>
      </vt:variant>
      <vt:variant>
        <vt:lpwstr>_Toc216368333</vt:lpwstr>
      </vt:variant>
      <vt:variant>
        <vt:i4>1966129</vt:i4>
      </vt:variant>
      <vt:variant>
        <vt:i4>20</vt:i4>
      </vt:variant>
      <vt:variant>
        <vt:i4>0</vt:i4>
      </vt:variant>
      <vt:variant>
        <vt:i4>5</vt:i4>
      </vt:variant>
      <vt:variant>
        <vt:lpwstr/>
      </vt:variant>
      <vt:variant>
        <vt:lpwstr>_Toc216368332</vt:lpwstr>
      </vt:variant>
      <vt:variant>
        <vt:i4>1966129</vt:i4>
      </vt:variant>
      <vt:variant>
        <vt:i4>14</vt:i4>
      </vt:variant>
      <vt:variant>
        <vt:i4>0</vt:i4>
      </vt:variant>
      <vt:variant>
        <vt:i4>5</vt:i4>
      </vt:variant>
      <vt:variant>
        <vt:lpwstr/>
      </vt:variant>
      <vt:variant>
        <vt:lpwstr>_Toc216368331</vt:lpwstr>
      </vt:variant>
      <vt:variant>
        <vt:i4>1966129</vt:i4>
      </vt:variant>
      <vt:variant>
        <vt:i4>8</vt:i4>
      </vt:variant>
      <vt:variant>
        <vt:i4>0</vt:i4>
      </vt:variant>
      <vt:variant>
        <vt:i4>5</vt:i4>
      </vt:variant>
      <vt:variant>
        <vt:lpwstr/>
      </vt:variant>
      <vt:variant>
        <vt:lpwstr>_Toc216368330</vt:lpwstr>
      </vt:variant>
      <vt:variant>
        <vt:i4>2031665</vt:i4>
      </vt:variant>
      <vt:variant>
        <vt:i4>2</vt:i4>
      </vt:variant>
      <vt:variant>
        <vt:i4>0</vt:i4>
      </vt:variant>
      <vt:variant>
        <vt:i4>5</vt:i4>
      </vt:variant>
      <vt:variant>
        <vt:lpwstr/>
      </vt:variant>
      <vt:variant>
        <vt:lpwstr>_Toc216368329</vt:lpwstr>
      </vt:variant>
      <vt:variant>
        <vt:i4>3473470</vt:i4>
      </vt:variant>
      <vt:variant>
        <vt:i4>57</vt:i4>
      </vt:variant>
      <vt:variant>
        <vt:i4>0</vt:i4>
      </vt:variant>
      <vt:variant>
        <vt:i4>5</vt:i4>
      </vt:variant>
      <vt:variant>
        <vt:lpwstr>https://amnistia.org.ar/wp-content/uploads/delightful-downloads/2024/12/DDHH-en-Argentina-2024-1-a%C3%B1o-12-derechos-perdidos-vf-11.12.pdf</vt:lpwstr>
      </vt:variant>
      <vt:variant>
        <vt:lpwstr/>
      </vt:variant>
      <vt:variant>
        <vt:i4>2097263</vt:i4>
      </vt:variant>
      <vt:variant>
        <vt:i4>54</vt:i4>
      </vt:variant>
      <vt:variant>
        <vt:i4>0</vt:i4>
      </vt:variant>
      <vt:variant>
        <vt:i4>5</vt:i4>
      </vt:variant>
      <vt:variant>
        <vt:lpwstr>https://amnistia.org.ar/noticias/argentina-ante-la-cidh-alerta-sobre-libertad-de-expresion-y-una-posible-visita-al-pais</vt:lpwstr>
      </vt:variant>
      <vt:variant>
        <vt:lpwstr/>
      </vt:variant>
      <vt:variant>
        <vt:i4>4259947</vt:i4>
      </vt:variant>
      <vt:variant>
        <vt:i4>51</vt:i4>
      </vt:variant>
      <vt:variant>
        <vt:i4>0</vt:i4>
      </vt:variant>
      <vt:variant>
        <vt:i4>5</vt:i4>
      </vt:variant>
      <vt:variant>
        <vt:lpwstr>https://amnistia.org.ar/wp-content/uploads/delightful-downloads/2024/10/Muteadas_InformeCompleto.pdf</vt:lpwstr>
      </vt:variant>
      <vt:variant>
        <vt:lpwstr/>
      </vt:variant>
      <vt:variant>
        <vt:i4>2556012</vt:i4>
      </vt:variant>
      <vt:variant>
        <vt:i4>48</vt:i4>
      </vt:variant>
      <vt:variant>
        <vt:i4>0</vt:i4>
      </vt:variant>
      <vt:variant>
        <vt:i4>5</vt:i4>
      </vt:variant>
      <vt:variant>
        <vt:lpwstr>https://drive.google.com/file/d/1R1fppxpro1D9qxFTSDILK8-IZqT8Sjm1/view</vt:lpwstr>
      </vt:variant>
      <vt:variant>
        <vt:lpwstr/>
      </vt:variant>
      <vt:variant>
        <vt:i4>327766</vt:i4>
      </vt:variant>
      <vt:variant>
        <vt:i4>45</vt:i4>
      </vt:variant>
      <vt:variant>
        <vt:i4>0</vt:i4>
      </vt:variant>
      <vt:variant>
        <vt:i4>5</vt:i4>
      </vt:variant>
      <vt:variant>
        <vt:lpwstr>https://amnistia.org.ar/causas/derechos-lgbti/crimen-de-odio-en-barracas-contra-cuatro-mujeres-lesbianas</vt:lpwstr>
      </vt:variant>
      <vt:variant>
        <vt:lpwstr/>
      </vt:variant>
      <vt:variant>
        <vt:i4>1114192</vt:i4>
      </vt:variant>
      <vt:variant>
        <vt:i4>42</vt:i4>
      </vt:variant>
      <vt:variant>
        <vt:i4>0</vt:i4>
      </vt:variant>
      <vt:variant>
        <vt:i4>5</vt:i4>
      </vt:variant>
      <vt:variant>
        <vt:lpwstr>https://ilga.org/es/news/argentina-ley-identidad-genero/</vt:lpwstr>
      </vt:variant>
      <vt:variant>
        <vt:lpwstr/>
      </vt:variant>
      <vt:variant>
        <vt:i4>3801172</vt:i4>
      </vt:variant>
      <vt:variant>
        <vt:i4>39</vt:i4>
      </vt:variant>
      <vt:variant>
        <vt:i4>0</vt:i4>
      </vt:variant>
      <vt:variant>
        <vt:i4>5</vt:i4>
      </vt:variant>
      <vt:variant>
        <vt:lpwstr>https://amnistia.org.ar/storage/uploads/11be609a-231a-4a54-a87e-75dcca240434/Informe_La-ofensiva-contra-los-derechos-LGBTI+_Amnist%C3%ADa-Internacional_112025.pdf</vt:lpwstr>
      </vt:variant>
      <vt:variant>
        <vt:lpwstr/>
      </vt:variant>
      <vt:variant>
        <vt:i4>7667817</vt:i4>
      </vt:variant>
      <vt:variant>
        <vt:i4>36</vt:i4>
      </vt:variant>
      <vt:variant>
        <vt:i4>0</vt:i4>
      </vt:variant>
      <vt:variant>
        <vt:i4>5</vt:i4>
      </vt:variant>
      <vt:variant>
        <vt:lpwstr>https://amnistia.org.ar/wp-content/uploads/delightful-downloads/2024/11/Pedido-de-informaci%C3%B3n-p%C3%BAblica-al-Ministerio-de-Justicia-de-Naci%C3%B3n.pdf?utm_source=perfit&amp;utm_medium=email</vt:lpwstr>
      </vt:variant>
      <vt:variant>
        <vt:lpwstr/>
      </vt:variant>
      <vt:variant>
        <vt:i4>65560</vt:i4>
      </vt:variant>
      <vt:variant>
        <vt:i4>33</vt:i4>
      </vt:variant>
      <vt:variant>
        <vt:i4>0</vt:i4>
      </vt:variant>
      <vt:variant>
        <vt:i4>5</vt:i4>
      </vt:variant>
      <vt:variant>
        <vt:lpwstr>https://amnistia.org.ar/storage/uploads/477a4745-3384-4c10-bfa7-f683ceb6d848/2.-Respuesta-Secretaria-de-derechos-humanos-(acompa%C3%B1ar).pdf</vt:lpwstr>
      </vt:variant>
      <vt:variant>
        <vt:lpwstr/>
      </vt:variant>
      <vt:variant>
        <vt:i4>262234</vt:i4>
      </vt:variant>
      <vt:variant>
        <vt:i4>30</vt:i4>
      </vt:variant>
      <vt:variant>
        <vt:i4>0</vt:i4>
      </vt:variant>
      <vt:variant>
        <vt:i4>5</vt:i4>
      </vt:variant>
      <vt:variant>
        <vt:lpwstr>https://om.csjn.gob.ar/consultaTalleresWeb/public/documentoConsulta/verDocumentoById?idDocumento=333</vt:lpwstr>
      </vt:variant>
      <vt:variant>
        <vt:lpwstr/>
      </vt:variant>
      <vt:variant>
        <vt:i4>2883708</vt:i4>
      </vt:variant>
      <vt:variant>
        <vt:i4>27</vt:i4>
      </vt:variant>
      <vt:variant>
        <vt:i4>0</vt:i4>
      </vt:variant>
      <vt:variant>
        <vt:i4>5</vt:i4>
      </vt:variant>
      <vt:variant>
        <vt:lpwstr>https://amnistia.org.ar/storage/uploads/424c2682-5d59-4d5e-9393-f0742801bf97/Nota-a-HMI-San-Isidro.pdf;</vt:lpwstr>
      </vt:variant>
      <vt:variant>
        <vt:lpwstr/>
      </vt:variant>
      <vt:variant>
        <vt:i4>2883708</vt:i4>
      </vt:variant>
      <vt:variant>
        <vt:i4>24</vt:i4>
      </vt:variant>
      <vt:variant>
        <vt:i4>0</vt:i4>
      </vt:variant>
      <vt:variant>
        <vt:i4>5</vt:i4>
      </vt:variant>
      <vt:variant>
        <vt:lpwstr>https://amnistia.org.ar/storage/uploads/424c2682-5d59-4d5e-9393-f0742801bf97/Nota-a-HMI-San-Isidro.pdf;</vt:lpwstr>
      </vt:variant>
      <vt:variant>
        <vt:lpwstr/>
      </vt:variant>
      <vt:variant>
        <vt:i4>4259861</vt:i4>
      </vt:variant>
      <vt:variant>
        <vt:i4>21</vt:i4>
      </vt:variant>
      <vt:variant>
        <vt:i4>0</vt:i4>
      </vt:variant>
      <vt:variant>
        <vt:i4>5</vt:i4>
      </vt:variant>
      <vt:variant>
        <vt:lpwstr>https://amnistia.org.ar/noticias/organizaciones-internacionales-llaman-a-proteger-a-profesionales-de-la-salud-que-sufren-ataques-por-garantizar-el-derecho-al-aborto</vt:lpwstr>
      </vt:variant>
      <vt:variant>
        <vt:lpwstr/>
      </vt:variant>
      <vt:variant>
        <vt:i4>6684793</vt:i4>
      </vt:variant>
      <vt:variant>
        <vt:i4>18</vt:i4>
      </vt:variant>
      <vt:variant>
        <vt:i4>0</vt:i4>
      </vt:variant>
      <vt:variant>
        <vt:i4>5</vt:i4>
      </vt:variant>
      <vt:variant>
        <vt:lpwstr>https://amnistia.org.ar/noticias/se-triplican-en-2025-las-denuncias-recibidas-por-amnistia-internacional-sobre-barreras-para-acceder-al-aborto</vt:lpwstr>
      </vt:variant>
      <vt:variant>
        <vt:lpwstr/>
      </vt:variant>
      <vt:variant>
        <vt:i4>8323198</vt:i4>
      </vt:variant>
      <vt:variant>
        <vt:i4>15</vt:i4>
      </vt:variant>
      <vt:variant>
        <vt:i4>0</vt:i4>
      </vt:variant>
      <vt:variant>
        <vt:i4>5</vt:i4>
      </vt:variant>
      <vt:variant>
        <vt:lpwstr>https://www.youtube.com/watch?v=AZqzznl-7ck</vt:lpwstr>
      </vt:variant>
      <vt:variant>
        <vt:lpwstr/>
      </vt:variant>
      <vt:variant>
        <vt:i4>6946879</vt:i4>
      </vt:variant>
      <vt:variant>
        <vt:i4>12</vt:i4>
      </vt:variant>
      <vt:variant>
        <vt:i4>0</vt:i4>
      </vt:variant>
      <vt:variant>
        <vt:i4>5</vt:i4>
      </vt:variant>
      <vt:variant>
        <vt:lpwstr>https://acij.org.ar/wp-content/uploads/2025/10/Informe-ACIJ-ELA-Presupuesto-Genero-2026-2.pdf?utm_source=mailup&amp;utm_medium=emai</vt:lpwstr>
      </vt:variant>
      <vt:variant>
        <vt:lpwstr/>
      </vt:variant>
      <vt:variant>
        <vt:i4>7143531</vt:i4>
      </vt:variant>
      <vt:variant>
        <vt:i4>9</vt:i4>
      </vt:variant>
      <vt:variant>
        <vt:i4>0</vt:i4>
      </vt:variant>
      <vt:variant>
        <vt:i4>5</vt:i4>
      </vt:variant>
      <vt:variant>
        <vt:lpwstr>https://amnistia.org.ar/noticias/alerta-de-la-cidh-argentina-debe-sostener-sus-politicas-de-genero-para-proteger-derechos-humanos-3</vt:lpwstr>
      </vt:variant>
      <vt:variant>
        <vt:lpwstr/>
      </vt:variant>
      <vt:variant>
        <vt:i4>1441795</vt:i4>
      </vt:variant>
      <vt:variant>
        <vt:i4>6</vt:i4>
      </vt:variant>
      <vt:variant>
        <vt:i4>0</vt:i4>
      </vt:variant>
      <vt:variant>
        <vt:i4>5</vt:i4>
      </vt:variant>
      <vt:variant>
        <vt:lpwstr>https://amnistia.org.ar/storage/uploads/4215e14b-70ff-4a68-b5f9-4e266e9382ec/Tambien-es-por-vos-Digital.pdf;</vt:lpwstr>
      </vt:variant>
      <vt:variant>
        <vt:lpwstr/>
      </vt:variant>
      <vt:variant>
        <vt:i4>720904</vt:i4>
      </vt:variant>
      <vt:variant>
        <vt:i4>3</vt:i4>
      </vt:variant>
      <vt:variant>
        <vt:i4>0</vt:i4>
      </vt:variant>
      <vt:variant>
        <vt:i4>5</vt:i4>
      </vt:variant>
      <vt:variant>
        <vt:lpwstr>https://www.amnesty.org/es/documents/amr13/6387/2023/es/</vt:lpwstr>
      </vt:variant>
      <vt:variant>
        <vt:lpwstr/>
      </vt:variant>
      <vt:variant>
        <vt:i4>1507428</vt:i4>
      </vt:variant>
      <vt:variant>
        <vt:i4>0</vt:i4>
      </vt:variant>
      <vt:variant>
        <vt:i4>0</vt:i4>
      </vt:variant>
      <vt:variant>
        <vt:i4>5</vt:i4>
      </vt:variant>
      <vt:variant>
        <vt:lpwstr>https://tbinternet.ohchr.org/_layouts/15/treatybodyexternal/Download.aspx?symbolno=CEDAW%2FC%2FARG%2F8&amp;Lang=en</vt:lpwstr>
      </vt:variant>
      <vt:variant>
        <vt:lpwstr/>
      </vt:variant>
      <vt:variant>
        <vt:i4>5767253</vt:i4>
      </vt:variant>
      <vt:variant>
        <vt:i4>6</vt:i4>
      </vt:variant>
      <vt:variant>
        <vt:i4>0</vt:i4>
      </vt:variant>
      <vt:variant>
        <vt:i4>5</vt:i4>
      </vt:variant>
      <vt:variant>
        <vt:lpwstr>http://www.facebook.com/AmnestyGlobal</vt:lpwstr>
      </vt:variant>
      <vt:variant>
        <vt:lpwstr/>
      </vt:variant>
      <vt:variant>
        <vt:i4>852001</vt:i4>
      </vt:variant>
      <vt:variant>
        <vt:i4>3</vt:i4>
      </vt:variant>
      <vt:variant>
        <vt:i4>0</vt:i4>
      </vt:variant>
      <vt:variant>
        <vt:i4>5</vt:i4>
      </vt:variant>
      <vt:variant>
        <vt:lpwstr>mailto:info@amnesty.org</vt:lpwstr>
      </vt:variant>
      <vt:variant>
        <vt:lpwstr/>
      </vt:variant>
      <vt:variant>
        <vt:i4>3145851</vt:i4>
      </vt:variant>
      <vt:variant>
        <vt:i4>0</vt:i4>
      </vt:variant>
      <vt:variant>
        <vt:i4>0</vt:i4>
      </vt:variant>
      <vt:variant>
        <vt:i4>5</vt:i4>
      </vt:variant>
      <vt:variant>
        <vt:lpwstr>https://www.amnesty.org/es/permissions/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2026-01-09T15:13:00Z</dcterms:created>
  <dcterms:modified xsi:type="dcterms:W3CDTF">2026-01-09T15:13:00Z</dcterms:modified>
</cp:coreProperties>
</file>