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73292" w14:textId="77777777" w:rsidR="00DB2BC2" w:rsidRDefault="00DB2BC2">
      <w:pPr>
        <w:pStyle w:val="Title"/>
        <w:spacing w:after="120"/>
        <w:ind w:left="360" w:firstLine="360"/>
        <w:jc w:val="center"/>
        <w:rPr>
          <w:b/>
          <w:bCs/>
          <w:sz w:val="40"/>
          <w:szCs w:val="40"/>
        </w:rPr>
      </w:pPr>
      <w:bookmarkStart w:id="0" w:name="_60e0cyeni54z" w:colFirst="0" w:colLast="0"/>
      <w:bookmarkEnd w:id="0"/>
    </w:p>
    <w:p w14:paraId="2C8BF510" w14:textId="77777777" w:rsidR="00DB2BC2" w:rsidRDefault="00EA4629">
      <w:pPr>
        <w:pStyle w:val="Title"/>
        <w:jc w:val="center"/>
        <w:rPr>
          <w:b/>
          <w:bCs/>
        </w:rPr>
      </w:pPr>
      <w:bookmarkStart w:id="1" w:name="_t44im4wb2iy" w:colFirst="0" w:colLast="0"/>
      <w:bookmarkEnd w:id="1"/>
      <w:r>
        <w:rPr>
          <w:b/>
          <w:bCs/>
        </w:rPr>
        <w:t>Malaysia’s Compliance with the Convention on the Rights of the Child in Relation to Justice-Affected Children</w:t>
      </w:r>
    </w:p>
    <w:p w14:paraId="1045417B" w14:textId="77777777" w:rsidR="00DB2BC2" w:rsidRDefault="00DB2BC2">
      <w:pPr>
        <w:spacing w:after="120"/>
        <w:ind w:left="360"/>
        <w:jc w:val="center"/>
        <w:rPr>
          <w:b/>
          <w:bCs/>
          <w:sz w:val="20"/>
          <w:szCs w:val="20"/>
        </w:rPr>
      </w:pPr>
    </w:p>
    <w:p w14:paraId="4BEDB6EB" w14:textId="77777777" w:rsidR="00DB2BC2" w:rsidRDefault="00EA4629">
      <w:pPr>
        <w:spacing w:after="0"/>
        <w:ind w:left="360"/>
        <w:jc w:val="center"/>
        <w:rPr>
          <w:b/>
          <w:bCs/>
          <w:sz w:val="20"/>
          <w:szCs w:val="20"/>
        </w:rPr>
      </w:pPr>
      <w:r>
        <w:rPr>
          <w:sz w:val="20"/>
          <w:szCs w:val="20"/>
        </w:rPr>
        <w:t>Submitted by</w:t>
      </w:r>
      <w:r>
        <w:rPr>
          <w:b/>
          <w:bCs/>
          <w:sz w:val="20"/>
          <w:szCs w:val="20"/>
        </w:rPr>
        <w:t xml:space="preserve"> HAYAT</w:t>
      </w:r>
    </w:p>
    <w:p w14:paraId="798F27CA" w14:textId="77777777" w:rsidR="00DB2BC2" w:rsidRDefault="00DB2BC2">
      <w:pPr>
        <w:spacing w:after="0"/>
        <w:ind w:left="360"/>
        <w:jc w:val="center"/>
        <w:rPr>
          <w:sz w:val="20"/>
          <w:szCs w:val="20"/>
        </w:rPr>
      </w:pPr>
    </w:p>
    <w:p w14:paraId="03F66919" w14:textId="77777777" w:rsidR="00DB2BC2" w:rsidRDefault="00EA4629">
      <w:pPr>
        <w:spacing w:after="0"/>
        <w:ind w:left="360"/>
        <w:jc w:val="center"/>
        <w:rPr>
          <w:sz w:val="20"/>
          <w:szCs w:val="20"/>
        </w:rPr>
      </w:pPr>
      <w:r>
        <w:rPr>
          <w:sz w:val="20"/>
          <w:szCs w:val="20"/>
        </w:rPr>
        <w:t xml:space="preserve">In collaboration and with contributions from </w:t>
      </w:r>
    </w:p>
    <w:p w14:paraId="1F2A892D" w14:textId="77777777" w:rsidR="00DB2BC2" w:rsidRDefault="00DB2BC2">
      <w:pPr>
        <w:spacing w:after="0"/>
        <w:ind w:left="360"/>
        <w:jc w:val="center"/>
        <w:rPr>
          <w:b/>
          <w:bCs/>
          <w:sz w:val="20"/>
          <w:szCs w:val="20"/>
        </w:rPr>
      </w:pPr>
    </w:p>
    <w:p w14:paraId="3DDD3374" w14:textId="77777777" w:rsidR="00DB2BC2" w:rsidRDefault="00EA4629">
      <w:pPr>
        <w:spacing w:after="0"/>
        <w:ind w:left="360"/>
        <w:jc w:val="center"/>
        <w:rPr>
          <w:b/>
          <w:bCs/>
          <w:sz w:val="20"/>
          <w:szCs w:val="20"/>
        </w:rPr>
      </w:pPr>
      <w:r>
        <w:rPr>
          <w:b/>
          <w:bCs/>
          <w:sz w:val="20"/>
          <w:szCs w:val="20"/>
        </w:rPr>
        <w:t>SIUMAN</w:t>
      </w:r>
    </w:p>
    <w:p w14:paraId="6A0BB424" w14:textId="77777777" w:rsidR="00DB2BC2" w:rsidRDefault="00EA4629">
      <w:pPr>
        <w:spacing w:after="0"/>
        <w:ind w:left="360"/>
        <w:jc w:val="center"/>
        <w:rPr>
          <w:b/>
          <w:bCs/>
          <w:sz w:val="20"/>
          <w:szCs w:val="20"/>
        </w:rPr>
      </w:pPr>
      <w:r>
        <w:rPr>
          <w:b/>
          <w:bCs/>
          <w:sz w:val="20"/>
          <w:szCs w:val="20"/>
        </w:rPr>
        <w:t>MANDIRI</w:t>
      </w:r>
    </w:p>
    <w:p w14:paraId="5E0AC276" w14:textId="77777777" w:rsidR="00DB2BC2" w:rsidRDefault="00EA4629">
      <w:pPr>
        <w:spacing w:after="0"/>
        <w:ind w:left="360"/>
        <w:jc w:val="center"/>
        <w:rPr>
          <w:b/>
          <w:bCs/>
          <w:sz w:val="20"/>
          <w:szCs w:val="20"/>
        </w:rPr>
      </w:pPr>
      <w:proofErr w:type="spellStart"/>
      <w:r>
        <w:rPr>
          <w:b/>
          <w:bCs/>
          <w:sz w:val="20"/>
          <w:szCs w:val="20"/>
        </w:rPr>
        <w:t>Projek</w:t>
      </w:r>
      <w:proofErr w:type="spellEnd"/>
      <w:r>
        <w:rPr>
          <w:b/>
          <w:bCs/>
          <w:sz w:val="20"/>
          <w:szCs w:val="20"/>
        </w:rPr>
        <w:t xml:space="preserve"> NDOKUMY</w:t>
      </w:r>
    </w:p>
    <w:p w14:paraId="5DD30C98" w14:textId="77777777" w:rsidR="00DB2BC2" w:rsidRDefault="00EA4629">
      <w:pPr>
        <w:spacing w:after="0"/>
        <w:ind w:left="360"/>
        <w:jc w:val="center"/>
        <w:rPr>
          <w:b/>
          <w:bCs/>
          <w:sz w:val="20"/>
          <w:szCs w:val="20"/>
        </w:rPr>
      </w:pPr>
      <w:r>
        <w:rPr>
          <w:b/>
          <w:bCs/>
          <w:sz w:val="20"/>
          <w:szCs w:val="20"/>
        </w:rPr>
        <w:t>Suara Rakyat Malaysia (SUARAM)</w:t>
      </w:r>
    </w:p>
    <w:p w14:paraId="04971A5C" w14:textId="77777777" w:rsidR="00DB2BC2" w:rsidRDefault="00DB2BC2">
      <w:pPr>
        <w:spacing w:after="0"/>
        <w:ind w:left="360"/>
        <w:jc w:val="center"/>
        <w:rPr>
          <w:sz w:val="20"/>
          <w:szCs w:val="20"/>
        </w:rPr>
      </w:pPr>
    </w:p>
    <w:p w14:paraId="33DAE78E" w14:textId="77777777" w:rsidR="00DB2BC2" w:rsidRDefault="00EA4629">
      <w:pPr>
        <w:spacing w:after="0"/>
        <w:ind w:left="360"/>
        <w:jc w:val="center"/>
        <w:rPr>
          <w:i/>
          <w:iCs/>
          <w:sz w:val="20"/>
          <w:szCs w:val="20"/>
        </w:rPr>
      </w:pPr>
      <w:r>
        <w:rPr>
          <w:i/>
          <w:iCs/>
          <w:sz w:val="20"/>
          <w:szCs w:val="20"/>
        </w:rPr>
        <w:t>for the</w:t>
      </w:r>
    </w:p>
    <w:p w14:paraId="6FF20BE6" w14:textId="77777777" w:rsidR="00DB2BC2" w:rsidRDefault="00DB2BC2">
      <w:pPr>
        <w:spacing w:after="0"/>
        <w:ind w:left="360"/>
        <w:jc w:val="center"/>
        <w:rPr>
          <w:i/>
          <w:iCs/>
          <w:sz w:val="20"/>
          <w:szCs w:val="20"/>
        </w:rPr>
      </w:pPr>
    </w:p>
    <w:p w14:paraId="33BF642D" w14:textId="77777777" w:rsidR="00DB2BC2" w:rsidRDefault="00EA4629">
      <w:pPr>
        <w:spacing w:after="0"/>
        <w:ind w:left="360"/>
        <w:jc w:val="center"/>
        <w:rPr>
          <w:b/>
          <w:bCs/>
          <w:sz w:val="20"/>
          <w:szCs w:val="20"/>
        </w:rPr>
      </w:pPr>
      <w:r>
        <w:rPr>
          <w:b/>
          <w:bCs/>
          <w:sz w:val="20"/>
          <w:szCs w:val="20"/>
        </w:rPr>
        <w:t>100th Session of the Committee on the Rights of the Child</w:t>
      </w:r>
    </w:p>
    <w:p w14:paraId="5072E24C" w14:textId="77777777" w:rsidR="00DB2BC2" w:rsidRDefault="00EA4629">
      <w:pPr>
        <w:spacing w:after="0"/>
        <w:ind w:left="360"/>
        <w:jc w:val="center"/>
        <w:rPr>
          <w:b/>
          <w:bCs/>
          <w:sz w:val="20"/>
          <w:szCs w:val="20"/>
        </w:rPr>
      </w:pPr>
      <w:r>
        <w:rPr>
          <w:b/>
          <w:bCs/>
          <w:sz w:val="20"/>
          <w:szCs w:val="20"/>
        </w:rPr>
        <w:t>January 2026</w:t>
      </w:r>
    </w:p>
    <w:p w14:paraId="6260502E" w14:textId="77777777" w:rsidR="00DB2BC2" w:rsidRDefault="00DB2BC2">
      <w:pPr>
        <w:spacing w:after="0"/>
        <w:ind w:left="360"/>
        <w:jc w:val="center"/>
        <w:rPr>
          <w:sz w:val="20"/>
          <w:szCs w:val="20"/>
        </w:rPr>
      </w:pPr>
    </w:p>
    <w:p w14:paraId="23F0D4FF" w14:textId="77777777" w:rsidR="00DB2BC2" w:rsidRDefault="00EA4629">
      <w:pPr>
        <w:spacing w:after="0"/>
        <w:ind w:left="360"/>
        <w:jc w:val="center"/>
        <w:rPr>
          <w:b/>
          <w:bCs/>
          <w:sz w:val="20"/>
          <w:szCs w:val="20"/>
        </w:rPr>
        <w:sectPr w:rsidR="00DB2BC2">
          <w:headerReference w:type="default" r:id="rId7"/>
          <w:footerReference w:type="default" r:id="rId8"/>
          <w:headerReference w:type="first" r:id="rId9"/>
          <w:footerReference w:type="first" r:id="rId10"/>
          <w:pgSz w:w="11909" w:h="16834"/>
          <w:pgMar w:top="1440" w:right="1440" w:bottom="1440" w:left="1440" w:header="720" w:footer="720" w:gutter="0"/>
          <w:pgNumType w:start="1"/>
          <w:cols w:space="720"/>
          <w:titlePg/>
        </w:sectPr>
      </w:pPr>
      <w:r>
        <w:rPr>
          <w:sz w:val="20"/>
          <w:szCs w:val="20"/>
        </w:rPr>
        <w:t>Submitted December 15, 2025</w:t>
      </w:r>
    </w:p>
    <w:p w14:paraId="6927FDC5" w14:textId="77777777" w:rsidR="00DB2BC2" w:rsidRDefault="00EA4629">
      <w:pPr>
        <w:spacing w:after="0"/>
        <w:ind w:left="360"/>
        <w:rPr>
          <w:sz w:val="20"/>
          <w:szCs w:val="20"/>
        </w:rPr>
      </w:pPr>
      <w:r>
        <w:rPr>
          <w:b/>
          <w:bCs/>
          <w:sz w:val="20"/>
          <w:szCs w:val="20"/>
        </w:rPr>
        <w:lastRenderedPageBreak/>
        <w:t>HAYAT</w:t>
      </w:r>
      <w:r>
        <w:rPr>
          <w:sz w:val="20"/>
          <w:szCs w:val="20"/>
        </w:rPr>
        <w:t xml:space="preserve"> is a Kuala Lumpur-based organisation committed to advocating for rehabilitative and restorative justice, with a focus on </w:t>
      </w:r>
      <w:proofErr w:type="spellStart"/>
      <w:r>
        <w:rPr>
          <w:sz w:val="20"/>
          <w:szCs w:val="20"/>
        </w:rPr>
        <w:t>decarceration</w:t>
      </w:r>
      <w:proofErr w:type="spellEnd"/>
      <w:r>
        <w:rPr>
          <w:sz w:val="20"/>
          <w:szCs w:val="20"/>
        </w:rPr>
        <w:t>, drug policy reform, and the total abolition of the death penalty in Malaysia</w:t>
      </w:r>
      <w:r>
        <w:rPr>
          <w:b/>
          <w:bCs/>
          <w:sz w:val="20"/>
          <w:szCs w:val="20"/>
        </w:rPr>
        <w:t>.</w:t>
      </w:r>
      <w:r>
        <w:rPr>
          <w:sz w:val="20"/>
          <w:szCs w:val="20"/>
        </w:rPr>
        <w:t xml:space="preserve"> </w:t>
      </w:r>
    </w:p>
    <w:p w14:paraId="3E3F652E" w14:textId="77777777" w:rsidR="00DB2BC2" w:rsidRDefault="00DB2BC2">
      <w:pPr>
        <w:spacing w:after="0"/>
        <w:ind w:left="360"/>
        <w:rPr>
          <w:sz w:val="20"/>
          <w:szCs w:val="20"/>
        </w:rPr>
      </w:pPr>
    </w:p>
    <w:p w14:paraId="21195DCB" w14:textId="77777777" w:rsidR="00DB2BC2" w:rsidRDefault="00EA4629">
      <w:pPr>
        <w:spacing w:after="0"/>
        <w:ind w:left="360"/>
        <w:rPr>
          <w:sz w:val="20"/>
          <w:szCs w:val="20"/>
        </w:rPr>
      </w:pPr>
      <w:r>
        <w:rPr>
          <w:b/>
          <w:bCs/>
          <w:sz w:val="20"/>
          <w:szCs w:val="20"/>
        </w:rPr>
        <w:t>MANDIRI</w:t>
      </w:r>
      <w:r>
        <w:rPr>
          <w:sz w:val="20"/>
          <w:szCs w:val="20"/>
        </w:rPr>
        <w:t xml:space="preserve"> is a youth-driven organisation dedicated to empowering young leaders, promoting democratic participation, and fostering progressive ideas. MANDIRI aims to build a just, inclusive, and sustainable future for Malaysia and beyond.</w:t>
      </w:r>
    </w:p>
    <w:p w14:paraId="6530048B" w14:textId="77777777" w:rsidR="00DB2BC2" w:rsidRDefault="00DB2BC2">
      <w:pPr>
        <w:spacing w:after="0"/>
        <w:ind w:left="360"/>
        <w:rPr>
          <w:sz w:val="20"/>
          <w:szCs w:val="20"/>
        </w:rPr>
      </w:pPr>
    </w:p>
    <w:p w14:paraId="7E2B337D" w14:textId="77777777" w:rsidR="00DB2BC2" w:rsidRDefault="00EA4629">
      <w:pPr>
        <w:spacing w:after="0"/>
        <w:ind w:left="360"/>
        <w:rPr>
          <w:sz w:val="20"/>
          <w:szCs w:val="20"/>
        </w:rPr>
      </w:pPr>
      <w:r>
        <w:rPr>
          <w:b/>
          <w:bCs/>
          <w:sz w:val="20"/>
          <w:szCs w:val="20"/>
        </w:rPr>
        <w:t>SIUMAN</w:t>
      </w:r>
      <w:r>
        <w:rPr>
          <w:sz w:val="20"/>
          <w:szCs w:val="20"/>
        </w:rPr>
        <w:t xml:space="preserve"> (the Malay word for "sane") is an Organisation of Persons With Disabilities (OPD) in that it is a collective of mental patients and allies fighting for socioeconomic and political equity and equality for the mentally ill in Malaysia, initiated amid the COVID-19 pandemic in 2021.</w:t>
      </w:r>
    </w:p>
    <w:p w14:paraId="5A63514C" w14:textId="77777777" w:rsidR="00DB2BC2" w:rsidRDefault="00DB2BC2">
      <w:pPr>
        <w:spacing w:after="0"/>
        <w:ind w:left="360"/>
        <w:rPr>
          <w:sz w:val="20"/>
          <w:szCs w:val="20"/>
        </w:rPr>
      </w:pPr>
    </w:p>
    <w:p w14:paraId="2F32B96F" w14:textId="77777777" w:rsidR="00DB2BC2" w:rsidRDefault="00EA4629">
      <w:pPr>
        <w:spacing w:after="0"/>
        <w:ind w:left="360"/>
        <w:rPr>
          <w:sz w:val="20"/>
          <w:szCs w:val="20"/>
        </w:rPr>
      </w:pPr>
      <w:proofErr w:type="spellStart"/>
      <w:r>
        <w:rPr>
          <w:b/>
          <w:bCs/>
          <w:sz w:val="20"/>
          <w:szCs w:val="20"/>
        </w:rPr>
        <w:t>Projek</w:t>
      </w:r>
      <w:proofErr w:type="spellEnd"/>
      <w:r>
        <w:rPr>
          <w:b/>
          <w:bCs/>
          <w:sz w:val="20"/>
          <w:szCs w:val="20"/>
        </w:rPr>
        <w:t xml:space="preserve"> NDOKUMY</w:t>
      </w:r>
      <w:r>
        <w:rPr>
          <w:sz w:val="20"/>
          <w:szCs w:val="20"/>
        </w:rPr>
        <w:t xml:space="preserve"> is an initiative by and for disabled and/or neurodivergent persons in Malaysia. The project adopts a human rights-based, participatory approach to knowledge production and strives to platform community-led disability-advocacy resources.</w:t>
      </w:r>
    </w:p>
    <w:p w14:paraId="4800B595" w14:textId="77777777" w:rsidR="00DB2BC2" w:rsidRDefault="00DB2BC2">
      <w:pPr>
        <w:spacing w:after="0"/>
        <w:ind w:left="360"/>
        <w:rPr>
          <w:sz w:val="20"/>
          <w:szCs w:val="20"/>
        </w:rPr>
      </w:pPr>
    </w:p>
    <w:p w14:paraId="5E43024C" w14:textId="77777777" w:rsidR="00DB2BC2" w:rsidRDefault="00EA4629">
      <w:pPr>
        <w:spacing w:after="0"/>
        <w:ind w:left="360"/>
        <w:rPr>
          <w:sz w:val="20"/>
          <w:szCs w:val="20"/>
        </w:rPr>
        <w:sectPr w:rsidR="00DB2BC2">
          <w:pgSz w:w="11909" w:h="16834"/>
          <w:pgMar w:top="1440" w:right="1440" w:bottom="1440" w:left="1440" w:header="720" w:footer="720" w:gutter="0"/>
          <w:cols w:space="720"/>
        </w:sectPr>
      </w:pPr>
      <w:r>
        <w:rPr>
          <w:b/>
          <w:bCs/>
          <w:sz w:val="20"/>
          <w:szCs w:val="20"/>
        </w:rPr>
        <w:t>Suara Rakyat Malaysia (SUARAM)</w:t>
      </w:r>
      <w:r>
        <w:rPr>
          <w:sz w:val="20"/>
          <w:szCs w:val="20"/>
        </w:rPr>
        <w:t xml:space="preserve"> is a Malaysian non-governmental organisation established  following mass detention of human rights activists under the Internal Security Act in 1987. Since its founding, via advocacy, case management and public education efforts, SUARAM has been working on a range of civil &amp; political rights, namely right to fair trial; freedom of expression; freedom of peaceful assembly and association; freedom from torture and other forms of cruel and degrading treatment; as well as democracy building.</w:t>
      </w:r>
    </w:p>
    <w:p w14:paraId="4BBC1066" w14:textId="77777777" w:rsidR="00DB2BC2" w:rsidRDefault="00EA4629">
      <w:pPr>
        <w:numPr>
          <w:ilvl w:val="0"/>
          <w:numId w:val="1"/>
        </w:numPr>
      </w:pPr>
      <w:r>
        <w:lastRenderedPageBreak/>
        <w:t>Malaysia ratified the United Nations Convention on the Rights of the Child (CRC) on 17 February 1995. Malaysia has also ratified the Optional Protocol to the Convention on the Rights of the Child on the involvement of children in armed conflict and the Optional Protocol to the Convention on the Rights of the Child on the sale of children, child prostitution and child pornography on 12 April 2012.</w:t>
      </w:r>
    </w:p>
    <w:p w14:paraId="08CDFD63" w14:textId="77777777" w:rsidR="00DB2BC2" w:rsidRDefault="00EA4629">
      <w:pPr>
        <w:numPr>
          <w:ilvl w:val="0"/>
          <w:numId w:val="1"/>
        </w:numPr>
      </w:pPr>
      <w:r>
        <w:t>Notably, Malaysia maintains its reservations to Articles 2, 7, 14, 28 paragraph 1(a), and 37. Malaysia has also yet to ratify the Optional Protocol, which would enable individual complaints to the committee.</w:t>
      </w:r>
    </w:p>
    <w:p w14:paraId="617E7AC2" w14:textId="77777777" w:rsidR="00DB2BC2" w:rsidRDefault="00EA4629">
      <w:pPr>
        <w:numPr>
          <w:ilvl w:val="0"/>
          <w:numId w:val="1"/>
        </w:numPr>
      </w:pPr>
      <w:r>
        <w:t>For the most part, the ratification of the CRC is given effect through the Child Act 2001. The act was introduced as an amalgamation of several pieces of legislation that oversaw the rights of the child before the introduction of the Child Act 2001.</w:t>
      </w:r>
    </w:p>
    <w:p w14:paraId="4C383C5E" w14:textId="77777777" w:rsidR="00DB2BC2" w:rsidRDefault="00EA4629">
      <w:pPr>
        <w:numPr>
          <w:ilvl w:val="0"/>
          <w:numId w:val="1"/>
        </w:numPr>
      </w:pPr>
      <w:r>
        <w:t>In the intervening year between Malaysia’s first periodic report in 2004 and the combined second to fourth report on 5 August 2021, there have been significant challenges, obstructions, and, on occasion, direct violations of the rights of the child. A number of these issues remain unaddressed in the subsequent years.</w:t>
      </w:r>
    </w:p>
    <w:p w14:paraId="2470BE76" w14:textId="77777777" w:rsidR="00DB2BC2" w:rsidRDefault="00DB2BC2">
      <w:pPr>
        <w:ind w:firstLine="720"/>
      </w:pPr>
    </w:p>
    <w:p w14:paraId="14478651" w14:textId="77777777" w:rsidR="00DB2BC2" w:rsidRDefault="00EA4629">
      <w:pPr>
        <w:pStyle w:val="Heading1"/>
        <w:spacing w:before="200" w:after="200"/>
        <w:ind w:left="0" w:firstLine="0"/>
      </w:pPr>
      <w:bookmarkStart w:id="2" w:name="_e2op2zq6vbu3" w:colFirst="0" w:colLast="0"/>
      <w:bookmarkEnd w:id="2"/>
      <w:r>
        <w:t>Juvenile in Conflict with the Law</w:t>
      </w:r>
    </w:p>
    <w:p w14:paraId="16F895EA" w14:textId="77777777" w:rsidR="00DB2BC2" w:rsidRDefault="00EA4629">
      <w:pPr>
        <w:pStyle w:val="Heading2"/>
        <w:spacing w:before="0" w:after="200"/>
        <w:ind w:left="0" w:firstLine="0"/>
      </w:pPr>
      <w:bookmarkStart w:id="3" w:name="_vqc06un688es" w:colFirst="0" w:colLast="0"/>
      <w:bookmarkEnd w:id="3"/>
      <w:r>
        <w:t>The Death Penalty Alternative: Indefinite Detention</w:t>
      </w:r>
    </w:p>
    <w:p w14:paraId="599BE63B" w14:textId="77777777" w:rsidR="00DB2BC2" w:rsidRDefault="00EA4629">
      <w:pPr>
        <w:numPr>
          <w:ilvl w:val="0"/>
          <w:numId w:val="1"/>
        </w:numPr>
      </w:pPr>
      <w:r>
        <w:t>Malaysia maintained the mandatory death penalty for numerous offences before the abolition of the mandatory death penalty in April 2023. The nature of the mandatory death penalty was pervasive in the criminal justice system, significantly hampering the development of sentencing practices for grave crimes</w:t>
      </w:r>
      <w:r>
        <w:rPr>
          <w:vertAlign w:val="superscript"/>
        </w:rPr>
        <w:footnoteReference w:id="1"/>
      </w:r>
      <w:r>
        <w:t xml:space="preserve"> which includes sentencing of juvenile offenders convicted of a grave offence.</w:t>
      </w:r>
    </w:p>
    <w:p w14:paraId="4CDC566D" w14:textId="77777777" w:rsidR="00DB2BC2" w:rsidRDefault="00EA4629">
      <w:pPr>
        <w:numPr>
          <w:ilvl w:val="0"/>
          <w:numId w:val="1"/>
        </w:numPr>
      </w:pPr>
      <w:r>
        <w:t>Section 97 of the Child Act 2001 protects juvenile offenders from the death penalty. If the child were convicted of a death penalty-related offence, which are most often for murder or drug trafficking, Section 97 would substitute the death sentence with an order for the child to be detained under His Majesty’s pleasure, or imprisoned on the pleasure of the governor of a state.</w:t>
      </w:r>
    </w:p>
    <w:p w14:paraId="3BEC6A24" w14:textId="77777777" w:rsidR="00DB2BC2" w:rsidRDefault="00EA4629">
      <w:pPr>
        <w:numPr>
          <w:ilvl w:val="0"/>
          <w:numId w:val="1"/>
        </w:numPr>
      </w:pPr>
      <w:r>
        <w:t>Section 97(4) of the Child Act 2001 outlines the provisions and mechanisms for the release of any child detained under this mechanism. In brief, each child is supposed to undergo an annual review implemented by a judge through a Board of Visiting Justices.</w:t>
      </w:r>
      <w:r>
        <w:rPr>
          <w:vertAlign w:val="superscript"/>
        </w:rPr>
        <w:footnoteReference w:id="2"/>
      </w:r>
      <w:r>
        <w:t xml:space="preserve"> If the review found it appropriate, the child may be recommended for release. </w:t>
      </w:r>
      <w:r>
        <w:lastRenderedPageBreak/>
        <w:t>Without this recommendation, the child is subjected to indefinite detention, as noted in Malaysia’s first periodic report.</w:t>
      </w:r>
      <w:r>
        <w:rPr>
          <w:vertAlign w:val="superscript"/>
        </w:rPr>
        <w:footnoteReference w:id="3"/>
      </w:r>
    </w:p>
    <w:p w14:paraId="77B0B90C" w14:textId="77777777" w:rsidR="00DB2BC2" w:rsidRDefault="00EA4629">
      <w:pPr>
        <w:numPr>
          <w:ilvl w:val="0"/>
          <w:numId w:val="1"/>
        </w:numPr>
      </w:pPr>
      <w:r>
        <w:t>A complaint regarding this section was filed with the UN Working Group on Arbitrary Detention (UNGWAD) in 2018. The person in question had spent at least 18 years incarcerated as a juvenile offender at the time of the complaint and had not received the appropriate review outlined under Section 97(4) of the Child Act 2001. Throughout his incarceration, he was only given a brief review or more specifically, interviews by the Board of Visiting Justices, with no other recourse to justice. The opinion affirmed t</w:t>
      </w:r>
      <w:r>
        <w:t>he finding of the Committee and also found his continued detention to be a violation of Article 9 of the Universal Declaration of Human Rights and a form of arbitrary detention.</w:t>
      </w:r>
    </w:p>
    <w:p w14:paraId="51B7F69F" w14:textId="77777777" w:rsidR="00DB2BC2" w:rsidRDefault="00EA4629">
      <w:pPr>
        <w:numPr>
          <w:ilvl w:val="0"/>
          <w:numId w:val="1"/>
        </w:numPr>
      </w:pPr>
      <w:r>
        <w:t>While the person in this complaint was subsequently released through clemency, a process that is arguably outside of the framework of Section 97 of the Child Act 2001, others in a similar predicament remain incarcerated with no legal recourse. The abolition of the mandatory death penalty ought to have given a chance for these individuals to have their cases revisited and addressed. However, the government explicitly excluded juvenile offenders convicted of a death penalty-related offence, and they remain un</w:t>
      </w:r>
      <w:r>
        <w:t>der indefinite incarceration.</w:t>
      </w:r>
    </w:p>
    <w:p w14:paraId="197D15F2" w14:textId="77777777" w:rsidR="00DB2BC2" w:rsidRDefault="00EA4629">
      <w:pPr>
        <w:numPr>
          <w:ilvl w:val="0"/>
          <w:numId w:val="1"/>
        </w:numPr>
      </w:pPr>
      <w:r>
        <w:t>A Parliament Question</w:t>
      </w:r>
      <w:r>
        <w:rPr>
          <w:vertAlign w:val="superscript"/>
        </w:rPr>
        <w:footnoteReference w:id="4"/>
      </w:r>
      <w:r>
        <w:t xml:space="preserve"> later revealed that 27 juvenile offenders are detained indefinitely, with 2 of them having spent more than 20 years incarcerated; 12 incarcerated for more than 10 years; 10 who were incarcerated for 10 years, with two unspecified periods of incarceration.</w:t>
      </w:r>
    </w:p>
    <w:p w14:paraId="6EBF92C5" w14:textId="77777777" w:rsidR="00DB2BC2" w:rsidRDefault="00DB2BC2">
      <w:pPr>
        <w:ind w:firstLine="720"/>
      </w:pPr>
    </w:p>
    <w:p w14:paraId="466E6FB3" w14:textId="77777777" w:rsidR="00DB2BC2" w:rsidRDefault="00EA4629">
      <w:pPr>
        <w:pStyle w:val="Heading2"/>
        <w:spacing w:before="0" w:after="200"/>
        <w:ind w:left="0" w:firstLine="0"/>
      </w:pPr>
      <w:bookmarkStart w:id="4" w:name="_4n0k2wigvl0" w:colFirst="0" w:colLast="0"/>
      <w:bookmarkEnd w:id="4"/>
      <w:r>
        <w:t>Media Exposure of Juvenile Offenders</w:t>
      </w:r>
    </w:p>
    <w:p w14:paraId="15C001AB" w14:textId="77777777" w:rsidR="00DB2BC2" w:rsidRDefault="00EA4629">
      <w:pPr>
        <w:numPr>
          <w:ilvl w:val="0"/>
          <w:numId w:val="1"/>
        </w:numPr>
      </w:pPr>
      <w:r>
        <w:t>Section 15 of the Child Act 2001 provides explicit rights that prohibit exposing juvenile offenders to the media and sets limits on what can be published, if at all. The provisions of this section are more often ignored by state agencies and institutions than by media entities.</w:t>
      </w:r>
    </w:p>
    <w:p w14:paraId="020CB638" w14:textId="77777777" w:rsidR="00DB2BC2" w:rsidRDefault="00EA4629">
      <w:pPr>
        <w:numPr>
          <w:ilvl w:val="0"/>
          <w:numId w:val="1"/>
        </w:numPr>
      </w:pPr>
      <w:r>
        <w:t>On 7 April 2023, a child and a young adult were arrested after a video of them allegedly in mid-intercourse was circulated on social media by the person who found and recorded them. The two, with one later being identified as only 17 years old, were paraded through the court compound during a remand hearing, exposing the child to media attention, and her photo with a blur imposed was published widely.</w:t>
      </w:r>
      <w:r>
        <w:rPr>
          <w:vertAlign w:val="superscript"/>
        </w:rPr>
        <w:footnoteReference w:id="5"/>
      </w:r>
    </w:p>
    <w:p w14:paraId="3CB7458E" w14:textId="77777777" w:rsidR="00DB2BC2" w:rsidRDefault="00EA4629">
      <w:pPr>
        <w:numPr>
          <w:ilvl w:val="0"/>
          <w:numId w:val="1"/>
        </w:numPr>
      </w:pPr>
      <w:r>
        <w:lastRenderedPageBreak/>
        <w:t>The Royal Malaysian Police refuted criticism of the incident, citing compliance with legal procedures.</w:t>
      </w:r>
      <w:r>
        <w:rPr>
          <w:vertAlign w:val="superscript"/>
        </w:rPr>
        <w:footnoteReference w:id="6"/>
      </w:r>
      <w:r>
        <w:t xml:space="preserve"> The Police statement blatantly disregarded the fact that handcuffs should only be used on juvenile offenders when there are no other alternatives available, and there is a need for restraint, and also failed to explain why the child in question was transported and kept with adult detainees.</w:t>
      </w:r>
    </w:p>
    <w:p w14:paraId="5DF42FCE" w14:textId="77777777" w:rsidR="00DB2BC2" w:rsidRDefault="00EA4629">
      <w:pPr>
        <w:numPr>
          <w:ilvl w:val="0"/>
          <w:numId w:val="1"/>
        </w:numPr>
      </w:pPr>
      <w:r>
        <w:t>The original video of the alleged incident, recorded without the child's or the young adult's consent, was widely circulated with no attempt to hide their identities. These videos were later taken down from social media as the videos themselves could be considered child pornography.</w:t>
      </w:r>
    </w:p>
    <w:p w14:paraId="7BDACCCC" w14:textId="77777777" w:rsidR="00DB2BC2" w:rsidRDefault="00EA4629">
      <w:pPr>
        <w:numPr>
          <w:ilvl w:val="0"/>
          <w:numId w:val="1"/>
        </w:numPr>
      </w:pPr>
      <w:r>
        <w:t>Similarly, in a 2022 case</w:t>
      </w:r>
      <w:r>
        <w:rPr>
          <w:vertAlign w:val="superscript"/>
        </w:rPr>
        <w:footnoteReference w:id="7"/>
      </w:r>
      <w:r>
        <w:t xml:space="preserve"> where a child inadvertently killed her sibling due to an argument, during her remand process, she was also paraded through the court compound with a journalist able to take photos of the child. She was initially misidentified as an adult and had her information published. She was later found to be under 18 years of age following the remand proceeding. </w:t>
      </w:r>
    </w:p>
    <w:p w14:paraId="13EF9B95" w14:textId="77777777" w:rsidR="00DB2BC2" w:rsidRDefault="00EA4629">
      <w:pPr>
        <w:numPr>
          <w:ilvl w:val="0"/>
          <w:numId w:val="1"/>
        </w:numPr>
      </w:pPr>
      <w:r>
        <w:t>Around October 2025, a murder case involving a juvenile was widely published and circulated on mainstream media and social media.</w:t>
      </w:r>
      <w:r>
        <w:rPr>
          <w:vertAlign w:val="superscript"/>
        </w:rPr>
        <w:footnoteReference w:id="8"/>
      </w:r>
      <w:r>
        <w:t xml:space="preserve"> Photos of the perpetrator and victim are widely disseminated, with little to no attempt to halt their continued publication by media agencies and relevant authorities. Documents and information belonging to the juvenile in question were also sporadically shared publicly through the media.</w:t>
      </w:r>
      <w:r>
        <w:rPr>
          <w:vertAlign w:val="superscript"/>
        </w:rPr>
        <w:footnoteReference w:id="9"/>
      </w:r>
      <w:r>
        <w:t xml:space="preserve"> </w:t>
      </w:r>
    </w:p>
    <w:p w14:paraId="6A306523" w14:textId="77777777" w:rsidR="00DB2BC2" w:rsidRDefault="00EA4629">
      <w:pPr>
        <w:numPr>
          <w:ilvl w:val="0"/>
          <w:numId w:val="1"/>
        </w:numPr>
      </w:pPr>
      <w:r>
        <w:t xml:space="preserve">Concerningly, the disclosure of information about juvenile offenders in court documents is also relatively inconsistent. One of the foundational cases on the legality and constitutionality of Section 97(2) of the Child Act 2001 was initially cited as R v KWK during its trial and appeals when the child was under the age of 18, but the name of the case in question was later exposed in full as the child reached the age of majority. </w:t>
      </w:r>
    </w:p>
    <w:p w14:paraId="5DA4F0E4" w14:textId="77777777" w:rsidR="00DB2BC2" w:rsidRDefault="00EA4629">
      <w:pPr>
        <w:numPr>
          <w:ilvl w:val="0"/>
          <w:numId w:val="1"/>
        </w:numPr>
      </w:pPr>
      <w:r>
        <w:t xml:space="preserve">This occurred due to a gap in the court's order during the proceedings. While Section 15 of the Child Act 2001 prohibits publication of the identity of the child offender, the order is no longer valid once the child reaches the age of 18, as per Sections 12 &amp; 13, unless the court has given a permanent anonymity order. Presently, Malaysian law </w:t>
      </w:r>
      <w:r>
        <w:lastRenderedPageBreak/>
        <w:t>does not prescribe or provide any direct legislation for this purpose; however, this could potentially be imported through common law interpretations.</w:t>
      </w:r>
      <w:r>
        <w:rPr>
          <w:vertAlign w:val="superscript"/>
        </w:rPr>
        <w:footnoteReference w:id="10"/>
      </w:r>
      <w:r>
        <w:t xml:space="preserve"> </w:t>
      </w:r>
    </w:p>
    <w:p w14:paraId="1BBA3A5D" w14:textId="77777777" w:rsidR="00DB2BC2" w:rsidRDefault="00EA4629">
      <w:pPr>
        <w:pStyle w:val="Heading2"/>
        <w:spacing w:before="0" w:after="200"/>
        <w:ind w:left="0" w:firstLine="0"/>
      </w:pPr>
      <w:bookmarkStart w:id="5" w:name="_cexkhc59bfkg" w:colFirst="0" w:colLast="0"/>
      <w:bookmarkEnd w:id="5"/>
      <w:r>
        <w:t>Arbitrary Detention and Torture</w:t>
      </w:r>
    </w:p>
    <w:p w14:paraId="525DCBF7" w14:textId="77777777" w:rsidR="00DB2BC2" w:rsidRDefault="00EA4629">
      <w:pPr>
        <w:numPr>
          <w:ilvl w:val="0"/>
          <w:numId w:val="1"/>
        </w:numPr>
      </w:pPr>
      <w:r>
        <w:t>Malaysia maintains several security-related legislations, including the Security Offences (Special Measures) Act 2012, the Prevention of Crime Act 1960, the Prevention of Terrorism Act 2015, and the Dangerous Drugs (Special Preventive Measures) Act 1985, that permit administrative detention for up to 2 years. Incarceration under these provisions had previously been considered by the UN Working Group on Arbitrary Detention and has been recognised as a form of arbitrary detention.</w:t>
      </w:r>
    </w:p>
    <w:p w14:paraId="736695D3" w14:textId="77777777" w:rsidR="00DB2BC2" w:rsidRDefault="00EA4629">
      <w:pPr>
        <w:numPr>
          <w:ilvl w:val="0"/>
          <w:numId w:val="1"/>
        </w:numPr>
      </w:pPr>
      <w:r>
        <w:t>There is a significant and repeated association with arbitrary detention under these legislations and the overt use of physical and mental torture during the detention period.</w:t>
      </w:r>
    </w:p>
    <w:p w14:paraId="418EAA5A" w14:textId="77777777" w:rsidR="00DB2BC2" w:rsidRDefault="00EA4629">
      <w:pPr>
        <w:numPr>
          <w:ilvl w:val="0"/>
          <w:numId w:val="1"/>
        </w:numPr>
      </w:pPr>
      <w:r>
        <w:t>One of the repeatedly documented practices used alongside security-related legislation is chain remand.</w:t>
      </w:r>
      <w:r>
        <w:rPr>
          <w:vertAlign w:val="superscript"/>
        </w:rPr>
        <w:footnoteReference w:id="11"/>
      </w:r>
      <w:r>
        <w:t xml:space="preserve"> On 6 February 2017, two 16-year-old minors, Ang Kian Kok</w:t>
      </w:r>
      <w:r>
        <w:rPr>
          <w:vertAlign w:val="superscript"/>
        </w:rPr>
        <w:footnoteReference w:id="12"/>
      </w:r>
      <w:r>
        <w:t xml:space="preserve"> and </w:t>
      </w:r>
      <w:proofErr w:type="spellStart"/>
      <w:r>
        <w:t>Kanapathy</w:t>
      </w:r>
      <w:proofErr w:type="spellEnd"/>
      <w:r>
        <w:t xml:space="preserve"> Perathapan, were arrested together with Balamurugan</w:t>
      </w:r>
      <w:r>
        <w:rPr>
          <w:vertAlign w:val="superscript"/>
        </w:rPr>
        <w:footnoteReference w:id="13"/>
      </w:r>
      <w:r>
        <w:t xml:space="preserve"> and subjected to torture and other forms of abuse. After being beaten and tortured, Balamurugan died in custody on 8 February. Despite this, the police continued to detain the two minors.</w:t>
      </w:r>
    </w:p>
    <w:p w14:paraId="192A0B5A" w14:textId="77777777" w:rsidR="00DB2BC2" w:rsidRDefault="00EA4629">
      <w:pPr>
        <w:numPr>
          <w:ilvl w:val="0"/>
          <w:numId w:val="1"/>
        </w:numPr>
      </w:pPr>
      <w:r>
        <w:t xml:space="preserve">After a failed remand application, both were re-arrested by police officers from a different police station and arbitrarily detained until 25 February 2017. After their release, a medical examination reported that Ang and </w:t>
      </w:r>
      <w:proofErr w:type="spellStart"/>
      <w:r>
        <w:t>Kanapathy</w:t>
      </w:r>
      <w:proofErr w:type="spellEnd"/>
      <w:r>
        <w:t xml:space="preserve"> sustained multiple injuries, such as bleeding from the nose, swollen faces and feet, and bloodshot eyes.</w:t>
      </w:r>
    </w:p>
    <w:p w14:paraId="7D022833" w14:textId="77777777" w:rsidR="00DB2BC2" w:rsidRDefault="00EA4629">
      <w:pPr>
        <w:numPr>
          <w:ilvl w:val="0"/>
          <w:numId w:val="1"/>
        </w:numPr>
      </w:pPr>
      <w:r>
        <w:t>Later interviews and investigations revealed that both minors had been subjected to severe torture, including being hung upside down, smeared with chilli powder and paint thinner, and beaten with a rubber hose. Ang Kian Kok was later detained under POCA on the pretence of other alleged crimes after his release and was held for another 21 days before being placed under house arrest and fitted with an ankle monitoring device (EMD).</w:t>
      </w:r>
      <w:r>
        <w:rPr>
          <w:vertAlign w:val="superscript"/>
        </w:rPr>
        <w:footnoteReference w:id="14"/>
      </w:r>
    </w:p>
    <w:p w14:paraId="56CD28AF" w14:textId="77777777" w:rsidR="00DB2BC2" w:rsidRDefault="00EA4629">
      <w:pPr>
        <w:numPr>
          <w:ilvl w:val="0"/>
          <w:numId w:val="1"/>
        </w:numPr>
        <w:spacing w:after="0"/>
      </w:pPr>
      <w:r>
        <w:lastRenderedPageBreak/>
        <w:t xml:space="preserve">Another documented case was that of </w:t>
      </w:r>
      <w:proofErr w:type="spellStart"/>
      <w:r>
        <w:t>Mitheswaran</w:t>
      </w:r>
      <w:proofErr w:type="spellEnd"/>
      <w:r>
        <w:t xml:space="preserve"> Kumar, an 18-year-old who was held in chain remand for a total of 21 days at more than seven different police stations before being detained under POCA for 60 days. This amounted to 81 consecutive days of detention without being charged in court. Initially arrested for possession of a small amount of drugs, he was subsequently chain-remanded for other offences, such as burglary. He also reported being subjected to torture, including electrocution by the police during his detentions.</w:t>
      </w:r>
    </w:p>
    <w:p w14:paraId="179E9AAB" w14:textId="77777777" w:rsidR="00DB2BC2" w:rsidRDefault="00DB2BC2">
      <w:pPr>
        <w:spacing w:after="0"/>
        <w:ind w:firstLine="720"/>
      </w:pPr>
    </w:p>
    <w:p w14:paraId="3AA04479" w14:textId="77777777" w:rsidR="00DB2BC2" w:rsidRDefault="00EA4629">
      <w:pPr>
        <w:pStyle w:val="Heading1"/>
        <w:spacing w:before="0" w:after="200"/>
        <w:ind w:left="0" w:firstLine="0"/>
      </w:pPr>
      <w:bookmarkStart w:id="6" w:name="_gax2bf1w63s" w:colFirst="0" w:colLast="0"/>
      <w:bookmarkEnd w:id="6"/>
      <w:r>
        <w:t>Disability</w:t>
      </w:r>
    </w:p>
    <w:p w14:paraId="316FB232" w14:textId="77777777" w:rsidR="00DB2BC2" w:rsidRDefault="00EA4629">
      <w:pPr>
        <w:numPr>
          <w:ilvl w:val="0"/>
          <w:numId w:val="1"/>
        </w:numPr>
      </w:pPr>
      <w:r>
        <w:t xml:space="preserve">Regarding the recognition of the rights of persons with disabilities, Article 8, which provides for equality in Malaysia, does not include disability among its protected characteristics. This contrasts with gender, which was introduced following Malaysia's ratification of the Convention on the Elimination of All Forms of Discrimination against Women (CEDAW). Similar gaps are also noted in Article 12 of the Federal Constitution, which provides for the right to education. </w:t>
      </w:r>
    </w:p>
    <w:p w14:paraId="2513F2A5" w14:textId="77777777" w:rsidR="00DB2BC2" w:rsidRDefault="00EA4629">
      <w:pPr>
        <w:numPr>
          <w:ilvl w:val="0"/>
          <w:numId w:val="1"/>
        </w:numPr>
      </w:pPr>
      <w:r>
        <w:t>Special Needs Education Regulations exclude children with psychosocial disabilities. Other disability classes (6 defined by the regulations) are assessed as “fit” for education (either mainstream or special-needs education). However, despite being deemed ‘fit’ for a more conventional education pathway, they may still be excluded from tertiary education, simply because they have an OKU card and are in the government’s register.</w:t>
      </w:r>
      <w:r>
        <w:rPr>
          <w:vertAlign w:val="superscript"/>
        </w:rPr>
        <w:footnoteReference w:id="15"/>
      </w:r>
      <w:r>
        <w:t xml:space="preserve"> </w:t>
      </w:r>
    </w:p>
    <w:p w14:paraId="09506C8D" w14:textId="77777777" w:rsidR="00DB2BC2" w:rsidRDefault="00EA4629">
      <w:pPr>
        <w:numPr>
          <w:ilvl w:val="0"/>
          <w:numId w:val="1"/>
        </w:numPr>
      </w:pPr>
      <w:r>
        <w:t>In 2017, a former autistic student with Attention-Deficit Hyperactivity Disorder (ADHD), together with his mother, filed a lawsuit against his special education boarding school and the government for their failure to provide a safe environment against bullying based on his disabilities, as well as their inability to provide quality education fit for his learning needs.</w:t>
      </w:r>
      <w:r>
        <w:rPr>
          <w:vertAlign w:val="superscript"/>
        </w:rPr>
        <w:footnoteReference w:id="16"/>
      </w:r>
      <w:r>
        <w:t xml:space="preserve"> The plaintiffs had quoted Article 12 of the Federal Constitution and Section 28 of the Persons with Disabilities Act 2008, which the court dismissed in a ruling six years later.</w:t>
      </w:r>
      <w:r>
        <w:rPr>
          <w:vertAlign w:val="superscript"/>
        </w:rPr>
        <w:footnoteReference w:id="17"/>
      </w:r>
      <w:r>
        <w:t xml:space="preserve"> The judge said that “there is no oral evidence on purported breaches that the government or ministry had violated through the common law to provide the child reasonable education,” thus calling into question the adequacy of the current scope of protection of the right to quality education for </w:t>
      </w:r>
      <w:r>
        <w:lastRenderedPageBreak/>
        <w:t>children with disabilities in Malaysia</w:t>
      </w:r>
      <w:r>
        <w:rPr>
          <w:vertAlign w:val="superscript"/>
        </w:rPr>
        <w:footnoteReference w:id="18"/>
      </w:r>
      <w:r>
        <w:t xml:space="preserve"> to be consistent with Article 23 and Article 28 of the CRC and Target 4 of the Sustainable Development Goals 2030.</w:t>
      </w:r>
    </w:p>
    <w:p w14:paraId="6D611112" w14:textId="77777777" w:rsidR="00DB2BC2" w:rsidRDefault="00EA4629">
      <w:pPr>
        <w:numPr>
          <w:ilvl w:val="0"/>
          <w:numId w:val="1"/>
        </w:numPr>
      </w:pPr>
      <w:r>
        <w:t>The existing reservations that Malaysia has on Article 37 of the CRC and Article 15 of the CRPD to protect children with disabilities from torture or cruel, inhuman or degrading treatment or punishment contributed to the gap in the protection of a 13-year-old girl with Down syndrome who was found to be abused and neglected at a welfare home in 2021. Although in 2023 the defendant was charged under Section 3(1)(a) of the Child Act 2001</w:t>
      </w:r>
      <w:r>
        <w:rPr>
          <w:vertAlign w:val="superscript"/>
        </w:rPr>
        <w:footnoteReference w:id="19"/>
      </w:r>
      <w:r>
        <w:t>, the application of disability-specific legislative parameters was non-existent.</w:t>
      </w:r>
    </w:p>
    <w:p w14:paraId="3FD8D40E" w14:textId="77777777" w:rsidR="00DB2BC2" w:rsidRDefault="00EA4629">
      <w:pPr>
        <w:numPr>
          <w:ilvl w:val="0"/>
          <w:numId w:val="1"/>
        </w:numPr>
      </w:pPr>
      <w:r>
        <w:t>Additionally, there is no Mental Capacity Act to safeguard children in contact with the criminal justice system (CJS)</w:t>
      </w:r>
      <w:r>
        <w:rPr>
          <w:vertAlign w:val="superscript"/>
        </w:rPr>
        <w:footnoteReference w:id="20"/>
      </w:r>
      <w:r>
        <w:t xml:space="preserve"> except for the limited provisions under the Child Act 2001 and common law developed in accordance with it. The existing framework generally determines capacity to participate in the criminal justice process based on age, maturity, and understanding</w:t>
      </w:r>
      <w:r>
        <w:rPr>
          <w:vertAlign w:val="superscript"/>
        </w:rPr>
        <w:footnoteReference w:id="21"/>
      </w:r>
      <w:r>
        <w:t>, with limited clarity on whether this would take into consideration any disabilities.</w:t>
      </w:r>
    </w:p>
    <w:p w14:paraId="7C4BE1F1" w14:textId="77777777" w:rsidR="00DB2BC2" w:rsidRDefault="00EA4629">
      <w:pPr>
        <w:numPr>
          <w:ilvl w:val="0"/>
          <w:numId w:val="1"/>
        </w:numPr>
      </w:pPr>
      <w:r>
        <w:t>In light of the existing reservations of the CRC and CRPD, and of reasonable accommodation (including for children in contact with CJS) as described in the Persons with Disabilities Act 2008, which is not mandated, the protection of children with disabilities' access to justice is decidedly insufficient.</w:t>
      </w:r>
    </w:p>
    <w:p w14:paraId="0627D7FC" w14:textId="77777777" w:rsidR="00DB2BC2" w:rsidRDefault="00EA4629">
      <w:pPr>
        <w:numPr>
          <w:ilvl w:val="0"/>
          <w:numId w:val="1"/>
        </w:numPr>
      </w:pPr>
      <w:r>
        <w:t>The requirement for persons with disabilities to be formally registered with the Department of Social Welfare and bear the OKU card to qualify for affordable healthcare and attend public schools becomes an added institutional barrier for stateless children in need of these necessities. While Malaysia does not have any reservations for Article 23 of the CRC, affordable/free healthcare services and education to accommodate disabilities do not extend to non-citizens, putting those who have not obtained citizen</w:t>
      </w:r>
      <w:r>
        <w:t>ship in limbo with additional barriers stacked against them.</w:t>
      </w:r>
      <w:r>
        <w:rPr>
          <w:vertAlign w:val="superscript"/>
        </w:rPr>
        <w:footnoteReference w:id="22"/>
      </w:r>
    </w:p>
    <w:p w14:paraId="419594B8" w14:textId="77777777" w:rsidR="00DB2BC2" w:rsidRDefault="00DB2BC2">
      <w:pPr>
        <w:spacing w:after="0"/>
        <w:ind w:firstLine="720"/>
      </w:pPr>
    </w:p>
    <w:p w14:paraId="22773D33" w14:textId="77777777" w:rsidR="00DB2BC2" w:rsidRDefault="00DB2BC2">
      <w:pPr>
        <w:pStyle w:val="Heading1"/>
        <w:spacing w:before="0" w:after="200"/>
        <w:ind w:left="0" w:firstLine="0"/>
        <w:sectPr w:rsidR="00DB2BC2">
          <w:pgSz w:w="11909" w:h="16834"/>
          <w:pgMar w:top="1440" w:right="1440" w:bottom="1440" w:left="1440" w:header="720" w:footer="720" w:gutter="0"/>
          <w:cols w:space="720"/>
        </w:sectPr>
      </w:pPr>
      <w:bookmarkStart w:id="7" w:name="_jjd309exwv0v" w:colFirst="0" w:colLast="0"/>
      <w:bookmarkEnd w:id="7"/>
    </w:p>
    <w:p w14:paraId="537385A6" w14:textId="77777777" w:rsidR="00DB2BC2" w:rsidRDefault="00EA4629">
      <w:pPr>
        <w:pStyle w:val="Heading1"/>
        <w:spacing w:before="0" w:after="200"/>
        <w:ind w:left="0" w:firstLine="0"/>
      </w:pPr>
      <w:bookmarkStart w:id="8" w:name="_5avh263sx5u6" w:colFirst="0" w:colLast="0"/>
      <w:bookmarkEnd w:id="8"/>
      <w:r>
        <w:lastRenderedPageBreak/>
        <w:t>Children with Incarcerated Parents</w:t>
      </w:r>
    </w:p>
    <w:p w14:paraId="11DB0D05" w14:textId="77777777" w:rsidR="00DB2BC2" w:rsidRDefault="00EA4629">
      <w:pPr>
        <w:numPr>
          <w:ilvl w:val="0"/>
          <w:numId w:val="1"/>
        </w:numPr>
      </w:pPr>
      <w:r>
        <w:t>Malaysia's prison rules permit family members to visit once a week for a 45-minute session. However, this session does not provide special dispensation for any persons with children, or for cases in which children were involved in the visitation. The meeting takes place through a glass window with no physical contact permitted.</w:t>
      </w:r>
    </w:p>
    <w:p w14:paraId="1B8F38E2" w14:textId="77777777" w:rsidR="00DB2BC2" w:rsidRDefault="00EA4629">
      <w:pPr>
        <w:numPr>
          <w:ilvl w:val="0"/>
          <w:numId w:val="1"/>
        </w:numPr>
      </w:pPr>
      <w:r>
        <w:t>It is noted that on special occasions, such as festive holidays, prisons may permit social events and gatherings to be hosted in prison compounds, allowing inmates to spend additional time with their family members.</w:t>
      </w:r>
    </w:p>
    <w:p w14:paraId="6085F531" w14:textId="77777777" w:rsidR="00DB2BC2" w:rsidRDefault="00EA4629">
      <w:pPr>
        <w:numPr>
          <w:ilvl w:val="0"/>
          <w:numId w:val="1"/>
        </w:numPr>
      </w:pPr>
      <w:r>
        <w:t>Recent testimonies from one prison in Malaysia indicate systemic non-compliance with international standards on the treatment of infants living with incarcerated mothers. The reported conditions regarding access to nutrition, healthcare, and hygiene, as well as the prohibition of supplies, contravene the Bangkok Rules adopted by the General Assembly in 2010.</w:t>
      </w:r>
      <w:r>
        <w:rPr>
          <w:vertAlign w:val="superscript"/>
        </w:rPr>
        <w:footnoteReference w:id="23"/>
      </w:r>
      <w:r>
        <w:t xml:space="preserve"> </w:t>
      </w:r>
    </w:p>
    <w:p w14:paraId="0E1C3065" w14:textId="77777777" w:rsidR="00DB2BC2" w:rsidRDefault="00EA4629">
      <w:pPr>
        <w:numPr>
          <w:ilvl w:val="0"/>
          <w:numId w:val="1"/>
        </w:numPr>
      </w:pPr>
      <w:r>
        <w:t>Infants are reportedly routinely fed “watery porridge” consisting primarily of rice and water, which lacks the nutritional density suitable for children. Vegetable rations are also allegedly contaminated with worms, sand, and grass, among others. Beyond that, mothers are reportedly denied access to hot water for preparing milk formula. Donated milk from their families or NGOs is allegedly hoarded in storage until it expires rather than distributed to infants. These contravene Rule 48 of the Bangkok Rules, w</w:t>
      </w:r>
      <w:r>
        <w:t>hich stipulates support for breastfeeding women prisoners and their babies in relation to their diet.</w:t>
      </w:r>
      <w:r>
        <w:rPr>
          <w:vertAlign w:val="superscript"/>
        </w:rPr>
        <w:footnoteReference w:id="24"/>
      </w:r>
      <w:r>
        <w:t xml:space="preserve"> </w:t>
      </w:r>
    </w:p>
    <w:p w14:paraId="6A795321" w14:textId="77777777" w:rsidR="00DB2BC2" w:rsidRDefault="00EA4629">
      <w:pPr>
        <w:numPr>
          <w:ilvl w:val="0"/>
          <w:numId w:val="1"/>
        </w:numPr>
      </w:pPr>
      <w:r>
        <w:t>In relation to access to healthcare, anecdotal reports reveal that prison staff refuse to dispense medication to infants suffering from fevers. Instead, their mothers are ordered to bathe them in cold water. Access to medicine is allegedly granted only when an infant’s condition becomes critical (e.g., turning blue). Other ailments, such as skin rashes, are reportedly left untreated due to the lack of supplies such as creams or ointments. These violate Rule 9 of the Bangkok Rules, which states that appropri</w:t>
      </w:r>
      <w:r>
        <w:t>ate healthcare, at least equivalent to that in the community, shall be provided to incarcerated women and their children.</w:t>
      </w:r>
      <w:r>
        <w:rPr>
          <w:vertAlign w:val="superscript"/>
        </w:rPr>
        <w:footnoteReference w:id="25"/>
      </w:r>
    </w:p>
    <w:p w14:paraId="4B76FAEB" w14:textId="77777777" w:rsidR="00DB2BC2" w:rsidRDefault="00EA4629">
      <w:pPr>
        <w:numPr>
          <w:ilvl w:val="0"/>
          <w:numId w:val="1"/>
        </w:numPr>
      </w:pPr>
      <w:r>
        <w:t>Prisoners with infants are reportedly limited to three diapers a day. Testimonies indicate that if a family visits the prisoner, state-provided diaper supplies are revoked regardless of the quantity of supplies the family provides. This contrasts with Rule 48 of the Bangkok Rules, which mandates that a healthy environment be provided to breastfeeding mothers and their children.</w:t>
      </w:r>
      <w:r>
        <w:rPr>
          <w:vertAlign w:val="superscript"/>
        </w:rPr>
        <w:footnoteReference w:id="26"/>
      </w:r>
      <w:r>
        <w:t xml:space="preserve"> </w:t>
      </w:r>
    </w:p>
    <w:p w14:paraId="2E84F2B9" w14:textId="77777777" w:rsidR="00DB2BC2" w:rsidRDefault="00EA4629">
      <w:pPr>
        <w:numPr>
          <w:ilvl w:val="0"/>
          <w:numId w:val="1"/>
        </w:numPr>
      </w:pPr>
      <w:r>
        <w:lastRenderedPageBreak/>
        <w:t>There are also allegations of clothing sent by families being misappropriated by prison staff, forcing infants to wear worn-out garments. Moreover, instances of mother-child separation (either for punitive or administrative reasons) for up to two weeks have been reported, during which infants were fed by other prisoners. This violates Rules 22 and 23 of the Bangkok Rules, subjecting mothers to disciplinary segregation and prohibiting contact with their children.</w:t>
      </w:r>
      <w:r>
        <w:rPr>
          <w:vertAlign w:val="superscript"/>
        </w:rPr>
        <w:footnoteReference w:id="27"/>
      </w:r>
      <w:r>
        <w:t xml:space="preserve"> </w:t>
      </w:r>
    </w:p>
    <w:p w14:paraId="3D606585" w14:textId="77777777" w:rsidR="00DB2BC2" w:rsidRDefault="00EA4629">
      <w:pPr>
        <w:pStyle w:val="Heading1"/>
        <w:ind w:left="0" w:firstLine="0"/>
      </w:pPr>
      <w:bookmarkStart w:id="9" w:name="_ethspo1n59xr" w:colFirst="0" w:colLast="0"/>
      <w:bookmarkEnd w:id="9"/>
      <w:r>
        <w:t>Recommendations</w:t>
      </w:r>
    </w:p>
    <w:p w14:paraId="36236FA4" w14:textId="77777777" w:rsidR="00DB2BC2" w:rsidRDefault="00EA4629">
      <w:pPr>
        <w:numPr>
          <w:ilvl w:val="0"/>
          <w:numId w:val="1"/>
        </w:numPr>
      </w:pPr>
      <w:r>
        <w:t>We therefore recommend that the Malaysian Government:</w:t>
      </w:r>
    </w:p>
    <w:p w14:paraId="087EB5A2" w14:textId="77777777" w:rsidR="00DB2BC2" w:rsidRDefault="00EA4629">
      <w:pPr>
        <w:numPr>
          <w:ilvl w:val="1"/>
          <w:numId w:val="1"/>
        </w:numPr>
      </w:pPr>
      <w:r>
        <w:t>Amend Section 97 of the Child Act 2001 to eliminate indefinite detention and introduce maximum prison terms for juveniles convicted of grievous crimes;</w:t>
      </w:r>
    </w:p>
    <w:p w14:paraId="000AAD2C" w14:textId="77777777" w:rsidR="00DB2BC2" w:rsidRDefault="00EA4629">
      <w:pPr>
        <w:numPr>
          <w:ilvl w:val="1"/>
          <w:numId w:val="1"/>
        </w:numPr>
      </w:pPr>
      <w:r>
        <w:t>Strengthen Section 15 of the Child Act 2001 to provide greater protection for juveniles in conflict with the law, especially when they are under the care and jurisdiction of enforcement agencies;</w:t>
      </w:r>
    </w:p>
    <w:p w14:paraId="34A20FA2" w14:textId="77777777" w:rsidR="00DB2BC2" w:rsidRDefault="00EA4629">
      <w:pPr>
        <w:numPr>
          <w:ilvl w:val="1"/>
          <w:numId w:val="1"/>
        </w:numPr>
      </w:pPr>
      <w:r>
        <w:t xml:space="preserve">Introduce remedial measures and injunctions for minors and their guardians to pursue to address </w:t>
      </w:r>
      <w:proofErr w:type="spellStart"/>
      <w:r>
        <w:t>unsactioned</w:t>
      </w:r>
      <w:proofErr w:type="spellEnd"/>
      <w:r>
        <w:t xml:space="preserve"> publications of a minor’s information and details;</w:t>
      </w:r>
    </w:p>
    <w:p w14:paraId="483E787E" w14:textId="77777777" w:rsidR="00DB2BC2" w:rsidRDefault="00EA4629">
      <w:pPr>
        <w:numPr>
          <w:ilvl w:val="1"/>
          <w:numId w:val="1"/>
        </w:numPr>
      </w:pPr>
      <w:r>
        <w:t>Fully align detention practices of women with children with the Bangkok Rules;</w:t>
      </w:r>
    </w:p>
    <w:p w14:paraId="1FA15B8F" w14:textId="77777777" w:rsidR="00DB2BC2" w:rsidRDefault="00EA4629">
      <w:pPr>
        <w:numPr>
          <w:ilvl w:val="1"/>
          <w:numId w:val="1"/>
        </w:numPr>
      </w:pPr>
      <w:r>
        <w:t>Expand and amend the Child Act 2001 and other relevant legislation, and bring other criminal laws, such as the Security Offences (Special Measures) Act, the Prevention of Crime Act 1960, the Prevention of Terrorism Act 2015 and the Dangerous Drugs Special Preventive Measures Act 1985, in line with Malaysia’s obligations;</w:t>
      </w:r>
    </w:p>
    <w:p w14:paraId="0C423200" w14:textId="77777777" w:rsidR="00DB2BC2" w:rsidRDefault="00EA4629">
      <w:pPr>
        <w:numPr>
          <w:ilvl w:val="1"/>
          <w:numId w:val="1"/>
        </w:numPr>
      </w:pPr>
      <w:r>
        <w:t>Expand and amend the Child Act 2001 to bring it into conformity with other intersectional rights and obligations as accorded by the Convention on the Rights of Persons with Disabilities;</w:t>
      </w:r>
    </w:p>
    <w:p w14:paraId="6284F48D" w14:textId="77777777" w:rsidR="00DB2BC2" w:rsidRDefault="00EA4629">
      <w:pPr>
        <w:numPr>
          <w:ilvl w:val="1"/>
          <w:numId w:val="1"/>
        </w:numPr>
      </w:pPr>
      <w:r>
        <w:t>Withdraw Malaysia’s reservation to Article 37 of the Convention on the Rights of the Child.</w:t>
      </w:r>
    </w:p>
    <w:sectPr w:rsidR="00DB2BC2">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8F8BC" w14:textId="77777777" w:rsidR="00EA4629" w:rsidRDefault="00EA4629">
      <w:pPr>
        <w:spacing w:after="0" w:line="240" w:lineRule="auto"/>
      </w:pPr>
      <w:r>
        <w:separator/>
      </w:r>
    </w:p>
  </w:endnote>
  <w:endnote w:type="continuationSeparator" w:id="0">
    <w:p w14:paraId="13A777E3" w14:textId="77777777" w:rsidR="00EA4629" w:rsidRDefault="00EA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3A2B7780-3D11-40DD-94CF-CBAA7BE5945C}"/>
    <w:embedBold r:id="rId2" w:fontKey="{28314A73-2D18-4B29-A2A0-BA41603C554C}"/>
    <w:embedItalic r:id="rId3" w:fontKey="{4F6983CC-85C0-4B7F-8F5B-FC922A08B5B8}"/>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7BCD3E62-822E-4747-A9C1-F0441204DBE4}"/>
  </w:font>
  <w:font w:name="Cambria">
    <w:panose1 w:val="02040503050406030204"/>
    <w:charset w:val="00"/>
    <w:family w:val="roman"/>
    <w:pitch w:val="variable"/>
    <w:sig w:usb0="E00006FF" w:usb1="420024FF" w:usb2="02000000" w:usb3="00000000" w:csb0="0000019F" w:csb1="00000000"/>
    <w:embedRegular r:id="rId5" w:fontKey="{F566DAF2-2C5E-4FDE-895D-33D4C6DEE6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CDEA3" w14:textId="114B63EB" w:rsidR="00DB2BC2" w:rsidRDefault="00EA4629">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1F4A3" w14:textId="77777777" w:rsidR="00DB2BC2" w:rsidRDefault="00DB2B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6E9FD" w14:textId="77777777" w:rsidR="00EA4629" w:rsidRDefault="00EA4629">
      <w:pPr>
        <w:spacing w:after="0" w:line="240" w:lineRule="auto"/>
      </w:pPr>
      <w:r>
        <w:separator/>
      </w:r>
    </w:p>
  </w:footnote>
  <w:footnote w:type="continuationSeparator" w:id="0">
    <w:p w14:paraId="59AC52F3" w14:textId="77777777" w:rsidR="00EA4629" w:rsidRDefault="00EA4629">
      <w:pPr>
        <w:spacing w:after="0" w:line="240" w:lineRule="auto"/>
      </w:pPr>
      <w:r>
        <w:continuationSeparator/>
      </w:r>
    </w:p>
  </w:footnote>
  <w:footnote w:id="1">
    <w:p w14:paraId="051C2AA9" w14:textId="77777777" w:rsidR="00DB2BC2" w:rsidRDefault="00EA4629">
      <w:pPr>
        <w:spacing w:after="0" w:line="240" w:lineRule="auto"/>
        <w:rPr>
          <w:sz w:val="18"/>
          <w:szCs w:val="18"/>
        </w:rPr>
      </w:pPr>
      <w:r>
        <w:rPr>
          <w:vertAlign w:val="superscript"/>
        </w:rPr>
        <w:footnoteRef/>
      </w:r>
      <w:r>
        <w:rPr>
          <w:sz w:val="18"/>
          <w:szCs w:val="18"/>
        </w:rPr>
        <w:t xml:space="preserve"> Interpretation under Section 2(1) of the Child Act 2001</w:t>
      </w:r>
    </w:p>
  </w:footnote>
  <w:footnote w:id="2">
    <w:p w14:paraId="249D4A12" w14:textId="77777777" w:rsidR="00DB2BC2" w:rsidRDefault="00EA4629">
      <w:pPr>
        <w:spacing w:after="0" w:line="240" w:lineRule="auto"/>
        <w:rPr>
          <w:sz w:val="18"/>
          <w:szCs w:val="18"/>
        </w:rPr>
      </w:pPr>
      <w:r>
        <w:rPr>
          <w:vertAlign w:val="superscript"/>
        </w:rPr>
        <w:footnoteRef/>
      </w:r>
      <w:r>
        <w:rPr>
          <w:sz w:val="18"/>
          <w:szCs w:val="18"/>
        </w:rPr>
        <w:t xml:space="preserve"> Section 97(4)(a) Child Act 2001</w:t>
      </w:r>
    </w:p>
  </w:footnote>
  <w:footnote w:id="3">
    <w:p w14:paraId="412F629D" w14:textId="77777777" w:rsidR="00DB2BC2" w:rsidRDefault="00EA4629">
      <w:pPr>
        <w:spacing w:after="0" w:line="240" w:lineRule="auto"/>
        <w:rPr>
          <w:sz w:val="18"/>
          <w:szCs w:val="18"/>
        </w:rPr>
      </w:pPr>
      <w:r>
        <w:rPr>
          <w:vertAlign w:val="superscript"/>
        </w:rPr>
        <w:footnoteRef/>
      </w:r>
      <w:r>
        <w:rPr>
          <w:sz w:val="18"/>
          <w:szCs w:val="18"/>
        </w:rPr>
        <w:t xml:space="preserve"> (CRC/C/MYS/CO/1, para. 103).</w:t>
      </w:r>
    </w:p>
  </w:footnote>
  <w:footnote w:id="4">
    <w:p w14:paraId="51E70537" w14:textId="77777777" w:rsidR="00DB2BC2" w:rsidRDefault="00EA4629">
      <w:pPr>
        <w:spacing w:after="0" w:line="240" w:lineRule="auto"/>
        <w:rPr>
          <w:sz w:val="18"/>
          <w:szCs w:val="18"/>
        </w:rPr>
      </w:pPr>
      <w:r>
        <w:rPr>
          <w:vertAlign w:val="superscript"/>
        </w:rPr>
        <w:footnoteRef/>
      </w:r>
      <w:r>
        <w:rPr>
          <w:sz w:val="18"/>
          <w:szCs w:val="18"/>
        </w:rPr>
        <w:t xml:space="preserve"> Written Answers to Parliament, 6 March 2025 </w:t>
      </w:r>
    </w:p>
  </w:footnote>
  <w:footnote w:id="5">
    <w:p w14:paraId="26BFE334" w14:textId="77777777" w:rsidR="00DB2BC2" w:rsidRDefault="00EA4629">
      <w:pPr>
        <w:spacing w:after="0" w:line="240" w:lineRule="auto"/>
        <w:jc w:val="left"/>
        <w:rPr>
          <w:sz w:val="18"/>
          <w:szCs w:val="18"/>
        </w:rPr>
      </w:pPr>
      <w:r>
        <w:rPr>
          <w:vertAlign w:val="superscript"/>
        </w:rPr>
        <w:footnoteRef/>
      </w:r>
      <w:r>
        <w:rPr>
          <w:sz w:val="18"/>
          <w:szCs w:val="18"/>
        </w:rPr>
        <w:t xml:space="preserve"> Jassmine Shadiqe, “Police detain man, teen in viral video,” New Straits Times, April 7, 2023, </w:t>
      </w:r>
      <w:hyperlink r:id="rId1">
        <w:r>
          <w:rPr>
            <w:color w:val="1155CC"/>
            <w:sz w:val="18"/>
            <w:szCs w:val="18"/>
            <w:u w:val="single"/>
          </w:rPr>
          <w:t>https://www.nst.com.my/news/crime-courts/2023/04/897156/police-detain-man-teen-viral-video</w:t>
        </w:r>
        <w:r>
          <w:rPr>
            <w:color w:val="1155CC"/>
            <w:sz w:val="18"/>
            <w:szCs w:val="18"/>
            <w:u w:val="single"/>
          </w:rPr>
          <w:t>￼</w:t>
        </w:r>
      </w:hyperlink>
      <w:r>
        <w:rPr>
          <w:sz w:val="18"/>
          <w:szCs w:val="18"/>
        </w:rPr>
        <w:t xml:space="preserve"> (accessed November 27, 2025).</w:t>
      </w:r>
    </w:p>
  </w:footnote>
  <w:footnote w:id="6">
    <w:p w14:paraId="2A7BFBA9" w14:textId="77777777" w:rsidR="00DB2BC2" w:rsidRDefault="00EA4629">
      <w:pPr>
        <w:spacing w:after="0" w:line="240" w:lineRule="auto"/>
        <w:jc w:val="left"/>
        <w:rPr>
          <w:sz w:val="18"/>
          <w:szCs w:val="18"/>
        </w:rPr>
      </w:pPr>
      <w:r>
        <w:rPr>
          <w:vertAlign w:val="superscript"/>
        </w:rPr>
        <w:footnoteRef/>
      </w:r>
      <w:r>
        <w:rPr>
          <w:sz w:val="18"/>
          <w:szCs w:val="18"/>
        </w:rPr>
        <w:t xml:space="preserve"> FMT Reporters, “Muda doubles down on criticism after cops deny ‘parading’ young couple,” Free Malaysia Today, April 8, 2023, </w:t>
      </w:r>
      <w:hyperlink r:id="rId2">
        <w:r>
          <w:rPr>
            <w:color w:val="1155CC"/>
            <w:sz w:val="18"/>
            <w:szCs w:val="18"/>
            <w:u w:val="single"/>
          </w:rPr>
          <w:t>https://www.freemalaysiatoday.com/category/nation/2023/04/08/muda-doubles-down-on-criticism-after-cops-deny-parading-young-couple</w:t>
        </w:r>
      </w:hyperlink>
      <w:r>
        <w:rPr>
          <w:sz w:val="18"/>
          <w:szCs w:val="18"/>
        </w:rPr>
        <w:t xml:space="preserve"> (accessed November 27, 2025).</w:t>
      </w:r>
    </w:p>
  </w:footnote>
  <w:footnote w:id="7">
    <w:p w14:paraId="71725DF4" w14:textId="77777777" w:rsidR="00DB2BC2" w:rsidRDefault="00EA4629">
      <w:pPr>
        <w:spacing w:after="0" w:line="240" w:lineRule="auto"/>
        <w:jc w:val="left"/>
        <w:rPr>
          <w:sz w:val="18"/>
          <w:szCs w:val="18"/>
        </w:rPr>
      </w:pPr>
      <w:r>
        <w:rPr>
          <w:vertAlign w:val="superscript"/>
        </w:rPr>
        <w:footnoteRef/>
      </w:r>
      <w:r>
        <w:rPr>
          <w:sz w:val="18"/>
          <w:szCs w:val="18"/>
        </w:rPr>
        <w:t xml:space="preserve"> Bernama, “Remaja perempuan baling pisau pada adik sehingga maut, direman 6 hari,” Astro AWANI, October 20, 2022, </w:t>
      </w:r>
      <w:hyperlink r:id="rId3">
        <w:r>
          <w:rPr>
            <w:color w:val="1155CC"/>
            <w:sz w:val="18"/>
            <w:szCs w:val="18"/>
            <w:u w:val="single"/>
          </w:rPr>
          <w:t>https://www.astroawani.com/berita-malaysia/remaja-perempuan-baling-pisau-pada-adik-sehingga-maut-direman-6-hari-386880</w:t>
        </w:r>
        <w:r>
          <w:rPr>
            <w:color w:val="1155CC"/>
            <w:sz w:val="18"/>
            <w:szCs w:val="18"/>
            <w:u w:val="single"/>
          </w:rPr>
          <w:t>￼</w:t>
        </w:r>
      </w:hyperlink>
      <w:r>
        <w:rPr>
          <w:sz w:val="18"/>
          <w:szCs w:val="18"/>
        </w:rPr>
        <w:t xml:space="preserve"> (accessed November 27, 2025).</w:t>
      </w:r>
    </w:p>
  </w:footnote>
  <w:footnote w:id="8">
    <w:p w14:paraId="4B8B587E" w14:textId="77777777" w:rsidR="00DB2BC2" w:rsidRDefault="00EA4629">
      <w:pPr>
        <w:spacing w:after="0" w:line="240" w:lineRule="auto"/>
        <w:rPr>
          <w:sz w:val="18"/>
          <w:szCs w:val="18"/>
        </w:rPr>
      </w:pPr>
      <w:r>
        <w:rPr>
          <w:vertAlign w:val="superscript"/>
        </w:rPr>
        <w:footnoteRef/>
      </w:r>
      <w:r>
        <w:rPr>
          <w:sz w:val="18"/>
          <w:szCs w:val="18"/>
        </w:rPr>
        <w:t xml:space="preserve"> ‘Teh Athira Yusof ‘Teen charged with murder of student at Bandar Utama schol’ (The Star, 22 October 2025) &lt;https://www.thestar.com.my/news/nation/2025/10/22/teen-charged-with-murder-of-student-at-bandar-utama-school&gt; accessed 11 December 2025</w:t>
      </w:r>
    </w:p>
  </w:footnote>
  <w:footnote w:id="9">
    <w:p w14:paraId="3BCEC78B" w14:textId="77777777" w:rsidR="00DB2BC2" w:rsidRDefault="00EA4629">
      <w:pPr>
        <w:spacing w:after="0" w:line="240" w:lineRule="auto"/>
        <w:rPr>
          <w:sz w:val="18"/>
          <w:szCs w:val="18"/>
        </w:rPr>
      </w:pPr>
      <w:r>
        <w:rPr>
          <w:vertAlign w:val="superscript"/>
        </w:rPr>
        <w:footnoteRef/>
      </w:r>
      <w:r>
        <w:rPr>
          <w:sz w:val="18"/>
          <w:szCs w:val="18"/>
        </w:rPr>
        <w:t xml:space="preserve"> Sinar Daily Reporters ‘“This world is fake. I have won”: Chilling note found in school stabbing suspect’ (Sinar Daily, 15 October 2025) &lt;</w:t>
      </w:r>
      <w:hyperlink r:id="rId4">
        <w:r>
          <w:rPr>
            <w:color w:val="1155CC"/>
            <w:sz w:val="18"/>
            <w:szCs w:val="18"/>
            <w:u w:val="single"/>
          </w:rPr>
          <w:t>https://www.sinardaily.my/article/730998/focus/national/this-world-is-fake-i-have-won-chilling-note-found-on-school-stabbing-suspect</w:t>
        </w:r>
      </w:hyperlink>
      <w:r>
        <w:rPr>
          <w:sz w:val="18"/>
          <w:szCs w:val="18"/>
        </w:rPr>
        <w:t>&gt; accessed 11 December 2025</w:t>
      </w:r>
    </w:p>
  </w:footnote>
  <w:footnote w:id="10">
    <w:p w14:paraId="06C9FD4F" w14:textId="77777777" w:rsidR="00DB2BC2" w:rsidRDefault="00EA4629">
      <w:pPr>
        <w:spacing w:after="0" w:line="240" w:lineRule="auto"/>
        <w:rPr>
          <w:sz w:val="18"/>
          <w:szCs w:val="18"/>
        </w:rPr>
      </w:pPr>
      <w:r>
        <w:rPr>
          <w:vertAlign w:val="superscript"/>
        </w:rPr>
        <w:footnoteRef/>
      </w:r>
      <w:r>
        <w:rPr>
          <w:sz w:val="18"/>
          <w:szCs w:val="18"/>
        </w:rPr>
        <w:t xml:space="preserve"> RXG v Ministry of Justice and others [2020] 2 WLR 635.</w:t>
      </w:r>
    </w:p>
  </w:footnote>
  <w:footnote w:id="11">
    <w:p w14:paraId="0E078310" w14:textId="77777777" w:rsidR="00DB2BC2" w:rsidRDefault="00EA4629">
      <w:pPr>
        <w:spacing w:after="0" w:line="240" w:lineRule="auto"/>
        <w:jc w:val="left"/>
        <w:rPr>
          <w:sz w:val="18"/>
          <w:szCs w:val="18"/>
        </w:rPr>
      </w:pPr>
      <w:r>
        <w:rPr>
          <w:vertAlign w:val="superscript"/>
        </w:rPr>
        <w:footnoteRef/>
      </w:r>
      <w:r>
        <w:rPr>
          <w:sz w:val="18"/>
          <w:szCs w:val="18"/>
        </w:rPr>
        <w:t xml:space="preserve"> Ainaa Aiman ‘“Chain remand” an abuse of law, Suaram complains to Suhakam’ (Free Malaysia Today, 25 September 2019) &lt;</w:t>
      </w:r>
      <w:hyperlink r:id="rId5">
        <w:r>
          <w:rPr>
            <w:color w:val="1155CC"/>
            <w:sz w:val="18"/>
            <w:szCs w:val="18"/>
            <w:u w:val="single"/>
          </w:rPr>
          <w:t>https://www.freemalaysiatoday.com/category/nation/2019/09/25/chain-remand-an-abuse-of-law-suaram-complains-to-suhakam</w:t>
        </w:r>
      </w:hyperlink>
      <w:r>
        <w:rPr>
          <w:sz w:val="18"/>
          <w:szCs w:val="18"/>
        </w:rPr>
        <w:t>&gt; accessed 11 December 2025</w:t>
      </w:r>
    </w:p>
  </w:footnote>
  <w:footnote w:id="12">
    <w:p w14:paraId="513BBB9A" w14:textId="77777777" w:rsidR="00DB2BC2" w:rsidRDefault="00EA4629">
      <w:pPr>
        <w:spacing w:after="0" w:line="240" w:lineRule="auto"/>
        <w:jc w:val="left"/>
        <w:rPr>
          <w:sz w:val="18"/>
          <w:szCs w:val="18"/>
        </w:rPr>
      </w:pPr>
      <w:r>
        <w:rPr>
          <w:vertAlign w:val="superscript"/>
        </w:rPr>
        <w:footnoteRef/>
      </w:r>
      <w:r>
        <w:rPr>
          <w:sz w:val="18"/>
          <w:szCs w:val="18"/>
        </w:rPr>
        <w:t xml:space="preserve"> EAIC ‘EAIC: CCTVS AT BANDAR BARU KLANG POLICE STATION ALL DUMMIES’ (EAIC, 7 June 2017) &lt;</w:t>
      </w:r>
      <w:hyperlink r:id="rId6">
        <w:r>
          <w:rPr>
            <w:color w:val="1155CC"/>
            <w:sz w:val="18"/>
            <w:szCs w:val="18"/>
            <w:u w:val="single"/>
          </w:rPr>
          <w:t>https://www.eaic.gov.my/en/archive/news-archieve/news-2017/679-eaic-cctvs-at-bandar-baru-klang-police-station-all-dummies</w:t>
        </w:r>
      </w:hyperlink>
      <w:r>
        <w:rPr>
          <w:sz w:val="18"/>
          <w:szCs w:val="18"/>
        </w:rPr>
        <w:t>&gt; accessed 11 December 2025</w:t>
      </w:r>
    </w:p>
  </w:footnote>
  <w:footnote w:id="13">
    <w:p w14:paraId="7B98E506" w14:textId="77777777" w:rsidR="00DB2BC2" w:rsidRDefault="00EA4629">
      <w:pPr>
        <w:spacing w:after="0" w:line="240" w:lineRule="auto"/>
        <w:jc w:val="left"/>
        <w:rPr>
          <w:sz w:val="18"/>
          <w:szCs w:val="18"/>
        </w:rPr>
      </w:pPr>
      <w:r>
        <w:rPr>
          <w:vertAlign w:val="superscript"/>
        </w:rPr>
        <w:footnoteRef/>
      </w:r>
      <w:r>
        <w:rPr>
          <w:sz w:val="18"/>
          <w:szCs w:val="18"/>
        </w:rPr>
        <w:t xml:space="preserve"> FMT Reporters ‘High court awards RM338,000 to family of custodial death victim’ (Free Malaysia Today, 30 May 2024) &lt;</w:t>
      </w:r>
      <w:hyperlink r:id="rId7">
        <w:r>
          <w:rPr>
            <w:color w:val="1155CC"/>
            <w:sz w:val="18"/>
            <w:szCs w:val="18"/>
            <w:u w:val="single"/>
          </w:rPr>
          <w:t>https://www.freemalaysiatoday.com/category/nation/2024/05/30/high-court-awards-rm338000-to-family-of-custodial-death-victim</w:t>
        </w:r>
      </w:hyperlink>
      <w:r>
        <w:rPr>
          <w:sz w:val="18"/>
          <w:szCs w:val="18"/>
        </w:rPr>
        <w:t>&gt; accessed 11 December 2025</w:t>
      </w:r>
    </w:p>
  </w:footnote>
  <w:footnote w:id="14">
    <w:p w14:paraId="33970E77" w14:textId="77777777" w:rsidR="00DB2BC2" w:rsidRDefault="00EA4629">
      <w:pPr>
        <w:spacing w:after="0" w:line="240" w:lineRule="auto"/>
        <w:jc w:val="left"/>
        <w:rPr>
          <w:sz w:val="18"/>
          <w:szCs w:val="18"/>
        </w:rPr>
      </w:pPr>
      <w:r>
        <w:rPr>
          <w:vertAlign w:val="superscript"/>
        </w:rPr>
        <w:footnoteRef/>
      </w:r>
      <w:r>
        <w:rPr>
          <w:sz w:val="18"/>
          <w:szCs w:val="18"/>
        </w:rPr>
        <w:t xml:space="preserve"> ‘POCA BOY - IPCMCNow Human Rights Documentary’ (Freedom Film Festival, 13 June 2021) &lt;</w:t>
      </w:r>
      <w:hyperlink r:id="rId8">
        <w:r>
          <w:rPr>
            <w:color w:val="1155CC"/>
            <w:sz w:val="18"/>
            <w:szCs w:val="18"/>
            <w:u w:val="single"/>
          </w:rPr>
          <w:t>https://www.youtube.com/watch?v=gsqLEuup0A4</w:t>
        </w:r>
      </w:hyperlink>
      <w:r>
        <w:rPr>
          <w:sz w:val="18"/>
          <w:szCs w:val="18"/>
        </w:rPr>
        <w:t>&gt; accessed 11 December 2025</w:t>
      </w:r>
    </w:p>
  </w:footnote>
  <w:footnote w:id="15">
    <w:p w14:paraId="4512CBAA" w14:textId="77777777" w:rsidR="00DB2BC2" w:rsidRDefault="00EA4629">
      <w:pPr>
        <w:spacing w:after="0" w:line="240" w:lineRule="auto"/>
        <w:jc w:val="left"/>
        <w:rPr>
          <w:sz w:val="18"/>
          <w:szCs w:val="18"/>
        </w:rPr>
      </w:pPr>
      <w:r>
        <w:rPr>
          <w:vertAlign w:val="superscript"/>
        </w:rPr>
        <w:footnoteRef/>
      </w:r>
      <w:r>
        <w:rPr>
          <w:sz w:val="20"/>
          <w:szCs w:val="20"/>
        </w:rPr>
        <w:t xml:space="preserve"> </w:t>
      </w:r>
      <w:r>
        <w:rPr>
          <w:sz w:val="18"/>
          <w:szCs w:val="18"/>
        </w:rPr>
        <w:t xml:space="preserve">Faiz Zainudin, “Probe ongoing over autistic student allegedly barred from applying to public uni,” Free Malaysia Today, August 12,  2025, </w:t>
      </w:r>
      <w:hyperlink r:id="rId9">
        <w:r>
          <w:rPr>
            <w:color w:val="1155CC"/>
            <w:sz w:val="18"/>
            <w:szCs w:val="18"/>
            <w:u w:val="single"/>
          </w:rPr>
          <w:t>https://www.freemalaysiatoday.com/category/nation/2025/08/12/probe-ongoing-over-autistic-student-allegedly-barred-from-applying-to-public-uni</w:t>
        </w:r>
      </w:hyperlink>
      <w:r>
        <w:rPr>
          <w:sz w:val="18"/>
          <w:szCs w:val="18"/>
        </w:rPr>
        <w:t xml:space="preserve"> (accessed 27 November, 2025).</w:t>
      </w:r>
    </w:p>
  </w:footnote>
  <w:footnote w:id="16">
    <w:p w14:paraId="7D1C09D4" w14:textId="77777777" w:rsidR="00DB2BC2" w:rsidRDefault="00EA4629">
      <w:pPr>
        <w:spacing w:after="0" w:line="240" w:lineRule="auto"/>
        <w:jc w:val="left"/>
        <w:rPr>
          <w:sz w:val="18"/>
          <w:szCs w:val="18"/>
        </w:rPr>
      </w:pPr>
      <w:r>
        <w:rPr>
          <w:vertAlign w:val="superscript"/>
        </w:rPr>
        <w:footnoteRef/>
      </w:r>
      <w:r>
        <w:rPr>
          <w:sz w:val="20"/>
          <w:szCs w:val="20"/>
        </w:rPr>
        <w:t xml:space="preserve"> </w:t>
      </w:r>
      <w:r>
        <w:rPr>
          <w:sz w:val="18"/>
          <w:szCs w:val="18"/>
        </w:rPr>
        <w:t xml:space="preserve">FMT Reporters, “Teen sues school, govt for failure to provide special needs education,” Free Malaysia Today, August 23, 2017, </w:t>
      </w:r>
      <w:hyperlink r:id="rId10">
        <w:r>
          <w:rPr>
            <w:color w:val="1155CC"/>
            <w:sz w:val="18"/>
            <w:szCs w:val="18"/>
            <w:u w:val="single"/>
          </w:rPr>
          <w:t>https://www.freemalaysiatoday.com/category/nation/2017/08/23/teen-sues-school-govt-for-failure-to-provide-special-needs-education</w:t>
        </w:r>
      </w:hyperlink>
      <w:r>
        <w:rPr>
          <w:sz w:val="18"/>
          <w:szCs w:val="18"/>
        </w:rPr>
        <w:t xml:space="preserve"> (accessed December 5, 2025).</w:t>
      </w:r>
    </w:p>
  </w:footnote>
  <w:footnote w:id="17">
    <w:p w14:paraId="37B1F863" w14:textId="77777777" w:rsidR="00DB2BC2" w:rsidRDefault="00EA4629">
      <w:pPr>
        <w:spacing w:after="0" w:line="240" w:lineRule="auto"/>
        <w:jc w:val="left"/>
        <w:rPr>
          <w:sz w:val="18"/>
          <w:szCs w:val="18"/>
        </w:rPr>
      </w:pPr>
      <w:r>
        <w:rPr>
          <w:vertAlign w:val="superscript"/>
        </w:rPr>
        <w:footnoteRef/>
      </w:r>
      <w:r>
        <w:rPr>
          <w:sz w:val="20"/>
          <w:szCs w:val="20"/>
        </w:rPr>
        <w:t xml:space="preserve"> </w:t>
      </w:r>
      <w:r>
        <w:rPr>
          <w:sz w:val="18"/>
          <w:szCs w:val="18"/>
        </w:rPr>
        <w:t xml:space="preserve">Tan Choe Choe, ed., “Court dismisses special needs child's claim against govt for bullying, not providing proper education,” The Edge Malaysia, February 3, 2023, </w:t>
      </w:r>
      <w:hyperlink r:id="rId11">
        <w:r>
          <w:rPr>
            <w:color w:val="1155CC"/>
            <w:sz w:val="18"/>
            <w:szCs w:val="18"/>
            <w:u w:val="single"/>
          </w:rPr>
          <w:t>https://theedgemalaysia.com/node/654020</w:t>
        </w:r>
      </w:hyperlink>
      <w:r>
        <w:rPr>
          <w:sz w:val="18"/>
          <w:szCs w:val="18"/>
        </w:rPr>
        <w:t xml:space="preserve"> (accessed December 5, 2025).</w:t>
      </w:r>
    </w:p>
  </w:footnote>
  <w:footnote w:id="18">
    <w:p w14:paraId="4192B6DF" w14:textId="77777777" w:rsidR="00DB2BC2" w:rsidRDefault="00EA4629">
      <w:pPr>
        <w:spacing w:after="0" w:line="240" w:lineRule="auto"/>
        <w:rPr>
          <w:sz w:val="18"/>
          <w:szCs w:val="18"/>
        </w:rPr>
      </w:pPr>
      <w:r>
        <w:rPr>
          <w:vertAlign w:val="superscript"/>
        </w:rPr>
        <w:footnoteRef/>
      </w:r>
      <w:r>
        <w:rPr>
          <w:sz w:val="20"/>
          <w:szCs w:val="20"/>
        </w:rPr>
        <w:t xml:space="preserve"> </w:t>
      </w:r>
      <w:r>
        <w:rPr>
          <w:sz w:val="18"/>
          <w:szCs w:val="18"/>
        </w:rPr>
        <w:t xml:space="preserve">Amar Singh-HSS et. al, “LETTER | Education Ministry must make schools safe for our children,” Malaysiakini, February 3, 2023, </w:t>
      </w:r>
      <w:hyperlink r:id="rId12">
        <w:r>
          <w:rPr>
            <w:color w:val="1155CC"/>
            <w:sz w:val="18"/>
            <w:szCs w:val="18"/>
            <w:u w:val="single"/>
          </w:rPr>
          <w:t>https://www.malaysiakini.com/letters/654225</w:t>
        </w:r>
      </w:hyperlink>
      <w:r>
        <w:rPr>
          <w:sz w:val="18"/>
          <w:szCs w:val="18"/>
        </w:rPr>
        <w:t xml:space="preserve"> (accessed December 5, 2025).</w:t>
      </w:r>
    </w:p>
  </w:footnote>
  <w:footnote w:id="19">
    <w:p w14:paraId="347E58BD" w14:textId="77777777" w:rsidR="00DB2BC2" w:rsidRDefault="00EA4629">
      <w:pPr>
        <w:spacing w:after="0" w:line="240" w:lineRule="auto"/>
        <w:jc w:val="left"/>
        <w:rPr>
          <w:sz w:val="18"/>
          <w:szCs w:val="18"/>
        </w:rPr>
      </w:pPr>
      <w:r>
        <w:rPr>
          <w:vertAlign w:val="superscript"/>
        </w:rPr>
        <w:footnoteRef/>
      </w:r>
      <w:r>
        <w:rPr>
          <w:sz w:val="18"/>
          <w:szCs w:val="18"/>
        </w:rPr>
        <w:t xml:space="preserve"> BERNAMA, “Siti Bainun Loses Final Appeal, Court Upholds 12-year Jain Term”, August 14, 2025, </w:t>
      </w:r>
      <w:hyperlink r:id="rId13">
        <w:r>
          <w:rPr>
            <w:color w:val="1155CC"/>
            <w:sz w:val="18"/>
            <w:szCs w:val="18"/>
            <w:u w:val="single"/>
          </w:rPr>
          <w:t>https://www.bernama.com/en/news.php?id=2456570</w:t>
        </w:r>
      </w:hyperlink>
      <w:r>
        <w:rPr>
          <w:sz w:val="18"/>
          <w:szCs w:val="18"/>
        </w:rPr>
        <w:t xml:space="preserve"> (accessed December 5, 2025)</w:t>
      </w:r>
    </w:p>
  </w:footnote>
  <w:footnote w:id="20">
    <w:p w14:paraId="6E1F0853" w14:textId="77777777" w:rsidR="00DB2BC2" w:rsidRDefault="00EA4629">
      <w:pPr>
        <w:spacing w:after="0" w:line="240" w:lineRule="auto"/>
        <w:jc w:val="left"/>
        <w:rPr>
          <w:sz w:val="18"/>
          <w:szCs w:val="18"/>
        </w:rPr>
      </w:pPr>
      <w:r>
        <w:rPr>
          <w:vertAlign w:val="superscript"/>
        </w:rPr>
        <w:footnoteRef/>
      </w:r>
      <w:r>
        <w:rPr>
          <w:sz w:val="18"/>
          <w:szCs w:val="18"/>
        </w:rPr>
        <w:t xml:space="preserve"> Jesy Ooi, “Government mulls enacting Mental Capacity Act”, May 29, 2024, </w:t>
      </w:r>
      <w:hyperlink r:id="rId14">
        <w:r>
          <w:rPr>
            <w:color w:val="1155CC"/>
            <w:sz w:val="18"/>
            <w:szCs w:val="18"/>
            <w:u w:val="single"/>
          </w:rPr>
          <w:t>https://www.skrine.com/insights/alerts/may-2024/government-mulls-enacting-mental-capacity-act</w:t>
        </w:r>
      </w:hyperlink>
      <w:r>
        <w:rPr>
          <w:sz w:val="18"/>
          <w:szCs w:val="18"/>
        </w:rPr>
        <w:t xml:space="preserve"> (accessed December 5, 2025).</w:t>
      </w:r>
    </w:p>
  </w:footnote>
  <w:footnote w:id="21">
    <w:p w14:paraId="378F44CD" w14:textId="77777777" w:rsidR="00DB2BC2" w:rsidRDefault="00EA4629">
      <w:pPr>
        <w:spacing w:after="0" w:line="240" w:lineRule="auto"/>
        <w:rPr>
          <w:sz w:val="20"/>
          <w:szCs w:val="20"/>
        </w:rPr>
      </w:pPr>
      <w:r>
        <w:rPr>
          <w:vertAlign w:val="superscript"/>
        </w:rPr>
        <w:footnoteRef/>
      </w:r>
      <w:r>
        <w:rPr>
          <w:sz w:val="20"/>
          <w:szCs w:val="20"/>
        </w:rPr>
        <w:t xml:space="preserve"> Section 90(1) Child Act 2001</w:t>
      </w:r>
    </w:p>
  </w:footnote>
  <w:footnote w:id="22">
    <w:p w14:paraId="0E4F2EA3" w14:textId="77777777" w:rsidR="00DB2BC2" w:rsidRDefault="00EA4629">
      <w:pPr>
        <w:spacing w:after="0" w:line="240" w:lineRule="auto"/>
        <w:jc w:val="left"/>
        <w:rPr>
          <w:sz w:val="18"/>
          <w:szCs w:val="18"/>
        </w:rPr>
      </w:pPr>
      <w:r>
        <w:rPr>
          <w:vertAlign w:val="superscript"/>
        </w:rPr>
        <w:footnoteRef/>
      </w:r>
      <w:r>
        <w:rPr>
          <w:sz w:val="18"/>
          <w:szCs w:val="18"/>
        </w:rPr>
        <w:t xml:space="preserve"> Ida Lim, “Court declares Sabah-born autistic stateless teen boy as a Malaysian, orders govt to issue MyKad,” Malay Mail, October 18, 2023, </w:t>
      </w:r>
      <w:hyperlink r:id="rId15">
        <w:r>
          <w:rPr>
            <w:color w:val="1155CC"/>
            <w:sz w:val="18"/>
            <w:szCs w:val="18"/>
            <w:u w:val="single"/>
          </w:rPr>
          <w:t>https://malaysia.news.yahoo.com/court-declares-sabah-born-autistic-230000187.html?guccounter=1</w:t>
        </w:r>
      </w:hyperlink>
      <w:r>
        <w:rPr>
          <w:sz w:val="18"/>
          <w:szCs w:val="18"/>
        </w:rPr>
        <w:t xml:space="preserve"> (accessed December 5, 2025).</w:t>
      </w:r>
    </w:p>
  </w:footnote>
  <w:footnote w:id="23">
    <w:p w14:paraId="0EBCE59B" w14:textId="77777777" w:rsidR="00DB2BC2" w:rsidRDefault="00EA4629">
      <w:pPr>
        <w:spacing w:after="0" w:line="240" w:lineRule="auto"/>
        <w:rPr>
          <w:sz w:val="18"/>
          <w:szCs w:val="18"/>
        </w:rPr>
      </w:pPr>
      <w:r>
        <w:rPr>
          <w:vertAlign w:val="superscript"/>
        </w:rPr>
        <w:footnoteRef/>
      </w:r>
      <w:r>
        <w:rPr>
          <w:sz w:val="18"/>
          <w:szCs w:val="18"/>
        </w:rPr>
        <w:t xml:space="preserve"> United Nations General Assembly, </w:t>
      </w:r>
      <w:r>
        <w:rPr>
          <w:i/>
          <w:iCs/>
          <w:sz w:val="18"/>
          <w:szCs w:val="18"/>
        </w:rPr>
        <w:t>United Nations Rules for the Treatment of Women Prisoners and Non-custodial Measures for Women Offenders (the Bangkok Rules)</w:t>
      </w:r>
      <w:r>
        <w:rPr>
          <w:sz w:val="18"/>
          <w:szCs w:val="18"/>
        </w:rPr>
        <w:t>, GA Res 65/229 (21 December 2010).</w:t>
      </w:r>
    </w:p>
  </w:footnote>
  <w:footnote w:id="24">
    <w:p w14:paraId="7FC11C3C" w14:textId="77777777" w:rsidR="00DB2BC2" w:rsidRDefault="00EA4629">
      <w:pPr>
        <w:spacing w:after="0" w:line="240" w:lineRule="auto"/>
        <w:rPr>
          <w:sz w:val="16"/>
          <w:szCs w:val="16"/>
        </w:rPr>
      </w:pPr>
      <w:r>
        <w:rPr>
          <w:vertAlign w:val="superscript"/>
        </w:rPr>
        <w:footnoteRef/>
      </w:r>
      <w:r>
        <w:rPr>
          <w:sz w:val="16"/>
          <w:szCs w:val="16"/>
        </w:rPr>
        <w:t xml:space="preserve"> </w:t>
      </w:r>
      <w:r>
        <w:rPr>
          <w:sz w:val="18"/>
          <w:szCs w:val="18"/>
        </w:rPr>
        <w:t>ibid</w:t>
      </w:r>
      <w:r>
        <w:rPr>
          <w:sz w:val="16"/>
          <w:szCs w:val="16"/>
        </w:rPr>
        <w:t>.</w:t>
      </w:r>
    </w:p>
  </w:footnote>
  <w:footnote w:id="25">
    <w:p w14:paraId="2E651B17" w14:textId="77777777" w:rsidR="00DB2BC2" w:rsidRDefault="00EA4629">
      <w:pPr>
        <w:spacing w:after="0" w:line="240" w:lineRule="auto"/>
        <w:rPr>
          <w:sz w:val="16"/>
          <w:szCs w:val="16"/>
        </w:rPr>
      </w:pPr>
      <w:r>
        <w:rPr>
          <w:vertAlign w:val="superscript"/>
        </w:rPr>
        <w:footnoteRef/>
      </w:r>
      <w:r>
        <w:rPr>
          <w:sz w:val="16"/>
          <w:szCs w:val="16"/>
        </w:rPr>
        <w:t xml:space="preserve"> </w:t>
      </w:r>
      <w:r>
        <w:rPr>
          <w:sz w:val="18"/>
          <w:szCs w:val="18"/>
        </w:rPr>
        <w:t>ibid</w:t>
      </w:r>
      <w:r>
        <w:rPr>
          <w:sz w:val="16"/>
          <w:szCs w:val="16"/>
        </w:rPr>
        <w:t>.</w:t>
      </w:r>
    </w:p>
  </w:footnote>
  <w:footnote w:id="26">
    <w:p w14:paraId="77CD0D68" w14:textId="77777777" w:rsidR="00DB2BC2" w:rsidRDefault="00EA4629">
      <w:pPr>
        <w:spacing w:after="0" w:line="240" w:lineRule="auto"/>
        <w:rPr>
          <w:sz w:val="20"/>
          <w:szCs w:val="20"/>
        </w:rPr>
      </w:pPr>
      <w:r>
        <w:rPr>
          <w:vertAlign w:val="superscript"/>
        </w:rPr>
        <w:footnoteRef/>
      </w:r>
      <w:r>
        <w:rPr>
          <w:sz w:val="20"/>
          <w:szCs w:val="20"/>
        </w:rPr>
        <w:t xml:space="preserve"> </w:t>
      </w:r>
      <w:r>
        <w:rPr>
          <w:sz w:val="18"/>
          <w:szCs w:val="18"/>
        </w:rPr>
        <w:t>ibid</w:t>
      </w:r>
      <w:r>
        <w:rPr>
          <w:sz w:val="20"/>
          <w:szCs w:val="20"/>
        </w:rPr>
        <w:t>.</w:t>
      </w:r>
    </w:p>
  </w:footnote>
  <w:footnote w:id="27">
    <w:p w14:paraId="108836A3" w14:textId="77777777" w:rsidR="00DB2BC2" w:rsidRDefault="00EA4629">
      <w:pPr>
        <w:spacing w:after="0" w:line="240" w:lineRule="auto"/>
        <w:rPr>
          <w:sz w:val="20"/>
          <w:szCs w:val="20"/>
        </w:rPr>
      </w:pPr>
      <w:r>
        <w:rPr>
          <w:vertAlign w:val="superscript"/>
        </w:rPr>
        <w:footnoteRef/>
      </w:r>
      <w:r>
        <w:rPr>
          <w:sz w:val="20"/>
          <w:szCs w:val="20"/>
        </w:rPr>
        <w:t xml:space="preserve"> </w:t>
      </w:r>
      <w:r>
        <w:rPr>
          <w:sz w:val="18"/>
          <w:szCs w:val="18"/>
        </w:rPr>
        <w:t>ibid</w:t>
      </w:r>
      <w:r>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05C4" w14:textId="77777777" w:rsidR="00DB2BC2" w:rsidRDefault="00DB2BC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A8031" w14:textId="77777777" w:rsidR="00DB2BC2" w:rsidRDefault="00EA4629">
    <w:pPr>
      <w:spacing w:after="0"/>
      <w:ind w:left="360"/>
      <w:jc w:val="center"/>
    </w:pPr>
    <w:r>
      <w:rPr>
        <w:rFonts w:ascii="Avenir" w:eastAsia="Avenir" w:hAnsi="Avenir" w:cs="Avenir"/>
        <w:noProof/>
      </w:rPr>
      <w:drawing>
        <wp:inline distT="114300" distB="114300" distL="114300" distR="114300" wp14:anchorId="0AA2F918" wp14:editId="293AB369">
          <wp:extent cx="919163" cy="9191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19163" cy="919163"/>
                  </a:xfrm>
                  <a:prstGeom prst="rect">
                    <a:avLst/>
                  </a:prstGeom>
                  <a:ln/>
                </pic:spPr>
              </pic:pic>
            </a:graphicData>
          </a:graphic>
        </wp:inline>
      </w:drawing>
    </w:r>
    <w:r>
      <w:rPr>
        <w:rFonts w:ascii="Avenir" w:eastAsia="Avenir" w:hAnsi="Avenir" w:cs="Avenir"/>
        <w:noProof/>
      </w:rPr>
      <w:drawing>
        <wp:inline distT="114300" distB="114300" distL="114300" distR="114300" wp14:anchorId="4C0184A2" wp14:editId="714A0B3F">
          <wp:extent cx="944400" cy="944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944400" cy="944400"/>
                  </a:xfrm>
                  <a:prstGeom prst="rect">
                    <a:avLst/>
                  </a:prstGeom>
                  <a:ln/>
                </pic:spPr>
              </pic:pic>
            </a:graphicData>
          </a:graphic>
        </wp:inline>
      </w:drawing>
    </w:r>
    <w:r>
      <w:rPr>
        <w:rFonts w:ascii="Avenir" w:eastAsia="Avenir" w:hAnsi="Avenir" w:cs="Avenir"/>
        <w:noProof/>
      </w:rPr>
      <w:drawing>
        <wp:inline distT="114300" distB="114300" distL="114300" distR="114300" wp14:anchorId="409E6C45" wp14:editId="18AC5AA0">
          <wp:extent cx="1053937" cy="99254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1053937" cy="992543"/>
                  </a:xfrm>
                  <a:prstGeom prst="rect">
                    <a:avLst/>
                  </a:prstGeom>
                  <a:ln/>
                </pic:spPr>
              </pic:pic>
            </a:graphicData>
          </a:graphic>
        </wp:inline>
      </w:drawing>
    </w:r>
    <w:r>
      <w:rPr>
        <w:rFonts w:ascii="Avenir" w:eastAsia="Avenir" w:hAnsi="Avenir" w:cs="Avenir"/>
        <w:noProof/>
      </w:rPr>
      <w:drawing>
        <wp:inline distT="114300" distB="114300" distL="114300" distR="114300" wp14:anchorId="271D7183" wp14:editId="2F9869B6">
          <wp:extent cx="1334192" cy="881070"/>
          <wp:effectExtent l="0" t="0" r="0" b="0"/>
          <wp:docPr id="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
                  <a:srcRect/>
                  <a:stretch>
                    <a:fillRect/>
                  </a:stretch>
                </pic:blipFill>
                <pic:spPr>
                  <a:xfrm>
                    <a:off x="0" y="0"/>
                    <a:ext cx="1334192" cy="88107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36B89"/>
    <w:multiLevelType w:val="multilevel"/>
    <w:tmpl w:val="67A825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50759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BC2"/>
    <w:rsid w:val="00CA5422"/>
    <w:rsid w:val="00DB2BC2"/>
    <w:rsid w:val="00EA4629"/>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AA868"/>
  <w15:docId w15:val="{F1CC04A8-BA34-473E-B265-54E25A59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2"/>
        <w:szCs w:val="22"/>
        <w:lang w:val="en-GB" w:eastAsia="zh-CN" w:bidi="ar-SA"/>
      </w:rPr>
    </w:rPrDefault>
    <w:pPrDefault>
      <w:pPr>
        <w:spacing w:after="200" w:line="276" w:lineRule="auto"/>
        <w:ind w:left="72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gsqLEuup0A4" TargetMode="External"/><Relationship Id="rId13" Type="http://schemas.openxmlformats.org/officeDocument/2006/relationships/hyperlink" Target="https://www.bernama.com/en/news.php?id=2456570" TargetMode="External"/><Relationship Id="rId3" Type="http://schemas.openxmlformats.org/officeDocument/2006/relationships/hyperlink" Target="https://www.astroawani.com/berita-malaysia/remaja-perempuan-baling-pisau-pada-adik-sehingga-maut-direman-6-hari-386880%EF%BF%BC" TargetMode="External"/><Relationship Id="rId7" Type="http://schemas.openxmlformats.org/officeDocument/2006/relationships/hyperlink" Target="https://www.freemalaysiatoday.com/category/nation/2024/05/30/high-court-awards-rm338000-to-family-of-custodial-death-victim" TargetMode="External"/><Relationship Id="rId12" Type="http://schemas.openxmlformats.org/officeDocument/2006/relationships/hyperlink" Target="https://www.malaysiakini.com/letters/654225" TargetMode="External"/><Relationship Id="rId2" Type="http://schemas.openxmlformats.org/officeDocument/2006/relationships/hyperlink" Target="https://www.freemalaysiatoday.com/category/nation/2023/04/08/muda-doubles-down-on-criticism-after-cops-deny-parading-young-couple" TargetMode="External"/><Relationship Id="rId1" Type="http://schemas.openxmlformats.org/officeDocument/2006/relationships/hyperlink" Target="https://www.nst.com.my/news/crime-courts/2023/04/897156/police-detain-man-teen-viral-video%EF%BF%BC" TargetMode="External"/><Relationship Id="rId6" Type="http://schemas.openxmlformats.org/officeDocument/2006/relationships/hyperlink" Target="https://www.eaic.gov.my/en/archive/news-archieve/news-2017/679-eaic-cctvs-at-bandar-baru-klang-police-station-all-dummies" TargetMode="External"/><Relationship Id="rId11" Type="http://schemas.openxmlformats.org/officeDocument/2006/relationships/hyperlink" Target="https://theedgemalaysia.com/node/654020" TargetMode="External"/><Relationship Id="rId5" Type="http://schemas.openxmlformats.org/officeDocument/2006/relationships/hyperlink" Target="https://www.freemalaysiatoday.com/category/nation/2019/09/25/chain-remand-an-abuse-of-law-suaram-complains-to-suhakam" TargetMode="External"/><Relationship Id="rId15" Type="http://schemas.openxmlformats.org/officeDocument/2006/relationships/hyperlink" Target="https://malaysia.news.yahoo.com/court-declares-sabah-born-autistic-230000187.html?guccounter=1" TargetMode="External"/><Relationship Id="rId10" Type="http://schemas.openxmlformats.org/officeDocument/2006/relationships/hyperlink" Target="https://www.freemalaysiatoday.com/category/nation/2017/08/23/teen-sues-school-govt-for-failure-to-provide-special-needs-education" TargetMode="External"/><Relationship Id="rId4" Type="http://schemas.openxmlformats.org/officeDocument/2006/relationships/hyperlink" Target="https://www.sinardaily.my/article/730998/focus/national/this-world-is-fake-i-have-won-chilling-note-found-on-school-stabbing-suspect" TargetMode="External"/><Relationship Id="rId9" Type="http://schemas.openxmlformats.org/officeDocument/2006/relationships/hyperlink" Target="https://www.freemalaysiatoday.com/category/nation/2025/08/12/probe-ongoing-over-autistic-student-allegedly-barred-from-applying-to-public-uni" TargetMode="External"/><Relationship Id="rId14" Type="http://schemas.openxmlformats.org/officeDocument/2006/relationships/hyperlink" Target="https://www.skrine.com/insights/alerts/may-2024/government-mulls-enacting-mental-capacity-act"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2912</Words>
  <Characters>16605</Characters>
  <Application>Microsoft Office Word</Application>
  <DocSecurity>0</DocSecurity>
  <Lines>138</Lines>
  <Paragraphs>38</Paragraphs>
  <ScaleCrop>false</ScaleCrop>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Boit</dc:creator>
  <cp:lastModifiedBy>James Boit</cp:lastModifiedBy>
  <cp:revision>2</cp:revision>
  <dcterms:created xsi:type="dcterms:W3CDTF">2026-01-07T09:54:00Z</dcterms:created>
  <dcterms:modified xsi:type="dcterms:W3CDTF">2026-01-07T09:54:00Z</dcterms:modified>
</cp:coreProperties>
</file>