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7149" w:rsidRDefault="00967149" w:rsidP="00967149">
      <w:pPr>
        <w:spacing w:after="0" w:line="240" w:lineRule="auto"/>
        <w:jc w:val="both"/>
        <w:rPr>
          <w:rFonts w:ascii="Tahoma" w:hAnsi="Tahoma" w:cs="Tahoma"/>
          <w:sz w:val="20"/>
          <w:szCs w:val="20"/>
        </w:rPr>
      </w:pPr>
    </w:p>
    <w:p w:rsidR="00967149" w:rsidRDefault="00967149" w:rsidP="00967149">
      <w:pPr>
        <w:spacing w:after="0" w:line="240" w:lineRule="auto"/>
        <w:jc w:val="both"/>
        <w:rPr>
          <w:rFonts w:ascii="Tahoma" w:hAnsi="Tahoma" w:cs="Tahoma"/>
          <w:sz w:val="20"/>
          <w:szCs w:val="20"/>
        </w:rPr>
      </w:pPr>
    </w:p>
    <w:p w:rsidR="00967149" w:rsidRDefault="00BC3B0A" w:rsidP="00BC3B0A">
      <w:pPr>
        <w:spacing w:after="0" w:line="240" w:lineRule="auto"/>
        <w:jc w:val="center"/>
        <w:rPr>
          <w:rFonts w:ascii="Tahoma" w:hAnsi="Tahoma" w:cs="Tahoma"/>
          <w:sz w:val="20"/>
          <w:szCs w:val="20"/>
        </w:rPr>
      </w:pPr>
      <w:r>
        <w:rPr>
          <w:rFonts w:ascii="Verdana" w:hAnsi="Verdana"/>
          <w:noProof/>
          <w:sz w:val="20"/>
          <w:szCs w:val="20"/>
          <w:lang w:eastAsia="fr-FR"/>
        </w:rPr>
        <w:drawing>
          <wp:inline distT="0" distB="0" distL="0" distR="0">
            <wp:extent cx="2200275" cy="1024973"/>
            <wp:effectExtent l="19050" t="0" r="9525" b="0"/>
            <wp:docPr id="1" name="Image 1" descr="logo 1li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1ligue"/>
                    <pic:cNvPicPr>
                      <a:picLocks noChangeAspect="1" noChangeArrowheads="1"/>
                    </pic:cNvPicPr>
                  </pic:nvPicPr>
                  <pic:blipFill>
                    <a:blip r:embed="rId7" cstate="print"/>
                    <a:srcRect/>
                    <a:stretch>
                      <a:fillRect/>
                    </a:stretch>
                  </pic:blipFill>
                  <pic:spPr bwMode="auto">
                    <a:xfrm>
                      <a:off x="0" y="0"/>
                      <a:ext cx="2200275" cy="1024973"/>
                    </a:xfrm>
                    <a:prstGeom prst="rect">
                      <a:avLst/>
                    </a:prstGeom>
                    <a:noFill/>
                    <a:ln w="9525">
                      <a:noFill/>
                      <a:miter lim="800000"/>
                      <a:headEnd/>
                      <a:tailEnd/>
                    </a:ln>
                  </pic:spPr>
                </pic:pic>
              </a:graphicData>
            </a:graphic>
          </wp:inline>
        </w:drawing>
      </w:r>
    </w:p>
    <w:p w:rsidR="00967149" w:rsidRDefault="00967149" w:rsidP="00967149">
      <w:pPr>
        <w:spacing w:after="0" w:line="240" w:lineRule="auto"/>
        <w:jc w:val="both"/>
        <w:rPr>
          <w:rFonts w:ascii="Tahoma" w:hAnsi="Tahoma" w:cs="Tahoma"/>
          <w:sz w:val="20"/>
          <w:szCs w:val="20"/>
        </w:rPr>
      </w:pPr>
    </w:p>
    <w:p w:rsidR="00967149" w:rsidRDefault="00967149" w:rsidP="00967149">
      <w:pPr>
        <w:spacing w:after="0" w:line="240" w:lineRule="auto"/>
        <w:jc w:val="both"/>
        <w:rPr>
          <w:rFonts w:ascii="Tahoma" w:hAnsi="Tahoma" w:cs="Tahoma"/>
          <w:sz w:val="20"/>
          <w:szCs w:val="20"/>
        </w:rPr>
      </w:pPr>
    </w:p>
    <w:p w:rsidR="00967149" w:rsidRPr="00C47BED" w:rsidRDefault="00967149" w:rsidP="00C47BED">
      <w:pPr>
        <w:spacing w:after="0" w:line="240" w:lineRule="auto"/>
        <w:jc w:val="center"/>
        <w:rPr>
          <w:rFonts w:ascii="Tahoma" w:hAnsi="Tahoma" w:cs="Tahoma"/>
          <w:b/>
          <w:smallCaps/>
          <w:sz w:val="20"/>
          <w:szCs w:val="20"/>
        </w:rPr>
      </w:pPr>
      <w:r w:rsidRPr="00C47BED">
        <w:rPr>
          <w:rFonts w:ascii="Tahoma" w:hAnsi="Tahoma" w:cs="Tahoma"/>
          <w:b/>
          <w:smallCaps/>
          <w:sz w:val="20"/>
          <w:szCs w:val="20"/>
        </w:rPr>
        <w:t>Comité des droits de l’Homme des Nations Unies</w:t>
      </w:r>
    </w:p>
    <w:p w:rsidR="00967149" w:rsidRDefault="00967149" w:rsidP="00C47BED">
      <w:pPr>
        <w:spacing w:after="0" w:line="240" w:lineRule="auto"/>
        <w:jc w:val="center"/>
        <w:rPr>
          <w:rFonts w:ascii="Tahoma" w:hAnsi="Tahoma" w:cs="Tahoma"/>
          <w:sz w:val="20"/>
          <w:szCs w:val="20"/>
        </w:rPr>
      </w:pPr>
      <w:r>
        <w:rPr>
          <w:rFonts w:ascii="Tahoma" w:hAnsi="Tahoma" w:cs="Tahoma"/>
          <w:sz w:val="20"/>
          <w:szCs w:val="20"/>
        </w:rPr>
        <w:t>5</w:t>
      </w:r>
      <w:r w:rsidRPr="00967149">
        <w:rPr>
          <w:rFonts w:ascii="Tahoma" w:hAnsi="Tahoma" w:cs="Tahoma"/>
          <w:sz w:val="20"/>
          <w:szCs w:val="20"/>
          <w:vertAlign w:val="superscript"/>
        </w:rPr>
        <w:t>ème</w:t>
      </w:r>
      <w:r>
        <w:rPr>
          <w:rFonts w:ascii="Tahoma" w:hAnsi="Tahoma" w:cs="Tahoma"/>
          <w:sz w:val="20"/>
          <w:szCs w:val="20"/>
        </w:rPr>
        <w:t xml:space="preserve"> rapport périodique de la France sur l’application du Pacte international relatif aux droits civils et politiques</w:t>
      </w:r>
    </w:p>
    <w:p w:rsidR="00967149" w:rsidRDefault="00967149" w:rsidP="00967149">
      <w:pPr>
        <w:spacing w:after="0" w:line="240" w:lineRule="auto"/>
        <w:jc w:val="both"/>
        <w:rPr>
          <w:rFonts w:ascii="Tahoma" w:hAnsi="Tahoma" w:cs="Tahoma"/>
          <w:sz w:val="20"/>
          <w:szCs w:val="20"/>
        </w:rPr>
      </w:pPr>
    </w:p>
    <w:p w:rsidR="00967149" w:rsidRPr="00C47BED" w:rsidRDefault="00967149" w:rsidP="00C47BED">
      <w:pPr>
        <w:spacing w:after="0" w:line="240" w:lineRule="auto"/>
        <w:jc w:val="center"/>
        <w:rPr>
          <w:rFonts w:ascii="Tahoma" w:hAnsi="Tahoma" w:cs="Tahoma"/>
          <w:b/>
          <w:sz w:val="20"/>
          <w:szCs w:val="20"/>
        </w:rPr>
      </w:pPr>
      <w:r w:rsidRPr="00C47BED">
        <w:rPr>
          <w:rFonts w:ascii="Tahoma" w:hAnsi="Tahoma" w:cs="Tahoma"/>
          <w:b/>
          <w:i/>
          <w:sz w:val="20"/>
          <w:szCs w:val="20"/>
        </w:rPr>
        <w:t>List of issues</w:t>
      </w:r>
      <w:r w:rsidRPr="00C47BED">
        <w:rPr>
          <w:rFonts w:ascii="Tahoma" w:hAnsi="Tahoma" w:cs="Tahoma"/>
          <w:b/>
          <w:sz w:val="20"/>
          <w:szCs w:val="20"/>
        </w:rPr>
        <w:t xml:space="preserve"> </w:t>
      </w:r>
      <w:r w:rsidR="00C47BED" w:rsidRPr="00C47BED">
        <w:rPr>
          <w:rFonts w:ascii="Tahoma" w:hAnsi="Tahoma" w:cs="Tahoma"/>
          <w:b/>
          <w:sz w:val="20"/>
          <w:szCs w:val="20"/>
        </w:rPr>
        <w:t>sur le 5</w:t>
      </w:r>
      <w:r w:rsidR="00C47BED" w:rsidRPr="00C47BED">
        <w:rPr>
          <w:rFonts w:ascii="Tahoma" w:hAnsi="Tahoma" w:cs="Tahoma"/>
          <w:b/>
          <w:sz w:val="20"/>
          <w:szCs w:val="20"/>
          <w:vertAlign w:val="superscript"/>
        </w:rPr>
        <w:t>ème</w:t>
      </w:r>
      <w:r w:rsidR="00C47BED" w:rsidRPr="00C47BED">
        <w:rPr>
          <w:rFonts w:ascii="Tahoma" w:hAnsi="Tahoma" w:cs="Tahoma"/>
          <w:b/>
          <w:sz w:val="20"/>
          <w:szCs w:val="20"/>
        </w:rPr>
        <w:t xml:space="preserve"> rapport périodique de la France</w:t>
      </w:r>
    </w:p>
    <w:p w:rsidR="00967149" w:rsidRDefault="00967149" w:rsidP="00967149">
      <w:pPr>
        <w:spacing w:after="0" w:line="240" w:lineRule="auto"/>
        <w:jc w:val="both"/>
        <w:rPr>
          <w:rFonts w:ascii="Tahoma" w:hAnsi="Tahoma" w:cs="Tahoma"/>
          <w:sz w:val="20"/>
          <w:szCs w:val="20"/>
        </w:rPr>
      </w:pPr>
    </w:p>
    <w:p w:rsidR="00967149" w:rsidRDefault="00967149" w:rsidP="00967149">
      <w:pPr>
        <w:spacing w:after="0" w:line="240" w:lineRule="auto"/>
        <w:jc w:val="both"/>
        <w:rPr>
          <w:rFonts w:ascii="Tahoma" w:hAnsi="Tahoma" w:cs="Tahoma"/>
          <w:sz w:val="20"/>
          <w:szCs w:val="20"/>
        </w:rPr>
      </w:pPr>
    </w:p>
    <w:p w:rsidR="00967149" w:rsidRDefault="00967149" w:rsidP="00967149">
      <w:pPr>
        <w:spacing w:after="0" w:line="240" w:lineRule="auto"/>
        <w:jc w:val="both"/>
        <w:rPr>
          <w:rFonts w:ascii="Tahoma" w:hAnsi="Tahoma" w:cs="Tahoma"/>
          <w:sz w:val="20"/>
          <w:szCs w:val="20"/>
        </w:rPr>
      </w:pPr>
    </w:p>
    <w:p w:rsidR="000A7B8C" w:rsidRPr="00967149" w:rsidRDefault="00967149" w:rsidP="00967149">
      <w:pPr>
        <w:spacing w:after="0" w:line="240" w:lineRule="auto"/>
        <w:jc w:val="both"/>
        <w:rPr>
          <w:rFonts w:ascii="Tahoma" w:hAnsi="Tahoma" w:cs="Tahoma"/>
          <w:sz w:val="20"/>
          <w:szCs w:val="20"/>
        </w:rPr>
      </w:pPr>
      <w:r w:rsidRPr="00C47BED">
        <w:rPr>
          <w:rFonts w:ascii="Tahoma" w:hAnsi="Tahoma" w:cs="Tahoma"/>
          <w:sz w:val="20"/>
          <w:szCs w:val="20"/>
          <w:u w:val="single"/>
        </w:rPr>
        <w:t>Politique en matière d’immigration</w:t>
      </w:r>
      <w:r w:rsidRPr="00967149">
        <w:rPr>
          <w:rFonts w:ascii="Tahoma" w:hAnsi="Tahoma" w:cs="Tahoma"/>
          <w:sz w:val="20"/>
          <w:szCs w:val="20"/>
        </w:rPr>
        <w:t xml:space="preserve"> (recommandation</w:t>
      </w:r>
      <w:r w:rsidR="00C47BED">
        <w:rPr>
          <w:rFonts w:ascii="Tahoma" w:hAnsi="Tahoma" w:cs="Tahoma"/>
          <w:sz w:val="20"/>
          <w:szCs w:val="20"/>
        </w:rPr>
        <w:t>s</w:t>
      </w:r>
      <w:r w:rsidRPr="00967149">
        <w:rPr>
          <w:rFonts w:ascii="Tahoma" w:hAnsi="Tahoma" w:cs="Tahoma"/>
          <w:sz w:val="20"/>
          <w:szCs w:val="20"/>
        </w:rPr>
        <w:t xml:space="preserve"> § 18</w:t>
      </w:r>
      <w:r w:rsidR="00C47BED">
        <w:rPr>
          <w:rFonts w:ascii="Tahoma" w:hAnsi="Tahoma" w:cs="Tahoma"/>
          <w:sz w:val="20"/>
          <w:szCs w:val="20"/>
        </w:rPr>
        <w:t xml:space="preserve"> et § 21</w:t>
      </w:r>
      <w:r w:rsidRPr="00967149">
        <w:rPr>
          <w:rFonts w:ascii="Tahoma" w:hAnsi="Tahoma" w:cs="Tahoma"/>
          <w:sz w:val="20"/>
          <w:szCs w:val="20"/>
        </w:rPr>
        <w:t>)</w:t>
      </w:r>
      <w:r w:rsidR="00C47BED">
        <w:rPr>
          <w:rFonts w:ascii="Tahoma" w:hAnsi="Tahoma" w:cs="Tahoma"/>
          <w:sz w:val="20"/>
          <w:szCs w:val="20"/>
        </w:rPr>
        <w:t xml:space="preserve"> </w:t>
      </w:r>
    </w:p>
    <w:p w:rsidR="00967149" w:rsidRPr="00967149" w:rsidRDefault="00967149" w:rsidP="00967149">
      <w:pPr>
        <w:spacing w:after="0" w:line="240" w:lineRule="auto"/>
        <w:jc w:val="both"/>
        <w:rPr>
          <w:rFonts w:ascii="Tahoma" w:hAnsi="Tahoma" w:cs="Tahoma"/>
          <w:sz w:val="20"/>
          <w:szCs w:val="20"/>
        </w:rPr>
      </w:pPr>
    </w:p>
    <w:p w:rsidR="00967149" w:rsidRDefault="00967149" w:rsidP="00967149">
      <w:pPr>
        <w:pStyle w:val="Paragraphedeliste"/>
        <w:numPr>
          <w:ilvl w:val="0"/>
          <w:numId w:val="1"/>
        </w:numPr>
        <w:spacing w:after="0" w:line="240" w:lineRule="auto"/>
        <w:jc w:val="both"/>
        <w:rPr>
          <w:rFonts w:ascii="Tahoma" w:hAnsi="Tahoma" w:cs="Tahoma"/>
          <w:sz w:val="20"/>
          <w:szCs w:val="20"/>
        </w:rPr>
      </w:pPr>
      <w:r w:rsidRPr="00C47BED">
        <w:rPr>
          <w:rFonts w:ascii="Tahoma" w:hAnsi="Tahoma" w:cs="Tahoma"/>
          <w:b/>
          <w:i/>
          <w:sz w:val="20"/>
          <w:szCs w:val="20"/>
        </w:rPr>
        <w:t xml:space="preserve">Quelles sont les mesures envisagées pour qu’une réforme effective ait lieu sur la base des préconisations contenues dans le rapport du député Matthias </w:t>
      </w:r>
      <w:proofErr w:type="spellStart"/>
      <w:r w:rsidRPr="00C47BED">
        <w:rPr>
          <w:rFonts w:ascii="Tahoma" w:hAnsi="Tahoma" w:cs="Tahoma"/>
          <w:b/>
          <w:i/>
          <w:sz w:val="20"/>
          <w:szCs w:val="20"/>
        </w:rPr>
        <w:t>Fekl</w:t>
      </w:r>
      <w:proofErr w:type="spellEnd"/>
      <w:r w:rsidRPr="00C47BED">
        <w:rPr>
          <w:rFonts w:ascii="Tahoma" w:hAnsi="Tahoma" w:cs="Tahoma"/>
          <w:b/>
          <w:i/>
          <w:sz w:val="20"/>
          <w:szCs w:val="20"/>
        </w:rPr>
        <w:t>, rendu public le 14 mai 2013 ? Quel suivi prévu pour la mise en œuvre de ces recommandations, sachant qu’elles constituent le vecteur d’une meilleure conformité des engagements internationaux de la France</w:t>
      </w:r>
      <w:r w:rsidRPr="00967149">
        <w:rPr>
          <w:rFonts w:ascii="Tahoma" w:hAnsi="Tahoma" w:cs="Tahoma"/>
          <w:sz w:val="20"/>
          <w:szCs w:val="20"/>
        </w:rPr>
        <w:t> ?</w:t>
      </w:r>
    </w:p>
    <w:p w:rsidR="00967149" w:rsidRDefault="00967149" w:rsidP="00967149">
      <w:pPr>
        <w:spacing w:after="0" w:line="240" w:lineRule="auto"/>
        <w:jc w:val="both"/>
        <w:rPr>
          <w:rFonts w:ascii="Tahoma" w:hAnsi="Tahoma" w:cs="Tahoma"/>
          <w:sz w:val="20"/>
          <w:szCs w:val="20"/>
        </w:rPr>
      </w:pPr>
    </w:p>
    <w:p w:rsidR="00967149" w:rsidRDefault="00967149" w:rsidP="00967149">
      <w:pPr>
        <w:spacing w:after="0" w:line="240" w:lineRule="auto"/>
        <w:jc w:val="both"/>
        <w:rPr>
          <w:rFonts w:ascii="Tahoma" w:hAnsi="Tahoma" w:cs="Tahoma"/>
          <w:sz w:val="20"/>
          <w:szCs w:val="20"/>
        </w:rPr>
      </w:pPr>
      <w:r>
        <w:rPr>
          <w:rFonts w:ascii="Tahoma" w:hAnsi="Tahoma" w:cs="Tahoma"/>
          <w:sz w:val="20"/>
          <w:szCs w:val="20"/>
        </w:rPr>
        <w:t xml:space="preserve">En dépit de la remise au Premier ministre, le 14 mai 2013, du rapport </w:t>
      </w:r>
      <w:r w:rsidR="00102777">
        <w:rPr>
          <w:rFonts w:ascii="Tahoma" w:hAnsi="Tahoma" w:cs="Tahoma"/>
          <w:sz w:val="20"/>
          <w:szCs w:val="20"/>
        </w:rPr>
        <w:t>intitulé « </w:t>
      </w:r>
      <w:r w:rsidR="00102777" w:rsidRPr="00102777">
        <w:rPr>
          <w:rFonts w:ascii="Tahoma" w:hAnsi="Tahoma" w:cs="Tahoma"/>
          <w:i/>
          <w:sz w:val="20"/>
          <w:szCs w:val="20"/>
        </w:rPr>
        <w:t>Sécuriser les parcours des ressortissants étrangers en France</w:t>
      </w:r>
      <w:r w:rsidR="00102777">
        <w:rPr>
          <w:rFonts w:ascii="Tahoma" w:hAnsi="Tahoma" w:cs="Tahoma"/>
          <w:sz w:val="20"/>
          <w:szCs w:val="20"/>
        </w:rPr>
        <w:t xml:space="preserve"> » </w:t>
      </w:r>
      <w:r>
        <w:rPr>
          <w:rFonts w:ascii="Tahoma" w:hAnsi="Tahoma" w:cs="Tahoma"/>
          <w:sz w:val="20"/>
          <w:szCs w:val="20"/>
        </w:rPr>
        <w:t xml:space="preserve">de Matthias </w:t>
      </w:r>
      <w:proofErr w:type="spellStart"/>
      <w:r>
        <w:rPr>
          <w:rFonts w:ascii="Tahoma" w:hAnsi="Tahoma" w:cs="Tahoma"/>
          <w:sz w:val="20"/>
          <w:szCs w:val="20"/>
        </w:rPr>
        <w:t>Fekl</w:t>
      </w:r>
      <w:proofErr w:type="spellEnd"/>
      <w:r>
        <w:rPr>
          <w:rFonts w:ascii="Tahoma" w:hAnsi="Tahoma" w:cs="Tahoma"/>
          <w:sz w:val="20"/>
          <w:szCs w:val="20"/>
        </w:rPr>
        <w:t>, député en mission auprès du ministre de l’intérieur, prescrivant notamment une réforme du contrôle juridictionnel de la rétention administrative, aucune mention y afférent ne figure dans le 5</w:t>
      </w:r>
      <w:r w:rsidRPr="00967149">
        <w:rPr>
          <w:rFonts w:ascii="Tahoma" w:hAnsi="Tahoma" w:cs="Tahoma"/>
          <w:sz w:val="20"/>
          <w:szCs w:val="20"/>
          <w:vertAlign w:val="superscript"/>
        </w:rPr>
        <w:t>ème</w:t>
      </w:r>
      <w:r>
        <w:rPr>
          <w:rFonts w:ascii="Tahoma" w:hAnsi="Tahoma" w:cs="Tahoma"/>
          <w:sz w:val="20"/>
          <w:szCs w:val="20"/>
        </w:rPr>
        <w:t xml:space="preserve"> rapport périodique de la France.</w:t>
      </w:r>
    </w:p>
    <w:p w:rsidR="00C47BED" w:rsidRDefault="00C47BED" w:rsidP="00967149">
      <w:pPr>
        <w:spacing w:after="0" w:line="240" w:lineRule="auto"/>
        <w:jc w:val="both"/>
        <w:rPr>
          <w:rFonts w:ascii="Tahoma" w:hAnsi="Tahoma" w:cs="Tahoma"/>
          <w:sz w:val="20"/>
          <w:szCs w:val="20"/>
        </w:rPr>
      </w:pPr>
    </w:p>
    <w:p w:rsidR="00C47BED" w:rsidRDefault="00C47BED" w:rsidP="00967149">
      <w:pPr>
        <w:spacing w:after="0" w:line="240" w:lineRule="auto"/>
        <w:jc w:val="both"/>
        <w:rPr>
          <w:rFonts w:ascii="Tahoma" w:hAnsi="Tahoma" w:cs="Tahoma"/>
          <w:sz w:val="20"/>
          <w:szCs w:val="20"/>
        </w:rPr>
      </w:pPr>
      <w:r>
        <w:rPr>
          <w:rFonts w:ascii="Tahoma" w:hAnsi="Tahoma" w:cs="Tahoma"/>
          <w:sz w:val="20"/>
          <w:szCs w:val="20"/>
        </w:rPr>
        <w:t>Depuis l’entrée en vigueur de la loi du 16 juin 2011, refondant substantiellement le droit des étrangers, l’intervention de l’autorité judiciaire, gardienne des libertés</w:t>
      </w:r>
      <w:r w:rsidR="00C427F8">
        <w:rPr>
          <w:rFonts w:ascii="Tahoma" w:hAnsi="Tahoma" w:cs="Tahoma"/>
          <w:sz w:val="20"/>
          <w:szCs w:val="20"/>
        </w:rPr>
        <w:t xml:space="preserve"> individuelles, est portée à cinq jours en lieu et place des 48 heures initialement prévues aux fins de contestation de la légalité du placement en rétention. A cet égard, il convient de rappeler </w:t>
      </w:r>
      <w:r w:rsidR="00130C97">
        <w:rPr>
          <w:rFonts w:ascii="Tahoma" w:hAnsi="Tahoma" w:cs="Tahoma"/>
          <w:sz w:val="20"/>
          <w:szCs w:val="20"/>
        </w:rPr>
        <w:t>que, outre le rapport parlementaire prescrivant un retour à un contrôle juridictionnel accéléré, le Conseil constitutionnel avait déjà,</w:t>
      </w:r>
      <w:r w:rsidR="00826AF1">
        <w:rPr>
          <w:rFonts w:ascii="Tahoma" w:hAnsi="Tahoma" w:cs="Tahoma"/>
          <w:sz w:val="20"/>
          <w:szCs w:val="20"/>
        </w:rPr>
        <w:t xml:space="preserve"> dans une décision du 9 janvier 1980, considéré que « la liberté individuelle ne peut être tenue pour sauvegardée que si le juge intervient dans le plus court délai possible. ».</w:t>
      </w:r>
    </w:p>
    <w:p w:rsidR="00826AF1" w:rsidRDefault="00826AF1" w:rsidP="00967149">
      <w:pPr>
        <w:spacing w:after="0" w:line="240" w:lineRule="auto"/>
        <w:jc w:val="both"/>
        <w:rPr>
          <w:rFonts w:ascii="Tahoma" w:hAnsi="Tahoma" w:cs="Tahoma"/>
          <w:sz w:val="20"/>
          <w:szCs w:val="20"/>
        </w:rPr>
      </w:pPr>
    </w:p>
    <w:p w:rsidR="00E1186E" w:rsidRDefault="00826AF1" w:rsidP="00967149">
      <w:pPr>
        <w:spacing w:after="0" w:line="240" w:lineRule="auto"/>
        <w:jc w:val="both"/>
        <w:rPr>
          <w:rFonts w:ascii="Tahoma" w:hAnsi="Tahoma" w:cs="Tahoma"/>
          <w:sz w:val="20"/>
          <w:szCs w:val="20"/>
        </w:rPr>
      </w:pPr>
      <w:r>
        <w:rPr>
          <w:rFonts w:ascii="Tahoma" w:hAnsi="Tahoma" w:cs="Tahoma"/>
          <w:sz w:val="20"/>
          <w:szCs w:val="20"/>
        </w:rPr>
        <w:t>En outre, il est patent de constater, notamment au regard de la réglementation européenne et internationale, que l’exigence de célérité constitue la pierre angulaire de toutes les procédures coercitives. En effet, l’article 15.2 de la directive 2008/115/CE du Parlement européen et du conseil du 16 décembre 2008 relative aux normes et procédures communes applicables dans les Etats membres au retour des ressortissants des pays tiers</w:t>
      </w:r>
      <w:r w:rsidR="00B44B0B">
        <w:rPr>
          <w:rFonts w:ascii="Tahoma" w:hAnsi="Tahoma" w:cs="Tahoma"/>
          <w:sz w:val="20"/>
          <w:szCs w:val="20"/>
        </w:rPr>
        <w:t xml:space="preserve"> en séjour irrégulier dite « retour » stipule que « </w:t>
      </w:r>
      <w:r w:rsidR="00E1186E" w:rsidRPr="0012148D">
        <w:rPr>
          <w:rFonts w:ascii="Tahoma" w:hAnsi="Tahoma" w:cs="Tahoma"/>
          <w:i/>
          <w:sz w:val="20"/>
          <w:szCs w:val="20"/>
        </w:rPr>
        <w:t>un contrôle juridictionnel accéléré de la légalité de la rétention doit avoir lieu le plus rapidement possible au début de la rétention. </w:t>
      </w:r>
      <w:r w:rsidR="00E1186E">
        <w:rPr>
          <w:rFonts w:ascii="Tahoma" w:hAnsi="Tahoma" w:cs="Tahoma"/>
          <w:sz w:val="20"/>
          <w:szCs w:val="20"/>
        </w:rPr>
        <w:t xml:space="preserve">». </w:t>
      </w:r>
      <w:r w:rsidR="00DC3E80">
        <w:rPr>
          <w:rFonts w:ascii="Tahoma" w:hAnsi="Tahoma" w:cs="Tahoma"/>
          <w:sz w:val="20"/>
          <w:szCs w:val="20"/>
        </w:rPr>
        <w:t xml:space="preserve">Il s’agit donc, dans la transposition qui en a été faite dans la loi française du 16 juin 2011, d’une </w:t>
      </w:r>
      <w:r w:rsidR="00E1186E">
        <w:rPr>
          <w:rFonts w:ascii="Tahoma" w:hAnsi="Tahoma" w:cs="Tahoma"/>
          <w:sz w:val="20"/>
          <w:szCs w:val="20"/>
        </w:rPr>
        <w:t>interprétation erronée</w:t>
      </w:r>
      <w:r w:rsidR="00DC3E80">
        <w:rPr>
          <w:rFonts w:ascii="Tahoma" w:hAnsi="Tahoma" w:cs="Tahoma"/>
          <w:sz w:val="20"/>
          <w:szCs w:val="20"/>
        </w:rPr>
        <w:t xml:space="preserve"> du bref délai qu’impose la directive « retour », le délai de l’intervention du juge judiciaire étant désormais allongé.</w:t>
      </w:r>
    </w:p>
    <w:p w:rsidR="00DC3E80" w:rsidRDefault="00DC3E80" w:rsidP="00967149">
      <w:pPr>
        <w:spacing w:after="0" w:line="240" w:lineRule="auto"/>
        <w:jc w:val="both"/>
        <w:rPr>
          <w:rFonts w:ascii="Tahoma" w:hAnsi="Tahoma" w:cs="Tahoma"/>
          <w:sz w:val="20"/>
          <w:szCs w:val="20"/>
        </w:rPr>
      </w:pPr>
    </w:p>
    <w:p w:rsidR="00DC3E80" w:rsidRDefault="00D94304" w:rsidP="00967149">
      <w:pPr>
        <w:spacing w:after="0" w:line="240" w:lineRule="auto"/>
        <w:jc w:val="both"/>
        <w:rPr>
          <w:rFonts w:ascii="Tahoma" w:hAnsi="Tahoma" w:cs="Tahoma"/>
          <w:sz w:val="20"/>
          <w:szCs w:val="20"/>
        </w:rPr>
      </w:pPr>
      <w:r>
        <w:rPr>
          <w:rFonts w:ascii="Tahoma" w:hAnsi="Tahoma" w:cs="Tahoma"/>
          <w:sz w:val="20"/>
          <w:szCs w:val="20"/>
        </w:rPr>
        <w:t>Il a là une violation manifeste des dispositions du Pacte. Ainsi,</w:t>
      </w:r>
      <w:r w:rsidR="00DC3E80">
        <w:rPr>
          <w:rFonts w:ascii="Tahoma" w:hAnsi="Tahoma" w:cs="Tahoma"/>
          <w:sz w:val="20"/>
          <w:szCs w:val="20"/>
        </w:rPr>
        <w:t xml:space="preserve"> l’article 9.4 du Pacte international</w:t>
      </w:r>
      <w:r w:rsidR="0035199A">
        <w:rPr>
          <w:rFonts w:ascii="Tahoma" w:hAnsi="Tahoma" w:cs="Tahoma"/>
          <w:sz w:val="20"/>
          <w:szCs w:val="20"/>
        </w:rPr>
        <w:t xml:space="preserve"> des droits civils et politiques exige que « </w:t>
      </w:r>
      <w:r w:rsidR="0035199A" w:rsidRPr="00D94304">
        <w:rPr>
          <w:rFonts w:ascii="Tahoma" w:hAnsi="Tahoma" w:cs="Tahoma"/>
          <w:i/>
          <w:sz w:val="20"/>
          <w:szCs w:val="20"/>
        </w:rPr>
        <w:t>quiconque se trouve privé de sa liberté par arrestation ou détention a le droit d’introduire un recours devant un tribunal afin que celui-ci statue sans délai sur la légalité de sa détention et ordonne sa libération si la détention est illégale.</w:t>
      </w:r>
      <w:r w:rsidR="0035199A">
        <w:rPr>
          <w:rFonts w:ascii="Tahoma" w:hAnsi="Tahoma" w:cs="Tahoma"/>
          <w:sz w:val="20"/>
          <w:szCs w:val="20"/>
        </w:rPr>
        <w:t>».</w:t>
      </w:r>
    </w:p>
    <w:p w:rsidR="00E1186E" w:rsidRDefault="00E1186E" w:rsidP="00967149">
      <w:pPr>
        <w:spacing w:after="0" w:line="240" w:lineRule="auto"/>
        <w:jc w:val="both"/>
        <w:rPr>
          <w:rFonts w:ascii="Tahoma" w:hAnsi="Tahoma" w:cs="Tahoma"/>
          <w:sz w:val="20"/>
          <w:szCs w:val="20"/>
        </w:rPr>
      </w:pPr>
    </w:p>
    <w:p w:rsidR="00E1186E" w:rsidRDefault="00E1186E" w:rsidP="00967149">
      <w:pPr>
        <w:spacing w:after="0" w:line="240" w:lineRule="auto"/>
        <w:jc w:val="both"/>
        <w:rPr>
          <w:rFonts w:ascii="Tahoma" w:hAnsi="Tahoma" w:cs="Tahoma"/>
          <w:sz w:val="20"/>
          <w:szCs w:val="20"/>
        </w:rPr>
      </w:pPr>
    </w:p>
    <w:p w:rsidR="00E1186E" w:rsidRDefault="00E1186E" w:rsidP="00967149">
      <w:pPr>
        <w:spacing w:after="0" w:line="240" w:lineRule="auto"/>
        <w:jc w:val="both"/>
        <w:rPr>
          <w:rFonts w:ascii="Tahoma" w:hAnsi="Tahoma" w:cs="Tahoma"/>
          <w:sz w:val="20"/>
          <w:szCs w:val="20"/>
        </w:rPr>
      </w:pPr>
    </w:p>
    <w:p w:rsidR="00967149" w:rsidRDefault="00967149" w:rsidP="00967149">
      <w:pPr>
        <w:spacing w:after="0" w:line="240" w:lineRule="auto"/>
        <w:jc w:val="both"/>
        <w:rPr>
          <w:rFonts w:ascii="Tahoma" w:hAnsi="Tahoma" w:cs="Tahoma"/>
          <w:sz w:val="20"/>
          <w:szCs w:val="20"/>
        </w:rPr>
      </w:pPr>
    </w:p>
    <w:p w:rsidR="00E1186E" w:rsidRPr="00E1186E" w:rsidRDefault="00E1186E" w:rsidP="00E1186E">
      <w:pPr>
        <w:pStyle w:val="Paragraphedeliste"/>
        <w:numPr>
          <w:ilvl w:val="0"/>
          <w:numId w:val="1"/>
        </w:numPr>
        <w:spacing w:after="0" w:line="240" w:lineRule="auto"/>
        <w:jc w:val="both"/>
        <w:rPr>
          <w:rFonts w:ascii="Tahoma" w:hAnsi="Tahoma" w:cs="Tahoma"/>
          <w:b/>
          <w:i/>
          <w:sz w:val="20"/>
          <w:szCs w:val="20"/>
        </w:rPr>
      </w:pPr>
      <w:r w:rsidRPr="00E1186E">
        <w:rPr>
          <w:rFonts w:ascii="Tahoma" w:hAnsi="Tahoma" w:cs="Tahoma"/>
          <w:b/>
          <w:i/>
          <w:sz w:val="20"/>
          <w:szCs w:val="20"/>
        </w:rPr>
        <w:lastRenderedPageBreak/>
        <w:t>Quelles sont les mesures envisagées par les autorités françaises pour que des moyens soient réellement mis en œuvre afin de permettre au bénéficiaire d’une protection internationale de bénéficier de l’effectivité du droit de vivre en famille ?</w:t>
      </w:r>
    </w:p>
    <w:p w:rsidR="00D841A6" w:rsidRPr="00083C1B" w:rsidRDefault="00D841A6" w:rsidP="00083C1B">
      <w:pPr>
        <w:spacing w:after="0" w:line="240" w:lineRule="auto"/>
        <w:jc w:val="both"/>
        <w:rPr>
          <w:rFonts w:ascii="Tahoma" w:hAnsi="Tahoma" w:cs="Tahoma"/>
          <w:sz w:val="20"/>
          <w:szCs w:val="20"/>
        </w:rPr>
      </w:pPr>
    </w:p>
    <w:p w:rsidR="00083C1B" w:rsidRDefault="00D841A6" w:rsidP="00083C1B">
      <w:pPr>
        <w:spacing w:after="0" w:line="240" w:lineRule="auto"/>
        <w:jc w:val="both"/>
        <w:rPr>
          <w:rFonts w:ascii="Tahoma" w:hAnsi="Tahoma" w:cs="Tahoma"/>
          <w:sz w:val="20"/>
          <w:szCs w:val="20"/>
        </w:rPr>
      </w:pPr>
      <w:r w:rsidRPr="00083C1B">
        <w:rPr>
          <w:rFonts w:ascii="Tahoma" w:hAnsi="Tahoma" w:cs="Tahoma"/>
          <w:sz w:val="20"/>
          <w:szCs w:val="20"/>
        </w:rPr>
        <w:t xml:space="preserve">La réunification familiale des réfugiés est consacrée tant par la Convention de Genève du 28 juillet 1951, le droit communautaire </w:t>
      </w:r>
      <w:r w:rsidR="00083C1B">
        <w:rPr>
          <w:rFonts w:ascii="Tahoma" w:hAnsi="Tahoma" w:cs="Tahoma"/>
          <w:sz w:val="20"/>
          <w:szCs w:val="20"/>
        </w:rPr>
        <w:t xml:space="preserve">- </w:t>
      </w:r>
      <w:r w:rsidRPr="00083C1B">
        <w:rPr>
          <w:rFonts w:ascii="Tahoma" w:hAnsi="Tahoma" w:cs="Tahoma"/>
          <w:sz w:val="20"/>
          <w:szCs w:val="20"/>
        </w:rPr>
        <w:t xml:space="preserve">notamment la directive </w:t>
      </w:r>
      <w:r w:rsidR="00083C1B">
        <w:rPr>
          <w:rFonts w:ascii="Tahoma" w:hAnsi="Tahoma" w:cs="Tahoma"/>
          <w:sz w:val="20"/>
          <w:szCs w:val="20"/>
        </w:rPr>
        <w:t>2003/86/CE du 22 septembre 2003 -</w:t>
      </w:r>
      <w:r w:rsidRPr="00083C1B">
        <w:rPr>
          <w:rFonts w:ascii="Tahoma" w:hAnsi="Tahoma" w:cs="Tahoma"/>
          <w:sz w:val="20"/>
          <w:szCs w:val="20"/>
        </w:rPr>
        <w:t xml:space="preserve"> que le droit national qui reconnait le droit au séjour du conjoint ou du concubin et des enfants âgés de moins de 19 ans. Cette réunification familiale est primordiale, elle est la suite logique du statut accordé au demandeur qui jouit ainsi d’une protection pleine et entière dès lors que sa famille, réunie à ses côtés, peut prétendre à  la même protection que la sienne. Cette réunification est en outre un gage d’insertion au sein du pa</w:t>
      </w:r>
      <w:r w:rsidR="00083C1B">
        <w:rPr>
          <w:rFonts w:ascii="Tahoma" w:hAnsi="Tahoma" w:cs="Tahoma"/>
          <w:sz w:val="20"/>
          <w:szCs w:val="20"/>
        </w:rPr>
        <w:t>ys ayant accordé la protection.</w:t>
      </w:r>
    </w:p>
    <w:p w:rsidR="00083C1B" w:rsidRDefault="00083C1B" w:rsidP="00083C1B">
      <w:pPr>
        <w:spacing w:after="0" w:line="240" w:lineRule="auto"/>
        <w:jc w:val="both"/>
        <w:rPr>
          <w:rFonts w:ascii="Tahoma" w:hAnsi="Tahoma" w:cs="Tahoma"/>
          <w:sz w:val="20"/>
          <w:szCs w:val="20"/>
        </w:rPr>
      </w:pPr>
    </w:p>
    <w:p w:rsidR="00D841A6" w:rsidRDefault="00D841A6" w:rsidP="00083C1B">
      <w:pPr>
        <w:spacing w:after="0" w:line="240" w:lineRule="auto"/>
        <w:jc w:val="both"/>
        <w:rPr>
          <w:rFonts w:ascii="Tahoma" w:hAnsi="Tahoma" w:cs="Tahoma"/>
          <w:sz w:val="20"/>
          <w:szCs w:val="20"/>
        </w:rPr>
      </w:pPr>
      <w:r w:rsidRPr="00083C1B">
        <w:rPr>
          <w:rFonts w:ascii="Tahoma" w:hAnsi="Tahoma" w:cs="Tahoma"/>
          <w:sz w:val="20"/>
          <w:szCs w:val="20"/>
        </w:rPr>
        <w:t>Pourtant, l’effectivité de ce droit est réellement remise en cause par les pratiques consulaires françaises. Dès lors que la demande de visa est enregistrée auprès du consulat de France, ce dernier vérifie auprès de l’OFPRA la composition familiale. Le poste consulaire vérifie ensuite l’authenticité des actes d’état civil étrangers auprès des autorités locales. C’est cette vérification qui, aujourd’hui, constitue un véritable obstacle  à la réunification de n</w:t>
      </w:r>
      <w:r w:rsidR="00083C1B">
        <w:rPr>
          <w:rFonts w:ascii="Tahoma" w:hAnsi="Tahoma" w:cs="Tahoma"/>
          <w:sz w:val="20"/>
          <w:szCs w:val="20"/>
        </w:rPr>
        <w:t>ombreuses familles de réfugiés.</w:t>
      </w:r>
    </w:p>
    <w:p w:rsidR="00083C1B" w:rsidRPr="00083C1B" w:rsidRDefault="00083C1B" w:rsidP="00083C1B">
      <w:pPr>
        <w:spacing w:after="0" w:line="240" w:lineRule="auto"/>
        <w:jc w:val="both"/>
        <w:rPr>
          <w:rFonts w:ascii="Tahoma" w:hAnsi="Tahoma" w:cs="Tahoma"/>
          <w:sz w:val="20"/>
          <w:szCs w:val="20"/>
        </w:rPr>
      </w:pPr>
    </w:p>
    <w:p w:rsidR="00D841A6" w:rsidRDefault="00D841A6" w:rsidP="00083C1B">
      <w:pPr>
        <w:spacing w:after="0" w:line="240" w:lineRule="auto"/>
        <w:jc w:val="both"/>
        <w:rPr>
          <w:rFonts w:ascii="Tahoma" w:hAnsi="Tahoma" w:cs="Tahoma"/>
          <w:sz w:val="20"/>
          <w:szCs w:val="20"/>
        </w:rPr>
      </w:pPr>
      <w:r w:rsidRPr="00083C1B">
        <w:rPr>
          <w:rFonts w:ascii="Tahoma" w:hAnsi="Tahoma" w:cs="Tahoma"/>
          <w:sz w:val="20"/>
          <w:szCs w:val="20"/>
        </w:rPr>
        <w:t>La vérification des documents d’état civil auprès des autorités locales devient en effet systématique sans même que les services consulaires exposent au demandeur les éléments lui permettant de douter de la validité des actes produits.</w:t>
      </w:r>
    </w:p>
    <w:p w:rsidR="00083C1B" w:rsidRPr="00083C1B" w:rsidRDefault="00083C1B" w:rsidP="00083C1B">
      <w:pPr>
        <w:spacing w:after="0" w:line="240" w:lineRule="auto"/>
        <w:jc w:val="both"/>
        <w:rPr>
          <w:rFonts w:ascii="Tahoma" w:hAnsi="Tahoma" w:cs="Tahoma"/>
          <w:sz w:val="20"/>
          <w:szCs w:val="20"/>
        </w:rPr>
      </w:pPr>
    </w:p>
    <w:p w:rsidR="00D841A6" w:rsidRDefault="00D841A6" w:rsidP="00083C1B">
      <w:pPr>
        <w:spacing w:after="0" w:line="240" w:lineRule="auto"/>
        <w:jc w:val="both"/>
        <w:rPr>
          <w:rFonts w:ascii="Tahoma" w:hAnsi="Tahoma" w:cs="Tahoma"/>
          <w:sz w:val="20"/>
          <w:szCs w:val="20"/>
        </w:rPr>
      </w:pPr>
      <w:r w:rsidRPr="00083C1B">
        <w:rPr>
          <w:rFonts w:ascii="Tahoma" w:hAnsi="Tahoma" w:cs="Tahoma"/>
          <w:sz w:val="20"/>
          <w:szCs w:val="20"/>
        </w:rPr>
        <w:t>Cette pratique résulte directement des réformes opérées en 2003 mais plus encore en 2006 modifiant l’article 47 du code civil</w:t>
      </w:r>
      <w:r w:rsidRPr="00083C1B">
        <w:rPr>
          <w:rStyle w:val="Appelnotedebasdep"/>
          <w:rFonts w:ascii="Tahoma" w:hAnsi="Tahoma" w:cs="Tahoma"/>
          <w:b/>
          <w:sz w:val="18"/>
          <w:szCs w:val="18"/>
        </w:rPr>
        <w:footnoteReference w:id="1"/>
      </w:r>
      <w:r w:rsidRPr="00083C1B">
        <w:rPr>
          <w:rFonts w:ascii="Tahoma" w:hAnsi="Tahoma" w:cs="Tahoma"/>
          <w:sz w:val="20"/>
          <w:szCs w:val="20"/>
        </w:rPr>
        <w:t xml:space="preserve"> qui accordait jusqu’alors une réelle force probante à l’acte d’état civil étranger dès lors qu’il avait été rédigé dans les formes locales usitées dans ledit pays. Désormais, si l’article 47 du code civil reconnait pleinement un acte d’état civil étranger dressé dans les formes usitées de pays, il incite fortement l’administration consulaire à contester leur validité. En outre, la réforme opérée en 2006 a également inséré un article 22-1 dans la loi du 12 avril 2000 relative aux droits des citoyens dans leurs relations avec les administrations</w:t>
      </w:r>
      <w:r w:rsidRPr="00083C1B">
        <w:rPr>
          <w:rStyle w:val="Appelnotedebasdep"/>
          <w:rFonts w:ascii="Tahoma" w:hAnsi="Tahoma" w:cs="Tahoma"/>
          <w:b/>
          <w:sz w:val="18"/>
          <w:szCs w:val="18"/>
        </w:rPr>
        <w:footnoteReference w:id="2"/>
      </w:r>
      <w:r w:rsidRPr="00083C1B">
        <w:rPr>
          <w:rFonts w:ascii="Tahoma" w:hAnsi="Tahoma" w:cs="Tahoma"/>
          <w:sz w:val="20"/>
          <w:szCs w:val="20"/>
        </w:rPr>
        <w:t xml:space="preserve"> au terme duquel en cas de litige, le juge forme sa conviction au vu des éléments produits tant par l’administration que par l’intéressé. La charge de la preuve est donc désormais partagée et l’acte d’état civil étranger a ainsi perdu sa présomption de validité. La suspicion à l’égard des actes d’état civil étranger s’est ainsi en pratique généralisée. A ce constat, convient-il encore d’ajouter que les services consulaires disposent d’un délai de 4 mois renouvelable et, quasi systématiquement renouvelé, pour procéder à cette vérification. Le silence gardé par le consulat vaut décision implicite de rejet. A ce délai, viennent s’ajouter ceux nécessaires pour accéder au consulat, obtenir un rendez-vous, réunir les actes d’état civil et </w:t>
      </w:r>
      <w:r w:rsidR="00083C1B">
        <w:rPr>
          <w:rFonts w:ascii="Tahoma" w:hAnsi="Tahoma" w:cs="Tahoma"/>
          <w:sz w:val="20"/>
          <w:szCs w:val="20"/>
        </w:rPr>
        <w:t>les documents de voyage exigés.</w:t>
      </w:r>
    </w:p>
    <w:p w:rsidR="00083C1B" w:rsidRPr="00083C1B" w:rsidRDefault="00083C1B" w:rsidP="00083C1B">
      <w:pPr>
        <w:spacing w:after="0" w:line="240" w:lineRule="auto"/>
        <w:jc w:val="both"/>
        <w:rPr>
          <w:rFonts w:ascii="Tahoma" w:hAnsi="Tahoma" w:cs="Tahoma"/>
          <w:sz w:val="20"/>
          <w:szCs w:val="20"/>
        </w:rPr>
      </w:pPr>
    </w:p>
    <w:p w:rsidR="00D841A6" w:rsidRDefault="00D841A6" w:rsidP="00083C1B">
      <w:pPr>
        <w:spacing w:after="0" w:line="240" w:lineRule="auto"/>
        <w:jc w:val="both"/>
        <w:rPr>
          <w:rFonts w:ascii="Tahoma" w:hAnsi="Tahoma" w:cs="Tahoma"/>
          <w:sz w:val="20"/>
          <w:szCs w:val="20"/>
        </w:rPr>
      </w:pPr>
      <w:r w:rsidRPr="00083C1B">
        <w:rPr>
          <w:rFonts w:ascii="Tahoma" w:hAnsi="Tahoma" w:cs="Tahoma"/>
          <w:sz w:val="20"/>
          <w:szCs w:val="20"/>
        </w:rPr>
        <w:t>Cette procédure est ainsi longue et complexe pour le bénéficiaire d’une protection internationale et sa famille. La décision de rejet n’est en outre pas systématiquement écrite ni notifiée à la personne s’étant vu accorder la protection et lorsque la décision est notifiée, la motivation est souvent lapidaire  quand elle ne prend pas la forme d’un formulaire listant les motifs de refus sans plus de détails.</w:t>
      </w:r>
    </w:p>
    <w:p w:rsidR="00083C1B" w:rsidRPr="00083C1B" w:rsidRDefault="00083C1B" w:rsidP="00083C1B">
      <w:pPr>
        <w:spacing w:after="0" w:line="240" w:lineRule="auto"/>
        <w:jc w:val="both"/>
        <w:rPr>
          <w:rFonts w:ascii="Tahoma" w:hAnsi="Tahoma" w:cs="Tahoma"/>
          <w:sz w:val="20"/>
          <w:szCs w:val="20"/>
        </w:rPr>
      </w:pPr>
    </w:p>
    <w:p w:rsidR="00967149" w:rsidRDefault="00D841A6" w:rsidP="00083C1B">
      <w:pPr>
        <w:spacing w:after="0" w:line="240" w:lineRule="auto"/>
        <w:jc w:val="both"/>
        <w:rPr>
          <w:rFonts w:ascii="Tahoma" w:hAnsi="Tahoma" w:cs="Tahoma"/>
          <w:sz w:val="20"/>
          <w:szCs w:val="20"/>
        </w:rPr>
      </w:pPr>
      <w:r w:rsidRPr="00083C1B">
        <w:rPr>
          <w:rFonts w:ascii="Tahoma" w:hAnsi="Tahoma" w:cs="Tahoma"/>
          <w:sz w:val="20"/>
          <w:szCs w:val="20"/>
        </w:rPr>
        <w:t xml:space="preserve">Enfin, et lorsque le bénéficiaire dispose des informations nécessaires lui permettant d’appréhender utilement les motifs du refus et l’opportunité d’un recours, il doit encore, avant de saisir le tribunal </w:t>
      </w:r>
      <w:r w:rsidRPr="00083C1B">
        <w:rPr>
          <w:rFonts w:ascii="Tahoma" w:hAnsi="Tahoma" w:cs="Tahoma"/>
          <w:sz w:val="20"/>
          <w:szCs w:val="20"/>
        </w:rPr>
        <w:lastRenderedPageBreak/>
        <w:t>administratif, saisir préalablement la Commission de recours contre les refus de visa d’entrée en France. Cette Commission, dont la raison d’être était de prévenir le contentieux, confirme dans l’extrême majorité des cas le refus initial, après des délais d’instruction très longs. A noter que le tribunal administratif de Nantes donne, en globalité, satisfaction à 49% des requérants et que pour l’année 2009, le Conseil d’Etat a fait droit au recours introduits par les demandeurs de visa dans 60% des cas. L’existence même de cette Commissio</w:t>
      </w:r>
      <w:r w:rsidR="00083C1B">
        <w:rPr>
          <w:rFonts w:ascii="Tahoma" w:hAnsi="Tahoma" w:cs="Tahoma"/>
          <w:sz w:val="20"/>
          <w:szCs w:val="20"/>
        </w:rPr>
        <w:t>n interroge dès lors forcément.</w:t>
      </w:r>
    </w:p>
    <w:p w:rsidR="00102777" w:rsidRDefault="00102777" w:rsidP="00083C1B">
      <w:pPr>
        <w:spacing w:after="0" w:line="240" w:lineRule="auto"/>
        <w:jc w:val="both"/>
        <w:rPr>
          <w:rFonts w:ascii="Tahoma" w:hAnsi="Tahoma" w:cs="Tahoma"/>
          <w:sz w:val="20"/>
          <w:szCs w:val="20"/>
        </w:rPr>
      </w:pPr>
    </w:p>
    <w:p w:rsidR="00542886" w:rsidRDefault="00542886" w:rsidP="00083C1B">
      <w:pPr>
        <w:spacing w:after="0" w:line="240" w:lineRule="auto"/>
        <w:jc w:val="both"/>
        <w:rPr>
          <w:rFonts w:ascii="Tahoma" w:hAnsi="Tahoma" w:cs="Tahoma"/>
          <w:sz w:val="20"/>
          <w:szCs w:val="20"/>
        </w:rPr>
      </w:pPr>
    </w:p>
    <w:p w:rsidR="00542886" w:rsidRDefault="00542886" w:rsidP="00083C1B">
      <w:pPr>
        <w:spacing w:after="0" w:line="240" w:lineRule="auto"/>
        <w:jc w:val="both"/>
        <w:rPr>
          <w:rFonts w:ascii="Tahoma" w:hAnsi="Tahoma" w:cs="Tahoma"/>
          <w:sz w:val="20"/>
          <w:szCs w:val="20"/>
        </w:rPr>
      </w:pPr>
    </w:p>
    <w:p w:rsidR="00102777" w:rsidRDefault="00085C67" w:rsidP="00083C1B">
      <w:pPr>
        <w:spacing w:after="0" w:line="240" w:lineRule="auto"/>
        <w:jc w:val="both"/>
        <w:rPr>
          <w:rFonts w:ascii="Tahoma" w:hAnsi="Tahoma" w:cs="Tahoma"/>
          <w:sz w:val="20"/>
          <w:szCs w:val="20"/>
        </w:rPr>
      </w:pPr>
      <w:r w:rsidRPr="00085C67">
        <w:rPr>
          <w:rFonts w:ascii="Tahoma" w:hAnsi="Tahoma" w:cs="Tahoma"/>
          <w:sz w:val="20"/>
          <w:szCs w:val="20"/>
          <w:u w:val="single"/>
        </w:rPr>
        <w:t>Politique en matière d’égalité femmes-hommes</w:t>
      </w:r>
      <w:r>
        <w:rPr>
          <w:rFonts w:ascii="Tahoma" w:hAnsi="Tahoma" w:cs="Tahoma"/>
          <w:sz w:val="20"/>
          <w:szCs w:val="20"/>
        </w:rPr>
        <w:t xml:space="preserve"> (recommandation 13)</w:t>
      </w:r>
    </w:p>
    <w:p w:rsidR="00085C67" w:rsidRDefault="00085C67" w:rsidP="00083C1B">
      <w:pPr>
        <w:spacing w:after="0" w:line="240" w:lineRule="auto"/>
        <w:jc w:val="both"/>
        <w:rPr>
          <w:rFonts w:ascii="Tahoma" w:hAnsi="Tahoma" w:cs="Tahoma"/>
          <w:sz w:val="20"/>
          <w:szCs w:val="20"/>
        </w:rPr>
      </w:pPr>
    </w:p>
    <w:p w:rsidR="004C0271" w:rsidRDefault="00085C67" w:rsidP="004C0271">
      <w:pPr>
        <w:spacing w:after="0" w:line="240" w:lineRule="auto"/>
        <w:ind w:left="708"/>
        <w:jc w:val="both"/>
        <w:rPr>
          <w:rFonts w:ascii="Tahoma" w:hAnsi="Tahoma" w:cs="Tahoma"/>
          <w:sz w:val="20"/>
          <w:szCs w:val="20"/>
        </w:rPr>
      </w:pPr>
      <w:r w:rsidRPr="004B467D">
        <w:rPr>
          <w:rFonts w:ascii="Tahoma" w:hAnsi="Tahoma" w:cs="Tahoma"/>
          <w:b/>
          <w:i/>
          <w:sz w:val="20"/>
          <w:szCs w:val="20"/>
        </w:rPr>
        <w:t>Quelles sont les mesures prises pour que les dispositions déclinées, par les autorités françaises dans le 5</w:t>
      </w:r>
      <w:r w:rsidRPr="004B467D">
        <w:rPr>
          <w:rFonts w:ascii="Tahoma" w:hAnsi="Tahoma" w:cs="Tahoma"/>
          <w:b/>
          <w:i/>
          <w:sz w:val="20"/>
          <w:szCs w:val="20"/>
          <w:vertAlign w:val="superscript"/>
        </w:rPr>
        <w:t>ème</w:t>
      </w:r>
      <w:r w:rsidRPr="004B467D">
        <w:rPr>
          <w:rFonts w:ascii="Tahoma" w:hAnsi="Tahoma" w:cs="Tahoma"/>
          <w:b/>
          <w:i/>
          <w:sz w:val="20"/>
          <w:szCs w:val="20"/>
        </w:rPr>
        <w:t xml:space="preserve"> rapport périodique, </w:t>
      </w:r>
      <w:r w:rsidR="004B467D">
        <w:rPr>
          <w:rFonts w:ascii="Tahoma" w:hAnsi="Tahoma" w:cs="Tahoma"/>
          <w:b/>
          <w:i/>
          <w:sz w:val="20"/>
          <w:szCs w:val="20"/>
        </w:rPr>
        <w:t xml:space="preserve">en matière d’égalité femmes-hommes </w:t>
      </w:r>
      <w:r w:rsidR="004C0271">
        <w:rPr>
          <w:rFonts w:ascii="Tahoma" w:hAnsi="Tahoma" w:cs="Tahoma"/>
          <w:b/>
          <w:i/>
          <w:sz w:val="20"/>
          <w:szCs w:val="20"/>
        </w:rPr>
        <w:t>sur le marché du</w:t>
      </w:r>
      <w:r w:rsidR="004B467D">
        <w:rPr>
          <w:rFonts w:ascii="Tahoma" w:hAnsi="Tahoma" w:cs="Tahoma"/>
          <w:b/>
          <w:i/>
          <w:sz w:val="20"/>
          <w:szCs w:val="20"/>
        </w:rPr>
        <w:t xml:space="preserve"> travail </w:t>
      </w:r>
      <w:r w:rsidRPr="004B467D">
        <w:rPr>
          <w:rFonts w:ascii="Tahoma" w:hAnsi="Tahoma" w:cs="Tahoma"/>
          <w:b/>
          <w:i/>
          <w:sz w:val="20"/>
          <w:szCs w:val="20"/>
        </w:rPr>
        <w:t xml:space="preserve">deviennent effectives ? </w:t>
      </w:r>
      <w:r w:rsidR="004B467D" w:rsidRPr="004B467D">
        <w:rPr>
          <w:rFonts w:ascii="Tahoma" w:hAnsi="Tahoma" w:cs="Tahoma"/>
          <w:b/>
          <w:i/>
          <w:sz w:val="20"/>
          <w:szCs w:val="20"/>
        </w:rPr>
        <w:t xml:space="preserve">Quelle volonté politique et quels moyens financiers </w:t>
      </w:r>
      <w:r w:rsidR="00840DC8">
        <w:rPr>
          <w:rFonts w:ascii="Tahoma" w:hAnsi="Tahoma" w:cs="Tahoma"/>
          <w:b/>
          <w:i/>
          <w:sz w:val="20"/>
          <w:szCs w:val="20"/>
        </w:rPr>
        <w:t>ser</w:t>
      </w:r>
      <w:r w:rsidR="004B467D" w:rsidRPr="004B467D">
        <w:rPr>
          <w:rFonts w:ascii="Tahoma" w:hAnsi="Tahoma" w:cs="Tahoma"/>
          <w:b/>
          <w:i/>
          <w:sz w:val="20"/>
          <w:szCs w:val="20"/>
        </w:rPr>
        <w:t>ont être dégagés</w:t>
      </w:r>
      <w:r w:rsidR="004C0271">
        <w:rPr>
          <w:rFonts w:ascii="Tahoma" w:hAnsi="Tahoma" w:cs="Tahoma"/>
          <w:b/>
          <w:i/>
          <w:sz w:val="20"/>
          <w:szCs w:val="20"/>
        </w:rPr>
        <w:t> ?</w:t>
      </w:r>
    </w:p>
    <w:p w:rsidR="004C0271" w:rsidRDefault="004C0271" w:rsidP="008F39EB">
      <w:pPr>
        <w:spacing w:after="0" w:line="240" w:lineRule="auto"/>
        <w:jc w:val="both"/>
        <w:rPr>
          <w:rFonts w:ascii="Tahoma" w:hAnsi="Tahoma" w:cs="Tahoma"/>
          <w:sz w:val="20"/>
          <w:szCs w:val="20"/>
        </w:rPr>
      </w:pPr>
    </w:p>
    <w:p w:rsidR="004C0271" w:rsidRDefault="004C0271" w:rsidP="008F39EB">
      <w:pPr>
        <w:spacing w:after="0" w:line="240" w:lineRule="auto"/>
        <w:jc w:val="both"/>
        <w:rPr>
          <w:rFonts w:ascii="Tahoma" w:eastAsia="Calibri" w:hAnsi="Tahoma" w:cs="Tahoma"/>
          <w:sz w:val="20"/>
          <w:szCs w:val="20"/>
        </w:rPr>
      </w:pPr>
      <w:r>
        <w:rPr>
          <w:rFonts w:ascii="Tahoma" w:eastAsia="Calibri" w:hAnsi="Tahoma" w:cs="Tahoma"/>
          <w:sz w:val="20"/>
          <w:szCs w:val="20"/>
        </w:rPr>
        <w:t xml:space="preserve">Au fil des rapports périodiques, qu’il s’agisse </w:t>
      </w:r>
      <w:r w:rsidR="00AA6405">
        <w:rPr>
          <w:rFonts w:ascii="Tahoma" w:eastAsia="Calibri" w:hAnsi="Tahoma" w:cs="Tahoma"/>
          <w:sz w:val="20"/>
          <w:szCs w:val="20"/>
        </w:rPr>
        <w:t xml:space="preserve">du présent rapport périodique devant votre comité ou </w:t>
      </w:r>
      <w:r>
        <w:rPr>
          <w:rFonts w:ascii="Tahoma" w:eastAsia="Calibri" w:hAnsi="Tahoma" w:cs="Tahoma"/>
          <w:sz w:val="20"/>
          <w:szCs w:val="20"/>
        </w:rPr>
        <w:t>du 7</w:t>
      </w:r>
      <w:r w:rsidRPr="004C0271">
        <w:rPr>
          <w:rFonts w:ascii="Tahoma" w:eastAsia="Calibri" w:hAnsi="Tahoma" w:cs="Tahoma"/>
          <w:sz w:val="20"/>
          <w:szCs w:val="20"/>
          <w:vertAlign w:val="superscript"/>
        </w:rPr>
        <w:t>ème</w:t>
      </w:r>
      <w:r>
        <w:rPr>
          <w:rFonts w:ascii="Tahoma" w:eastAsia="Calibri" w:hAnsi="Tahoma" w:cs="Tahoma"/>
          <w:sz w:val="20"/>
          <w:szCs w:val="20"/>
        </w:rPr>
        <w:t xml:space="preserve"> rapport périodique devant le Comité CEDAW (dépôt le 15 décembre 2013) ou </w:t>
      </w:r>
      <w:r w:rsidR="00AA6405">
        <w:rPr>
          <w:rFonts w:ascii="Tahoma" w:eastAsia="Calibri" w:hAnsi="Tahoma" w:cs="Tahoma"/>
          <w:sz w:val="20"/>
          <w:szCs w:val="20"/>
        </w:rPr>
        <w:t xml:space="preserve">encore </w:t>
      </w:r>
      <w:r>
        <w:rPr>
          <w:rFonts w:ascii="Tahoma" w:eastAsia="Calibri" w:hAnsi="Tahoma" w:cs="Tahoma"/>
          <w:sz w:val="20"/>
          <w:szCs w:val="20"/>
        </w:rPr>
        <w:t>du 2</w:t>
      </w:r>
      <w:r w:rsidRPr="004C0271">
        <w:rPr>
          <w:rFonts w:ascii="Tahoma" w:eastAsia="Calibri" w:hAnsi="Tahoma" w:cs="Tahoma"/>
          <w:sz w:val="20"/>
          <w:szCs w:val="20"/>
          <w:vertAlign w:val="superscript"/>
        </w:rPr>
        <w:t>ème</w:t>
      </w:r>
      <w:r>
        <w:rPr>
          <w:rFonts w:ascii="Tahoma" w:eastAsia="Calibri" w:hAnsi="Tahoma" w:cs="Tahoma"/>
          <w:sz w:val="20"/>
          <w:szCs w:val="20"/>
        </w:rPr>
        <w:t xml:space="preserve"> rapport dans le cadre de la Revue périodique universelle (session de janvier 2013), les autorités françaises ne manquent pas de décliner les textes adoptés sur le terrain </w:t>
      </w:r>
      <w:r w:rsidR="00AA6405">
        <w:rPr>
          <w:rFonts w:ascii="Tahoma" w:eastAsia="Calibri" w:hAnsi="Tahoma" w:cs="Tahoma"/>
          <w:sz w:val="20"/>
          <w:szCs w:val="20"/>
        </w:rPr>
        <w:t>de l’égalité entre les femmes et les hommes au travail.</w:t>
      </w:r>
    </w:p>
    <w:p w:rsidR="008F39EB" w:rsidRDefault="008F39EB" w:rsidP="008F39EB">
      <w:pPr>
        <w:spacing w:after="0" w:line="240" w:lineRule="auto"/>
        <w:jc w:val="both"/>
        <w:rPr>
          <w:rFonts w:ascii="Tahoma" w:eastAsia="Calibri" w:hAnsi="Tahoma" w:cs="Tahoma"/>
          <w:sz w:val="20"/>
          <w:szCs w:val="20"/>
        </w:rPr>
      </w:pPr>
    </w:p>
    <w:p w:rsidR="004C0271" w:rsidRDefault="00AA6405" w:rsidP="008F39EB">
      <w:pPr>
        <w:spacing w:after="0" w:line="240" w:lineRule="auto"/>
        <w:jc w:val="both"/>
        <w:rPr>
          <w:rFonts w:ascii="Tahoma" w:eastAsia="Calibri" w:hAnsi="Tahoma" w:cs="Tahoma"/>
          <w:sz w:val="20"/>
          <w:szCs w:val="20"/>
        </w:rPr>
      </w:pPr>
      <w:r>
        <w:rPr>
          <w:rFonts w:ascii="Tahoma" w:eastAsia="Calibri" w:hAnsi="Tahoma" w:cs="Tahoma"/>
          <w:sz w:val="20"/>
          <w:szCs w:val="20"/>
        </w:rPr>
        <w:t>Toutefois, s</w:t>
      </w:r>
      <w:r w:rsidR="004C0271">
        <w:rPr>
          <w:rFonts w:ascii="Tahoma" w:eastAsia="Calibri" w:hAnsi="Tahoma" w:cs="Tahoma"/>
          <w:sz w:val="20"/>
          <w:szCs w:val="20"/>
        </w:rPr>
        <w:t>’il est toujours intéressant d’avoir un récapitulatif des textes en vigueur sur ces questions, il est indéniable que les faits sont là, et ce malgré une législation abondante : en 2011, l’écart de rémunération entre les femmes et les hommes reste de 27 %. Pléthore de lois certes mais qui semblent peu appliquées. Il est donc nécessaire de mettre en lumière les mesures concrètes qui sont ou vont être prises pour une effectivité des droits, et ne pas rester sur des généralités comme cela est t</w:t>
      </w:r>
      <w:r w:rsidR="008F39EB">
        <w:rPr>
          <w:rFonts w:ascii="Tahoma" w:eastAsia="Calibri" w:hAnsi="Tahoma" w:cs="Tahoma"/>
          <w:sz w:val="20"/>
          <w:szCs w:val="20"/>
        </w:rPr>
        <w:t>r</w:t>
      </w:r>
      <w:r w:rsidR="004C0271">
        <w:rPr>
          <w:rFonts w:ascii="Tahoma" w:eastAsia="Calibri" w:hAnsi="Tahoma" w:cs="Tahoma"/>
          <w:sz w:val="20"/>
          <w:szCs w:val="20"/>
        </w:rPr>
        <w:t>op souvent le cas dans les rapports périodiques présentés par la France.</w:t>
      </w:r>
    </w:p>
    <w:p w:rsidR="008F39EB" w:rsidRDefault="008F39EB" w:rsidP="008F39EB">
      <w:pPr>
        <w:spacing w:after="0" w:line="240" w:lineRule="auto"/>
        <w:jc w:val="both"/>
        <w:rPr>
          <w:rFonts w:ascii="Tahoma" w:eastAsia="Calibri" w:hAnsi="Tahoma" w:cs="Tahoma"/>
          <w:sz w:val="20"/>
          <w:szCs w:val="20"/>
        </w:rPr>
      </w:pPr>
    </w:p>
    <w:p w:rsidR="004C0271" w:rsidRDefault="004C0271" w:rsidP="008F39EB">
      <w:pPr>
        <w:spacing w:after="0" w:line="240" w:lineRule="auto"/>
        <w:jc w:val="both"/>
        <w:rPr>
          <w:rFonts w:ascii="Tahoma" w:eastAsia="Calibri" w:hAnsi="Tahoma" w:cs="Tahoma"/>
          <w:sz w:val="20"/>
          <w:szCs w:val="20"/>
        </w:rPr>
      </w:pPr>
      <w:r>
        <w:rPr>
          <w:rFonts w:ascii="Tahoma" w:eastAsia="Calibri" w:hAnsi="Tahoma" w:cs="Tahoma"/>
          <w:sz w:val="20"/>
          <w:szCs w:val="20"/>
        </w:rPr>
        <w:t xml:space="preserve">De même, il sera important de développer sur l’emploi à temps partiel des femmes et la précarité du travail féminin, intrinsèquement lié à la problématique de l’égalité professionnelle. </w:t>
      </w:r>
      <w:r w:rsidR="008F39EB">
        <w:rPr>
          <w:rFonts w:ascii="Tahoma" w:eastAsia="Calibri" w:hAnsi="Tahoma" w:cs="Tahoma"/>
          <w:sz w:val="20"/>
          <w:szCs w:val="20"/>
        </w:rPr>
        <w:t xml:space="preserve">Pour mémoire, au mois de janvier 2013, le ministère du travail a publié une étude qui souligne qu’en 2011, 18,7% des salariés travaillaient à temps partiel, soit près de 4,2 millions de personnes, majoritairement des femmes. </w:t>
      </w:r>
      <w:r>
        <w:rPr>
          <w:rFonts w:ascii="Tahoma" w:eastAsia="Calibri" w:hAnsi="Tahoma" w:cs="Tahoma"/>
          <w:sz w:val="20"/>
          <w:szCs w:val="20"/>
        </w:rPr>
        <w:t xml:space="preserve">Il </w:t>
      </w:r>
      <w:r w:rsidR="008F39EB">
        <w:rPr>
          <w:rFonts w:ascii="Tahoma" w:eastAsia="Calibri" w:hAnsi="Tahoma" w:cs="Tahoma"/>
          <w:sz w:val="20"/>
          <w:szCs w:val="20"/>
        </w:rPr>
        <w:t>est donc impératif de</w:t>
      </w:r>
      <w:r>
        <w:rPr>
          <w:rFonts w:ascii="Tahoma" w:eastAsia="Calibri" w:hAnsi="Tahoma" w:cs="Tahoma"/>
          <w:sz w:val="20"/>
          <w:szCs w:val="20"/>
        </w:rPr>
        <w:t xml:space="preserve"> décliner les actions entreprises pour y remédier.</w:t>
      </w:r>
      <w:r w:rsidR="008F39EB">
        <w:rPr>
          <w:rFonts w:ascii="Tahoma" w:eastAsia="Calibri" w:hAnsi="Tahoma" w:cs="Tahoma"/>
          <w:sz w:val="20"/>
          <w:szCs w:val="20"/>
        </w:rPr>
        <w:t xml:space="preserve"> Or, jusqu’à présent les textes adoptés ne seraient être satisfaisant. Il en est ainsi</w:t>
      </w:r>
      <w:r w:rsidR="003224F9">
        <w:rPr>
          <w:rFonts w:ascii="Tahoma" w:eastAsia="Calibri" w:hAnsi="Tahoma" w:cs="Tahoma"/>
          <w:sz w:val="20"/>
          <w:szCs w:val="20"/>
        </w:rPr>
        <w:t xml:space="preserve"> de</w:t>
      </w:r>
      <w:r w:rsidR="008F39EB">
        <w:rPr>
          <w:rFonts w:ascii="Tahoma" w:eastAsia="Calibri" w:hAnsi="Tahoma" w:cs="Tahoma"/>
          <w:sz w:val="20"/>
          <w:szCs w:val="20"/>
        </w:rPr>
        <w:t xml:space="preserve"> la loi du 14 juin 2013 sur la sécurisation de l’emploi. La réforme a effectivement bousculée en profondeur la législation sur le temps partiel. Cependant, les dispositions en vigueur engendrent un risque d’insécurité car la loi se révèle inadaptée à certains secteurs, notamment le secteur des services à la personne dans lequel nombre de femmes sont employées (femmes de ménage, aides à domicile, etc.).</w:t>
      </w:r>
    </w:p>
    <w:p w:rsidR="008F39EB" w:rsidRDefault="008F39EB" w:rsidP="008F39EB">
      <w:pPr>
        <w:spacing w:after="0" w:line="240" w:lineRule="auto"/>
        <w:jc w:val="both"/>
        <w:rPr>
          <w:rFonts w:ascii="Tahoma" w:eastAsia="Calibri" w:hAnsi="Tahoma" w:cs="Tahoma"/>
          <w:sz w:val="20"/>
          <w:szCs w:val="20"/>
        </w:rPr>
      </w:pPr>
    </w:p>
    <w:p w:rsidR="004C0271" w:rsidRDefault="008F39EB" w:rsidP="008F39EB">
      <w:pPr>
        <w:spacing w:after="0" w:line="240" w:lineRule="auto"/>
        <w:jc w:val="both"/>
        <w:rPr>
          <w:rFonts w:ascii="Tahoma" w:eastAsia="Calibri" w:hAnsi="Tahoma" w:cs="Tahoma"/>
          <w:sz w:val="20"/>
          <w:szCs w:val="20"/>
        </w:rPr>
      </w:pPr>
      <w:r>
        <w:rPr>
          <w:rFonts w:ascii="Tahoma" w:eastAsia="Calibri" w:hAnsi="Tahoma" w:cs="Tahoma"/>
          <w:sz w:val="20"/>
          <w:szCs w:val="20"/>
        </w:rPr>
        <w:t>Concernant</w:t>
      </w:r>
      <w:r w:rsidR="004C0271">
        <w:rPr>
          <w:rFonts w:ascii="Tahoma" w:eastAsia="Calibri" w:hAnsi="Tahoma" w:cs="Tahoma"/>
          <w:sz w:val="20"/>
          <w:szCs w:val="20"/>
        </w:rPr>
        <w:t xml:space="preserve"> le nécessaire partage entre les femmes et les hommes des tâches familiales et domestiques afin que les deux, femmes et hommes, puissent concilier vie familiale et vie professionnelle</w:t>
      </w:r>
      <w:r>
        <w:rPr>
          <w:rFonts w:ascii="Tahoma" w:eastAsia="Calibri" w:hAnsi="Tahoma" w:cs="Tahoma"/>
          <w:sz w:val="20"/>
          <w:szCs w:val="20"/>
        </w:rPr>
        <w:t>, nous retrouvons des</w:t>
      </w:r>
      <w:r w:rsidR="003224F9">
        <w:rPr>
          <w:rFonts w:ascii="Tahoma" w:eastAsia="Calibri" w:hAnsi="Tahoma" w:cs="Tahoma"/>
          <w:sz w:val="20"/>
          <w:szCs w:val="20"/>
        </w:rPr>
        <w:t xml:space="preserve"> études intéressantes, porteuses de propositions</w:t>
      </w:r>
      <w:r w:rsidR="004C0271">
        <w:rPr>
          <w:rFonts w:ascii="Tahoma" w:eastAsia="Calibri" w:hAnsi="Tahoma" w:cs="Tahoma"/>
          <w:sz w:val="20"/>
          <w:szCs w:val="20"/>
        </w:rPr>
        <w:t xml:space="preserve">. </w:t>
      </w:r>
      <w:r w:rsidR="003224F9">
        <w:rPr>
          <w:rFonts w:ascii="Tahoma" w:eastAsia="Calibri" w:hAnsi="Tahoma" w:cs="Tahoma"/>
          <w:sz w:val="20"/>
          <w:szCs w:val="20"/>
        </w:rPr>
        <w:t>A titre d’exemple, l</w:t>
      </w:r>
      <w:r w:rsidR="004C0271">
        <w:rPr>
          <w:rFonts w:ascii="Tahoma" w:eastAsia="Calibri" w:hAnsi="Tahoma" w:cs="Tahoma"/>
          <w:sz w:val="20"/>
          <w:szCs w:val="20"/>
        </w:rPr>
        <w:t>’</w:t>
      </w:r>
      <w:r w:rsidR="003224F9">
        <w:rPr>
          <w:rFonts w:ascii="Tahoma" w:eastAsia="Calibri" w:hAnsi="Tahoma" w:cs="Tahoma"/>
          <w:sz w:val="20"/>
          <w:szCs w:val="20"/>
        </w:rPr>
        <w:t>inspection générale des affaires sociales (</w:t>
      </w:r>
      <w:r w:rsidR="004C0271">
        <w:rPr>
          <w:rFonts w:ascii="Tahoma" w:eastAsia="Calibri" w:hAnsi="Tahoma" w:cs="Tahoma"/>
          <w:sz w:val="20"/>
          <w:szCs w:val="20"/>
        </w:rPr>
        <w:t>IGAS</w:t>
      </w:r>
      <w:r w:rsidR="003224F9">
        <w:rPr>
          <w:rFonts w:ascii="Tahoma" w:eastAsia="Calibri" w:hAnsi="Tahoma" w:cs="Tahoma"/>
          <w:sz w:val="20"/>
          <w:szCs w:val="20"/>
        </w:rPr>
        <w:t>)</w:t>
      </w:r>
      <w:r w:rsidR="004C0271">
        <w:rPr>
          <w:rFonts w:ascii="Tahoma" w:eastAsia="Calibri" w:hAnsi="Tahoma" w:cs="Tahoma"/>
          <w:sz w:val="20"/>
          <w:szCs w:val="20"/>
        </w:rPr>
        <w:t xml:space="preserve"> a publié en juin 2011 un rapport intitulé « </w:t>
      </w:r>
      <w:r w:rsidR="004C0271" w:rsidRPr="00F156A3">
        <w:rPr>
          <w:rFonts w:ascii="Tahoma" w:eastAsia="Calibri" w:hAnsi="Tahoma" w:cs="Tahoma"/>
          <w:i/>
          <w:sz w:val="20"/>
          <w:szCs w:val="20"/>
        </w:rPr>
        <w:t>L’égal accès des femmes et des hommes aux responsabilités familiales et professionnelles. </w:t>
      </w:r>
      <w:r w:rsidR="004C0271">
        <w:rPr>
          <w:rFonts w:ascii="Tahoma" w:eastAsia="Calibri" w:hAnsi="Tahoma" w:cs="Tahoma"/>
          <w:sz w:val="20"/>
          <w:szCs w:val="20"/>
        </w:rPr>
        <w:t>». Au terme de ce rapport, un certain nombre de propositions sont déclinées qui concourent à « </w:t>
      </w:r>
      <w:r w:rsidR="004C0271" w:rsidRPr="00F156A3">
        <w:rPr>
          <w:rFonts w:ascii="Tahoma" w:eastAsia="Calibri" w:hAnsi="Tahoma" w:cs="Tahoma"/>
          <w:i/>
          <w:sz w:val="20"/>
          <w:szCs w:val="20"/>
        </w:rPr>
        <w:t>une déspécialisation des rôles pour permettre l’émergence d’un autre modèle de division sociale des activités</w:t>
      </w:r>
      <w:r w:rsidR="004C0271">
        <w:rPr>
          <w:rFonts w:ascii="Tahoma" w:eastAsia="Calibri" w:hAnsi="Tahoma" w:cs="Tahoma"/>
          <w:sz w:val="20"/>
          <w:szCs w:val="20"/>
        </w:rPr>
        <w:t> ».</w:t>
      </w:r>
    </w:p>
    <w:p w:rsidR="004C0271" w:rsidRDefault="004C0271" w:rsidP="008F39EB">
      <w:pPr>
        <w:spacing w:after="0" w:line="240" w:lineRule="auto"/>
        <w:jc w:val="both"/>
        <w:rPr>
          <w:rFonts w:ascii="Tahoma" w:eastAsia="Calibri" w:hAnsi="Tahoma" w:cs="Tahoma"/>
          <w:sz w:val="20"/>
          <w:szCs w:val="20"/>
        </w:rPr>
      </w:pPr>
    </w:p>
    <w:p w:rsidR="004C0271" w:rsidRDefault="004C0271" w:rsidP="008F39EB">
      <w:pPr>
        <w:spacing w:after="0" w:line="240" w:lineRule="auto"/>
        <w:jc w:val="both"/>
        <w:rPr>
          <w:rFonts w:ascii="Tahoma" w:eastAsia="Calibri" w:hAnsi="Tahoma" w:cs="Tahoma"/>
          <w:sz w:val="20"/>
          <w:szCs w:val="20"/>
        </w:rPr>
      </w:pPr>
      <w:r>
        <w:rPr>
          <w:rFonts w:ascii="Tahoma" w:eastAsia="Calibri" w:hAnsi="Tahoma" w:cs="Tahoma"/>
          <w:sz w:val="20"/>
          <w:szCs w:val="20"/>
        </w:rPr>
        <w:t>Qu’en est-il aujourd’hui de ces propositions ? Le gouvernement et le Parlement comptent-ils les mettre en œuvre ou à tout le moins certaines d’entres elles ?</w:t>
      </w:r>
      <w:r w:rsidRPr="00E31795">
        <w:rPr>
          <w:rFonts w:ascii="Tahoma" w:eastAsia="Calibri" w:hAnsi="Tahoma" w:cs="Tahoma"/>
          <w:sz w:val="20"/>
          <w:szCs w:val="20"/>
        </w:rPr>
        <w:t xml:space="preserve"> </w:t>
      </w:r>
      <w:r>
        <w:rPr>
          <w:rFonts w:ascii="Tahoma" w:eastAsia="Calibri" w:hAnsi="Tahoma" w:cs="Tahoma"/>
          <w:sz w:val="20"/>
          <w:szCs w:val="20"/>
        </w:rPr>
        <w:t xml:space="preserve">Certes, une loi pour l’égalité professionnelle est </w:t>
      </w:r>
      <w:r w:rsidR="005E147B">
        <w:rPr>
          <w:rFonts w:ascii="Tahoma" w:eastAsia="Calibri" w:hAnsi="Tahoma" w:cs="Tahoma"/>
          <w:sz w:val="20"/>
          <w:szCs w:val="20"/>
        </w:rPr>
        <w:t xml:space="preserve">en cours </w:t>
      </w:r>
      <w:r w:rsidR="00483BA5">
        <w:rPr>
          <w:rFonts w:ascii="Tahoma" w:eastAsia="Calibri" w:hAnsi="Tahoma" w:cs="Tahoma"/>
          <w:sz w:val="20"/>
          <w:szCs w:val="20"/>
        </w:rPr>
        <w:t>d’examen au Parlement, la</w:t>
      </w:r>
      <w:r w:rsidR="005E147B">
        <w:rPr>
          <w:rFonts w:ascii="Tahoma" w:eastAsia="Calibri" w:hAnsi="Tahoma" w:cs="Tahoma"/>
          <w:sz w:val="20"/>
          <w:szCs w:val="20"/>
        </w:rPr>
        <w:t xml:space="preserve"> 1</w:t>
      </w:r>
      <w:r w:rsidR="005E147B" w:rsidRPr="005E147B">
        <w:rPr>
          <w:rFonts w:ascii="Tahoma" w:eastAsia="Calibri" w:hAnsi="Tahoma" w:cs="Tahoma"/>
          <w:sz w:val="20"/>
          <w:szCs w:val="20"/>
          <w:vertAlign w:val="superscript"/>
        </w:rPr>
        <w:t>ère</w:t>
      </w:r>
      <w:r w:rsidR="005E147B">
        <w:rPr>
          <w:rFonts w:ascii="Tahoma" w:eastAsia="Calibri" w:hAnsi="Tahoma" w:cs="Tahoma"/>
          <w:sz w:val="20"/>
          <w:szCs w:val="20"/>
        </w:rPr>
        <w:t xml:space="preserve"> lecture </w:t>
      </w:r>
      <w:r w:rsidR="00483BA5">
        <w:rPr>
          <w:rFonts w:ascii="Tahoma" w:eastAsia="Calibri" w:hAnsi="Tahoma" w:cs="Tahoma"/>
          <w:sz w:val="20"/>
          <w:szCs w:val="20"/>
        </w:rPr>
        <w:t xml:space="preserve">ayant eu lieu devant le Sénat en septembre 2013 et elle doit avoir lieu </w:t>
      </w:r>
      <w:r w:rsidR="005E147B">
        <w:rPr>
          <w:rFonts w:ascii="Tahoma" w:eastAsia="Calibri" w:hAnsi="Tahoma" w:cs="Tahoma"/>
          <w:sz w:val="20"/>
          <w:szCs w:val="20"/>
        </w:rPr>
        <w:t>à l’Assemblée nationale à partir du 20 janvier 2014</w:t>
      </w:r>
      <w:r w:rsidR="00483BA5">
        <w:rPr>
          <w:rFonts w:ascii="Tahoma" w:eastAsia="Calibri" w:hAnsi="Tahoma" w:cs="Tahoma"/>
          <w:sz w:val="20"/>
          <w:szCs w:val="20"/>
        </w:rPr>
        <w:t>. Ce projet de loi comporte</w:t>
      </w:r>
      <w:r>
        <w:rPr>
          <w:rFonts w:ascii="Tahoma" w:eastAsia="Calibri" w:hAnsi="Tahoma" w:cs="Tahoma"/>
          <w:sz w:val="20"/>
          <w:szCs w:val="20"/>
        </w:rPr>
        <w:t xml:space="preserve"> des sanctions alourdies mais seulement pour les entreprises de plus de 50 salariés, et un contrôle accru de l’inspection du travail.</w:t>
      </w:r>
    </w:p>
    <w:p w:rsidR="003224F9" w:rsidRDefault="003224F9" w:rsidP="008F39EB">
      <w:pPr>
        <w:spacing w:after="0" w:line="240" w:lineRule="auto"/>
        <w:jc w:val="both"/>
        <w:rPr>
          <w:rFonts w:ascii="Tahoma" w:eastAsia="Calibri" w:hAnsi="Tahoma" w:cs="Tahoma"/>
          <w:sz w:val="20"/>
          <w:szCs w:val="20"/>
        </w:rPr>
      </w:pPr>
    </w:p>
    <w:p w:rsidR="004C0271" w:rsidRDefault="00483BA5" w:rsidP="008F39EB">
      <w:pPr>
        <w:spacing w:after="0" w:line="240" w:lineRule="auto"/>
        <w:jc w:val="both"/>
        <w:rPr>
          <w:rFonts w:ascii="Tahoma" w:eastAsia="Calibri" w:hAnsi="Tahoma" w:cs="Tahoma"/>
          <w:sz w:val="20"/>
          <w:szCs w:val="20"/>
        </w:rPr>
      </w:pPr>
      <w:r>
        <w:rPr>
          <w:rFonts w:ascii="Tahoma" w:eastAsia="Calibri" w:hAnsi="Tahoma" w:cs="Tahoma"/>
          <w:sz w:val="20"/>
          <w:szCs w:val="20"/>
        </w:rPr>
        <w:lastRenderedPageBreak/>
        <w:t xml:space="preserve">Il est donc essentiel, dans ce contexte, que </w:t>
      </w:r>
      <w:r w:rsidR="004C0271">
        <w:rPr>
          <w:rFonts w:ascii="Tahoma" w:eastAsia="Calibri" w:hAnsi="Tahoma" w:cs="Tahoma"/>
          <w:sz w:val="20"/>
          <w:szCs w:val="20"/>
        </w:rPr>
        <w:t xml:space="preserve">le </w:t>
      </w:r>
      <w:r>
        <w:rPr>
          <w:rFonts w:ascii="Tahoma" w:eastAsia="Calibri" w:hAnsi="Tahoma" w:cs="Tahoma"/>
          <w:sz w:val="20"/>
          <w:szCs w:val="20"/>
        </w:rPr>
        <w:t>5</w:t>
      </w:r>
      <w:r w:rsidRPr="00483BA5">
        <w:rPr>
          <w:rFonts w:ascii="Tahoma" w:eastAsia="Calibri" w:hAnsi="Tahoma" w:cs="Tahoma"/>
          <w:sz w:val="20"/>
          <w:szCs w:val="20"/>
          <w:vertAlign w:val="superscript"/>
        </w:rPr>
        <w:t>ème</w:t>
      </w:r>
      <w:r>
        <w:rPr>
          <w:rFonts w:ascii="Tahoma" w:eastAsia="Calibri" w:hAnsi="Tahoma" w:cs="Tahoma"/>
          <w:sz w:val="20"/>
          <w:szCs w:val="20"/>
        </w:rPr>
        <w:t xml:space="preserve"> </w:t>
      </w:r>
      <w:r w:rsidR="004C0271">
        <w:rPr>
          <w:rFonts w:ascii="Tahoma" w:eastAsia="Calibri" w:hAnsi="Tahoma" w:cs="Tahoma"/>
          <w:sz w:val="20"/>
          <w:szCs w:val="20"/>
        </w:rPr>
        <w:t xml:space="preserve">rapport périodique </w:t>
      </w:r>
      <w:r>
        <w:rPr>
          <w:rFonts w:ascii="Tahoma" w:eastAsia="Calibri" w:hAnsi="Tahoma" w:cs="Tahoma"/>
          <w:sz w:val="20"/>
          <w:szCs w:val="20"/>
        </w:rPr>
        <w:t>de la France,</w:t>
      </w:r>
      <w:r w:rsidR="004C0271">
        <w:rPr>
          <w:rFonts w:ascii="Tahoma" w:eastAsia="Calibri" w:hAnsi="Tahoma" w:cs="Tahoma"/>
          <w:sz w:val="20"/>
          <w:szCs w:val="20"/>
        </w:rPr>
        <w:t xml:space="preserve"> dans sa partie égalité femmes-hommes dans le monde du travail</w:t>
      </w:r>
      <w:r>
        <w:rPr>
          <w:rFonts w:ascii="Tahoma" w:eastAsia="Calibri" w:hAnsi="Tahoma" w:cs="Tahoma"/>
          <w:sz w:val="20"/>
          <w:szCs w:val="20"/>
        </w:rPr>
        <w:t>,</w:t>
      </w:r>
      <w:r w:rsidR="004C0271">
        <w:rPr>
          <w:rFonts w:ascii="Tahoma" w:eastAsia="Calibri" w:hAnsi="Tahoma" w:cs="Tahoma"/>
          <w:sz w:val="20"/>
          <w:szCs w:val="20"/>
        </w:rPr>
        <w:t xml:space="preserve"> ne se borne pas à une analyse par trop juridique et technique, entraînant de fait un décalage entre la description ainsi faite et la réalité sur le terrain.</w:t>
      </w:r>
    </w:p>
    <w:p w:rsidR="004C0271" w:rsidRPr="00D533EA" w:rsidRDefault="00D533EA" w:rsidP="00D533EA">
      <w:pPr>
        <w:spacing w:after="0" w:line="240" w:lineRule="auto"/>
        <w:jc w:val="center"/>
        <w:rPr>
          <w:rFonts w:ascii="Tahoma" w:hAnsi="Tahoma" w:cs="Tahoma"/>
          <w:b/>
          <w:sz w:val="24"/>
          <w:szCs w:val="24"/>
        </w:rPr>
      </w:pPr>
      <w:r w:rsidRPr="00D533EA">
        <w:rPr>
          <w:rFonts w:ascii="Tahoma" w:eastAsia="Calibri" w:hAnsi="Tahoma" w:cs="Tahoma"/>
          <w:b/>
          <w:sz w:val="24"/>
          <w:szCs w:val="24"/>
        </w:rPr>
        <w:t>∞</w:t>
      </w:r>
    </w:p>
    <w:sectPr w:rsidR="004C0271" w:rsidRPr="00D533EA" w:rsidSect="000A7B8C">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5FF0" w:rsidRDefault="006B5FF0" w:rsidP="00D841A6">
      <w:pPr>
        <w:spacing w:after="0" w:line="240" w:lineRule="auto"/>
      </w:pPr>
      <w:r>
        <w:separator/>
      </w:r>
    </w:p>
  </w:endnote>
  <w:endnote w:type="continuationSeparator" w:id="0">
    <w:p w:rsidR="006B5FF0" w:rsidRDefault="006B5FF0" w:rsidP="00D841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
    <w:charset w:val="00"/>
    <w:family w:val="auto"/>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87663"/>
      <w:docPartObj>
        <w:docPartGallery w:val="Page Numbers (Bottom of Page)"/>
        <w:docPartUnique/>
      </w:docPartObj>
    </w:sdtPr>
    <w:sdtEndPr>
      <w:rPr>
        <w:rFonts w:ascii="Tahoma" w:hAnsi="Tahoma" w:cs="Tahoma"/>
        <w:b/>
        <w:sz w:val="16"/>
        <w:szCs w:val="16"/>
      </w:rPr>
    </w:sdtEndPr>
    <w:sdtContent>
      <w:p w:rsidR="009909C6" w:rsidRPr="009909C6" w:rsidRDefault="009909C6">
        <w:pPr>
          <w:pStyle w:val="Pieddepage"/>
          <w:jc w:val="right"/>
          <w:rPr>
            <w:rFonts w:ascii="Tahoma" w:hAnsi="Tahoma" w:cs="Tahoma"/>
            <w:b/>
            <w:sz w:val="16"/>
            <w:szCs w:val="16"/>
          </w:rPr>
        </w:pPr>
        <w:r w:rsidRPr="009909C6">
          <w:rPr>
            <w:rFonts w:ascii="Tahoma" w:hAnsi="Tahoma" w:cs="Tahoma"/>
            <w:b/>
            <w:sz w:val="16"/>
            <w:szCs w:val="16"/>
          </w:rPr>
          <w:fldChar w:fldCharType="begin"/>
        </w:r>
        <w:r w:rsidRPr="009909C6">
          <w:rPr>
            <w:rFonts w:ascii="Tahoma" w:hAnsi="Tahoma" w:cs="Tahoma"/>
            <w:b/>
            <w:sz w:val="16"/>
            <w:szCs w:val="16"/>
          </w:rPr>
          <w:instrText xml:space="preserve"> PAGE   \* MERGEFORMAT </w:instrText>
        </w:r>
        <w:r w:rsidRPr="009909C6">
          <w:rPr>
            <w:rFonts w:ascii="Tahoma" w:hAnsi="Tahoma" w:cs="Tahoma"/>
            <w:b/>
            <w:sz w:val="16"/>
            <w:szCs w:val="16"/>
          </w:rPr>
          <w:fldChar w:fldCharType="separate"/>
        </w:r>
        <w:r w:rsidR="00542886">
          <w:rPr>
            <w:rFonts w:ascii="Tahoma" w:hAnsi="Tahoma" w:cs="Tahoma"/>
            <w:b/>
            <w:noProof/>
            <w:sz w:val="16"/>
            <w:szCs w:val="16"/>
          </w:rPr>
          <w:t>1</w:t>
        </w:r>
        <w:r w:rsidRPr="009909C6">
          <w:rPr>
            <w:rFonts w:ascii="Tahoma" w:hAnsi="Tahoma" w:cs="Tahoma"/>
            <w:b/>
            <w:sz w:val="16"/>
            <w:szCs w:val="16"/>
          </w:rPr>
          <w:fldChar w:fldCharType="end"/>
        </w:r>
      </w:p>
    </w:sdtContent>
  </w:sdt>
  <w:p w:rsidR="006B5FF0" w:rsidRDefault="006B5FF0">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5FF0" w:rsidRDefault="006B5FF0" w:rsidP="00D841A6">
      <w:pPr>
        <w:spacing w:after="0" w:line="240" w:lineRule="auto"/>
      </w:pPr>
      <w:r>
        <w:separator/>
      </w:r>
    </w:p>
  </w:footnote>
  <w:footnote w:type="continuationSeparator" w:id="0">
    <w:p w:rsidR="006B5FF0" w:rsidRDefault="006B5FF0" w:rsidP="00D841A6">
      <w:pPr>
        <w:spacing w:after="0" w:line="240" w:lineRule="auto"/>
      </w:pPr>
      <w:r>
        <w:continuationSeparator/>
      </w:r>
    </w:p>
  </w:footnote>
  <w:footnote w:id="1">
    <w:p w:rsidR="006B5FF0" w:rsidRDefault="006B5FF0" w:rsidP="00083C1B">
      <w:pPr>
        <w:pStyle w:val="Notedebasdepage1"/>
        <w:jc w:val="both"/>
        <w:rPr>
          <w:rFonts w:ascii="Tahoma" w:hAnsi="Tahoma" w:cs="Tahoma"/>
          <w:kern w:val="2"/>
          <w:sz w:val="18"/>
          <w:szCs w:val="18"/>
        </w:rPr>
      </w:pPr>
      <w:r w:rsidRPr="00083C1B">
        <w:rPr>
          <w:rStyle w:val="Appelnotedebasdep"/>
          <w:rFonts w:ascii="Tahoma" w:hAnsi="Tahoma" w:cs="Tahoma"/>
          <w:b/>
          <w:kern w:val="2"/>
          <w:sz w:val="18"/>
          <w:szCs w:val="18"/>
        </w:rPr>
        <w:footnoteRef/>
      </w:r>
      <w:r w:rsidRPr="00083C1B">
        <w:rPr>
          <w:rFonts w:ascii="Tahoma" w:hAnsi="Tahoma" w:cs="Tahoma"/>
          <w:b/>
          <w:kern w:val="2"/>
          <w:sz w:val="18"/>
          <w:szCs w:val="18"/>
        </w:rPr>
        <w:t xml:space="preserve"> </w:t>
      </w:r>
      <w:r>
        <w:rPr>
          <w:rFonts w:ascii="Tahoma" w:hAnsi="Tahoma" w:cs="Tahoma"/>
          <w:kern w:val="2"/>
          <w:sz w:val="18"/>
          <w:szCs w:val="18"/>
        </w:rPr>
        <w:t>Article</w:t>
      </w:r>
      <w:r w:rsidRPr="00083C1B">
        <w:rPr>
          <w:rFonts w:ascii="Tahoma" w:hAnsi="Tahoma" w:cs="Tahoma"/>
          <w:kern w:val="2"/>
          <w:sz w:val="18"/>
          <w:szCs w:val="18"/>
        </w:rPr>
        <w:t xml:space="preserve"> 47 </w:t>
      </w:r>
      <w:r>
        <w:rPr>
          <w:rFonts w:ascii="Tahoma" w:hAnsi="Tahoma" w:cs="Tahoma"/>
          <w:kern w:val="2"/>
          <w:sz w:val="18"/>
          <w:szCs w:val="18"/>
        </w:rPr>
        <w:t xml:space="preserve">code </w:t>
      </w:r>
      <w:r w:rsidRPr="00083C1B">
        <w:rPr>
          <w:rFonts w:ascii="Tahoma" w:hAnsi="Tahoma" w:cs="Tahoma"/>
          <w:kern w:val="2"/>
          <w:sz w:val="18"/>
          <w:szCs w:val="18"/>
        </w:rPr>
        <w:t>civ</w:t>
      </w:r>
      <w:r>
        <w:rPr>
          <w:rFonts w:ascii="Tahoma" w:hAnsi="Tahoma" w:cs="Tahoma"/>
          <w:kern w:val="2"/>
          <w:sz w:val="18"/>
          <w:szCs w:val="18"/>
        </w:rPr>
        <w:t>il,</w:t>
      </w:r>
      <w:r w:rsidRPr="00083C1B">
        <w:rPr>
          <w:rFonts w:ascii="Tahoma" w:hAnsi="Tahoma" w:cs="Tahoma"/>
          <w:kern w:val="2"/>
          <w:sz w:val="18"/>
          <w:szCs w:val="18"/>
        </w:rPr>
        <w:t xml:space="preserve"> modifié par L. n°2006-1376 : « </w:t>
      </w:r>
      <w:r w:rsidRPr="00083C1B">
        <w:rPr>
          <w:rFonts w:ascii="Tahoma" w:hAnsi="Tahoma" w:cs="Tahoma"/>
          <w:i/>
          <w:kern w:val="2"/>
          <w:sz w:val="18"/>
          <w:szCs w:val="18"/>
        </w:rPr>
        <w:t>Tout acte de l’état civil des Français et des étrangers fait en pays étranger et rédigé dans les formes usitées de ce pays fait foi, sauf si d’autres actes ou pièces détenus, des données extérieures ou des éléments tirés de l’acte lui-même établissent  le cas échéant après toutes vérifications utiles, que cet acte est irrégulier, falsifié ou que les faits qui y sont déclarés ne correspondent pas à la réalité »</w:t>
      </w:r>
      <w:r w:rsidRPr="00083C1B">
        <w:rPr>
          <w:rFonts w:ascii="Tahoma" w:hAnsi="Tahoma" w:cs="Tahoma"/>
          <w:kern w:val="2"/>
          <w:sz w:val="18"/>
          <w:szCs w:val="18"/>
        </w:rPr>
        <w:t>.</w:t>
      </w:r>
    </w:p>
    <w:p w:rsidR="006B5FF0" w:rsidRPr="00083C1B" w:rsidRDefault="006B5FF0" w:rsidP="00083C1B">
      <w:pPr>
        <w:pStyle w:val="Notedebasdepage1"/>
        <w:jc w:val="both"/>
        <w:rPr>
          <w:rFonts w:ascii="Tahoma" w:hAnsi="Tahoma" w:cs="Tahoma"/>
          <w:kern w:val="2"/>
          <w:sz w:val="18"/>
          <w:szCs w:val="18"/>
        </w:rPr>
      </w:pPr>
    </w:p>
  </w:footnote>
  <w:footnote w:id="2">
    <w:p w:rsidR="006B5FF0" w:rsidRPr="00083C1B" w:rsidRDefault="006B5FF0" w:rsidP="00083C1B">
      <w:pPr>
        <w:pStyle w:val="NormalWeb"/>
        <w:spacing w:before="0" w:beforeAutospacing="0" w:after="0" w:afterAutospacing="0"/>
        <w:jc w:val="both"/>
        <w:rPr>
          <w:rFonts w:ascii="Tahoma" w:hAnsi="Tahoma" w:cs="Tahoma"/>
          <w:sz w:val="18"/>
          <w:szCs w:val="18"/>
        </w:rPr>
      </w:pPr>
      <w:r w:rsidRPr="00083C1B">
        <w:rPr>
          <w:rStyle w:val="Appelnotedebasdep"/>
          <w:rFonts w:ascii="Tahoma" w:hAnsi="Tahoma" w:cs="Tahoma"/>
          <w:b/>
          <w:sz w:val="18"/>
          <w:szCs w:val="18"/>
        </w:rPr>
        <w:footnoteRef/>
      </w:r>
      <w:r>
        <w:rPr>
          <w:rFonts w:ascii="Tahoma" w:hAnsi="Tahoma" w:cs="Tahoma"/>
          <w:sz w:val="18"/>
          <w:szCs w:val="18"/>
        </w:rPr>
        <w:t xml:space="preserve"> </w:t>
      </w:r>
      <w:r w:rsidRPr="00083C1B">
        <w:rPr>
          <w:rFonts w:ascii="Tahoma" w:hAnsi="Tahoma" w:cs="Tahoma"/>
          <w:sz w:val="18"/>
          <w:szCs w:val="18"/>
        </w:rPr>
        <w:t>« </w:t>
      </w:r>
      <w:r w:rsidRPr="00083C1B">
        <w:rPr>
          <w:rFonts w:ascii="Tahoma" w:hAnsi="Tahoma" w:cs="Tahoma"/>
          <w:i/>
          <w:sz w:val="18"/>
          <w:szCs w:val="18"/>
        </w:rPr>
        <w:t xml:space="preserve">Par dérogation aux articles 21 et 22 et sous réserve d'exceptions prévues par décret en Conseil d'Etat, lorsque, en cas de doute sur l'authenticité ou l'exactitude d'un acte de l'état civil étranger, l'autorité administrative saisie d'une demande d'établissement ou de délivrance d'un acte ou de titre procède ou fait procéder, en application </w:t>
      </w:r>
      <w:r w:rsidRPr="00083C1B">
        <w:rPr>
          <w:rFonts w:ascii="Tahoma" w:hAnsi="Tahoma" w:cs="Tahoma"/>
          <w:i/>
          <w:color w:val="000000" w:themeColor="text1"/>
          <w:sz w:val="18"/>
          <w:szCs w:val="18"/>
        </w:rPr>
        <w:t xml:space="preserve">de </w:t>
      </w:r>
      <w:hyperlink r:id="rId1" w:history="1">
        <w:r w:rsidRPr="00083C1B">
          <w:rPr>
            <w:rStyle w:val="Lienhypertexte"/>
            <w:rFonts w:ascii="Tahoma" w:hAnsi="Tahoma" w:cs="Tahoma"/>
            <w:i/>
            <w:color w:val="000000" w:themeColor="text1"/>
            <w:sz w:val="18"/>
            <w:szCs w:val="18"/>
          </w:rPr>
          <w:t>l’article</w:t>
        </w:r>
      </w:hyperlink>
      <w:r w:rsidRPr="00083C1B">
        <w:rPr>
          <w:rFonts w:ascii="Tahoma" w:hAnsi="Tahoma" w:cs="Tahoma"/>
          <w:i/>
          <w:color w:val="000000" w:themeColor="text1"/>
          <w:sz w:val="18"/>
          <w:szCs w:val="18"/>
        </w:rPr>
        <w:t xml:space="preserve"> 47</w:t>
      </w:r>
      <w:r w:rsidRPr="00083C1B">
        <w:rPr>
          <w:rFonts w:ascii="Tahoma" w:hAnsi="Tahoma" w:cs="Tahoma"/>
          <w:i/>
          <w:sz w:val="18"/>
          <w:szCs w:val="18"/>
        </w:rPr>
        <w:t xml:space="preserve"> du code civil, aux vérifications utiles auprès de l'autorité étrangère compétente, le silence gardé pendant huit mois vaut décision de rejet. Dans le délai prévu aux articles 21 et 22, l'autorité administrative informe par tous moyens l'intéressé de l'engagement de ces vérifications. En cas de litige, le juge forme sa conviction au vu des éléments fournis tant par l'autorité administrative que par l'intéressé </w:t>
      </w:r>
      <w:r w:rsidRPr="00083C1B">
        <w:rPr>
          <w:rFonts w:ascii="Tahoma" w:hAnsi="Tahoma" w:cs="Tahoma"/>
          <w:sz w:val="18"/>
          <w:szCs w:val="18"/>
        </w:rPr>
        <w:t>».</w:t>
      </w:r>
    </w:p>
    <w:p w:rsidR="006B5FF0" w:rsidRDefault="006B5FF0" w:rsidP="00D841A6">
      <w:pPr>
        <w:pStyle w:val="Notedebasdepage"/>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1B375C"/>
    <w:multiLevelType w:val="hybridMultilevel"/>
    <w:tmpl w:val="25EAC71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77B36156"/>
    <w:multiLevelType w:val="hybridMultilevel"/>
    <w:tmpl w:val="50DA166A"/>
    <w:lvl w:ilvl="0" w:tplc="20BE79CA">
      <w:start w:val="1"/>
      <w:numFmt w:val="decimal"/>
      <w:lvlText w:val="%1."/>
      <w:lvlJc w:val="left"/>
      <w:pPr>
        <w:ind w:left="720" w:hanging="360"/>
      </w:pPr>
      <w:rPr>
        <w:rFonts w:hint="default"/>
        <w:b w:val="0"/>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967149"/>
    <w:rsid w:val="00055A99"/>
    <w:rsid w:val="0005734F"/>
    <w:rsid w:val="00083C1B"/>
    <w:rsid w:val="00085C67"/>
    <w:rsid w:val="000A7B8C"/>
    <w:rsid w:val="00102777"/>
    <w:rsid w:val="0012148D"/>
    <w:rsid w:val="00130C97"/>
    <w:rsid w:val="003224F9"/>
    <w:rsid w:val="0035199A"/>
    <w:rsid w:val="00483BA5"/>
    <w:rsid w:val="004B467D"/>
    <w:rsid w:val="004C0271"/>
    <w:rsid w:val="0053221D"/>
    <w:rsid w:val="00542886"/>
    <w:rsid w:val="005E147B"/>
    <w:rsid w:val="006B5FF0"/>
    <w:rsid w:val="00826AF1"/>
    <w:rsid w:val="00840DC8"/>
    <w:rsid w:val="008905A6"/>
    <w:rsid w:val="008F39EB"/>
    <w:rsid w:val="00967149"/>
    <w:rsid w:val="009909C6"/>
    <w:rsid w:val="00A954E9"/>
    <w:rsid w:val="00AA6405"/>
    <w:rsid w:val="00B039B4"/>
    <w:rsid w:val="00B44B0B"/>
    <w:rsid w:val="00BC3B0A"/>
    <w:rsid w:val="00C427F8"/>
    <w:rsid w:val="00C47BED"/>
    <w:rsid w:val="00D533EA"/>
    <w:rsid w:val="00D841A6"/>
    <w:rsid w:val="00D94304"/>
    <w:rsid w:val="00DC3E80"/>
    <w:rsid w:val="00E1186E"/>
    <w:rsid w:val="00F93242"/>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7B8C"/>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67149"/>
    <w:pPr>
      <w:ind w:left="720"/>
      <w:contextualSpacing/>
    </w:pPr>
  </w:style>
  <w:style w:type="paragraph" w:styleId="Notedebasdepage">
    <w:name w:val="footnote text"/>
    <w:basedOn w:val="Normal"/>
    <w:link w:val="NotedebasdepageCar"/>
    <w:uiPriority w:val="99"/>
    <w:semiHidden/>
    <w:unhideWhenUsed/>
    <w:rsid w:val="00D841A6"/>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D841A6"/>
    <w:rPr>
      <w:sz w:val="20"/>
      <w:szCs w:val="20"/>
    </w:rPr>
  </w:style>
  <w:style w:type="character" w:styleId="Appelnotedebasdep">
    <w:name w:val="footnote reference"/>
    <w:basedOn w:val="Policepardfaut"/>
    <w:uiPriority w:val="99"/>
    <w:semiHidden/>
    <w:unhideWhenUsed/>
    <w:rsid w:val="00D841A6"/>
    <w:rPr>
      <w:vertAlign w:val="superscript"/>
    </w:rPr>
  </w:style>
  <w:style w:type="paragraph" w:customStyle="1" w:styleId="Notedebasdepage1">
    <w:name w:val="Note de bas de page1"/>
    <w:basedOn w:val="Normal"/>
    <w:rsid w:val="00D841A6"/>
    <w:pPr>
      <w:suppressAutoHyphens/>
      <w:spacing w:after="0" w:line="240" w:lineRule="auto"/>
    </w:pPr>
    <w:rPr>
      <w:rFonts w:ascii="Cambria" w:eastAsia="MS ??" w:hAnsi="Cambria" w:cs="Times New Roman"/>
      <w:kern w:val="1"/>
      <w:sz w:val="24"/>
      <w:szCs w:val="24"/>
      <w:lang w:eastAsia="ar-SA"/>
    </w:rPr>
  </w:style>
  <w:style w:type="paragraph" w:styleId="NormalWeb">
    <w:name w:val="Normal (Web)"/>
    <w:basedOn w:val="Normal"/>
    <w:uiPriority w:val="99"/>
    <w:semiHidden/>
    <w:unhideWhenUsed/>
    <w:rsid w:val="00D841A6"/>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D841A6"/>
    <w:rPr>
      <w:color w:val="0000FF"/>
      <w:u w:val="single"/>
    </w:rPr>
  </w:style>
  <w:style w:type="paragraph" w:styleId="En-tte">
    <w:name w:val="header"/>
    <w:basedOn w:val="Normal"/>
    <w:link w:val="En-tteCar"/>
    <w:uiPriority w:val="99"/>
    <w:semiHidden/>
    <w:unhideWhenUsed/>
    <w:rsid w:val="008905A6"/>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8905A6"/>
  </w:style>
  <w:style w:type="paragraph" w:styleId="Pieddepage">
    <w:name w:val="footer"/>
    <w:basedOn w:val="Normal"/>
    <w:link w:val="PieddepageCar"/>
    <w:uiPriority w:val="99"/>
    <w:unhideWhenUsed/>
    <w:rsid w:val="008905A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905A6"/>
  </w:style>
  <w:style w:type="paragraph" w:styleId="Textedebulles">
    <w:name w:val="Balloon Text"/>
    <w:basedOn w:val="Normal"/>
    <w:link w:val="TextedebullesCar"/>
    <w:uiPriority w:val="99"/>
    <w:semiHidden/>
    <w:unhideWhenUsed/>
    <w:rsid w:val="00BC3B0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C3B0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legifrance.gouv.fr/affichCodeArticle.do;jsessionid=8940C8D0CCD8D71A92162A13BA9FCDF3.tpdjo16v_3?cidTexte=LEGITEXT000006070721&amp;idArticle=LEGIARTI000006420799&amp;dateTexte=&amp;categorieLien=cid"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D7E112-F4D7-4B11-BFE4-25966AE48506}"/>
</file>

<file path=customXml/itemProps2.xml><?xml version="1.0" encoding="utf-8"?>
<ds:datastoreItem xmlns:ds="http://schemas.openxmlformats.org/officeDocument/2006/customXml" ds:itemID="{1BFB7C62-0C77-470F-B450-803058019D86}"/>
</file>

<file path=customXml/itemProps3.xml><?xml version="1.0" encoding="utf-8"?>
<ds:datastoreItem xmlns:ds="http://schemas.openxmlformats.org/officeDocument/2006/customXml" ds:itemID="{69167F39-BE27-4064-B9D8-7A07EE42EF5C}"/>
</file>

<file path=docProps/app.xml><?xml version="1.0" encoding="utf-8"?>
<Properties xmlns="http://schemas.openxmlformats.org/officeDocument/2006/extended-properties" xmlns:vt="http://schemas.openxmlformats.org/officeDocument/2006/docPropsVTypes">
  <Template>Normal</Template>
  <TotalTime>229</TotalTime>
  <Pages>4</Pages>
  <Words>1718</Words>
  <Characters>9449</Characters>
  <Application>Microsoft Office Word</Application>
  <DocSecurity>0</DocSecurity>
  <Lines>78</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dc:creator>
  <cp:keywords/>
  <dc:description/>
  <cp:lastModifiedBy>isabelle</cp:lastModifiedBy>
  <cp:revision>24</cp:revision>
  <dcterms:created xsi:type="dcterms:W3CDTF">2013-12-20T14:59:00Z</dcterms:created>
  <dcterms:modified xsi:type="dcterms:W3CDTF">2013-12-23T10:36:00Z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