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CC33F" w14:textId="206698F1" w:rsidR="00D83FAA" w:rsidRPr="00502B7D" w:rsidRDefault="00D83FAA" w:rsidP="003878DD">
      <w:pPr>
        <w:rPr>
          <w:rFonts w:ascii="Times New Roman" w:eastAsia="Times New Roman" w:hAnsi="Times New Roman" w:cs="Times New Roman"/>
          <w:color w:val="17365D"/>
          <w:spacing w:val="5"/>
          <w:kern w:val="28"/>
          <w:sz w:val="50"/>
          <w:szCs w:val="50"/>
        </w:rPr>
      </w:pPr>
      <w:r w:rsidRPr="00502B7D">
        <w:rPr>
          <w:rFonts w:ascii="Times New Roman" w:eastAsia="Times New Roman" w:hAnsi="Times New Roman" w:cs="Times New Roman"/>
          <w:color w:val="17365D"/>
          <w:spacing w:val="5"/>
          <w:kern w:val="28"/>
          <w:sz w:val="50"/>
          <w:szCs w:val="50"/>
        </w:rPr>
        <w:t>European Union</w:t>
      </w:r>
      <w:r w:rsidR="00B85EBC">
        <w:rPr>
          <w:rFonts w:ascii="Times New Roman" w:eastAsia="Times New Roman" w:hAnsi="Times New Roman" w:cs="Times New Roman"/>
          <w:color w:val="17365D"/>
          <w:spacing w:val="5"/>
          <w:kern w:val="28"/>
          <w:sz w:val="50"/>
          <w:szCs w:val="50"/>
        </w:rPr>
        <w:t xml:space="preserve"> Agency for Fundamental Rights, </w:t>
      </w:r>
      <w:r w:rsidR="00F956F0" w:rsidRPr="00502B7D">
        <w:rPr>
          <w:rFonts w:ascii="Times New Roman" w:eastAsia="Times New Roman" w:hAnsi="Times New Roman" w:cs="Times New Roman"/>
          <w:color w:val="17365D"/>
          <w:spacing w:val="5"/>
          <w:kern w:val="28"/>
          <w:sz w:val="50"/>
          <w:szCs w:val="50"/>
        </w:rPr>
        <w:t>select</w:t>
      </w:r>
      <w:r w:rsidR="00F956F0">
        <w:rPr>
          <w:rFonts w:ascii="Times New Roman" w:eastAsia="Times New Roman" w:hAnsi="Times New Roman" w:cs="Times New Roman"/>
          <w:color w:val="17365D"/>
          <w:spacing w:val="5"/>
          <w:kern w:val="28"/>
          <w:sz w:val="50"/>
          <w:szCs w:val="50"/>
        </w:rPr>
        <w:t>ed</w:t>
      </w:r>
      <w:r w:rsidR="00F956F0" w:rsidRPr="00502B7D">
        <w:rPr>
          <w:rFonts w:ascii="Times New Roman" w:eastAsia="Times New Roman" w:hAnsi="Times New Roman" w:cs="Times New Roman"/>
          <w:color w:val="17365D"/>
          <w:spacing w:val="5"/>
          <w:kern w:val="28"/>
          <w:sz w:val="50"/>
          <w:szCs w:val="50"/>
        </w:rPr>
        <w:t xml:space="preserve"> </w:t>
      </w:r>
      <w:r w:rsidR="00F956F0">
        <w:rPr>
          <w:rFonts w:ascii="Times New Roman" w:eastAsia="Times New Roman" w:hAnsi="Times New Roman" w:cs="Times New Roman"/>
          <w:color w:val="17365D"/>
          <w:spacing w:val="5"/>
          <w:kern w:val="28"/>
          <w:sz w:val="50"/>
          <w:szCs w:val="50"/>
        </w:rPr>
        <w:t>passages on the</w:t>
      </w:r>
      <w:r w:rsidRPr="00502B7D">
        <w:rPr>
          <w:rFonts w:ascii="Times New Roman" w:eastAsia="Times New Roman" w:hAnsi="Times New Roman" w:cs="Times New Roman"/>
          <w:color w:val="17365D"/>
          <w:spacing w:val="5"/>
          <w:kern w:val="28"/>
          <w:sz w:val="50"/>
          <w:szCs w:val="50"/>
        </w:rPr>
        <w:t xml:space="preserve"> </w:t>
      </w:r>
      <w:r w:rsidR="00DE0651" w:rsidRPr="00502B7D">
        <w:rPr>
          <w:rFonts w:ascii="Times New Roman" w:eastAsia="Times New Roman" w:hAnsi="Times New Roman" w:cs="Times New Roman"/>
          <w:color w:val="17365D"/>
          <w:spacing w:val="5"/>
          <w:kern w:val="28"/>
          <w:sz w:val="50"/>
          <w:szCs w:val="50"/>
        </w:rPr>
        <w:t xml:space="preserve">rights of </w:t>
      </w:r>
      <w:r w:rsidR="00F956F0">
        <w:rPr>
          <w:rFonts w:ascii="Times New Roman" w:eastAsia="Times New Roman" w:hAnsi="Times New Roman" w:cs="Times New Roman"/>
          <w:color w:val="17365D"/>
          <w:spacing w:val="5"/>
          <w:kern w:val="28"/>
          <w:sz w:val="50"/>
          <w:szCs w:val="50"/>
        </w:rPr>
        <w:t xml:space="preserve">persons </w:t>
      </w:r>
      <w:r w:rsidR="00551C6F">
        <w:rPr>
          <w:rFonts w:ascii="Times New Roman" w:eastAsia="Times New Roman" w:hAnsi="Times New Roman" w:cs="Times New Roman"/>
          <w:color w:val="17365D"/>
          <w:spacing w:val="5"/>
          <w:kern w:val="28"/>
          <w:sz w:val="50"/>
          <w:szCs w:val="50"/>
        </w:rPr>
        <w:t>with disabilities</w:t>
      </w:r>
      <w:r w:rsidR="00DE0651" w:rsidRPr="00502B7D">
        <w:rPr>
          <w:rFonts w:ascii="Times New Roman" w:eastAsia="Times New Roman" w:hAnsi="Times New Roman" w:cs="Times New Roman"/>
          <w:color w:val="17365D"/>
          <w:spacing w:val="5"/>
          <w:kern w:val="28"/>
          <w:sz w:val="50"/>
          <w:szCs w:val="50"/>
        </w:rPr>
        <w:t xml:space="preserve"> </w:t>
      </w:r>
      <w:r w:rsidRPr="00502B7D">
        <w:rPr>
          <w:rFonts w:ascii="Times New Roman" w:eastAsia="Times New Roman" w:hAnsi="Times New Roman" w:cs="Times New Roman"/>
          <w:color w:val="17365D"/>
          <w:spacing w:val="5"/>
          <w:kern w:val="28"/>
          <w:sz w:val="50"/>
          <w:szCs w:val="50"/>
        </w:rPr>
        <w:t>from pub</w:t>
      </w:r>
      <w:r w:rsidR="00551C6F">
        <w:rPr>
          <w:rFonts w:ascii="Times New Roman" w:eastAsia="Times New Roman" w:hAnsi="Times New Roman" w:cs="Times New Roman"/>
          <w:color w:val="17365D"/>
          <w:spacing w:val="5"/>
          <w:kern w:val="28"/>
          <w:sz w:val="50"/>
          <w:szCs w:val="50"/>
        </w:rPr>
        <w:t xml:space="preserve">lished reports related to </w:t>
      </w:r>
      <w:r w:rsidR="001C6763">
        <w:rPr>
          <w:rFonts w:ascii="Times New Roman" w:eastAsia="Times New Roman" w:hAnsi="Times New Roman" w:cs="Times New Roman"/>
          <w:color w:val="17365D"/>
          <w:spacing w:val="5"/>
          <w:kern w:val="28"/>
          <w:sz w:val="50"/>
          <w:szCs w:val="50"/>
        </w:rPr>
        <w:t>Malta</w:t>
      </w:r>
    </w:p>
    <w:p w14:paraId="4AECC340" w14:textId="77777777" w:rsidR="00D83FAA" w:rsidRPr="00502B7D" w:rsidRDefault="00D83FAA" w:rsidP="003878DD">
      <w:pPr>
        <w:pBdr>
          <w:bottom w:val="single" w:sz="8" w:space="4" w:color="4F81BD"/>
        </w:pBdr>
        <w:spacing w:after="300"/>
        <w:contextualSpacing/>
        <w:rPr>
          <w:rFonts w:ascii="Times New Roman" w:eastAsia="Times New Roman" w:hAnsi="Times New Roman" w:cs="Times New Roman"/>
          <w:color w:val="17365D"/>
          <w:spacing w:val="5"/>
          <w:kern w:val="28"/>
          <w:sz w:val="50"/>
          <w:szCs w:val="50"/>
        </w:rPr>
      </w:pPr>
      <w:r w:rsidRPr="00502B7D">
        <w:rPr>
          <w:rFonts w:ascii="Times New Roman" w:eastAsia="Times New Roman" w:hAnsi="Times New Roman" w:cs="Times New Roman"/>
          <w:color w:val="17365D"/>
          <w:spacing w:val="5"/>
          <w:kern w:val="28"/>
          <w:sz w:val="50"/>
          <w:szCs w:val="50"/>
        </w:rPr>
        <w:t>fra.europa.eu</w:t>
      </w:r>
    </w:p>
    <w:p w14:paraId="4AECC341" w14:textId="5638E0B3" w:rsidR="00392DA1" w:rsidRPr="00502B7D" w:rsidRDefault="00392DA1" w:rsidP="003878DD"/>
    <w:p w14:paraId="4BB653B1" w14:textId="3A462B25" w:rsidR="00EA5BD7" w:rsidRPr="00502B7D" w:rsidRDefault="00D71E3D" w:rsidP="003878DD">
      <w:pPr>
        <w:rPr>
          <w:i/>
        </w:rPr>
      </w:pPr>
      <w:r>
        <w:rPr>
          <w:i/>
        </w:rPr>
        <w:t xml:space="preserve"> </w:t>
      </w:r>
      <w:r w:rsidR="00973F2A">
        <w:rPr>
          <w:i/>
        </w:rPr>
        <w:t>June 2018</w:t>
      </w:r>
      <w:r w:rsidR="00EA5BD7" w:rsidRPr="00502B7D">
        <w:rPr>
          <w:i/>
        </w:rPr>
        <w:t>, Vienna</w:t>
      </w:r>
    </w:p>
    <w:sdt>
      <w:sdtPr>
        <w:rPr>
          <w:rFonts w:asciiTheme="minorHAnsi" w:eastAsiaTheme="minorHAnsi" w:hAnsiTheme="minorHAnsi" w:cstheme="minorBidi"/>
          <w:color w:val="auto"/>
          <w:sz w:val="22"/>
          <w:szCs w:val="22"/>
          <w:lang w:val="en-IE"/>
        </w:rPr>
        <w:id w:val="1229737705"/>
        <w:docPartObj>
          <w:docPartGallery w:val="Table of Contents"/>
          <w:docPartUnique/>
        </w:docPartObj>
      </w:sdtPr>
      <w:sdtEndPr>
        <w:rPr>
          <w:b/>
          <w:bCs/>
          <w:noProof/>
        </w:rPr>
      </w:sdtEndPr>
      <w:sdtContent>
        <w:p w14:paraId="2B071B0D" w14:textId="7D64F20C" w:rsidR="00EA5BD7" w:rsidRPr="00F83F6A" w:rsidRDefault="00EA5BD7" w:rsidP="003878DD">
          <w:pPr>
            <w:pStyle w:val="TOCHeading"/>
            <w:rPr>
              <w:lang w:val="en-IE"/>
            </w:rPr>
          </w:pPr>
          <w:r w:rsidRPr="00F83F6A">
            <w:rPr>
              <w:lang w:val="en-IE"/>
            </w:rPr>
            <w:t>Contents</w:t>
          </w:r>
        </w:p>
        <w:p w14:paraId="03586FC4" w14:textId="77777777" w:rsidR="009547A0" w:rsidRDefault="00EA5BD7">
          <w:pPr>
            <w:pStyle w:val="TOC1"/>
            <w:rPr>
              <w:rFonts w:eastAsiaTheme="minorEastAsia"/>
              <w:noProof/>
              <w:lang w:eastAsia="en-IE"/>
            </w:rPr>
          </w:pPr>
          <w:r w:rsidRPr="00F83F6A">
            <w:fldChar w:fldCharType="begin"/>
          </w:r>
          <w:r w:rsidRPr="00502B7D">
            <w:instrText xml:space="preserve"> TOC \o "1-3" \h \z \u </w:instrText>
          </w:r>
          <w:r w:rsidRPr="00F83F6A">
            <w:fldChar w:fldCharType="separate"/>
          </w:r>
          <w:hyperlink w:anchor="_Toc518034129" w:history="1">
            <w:r w:rsidR="009547A0" w:rsidRPr="001A74CC">
              <w:rPr>
                <w:rStyle w:val="Hyperlink"/>
                <w:noProof/>
              </w:rPr>
              <w:t>1</w:t>
            </w:r>
            <w:r w:rsidR="009547A0">
              <w:rPr>
                <w:rFonts w:eastAsiaTheme="minorEastAsia"/>
                <w:noProof/>
                <w:lang w:eastAsia="en-IE"/>
              </w:rPr>
              <w:tab/>
            </w:r>
            <w:r w:rsidR="009547A0" w:rsidRPr="001A74CC">
              <w:rPr>
                <w:rStyle w:val="Hyperlink"/>
                <w:noProof/>
              </w:rPr>
              <w:t>Annual reports</w:t>
            </w:r>
            <w:r w:rsidR="009547A0">
              <w:rPr>
                <w:noProof/>
                <w:webHidden/>
              </w:rPr>
              <w:tab/>
            </w:r>
            <w:r w:rsidR="009547A0">
              <w:rPr>
                <w:noProof/>
                <w:webHidden/>
              </w:rPr>
              <w:fldChar w:fldCharType="begin"/>
            </w:r>
            <w:r w:rsidR="009547A0">
              <w:rPr>
                <w:noProof/>
                <w:webHidden/>
              </w:rPr>
              <w:instrText xml:space="preserve"> PAGEREF _Toc518034129 \h </w:instrText>
            </w:r>
            <w:r w:rsidR="009547A0">
              <w:rPr>
                <w:noProof/>
                <w:webHidden/>
              </w:rPr>
            </w:r>
            <w:r w:rsidR="009547A0">
              <w:rPr>
                <w:noProof/>
                <w:webHidden/>
              </w:rPr>
              <w:fldChar w:fldCharType="separate"/>
            </w:r>
            <w:r w:rsidR="009547A0">
              <w:rPr>
                <w:noProof/>
                <w:webHidden/>
              </w:rPr>
              <w:t>3</w:t>
            </w:r>
            <w:r w:rsidR="009547A0">
              <w:rPr>
                <w:noProof/>
                <w:webHidden/>
              </w:rPr>
              <w:fldChar w:fldCharType="end"/>
            </w:r>
          </w:hyperlink>
        </w:p>
        <w:p w14:paraId="72C453D8" w14:textId="77777777" w:rsidR="009547A0" w:rsidRDefault="001D62AF">
          <w:pPr>
            <w:pStyle w:val="TOC2"/>
            <w:tabs>
              <w:tab w:val="left" w:pos="880"/>
              <w:tab w:val="right" w:leader="dot" w:pos="9016"/>
            </w:tabs>
            <w:rPr>
              <w:rFonts w:eastAsiaTheme="minorEastAsia"/>
              <w:noProof/>
              <w:lang w:eastAsia="en-IE"/>
            </w:rPr>
          </w:pPr>
          <w:hyperlink w:anchor="_Toc518034130" w:history="1">
            <w:r w:rsidR="009547A0" w:rsidRPr="001A74CC">
              <w:rPr>
                <w:rStyle w:val="Hyperlink"/>
                <w:noProof/>
              </w:rPr>
              <w:t>1.1</w:t>
            </w:r>
            <w:r w:rsidR="009547A0">
              <w:rPr>
                <w:rFonts w:eastAsiaTheme="minorEastAsia"/>
                <w:noProof/>
                <w:lang w:eastAsia="en-IE"/>
              </w:rPr>
              <w:tab/>
            </w:r>
            <w:r w:rsidR="009547A0" w:rsidRPr="001A74CC">
              <w:rPr>
                <w:rStyle w:val="Hyperlink"/>
                <w:noProof/>
              </w:rPr>
              <w:t>Fundamental Rights Report 2018</w:t>
            </w:r>
            <w:r w:rsidR="009547A0">
              <w:rPr>
                <w:noProof/>
                <w:webHidden/>
              </w:rPr>
              <w:tab/>
            </w:r>
            <w:r w:rsidR="009547A0">
              <w:rPr>
                <w:noProof/>
                <w:webHidden/>
              </w:rPr>
              <w:fldChar w:fldCharType="begin"/>
            </w:r>
            <w:r w:rsidR="009547A0">
              <w:rPr>
                <w:noProof/>
                <w:webHidden/>
              </w:rPr>
              <w:instrText xml:space="preserve"> PAGEREF _Toc518034130 \h </w:instrText>
            </w:r>
            <w:r w:rsidR="009547A0">
              <w:rPr>
                <w:noProof/>
                <w:webHidden/>
              </w:rPr>
            </w:r>
            <w:r w:rsidR="009547A0">
              <w:rPr>
                <w:noProof/>
                <w:webHidden/>
              </w:rPr>
              <w:fldChar w:fldCharType="separate"/>
            </w:r>
            <w:r w:rsidR="009547A0">
              <w:rPr>
                <w:noProof/>
                <w:webHidden/>
              </w:rPr>
              <w:t>3</w:t>
            </w:r>
            <w:r w:rsidR="009547A0">
              <w:rPr>
                <w:noProof/>
                <w:webHidden/>
              </w:rPr>
              <w:fldChar w:fldCharType="end"/>
            </w:r>
          </w:hyperlink>
        </w:p>
        <w:p w14:paraId="70D174A9" w14:textId="77777777" w:rsidR="009547A0" w:rsidRDefault="001D62AF">
          <w:pPr>
            <w:pStyle w:val="TOC2"/>
            <w:tabs>
              <w:tab w:val="left" w:pos="880"/>
              <w:tab w:val="right" w:leader="dot" w:pos="9016"/>
            </w:tabs>
            <w:rPr>
              <w:rFonts w:eastAsiaTheme="minorEastAsia"/>
              <w:noProof/>
              <w:lang w:eastAsia="en-IE"/>
            </w:rPr>
          </w:pPr>
          <w:hyperlink w:anchor="_Toc518034131" w:history="1">
            <w:r w:rsidR="009547A0" w:rsidRPr="001A74CC">
              <w:rPr>
                <w:rStyle w:val="Hyperlink"/>
                <w:noProof/>
              </w:rPr>
              <w:t>1.2</w:t>
            </w:r>
            <w:r w:rsidR="009547A0">
              <w:rPr>
                <w:rFonts w:eastAsiaTheme="minorEastAsia"/>
                <w:noProof/>
                <w:lang w:eastAsia="en-IE"/>
              </w:rPr>
              <w:tab/>
            </w:r>
            <w:r w:rsidR="009547A0" w:rsidRPr="001A74CC">
              <w:rPr>
                <w:rStyle w:val="Hyperlink"/>
                <w:noProof/>
              </w:rPr>
              <w:t>Fundamental Rights Report 2017</w:t>
            </w:r>
            <w:r w:rsidR="009547A0">
              <w:rPr>
                <w:noProof/>
                <w:webHidden/>
              </w:rPr>
              <w:tab/>
            </w:r>
            <w:r w:rsidR="009547A0">
              <w:rPr>
                <w:noProof/>
                <w:webHidden/>
              </w:rPr>
              <w:fldChar w:fldCharType="begin"/>
            </w:r>
            <w:r w:rsidR="009547A0">
              <w:rPr>
                <w:noProof/>
                <w:webHidden/>
              </w:rPr>
              <w:instrText xml:space="preserve"> PAGEREF _Toc518034131 \h </w:instrText>
            </w:r>
            <w:r w:rsidR="009547A0">
              <w:rPr>
                <w:noProof/>
                <w:webHidden/>
              </w:rPr>
            </w:r>
            <w:r w:rsidR="009547A0">
              <w:rPr>
                <w:noProof/>
                <w:webHidden/>
              </w:rPr>
              <w:fldChar w:fldCharType="separate"/>
            </w:r>
            <w:r w:rsidR="009547A0">
              <w:rPr>
                <w:noProof/>
                <w:webHidden/>
              </w:rPr>
              <w:t>3</w:t>
            </w:r>
            <w:r w:rsidR="009547A0">
              <w:rPr>
                <w:noProof/>
                <w:webHidden/>
              </w:rPr>
              <w:fldChar w:fldCharType="end"/>
            </w:r>
          </w:hyperlink>
        </w:p>
        <w:p w14:paraId="2E756684" w14:textId="77777777" w:rsidR="009547A0" w:rsidRDefault="001D62AF">
          <w:pPr>
            <w:pStyle w:val="TOC2"/>
            <w:tabs>
              <w:tab w:val="left" w:pos="880"/>
              <w:tab w:val="right" w:leader="dot" w:pos="9016"/>
            </w:tabs>
            <w:rPr>
              <w:rFonts w:eastAsiaTheme="minorEastAsia"/>
              <w:noProof/>
              <w:lang w:eastAsia="en-IE"/>
            </w:rPr>
          </w:pPr>
          <w:hyperlink w:anchor="_Toc518034132" w:history="1">
            <w:r w:rsidR="009547A0" w:rsidRPr="001A74CC">
              <w:rPr>
                <w:rStyle w:val="Hyperlink"/>
                <w:noProof/>
              </w:rPr>
              <w:t>1.3</w:t>
            </w:r>
            <w:r w:rsidR="009547A0">
              <w:rPr>
                <w:rFonts w:eastAsiaTheme="minorEastAsia"/>
                <w:noProof/>
                <w:lang w:eastAsia="en-IE"/>
              </w:rPr>
              <w:tab/>
            </w:r>
            <w:r w:rsidR="009547A0" w:rsidRPr="001A74CC">
              <w:rPr>
                <w:rStyle w:val="Hyperlink"/>
                <w:noProof/>
              </w:rPr>
              <w:t>Fundamental Rights Report 2016</w:t>
            </w:r>
            <w:r w:rsidR="009547A0">
              <w:rPr>
                <w:noProof/>
                <w:webHidden/>
              </w:rPr>
              <w:tab/>
            </w:r>
            <w:r w:rsidR="009547A0">
              <w:rPr>
                <w:noProof/>
                <w:webHidden/>
              </w:rPr>
              <w:fldChar w:fldCharType="begin"/>
            </w:r>
            <w:r w:rsidR="009547A0">
              <w:rPr>
                <w:noProof/>
                <w:webHidden/>
              </w:rPr>
              <w:instrText xml:space="preserve"> PAGEREF _Toc518034132 \h </w:instrText>
            </w:r>
            <w:r w:rsidR="009547A0">
              <w:rPr>
                <w:noProof/>
                <w:webHidden/>
              </w:rPr>
            </w:r>
            <w:r w:rsidR="009547A0">
              <w:rPr>
                <w:noProof/>
                <w:webHidden/>
              </w:rPr>
              <w:fldChar w:fldCharType="separate"/>
            </w:r>
            <w:r w:rsidR="009547A0">
              <w:rPr>
                <w:noProof/>
                <w:webHidden/>
              </w:rPr>
              <w:t>4</w:t>
            </w:r>
            <w:r w:rsidR="009547A0">
              <w:rPr>
                <w:noProof/>
                <w:webHidden/>
              </w:rPr>
              <w:fldChar w:fldCharType="end"/>
            </w:r>
          </w:hyperlink>
        </w:p>
        <w:p w14:paraId="68EA97D0" w14:textId="17B055B6" w:rsidR="009547A0" w:rsidRDefault="001D62AF">
          <w:pPr>
            <w:pStyle w:val="TOC2"/>
            <w:tabs>
              <w:tab w:val="left" w:pos="880"/>
              <w:tab w:val="right" w:leader="dot" w:pos="9016"/>
            </w:tabs>
            <w:rPr>
              <w:rFonts w:eastAsiaTheme="minorEastAsia"/>
              <w:noProof/>
              <w:lang w:eastAsia="en-IE"/>
            </w:rPr>
          </w:pPr>
          <w:hyperlink w:anchor="_Toc518034133" w:history="1">
            <w:r w:rsidR="009547A0" w:rsidRPr="001A74CC">
              <w:rPr>
                <w:rStyle w:val="Hyperlink"/>
                <w:noProof/>
              </w:rPr>
              <w:t>1.4</w:t>
            </w:r>
            <w:r w:rsidR="009547A0">
              <w:rPr>
                <w:rFonts w:eastAsiaTheme="minorEastAsia"/>
                <w:noProof/>
                <w:lang w:eastAsia="en-IE"/>
              </w:rPr>
              <w:tab/>
            </w:r>
            <w:r w:rsidR="009547A0" w:rsidRPr="001A74CC">
              <w:rPr>
                <w:rStyle w:val="Hyperlink"/>
                <w:noProof/>
              </w:rPr>
              <w:t>Fundamental rights: challenges and achievements in 2014 – Annual Report 2014 (June 2015)</w:t>
            </w:r>
            <w:r w:rsidR="009547A0">
              <w:rPr>
                <w:noProof/>
                <w:webHidden/>
              </w:rPr>
              <w:tab/>
              <w:t>…………………………………………………………………………………………………………………………………………..</w:t>
            </w:r>
            <w:r w:rsidR="009547A0">
              <w:rPr>
                <w:noProof/>
                <w:webHidden/>
              </w:rPr>
              <w:fldChar w:fldCharType="begin"/>
            </w:r>
            <w:r w:rsidR="009547A0">
              <w:rPr>
                <w:noProof/>
                <w:webHidden/>
              </w:rPr>
              <w:instrText xml:space="preserve"> PAGEREF _Toc518034133 \h </w:instrText>
            </w:r>
            <w:r w:rsidR="009547A0">
              <w:rPr>
                <w:noProof/>
                <w:webHidden/>
              </w:rPr>
            </w:r>
            <w:r w:rsidR="009547A0">
              <w:rPr>
                <w:noProof/>
                <w:webHidden/>
              </w:rPr>
              <w:fldChar w:fldCharType="separate"/>
            </w:r>
            <w:r w:rsidR="009547A0">
              <w:rPr>
                <w:noProof/>
                <w:webHidden/>
              </w:rPr>
              <w:t>4</w:t>
            </w:r>
            <w:r w:rsidR="009547A0">
              <w:rPr>
                <w:noProof/>
                <w:webHidden/>
              </w:rPr>
              <w:fldChar w:fldCharType="end"/>
            </w:r>
          </w:hyperlink>
        </w:p>
        <w:p w14:paraId="0ACEF9CE" w14:textId="77777777" w:rsidR="009547A0" w:rsidRDefault="001D62AF">
          <w:pPr>
            <w:pStyle w:val="TOC1"/>
            <w:rPr>
              <w:rFonts w:eastAsiaTheme="minorEastAsia"/>
              <w:noProof/>
              <w:lang w:eastAsia="en-IE"/>
            </w:rPr>
          </w:pPr>
          <w:hyperlink w:anchor="_Toc518034134" w:history="1">
            <w:r w:rsidR="009547A0" w:rsidRPr="001A74CC">
              <w:rPr>
                <w:rStyle w:val="Hyperlink"/>
                <w:noProof/>
              </w:rPr>
              <w:t>2</w:t>
            </w:r>
            <w:r w:rsidR="009547A0">
              <w:rPr>
                <w:rFonts w:eastAsiaTheme="minorEastAsia"/>
                <w:noProof/>
                <w:lang w:eastAsia="en-IE"/>
              </w:rPr>
              <w:tab/>
            </w:r>
            <w:r w:rsidR="009547A0" w:rsidRPr="001A74CC">
              <w:rPr>
                <w:rStyle w:val="Hyperlink"/>
                <w:noProof/>
              </w:rPr>
              <w:t>Thematic reports on the rights of persons with disabilities</w:t>
            </w:r>
            <w:r w:rsidR="009547A0">
              <w:rPr>
                <w:noProof/>
                <w:webHidden/>
              </w:rPr>
              <w:tab/>
            </w:r>
            <w:r w:rsidR="009547A0">
              <w:rPr>
                <w:noProof/>
                <w:webHidden/>
              </w:rPr>
              <w:fldChar w:fldCharType="begin"/>
            </w:r>
            <w:r w:rsidR="009547A0">
              <w:rPr>
                <w:noProof/>
                <w:webHidden/>
              </w:rPr>
              <w:instrText xml:space="preserve"> PAGEREF _Toc518034134 \h </w:instrText>
            </w:r>
            <w:r w:rsidR="009547A0">
              <w:rPr>
                <w:noProof/>
                <w:webHidden/>
              </w:rPr>
            </w:r>
            <w:r w:rsidR="009547A0">
              <w:rPr>
                <w:noProof/>
                <w:webHidden/>
              </w:rPr>
              <w:fldChar w:fldCharType="separate"/>
            </w:r>
            <w:r w:rsidR="009547A0">
              <w:rPr>
                <w:noProof/>
                <w:webHidden/>
              </w:rPr>
              <w:t>5</w:t>
            </w:r>
            <w:r w:rsidR="009547A0">
              <w:rPr>
                <w:noProof/>
                <w:webHidden/>
              </w:rPr>
              <w:fldChar w:fldCharType="end"/>
            </w:r>
          </w:hyperlink>
        </w:p>
        <w:p w14:paraId="41521540" w14:textId="77777777" w:rsidR="009547A0" w:rsidRDefault="001D62AF">
          <w:pPr>
            <w:pStyle w:val="TOC2"/>
            <w:tabs>
              <w:tab w:val="left" w:pos="880"/>
              <w:tab w:val="right" w:leader="dot" w:pos="9016"/>
            </w:tabs>
            <w:rPr>
              <w:rFonts w:eastAsiaTheme="minorEastAsia"/>
              <w:noProof/>
              <w:lang w:eastAsia="en-IE"/>
            </w:rPr>
          </w:pPr>
          <w:hyperlink w:anchor="_Toc518034135" w:history="1">
            <w:r w:rsidR="009547A0" w:rsidRPr="001A74CC">
              <w:rPr>
                <w:rStyle w:val="Hyperlink"/>
                <w:noProof/>
              </w:rPr>
              <w:t>2.1</w:t>
            </w:r>
            <w:r w:rsidR="009547A0">
              <w:rPr>
                <w:rFonts w:eastAsiaTheme="minorEastAsia"/>
                <w:noProof/>
                <w:lang w:eastAsia="en-IE"/>
              </w:rPr>
              <w:tab/>
            </w:r>
            <w:r w:rsidR="009547A0" w:rsidRPr="001A74CC">
              <w:rPr>
                <w:rStyle w:val="Hyperlink"/>
                <w:noProof/>
              </w:rPr>
              <w:t>From institutions to community living - Part I: commitments and structures</w:t>
            </w:r>
            <w:r w:rsidR="009547A0">
              <w:rPr>
                <w:noProof/>
                <w:webHidden/>
              </w:rPr>
              <w:tab/>
            </w:r>
            <w:r w:rsidR="009547A0">
              <w:rPr>
                <w:noProof/>
                <w:webHidden/>
              </w:rPr>
              <w:fldChar w:fldCharType="begin"/>
            </w:r>
            <w:r w:rsidR="009547A0">
              <w:rPr>
                <w:noProof/>
                <w:webHidden/>
              </w:rPr>
              <w:instrText xml:space="preserve"> PAGEREF _Toc518034135 \h </w:instrText>
            </w:r>
            <w:r w:rsidR="009547A0">
              <w:rPr>
                <w:noProof/>
                <w:webHidden/>
              </w:rPr>
            </w:r>
            <w:r w:rsidR="009547A0">
              <w:rPr>
                <w:noProof/>
                <w:webHidden/>
              </w:rPr>
              <w:fldChar w:fldCharType="separate"/>
            </w:r>
            <w:r w:rsidR="009547A0">
              <w:rPr>
                <w:noProof/>
                <w:webHidden/>
              </w:rPr>
              <w:t>5</w:t>
            </w:r>
            <w:r w:rsidR="009547A0">
              <w:rPr>
                <w:noProof/>
                <w:webHidden/>
              </w:rPr>
              <w:fldChar w:fldCharType="end"/>
            </w:r>
          </w:hyperlink>
        </w:p>
        <w:p w14:paraId="050601AF" w14:textId="77777777" w:rsidR="009547A0" w:rsidRDefault="001D62AF">
          <w:pPr>
            <w:pStyle w:val="TOC2"/>
            <w:tabs>
              <w:tab w:val="left" w:pos="880"/>
              <w:tab w:val="right" w:leader="dot" w:pos="9016"/>
            </w:tabs>
            <w:rPr>
              <w:rFonts w:eastAsiaTheme="minorEastAsia"/>
              <w:noProof/>
              <w:lang w:eastAsia="en-IE"/>
            </w:rPr>
          </w:pPr>
          <w:hyperlink w:anchor="_Toc518034136" w:history="1">
            <w:r w:rsidR="009547A0" w:rsidRPr="001A74CC">
              <w:rPr>
                <w:rStyle w:val="Hyperlink"/>
                <w:noProof/>
              </w:rPr>
              <w:t>2.2</w:t>
            </w:r>
            <w:r w:rsidR="009547A0">
              <w:rPr>
                <w:rFonts w:eastAsiaTheme="minorEastAsia"/>
                <w:noProof/>
                <w:lang w:eastAsia="en-IE"/>
              </w:rPr>
              <w:tab/>
            </w:r>
            <w:r w:rsidR="009547A0" w:rsidRPr="001A74CC">
              <w:rPr>
                <w:rStyle w:val="Hyperlink"/>
                <w:noProof/>
              </w:rPr>
              <w:t>From institutions to community living - Part III: outcomes for persons with disabilities</w:t>
            </w:r>
            <w:r w:rsidR="009547A0">
              <w:rPr>
                <w:noProof/>
                <w:webHidden/>
              </w:rPr>
              <w:tab/>
            </w:r>
            <w:r w:rsidR="009547A0">
              <w:rPr>
                <w:noProof/>
                <w:webHidden/>
              </w:rPr>
              <w:fldChar w:fldCharType="begin"/>
            </w:r>
            <w:r w:rsidR="009547A0">
              <w:rPr>
                <w:noProof/>
                <w:webHidden/>
              </w:rPr>
              <w:instrText xml:space="preserve"> PAGEREF _Toc518034136 \h </w:instrText>
            </w:r>
            <w:r w:rsidR="009547A0">
              <w:rPr>
                <w:noProof/>
                <w:webHidden/>
              </w:rPr>
            </w:r>
            <w:r w:rsidR="009547A0">
              <w:rPr>
                <w:noProof/>
                <w:webHidden/>
              </w:rPr>
              <w:fldChar w:fldCharType="separate"/>
            </w:r>
            <w:r w:rsidR="009547A0">
              <w:rPr>
                <w:noProof/>
                <w:webHidden/>
              </w:rPr>
              <w:t>5</w:t>
            </w:r>
            <w:r w:rsidR="009547A0">
              <w:rPr>
                <w:noProof/>
                <w:webHidden/>
              </w:rPr>
              <w:fldChar w:fldCharType="end"/>
            </w:r>
          </w:hyperlink>
        </w:p>
        <w:p w14:paraId="527B4A59" w14:textId="77777777" w:rsidR="009547A0" w:rsidRDefault="001D62AF">
          <w:pPr>
            <w:pStyle w:val="TOC2"/>
            <w:tabs>
              <w:tab w:val="left" w:pos="880"/>
              <w:tab w:val="right" w:leader="dot" w:pos="9016"/>
            </w:tabs>
            <w:rPr>
              <w:rFonts w:eastAsiaTheme="minorEastAsia"/>
              <w:noProof/>
              <w:lang w:eastAsia="en-IE"/>
            </w:rPr>
          </w:pPr>
          <w:hyperlink w:anchor="_Toc518034137" w:history="1">
            <w:r w:rsidR="009547A0" w:rsidRPr="001A74CC">
              <w:rPr>
                <w:rStyle w:val="Hyperlink"/>
                <w:noProof/>
              </w:rPr>
              <w:t>2.3</w:t>
            </w:r>
            <w:r w:rsidR="009547A0">
              <w:rPr>
                <w:rFonts w:eastAsiaTheme="minorEastAsia"/>
                <w:noProof/>
                <w:lang w:eastAsia="en-IE"/>
              </w:rPr>
              <w:tab/>
            </w:r>
            <w:r w:rsidR="009547A0" w:rsidRPr="001A74CC">
              <w:rPr>
                <w:rStyle w:val="Hyperlink"/>
                <w:noProof/>
              </w:rPr>
              <w:t>Violence against children with disabilities: legislation, policies and programmes in the EU report (2015)</w:t>
            </w:r>
            <w:r w:rsidR="009547A0">
              <w:rPr>
                <w:noProof/>
                <w:webHidden/>
              </w:rPr>
              <w:tab/>
            </w:r>
            <w:r w:rsidR="009547A0">
              <w:rPr>
                <w:noProof/>
                <w:webHidden/>
              </w:rPr>
              <w:fldChar w:fldCharType="begin"/>
            </w:r>
            <w:r w:rsidR="009547A0">
              <w:rPr>
                <w:noProof/>
                <w:webHidden/>
              </w:rPr>
              <w:instrText xml:space="preserve"> PAGEREF _Toc518034137 \h </w:instrText>
            </w:r>
            <w:r w:rsidR="009547A0">
              <w:rPr>
                <w:noProof/>
                <w:webHidden/>
              </w:rPr>
            </w:r>
            <w:r w:rsidR="009547A0">
              <w:rPr>
                <w:noProof/>
                <w:webHidden/>
              </w:rPr>
              <w:fldChar w:fldCharType="separate"/>
            </w:r>
            <w:r w:rsidR="009547A0">
              <w:rPr>
                <w:noProof/>
                <w:webHidden/>
              </w:rPr>
              <w:t>6</w:t>
            </w:r>
            <w:r w:rsidR="009547A0">
              <w:rPr>
                <w:noProof/>
                <w:webHidden/>
              </w:rPr>
              <w:fldChar w:fldCharType="end"/>
            </w:r>
          </w:hyperlink>
        </w:p>
        <w:p w14:paraId="5EE025E0" w14:textId="77777777" w:rsidR="009547A0" w:rsidRDefault="001D62AF">
          <w:pPr>
            <w:pStyle w:val="TOC2"/>
            <w:tabs>
              <w:tab w:val="left" w:pos="880"/>
              <w:tab w:val="right" w:leader="dot" w:pos="9016"/>
            </w:tabs>
            <w:rPr>
              <w:rFonts w:eastAsiaTheme="minorEastAsia"/>
              <w:noProof/>
              <w:lang w:eastAsia="en-IE"/>
            </w:rPr>
          </w:pPr>
          <w:hyperlink w:anchor="_Toc518034138" w:history="1">
            <w:r w:rsidR="009547A0" w:rsidRPr="001A74CC">
              <w:rPr>
                <w:rStyle w:val="Hyperlink"/>
                <w:noProof/>
              </w:rPr>
              <w:t>2.4</w:t>
            </w:r>
            <w:r w:rsidR="009547A0">
              <w:rPr>
                <w:rFonts w:eastAsiaTheme="minorEastAsia"/>
                <w:noProof/>
                <w:lang w:eastAsia="en-IE"/>
              </w:rPr>
              <w:tab/>
            </w:r>
            <w:r w:rsidR="009547A0" w:rsidRPr="001A74CC">
              <w:rPr>
                <w:rStyle w:val="Hyperlink"/>
                <w:noProof/>
              </w:rPr>
              <w:t>Implementing the UN CRPD: An overview of legal reforms in EU Member States (2015)</w:t>
            </w:r>
            <w:r w:rsidR="009547A0">
              <w:rPr>
                <w:noProof/>
                <w:webHidden/>
              </w:rPr>
              <w:tab/>
            </w:r>
            <w:r w:rsidR="009547A0">
              <w:rPr>
                <w:noProof/>
                <w:webHidden/>
              </w:rPr>
              <w:fldChar w:fldCharType="begin"/>
            </w:r>
            <w:r w:rsidR="009547A0">
              <w:rPr>
                <w:noProof/>
                <w:webHidden/>
              </w:rPr>
              <w:instrText xml:space="preserve"> PAGEREF _Toc518034138 \h </w:instrText>
            </w:r>
            <w:r w:rsidR="009547A0">
              <w:rPr>
                <w:noProof/>
                <w:webHidden/>
              </w:rPr>
            </w:r>
            <w:r w:rsidR="009547A0">
              <w:rPr>
                <w:noProof/>
                <w:webHidden/>
              </w:rPr>
              <w:fldChar w:fldCharType="separate"/>
            </w:r>
            <w:r w:rsidR="009547A0">
              <w:rPr>
                <w:noProof/>
                <w:webHidden/>
              </w:rPr>
              <w:t>6</w:t>
            </w:r>
            <w:r w:rsidR="009547A0">
              <w:rPr>
                <w:noProof/>
                <w:webHidden/>
              </w:rPr>
              <w:fldChar w:fldCharType="end"/>
            </w:r>
          </w:hyperlink>
        </w:p>
        <w:p w14:paraId="5819F1A4" w14:textId="2DC143E0" w:rsidR="009547A0" w:rsidRDefault="001D62AF">
          <w:pPr>
            <w:pStyle w:val="TOC2"/>
            <w:tabs>
              <w:tab w:val="left" w:pos="880"/>
              <w:tab w:val="right" w:leader="dot" w:pos="9016"/>
            </w:tabs>
            <w:rPr>
              <w:rFonts w:eastAsiaTheme="minorEastAsia"/>
              <w:noProof/>
              <w:lang w:eastAsia="en-IE"/>
            </w:rPr>
          </w:pPr>
          <w:hyperlink w:anchor="_Toc518034139" w:history="1">
            <w:r w:rsidR="009547A0" w:rsidRPr="001A74CC">
              <w:rPr>
                <w:rStyle w:val="Hyperlink"/>
                <w:noProof/>
              </w:rPr>
              <w:t>2.5</w:t>
            </w:r>
            <w:r w:rsidR="009547A0">
              <w:rPr>
                <w:rFonts w:eastAsiaTheme="minorEastAsia"/>
                <w:noProof/>
                <w:lang w:eastAsia="en-IE"/>
              </w:rPr>
              <w:tab/>
            </w:r>
            <w:r w:rsidR="009547A0" w:rsidRPr="001A74CC">
              <w:rPr>
                <w:rStyle w:val="Hyperlink"/>
                <w:noProof/>
              </w:rPr>
              <w:t>The right to political participation for persons with disabilities: human rights indicators (2014)</w:t>
            </w:r>
            <w:r w:rsidR="009547A0">
              <w:rPr>
                <w:noProof/>
                <w:webHidden/>
              </w:rPr>
              <w:t>…………………………………………………………………………………………………………………………………………….</w:t>
            </w:r>
            <w:r w:rsidR="009547A0">
              <w:rPr>
                <w:noProof/>
                <w:webHidden/>
              </w:rPr>
              <w:fldChar w:fldCharType="begin"/>
            </w:r>
            <w:r w:rsidR="009547A0">
              <w:rPr>
                <w:noProof/>
                <w:webHidden/>
              </w:rPr>
              <w:instrText xml:space="preserve"> PAGEREF _Toc518034139 \h </w:instrText>
            </w:r>
            <w:r w:rsidR="009547A0">
              <w:rPr>
                <w:noProof/>
                <w:webHidden/>
              </w:rPr>
            </w:r>
            <w:r w:rsidR="009547A0">
              <w:rPr>
                <w:noProof/>
                <w:webHidden/>
              </w:rPr>
              <w:fldChar w:fldCharType="separate"/>
            </w:r>
            <w:r w:rsidR="009547A0">
              <w:rPr>
                <w:noProof/>
                <w:webHidden/>
              </w:rPr>
              <w:t>7</w:t>
            </w:r>
            <w:r w:rsidR="009547A0">
              <w:rPr>
                <w:noProof/>
                <w:webHidden/>
              </w:rPr>
              <w:fldChar w:fldCharType="end"/>
            </w:r>
          </w:hyperlink>
        </w:p>
        <w:p w14:paraId="765816AA" w14:textId="77777777" w:rsidR="009547A0" w:rsidRDefault="001D62AF">
          <w:pPr>
            <w:pStyle w:val="TOC2"/>
            <w:tabs>
              <w:tab w:val="left" w:pos="880"/>
              <w:tab w:val="right" w:leader="dot" w:pos="9016"/>
            </w:tabs>
            <w:rPr>
              <w:rFonts w:eastAsiaTheme="minorEastAsia"/>
              <w:noProof/>
              <w:lang w:eastAsia="en-IE"/>
            </w:rPr>
          </w:pPr>
          <w:hyperlink w:anchor="_Toc518034140" w:history="1">
            <w:r w:rsidR="009547A0" w:rsidRPr="001A74CC">
              <w:rPr>
                <w:rStyle w:val="Hyperlink"/>
                <w:noProof/>
              </w:rPr>
              <w:t>2.6</w:t>
            </w:r>
            <w:r w:rsidR="009547A0">
              <w:rPr>
                <w:rFonts w:eastAsiaTheme="minorEastAsia"/>
                <w:noProof/>
                <w:lang w:eastAsia="en-IE"/>
              </w:rPr>
              <w:tab/>
            </w:r>
            <w:r w:rsidR="009547A0" w:rsidRPr="001A74CC">
              <w:rPr>
                <w:rStyle w:val="Hyperlink"/>
                <w:noProof/>
              </w:rPr>
              <w:t>Legal capacity of persons with intellectual disabilities and persons with mental health problems (2013)</w:t>
            </w:r>
            <w:r w:rsidR="009547A0">
              <w:rPr>
                <w:noProof/>
                <w:webHidden/>
              </w:rPr>
              <w:tab/>
            </w:r>
            <w:r w:rsidR="009547A0">
              <w:rPr>
                <w:noProof/>
                <w:webHidden/>
              </w:rPr>
              <w:fldChar w:fldCharType="begin"/>
            </w:r>
            <w:r w:rsidR="009547A0">
              <w:rPr>
                <w:noProof/>
                <w:webHidden/>
              </w:rPr>
              <w:instrText xml:space="preserve"> PAGEREF _Toc518034140 \h </w:instrText>
            </w:r>
            <w:r w:rsidR="009547A0">
              <w:rPr>
                <w:noProof/>
                <w:webHidden/>
              </w:rPr>
            </w:r>
            <w:r w:rsidR="009547A0">
              <w:rPr>
                <w:noProof/>
                <w:webHidden/>
              </w:rPr>
              <w:fldChar w:fldCharType="separate"/>
            </w:r>
            <w:r w:rsidR="009547A0">
              <w:rPr>
                <w:noProof/>
                <w:webHidden/>
              </w:rPr>
              <w:t>9</w:t>
            </w:r>
            <w:r w:rsidR="009547A0">
              <w:rPr>
                <w:noProof/>
                <w:webHidden/>
              </w:rPr>
              <w:fldChar w:fldCharType="end"/>
            </w:r>
          </w:hyperlink>
        </w:p>
        <w:p w14:paraId="2C6A5BCA" w14:textId="74E106DD" w:rsidR="009547A0" w:rsidRDefault="001D62AF">
          <w:pPr>
            <w:pStyle w:val="TOC2"/>
            <w:tabs>
              <w:tab w:val="left" w:pos="880"/>
              <w:tab w:val="right" w:leader="dot" w:pos="9016"/>
            </w:tabs>
            <w:rPr>
              <w:rFonts w:eastAsiaTheme="minorEastAsia"/>
              <w:noProof/>
              <w:lang w:eastAsia="en-IE"/>
            </w:rPr>
          </w:pPr>
          <w:hyperlink w:anchor="_Toc518034141" w:history="1">
            <w:r w:rsidR="009547A0" w:rsidRPr="001A74CC">
              <w:rPr>
                <w:rStyle w:val="Hyperlink"/>
                <w:noProof/>
              </w:rPr>
              <w:t>2.7</w:t>
            </w:r>
            <w:r w:rsidR="009547A0">
              <w:rPr>
                <w:rFonts w:eastAsiaTheme="minorEastAsia"/>
                <w:noProof/>
                <w:lang w:eastAsia="en-IE"/>
              </w:rPr>
              <w:tab/>
            </w:r>
            <w:r w:rsidR="009547A0" w:rsidRPr="001A74CC">
              <w:rPr>
                <w:rStyle w:val="Hyperlink"/>
                <w:noProof/>
              </w:rPr>
              <w:t>Involuntary placement and involuntary treatment of persons with mental health problems (2012)</w:t>
            </w:r>
            <w:r w:rsidR="009547A0">
              <w:rPr>
                <w:noProof/>
                <w:webHidden/>
              </w:rPr>
              <w:tab/>
              <w:t>…………………………………………………………………………………………………………………………………………</w:t>
            </w:r>
            <w:r w:rsidR="009547A0">
              <w:rPr>
                <w:noProof/>
                <w:webHidden/>
              </w:rPr>
              <w:fldChar w:fldCharType="begin"/>
            </w:r>
            <w:r w:rsidR="009547A0">
              <w:rPr>
                <w:noProof/>
                <w:webHidden/>
              </w:rPr>
              <w:instrText xml:space="preserve"> PAGEREF _Toc518034141 \h </w:instrText>
            </w:r>
            <w:r w:rsidR="009547A0">
              <w:rPr>
                <w:noProof/>
                <w:webHidden/>
              </w:rPr>
            </w:r>
            <w:r w:rsidR="009547A0">
              <w:rPr>
                <w:noProof/>
                <w:webHidden/>
              </w:rPr>
              <w:fldChar w:fldCharType="separate"/>
            </w:r>
            <w:r w:rsidR="009547A0">
              <w:rPr>
                <w:noProof/>
                <w:webHidden/>
              </w:rPr>
              <w:t>10</w:t>
            </w:r>
            <w:r w:rsidR="009547A0">
              <w:rPr>
                <w:noProof/>
                <w:webHidden/>
              </w:rPr>
              <w:fldChar w:fldCharType="end"/>
            </w:r>
          </w:hyperlink>
        </w:p>
        <w:p w14:paraId="07501ABF" w14:textId="5538E74D" w:rsidR="009547A0" w:rsidRDefault="001D62AF">
          <w:pPr>
            <w:pStyle w:val="TOC2"/>
            <w:tabs>
              <w:tab w:val="left" w:pos="880"/>
              <w:tab w:val="right" w:leader="dot" w:pos="9016"/>
            </w:tabs>
            <w:rPr>
              <w:rFonts w:eastAsiaTheme="minorEastAsia"/>
              <w:noProof/>
              <w:lang w:eastAsia="en-IE"/>
            </w:rPr>
          </w:pPr>
          <w:hyperlink w:anchor="_Toc518034142" w:history="1">
            <w:r w:rsidR="009547A0" w:rsidRPr="001A74CC">
              <w:rPr>
                <w:rStyle w:val="Hyperlink"/>
                <w:noProof/>
              </w:rPr>
              <w:t>2.8</w:t>
            </w:r>
            <w:r w:rsidR="009547A0">
              <w:rPr>
                <w:rFonts w:eastAsiaTheme="minorEastAsia"/>
                <w:noProof/>
                <w:lang w:eastAsia="en-IE"/>
              </w:rPr>
              <w:tab/>
            </w:r>
            <w:r w:rsidR="009547A0" w:rsidRPr="001A74CC">
              <w:rPr>
                <w:rStyle w:val="Hyperlink"/>
                <w:noProof/>
              </w:rPr>
              <w:t>The legal protection of persons with mental health problems under non-discrimination law (2011)</w:t>
            </w:r>
            <w:r w:rsidR="009547A0">
              <w:rPr>
                <w:noProof/>
                <w:webHidden/>
              </w:rPr>
              <w:tab/>
              <w:t>…………………………………………………………………………………………………………………………………………</w:t>
            </w:r>
            <w:r w:rsidR="009547A0">
              <w:rPr>
                <w:noProof/>
                <w:webHidden/>
              </w:rPr>
              <w:fldChar w:fldCharType="begin"/>
            </w:r>
            <w:r w:rsidR="009547A0">
              <w:rPr>
                <w:noProof/>
                <w:webHidden/>
              </w:rPr>
              <w:instrText xml:space="preserve"> PAGEREF _Toc518034142 \h </w:instrText>
            </w:r>
            <w:r w:rsidR="009547A0">
              <w:rPr>
                <w:noProof/>
                <w:webHidden/>
              </w:rPr>
            </w:r>
            <w:r w:rsidR="009547A0">
              <w:rPr>
                <w:noProof/>
                <w:webHidden/>
              </w:rPr>
              <w:fldChar w:fldCharType="separate"/>
            </w:r>
            <w:r w:rsidR="009547A0">
              <w:rPr>
                <w:noProof/>
                <w:webHidden/>
              </w:rPr>
              <w:t>10</w:t>
            </w:r>
            <w:r w:rsidR="009547A0">
              <w:rPr>
                <w:noProof/>
                <w:webHidden/>
              </w:rPr>
              <w:fldChar w:fldCharType="end"/>
            </w:r>
          </w:hyperlink>
        </w:p>
        <w:p w14:paraId="271EB401" w14:textId="77777777" w:rsidR="009547A0" w:rsidRDefault="001D62AF">
          <w:pPr>
            <w:pStyle w:val="TOC2"/>
            <w:tabs>
              <w:tab w:val="left" w:pos="880"/>
              <w:tab w:val="right" w:leader="dot" w:pos="9016"/>
            </w:tabs>
            <w:rPr>
              <w:rFonts w:eastAsiaTheme="minorEastAsia"/>
              <w:noProof/>
              <w:lang w:eastAsia="en-IE"/>
            </w:rPr>
          </w:pPr>
          <w:hyperlink w:anchor="_Toc518034143" w:history="1">
            <w:r w:rsidR="009547A0" w:rsidRPr="001A74CC">
              <w:rPr>
                <w:rStyle w:val="Hyperlink"/>
                <w:noProof/>
              </w:rPr>
              <w:t>2.9</w:t>
            </w:r>
            <w:r w:rsidR="009547A0">
              <w:rPr>
                <w:rFonts w:eastAsiaTheme="minorEastAsia"/>
                <w:noProof/>
                <w:lang w:eastAsia="en-IE"/>
              </w:rPr>
              <w:tab/>
            </w:r>
            <w:r w:rsidR="009547A0" w:rsidRPr="001A74CC">
              <w:rPr>
                <w:rStyle w:val="Hyperlink"/>
                <w:noProof/>
              </w:rPr>
              <w:t>The right to political participation of persons with mental health problems and persons with intellectual disabilities (2010)</w:t>
            </w:r>
            <w:r w:rsidR="009547A0">
              <w:rPr>
                <w:noProof/>
                <w:webHidden/>
              </w:rPr>
              <w:tab/>
            </w:r>
            <w:r w:rsidR="009547A0">
              <w:rPr>
                <w:noProof/>
                <w:webHidden/>
              </w:rPr>
              <w:fldChar w:fldCharType="begin"/>
            </w:r>
            <w:r w:rsidR="009547A0">
              <w:rPr>
                <w:noProof/>
                <w:webHidden/>
              </w:rPr>
              <w:instrText xml:space="preserve"> PAGEREF _Toc518034143 \h </w:instrText>
            </w:r>
            <w:r w:rsidR="009547A0">
              <w:rPr>
                <w:noProof/>
                <w:webHidden/>
              </w:rPr>
            </w:r>
            <w:r w:rsidR="009547A0">
              <w:rPr>
                <w:noProof/>
                <w:webHidden/>
              </w:rPr>
              <w:fldChar w:fldCharType="separate"/>
            </w:r>
            <w:r w:rsidR="009547A0">
              <w:rPr>
                <w:noProof/>
                <w:webHidden/>
              </w:rPr>
              <w:t>11</w:t>
            </w:r>
            <w:r w:rsidR="009547A0">
              <w:rPr>
                <w:noProof/>
                <w:webHidden/>
              </w:rPr>
              <w:fldChar w:fldCharType="end"/>
            </w:r>
          </w:hyperlink>
        </w:p>
        <w:p w14:paraId="25682C65" w14:textId="21BF3336" w:rsidR="00C4175B" w:rsidRPr="00473A78" w:rsidRDefault="00EA5BD7" w:rsidP="003878DD">
          <w:r w:rsidRPr="00F83F6A">
            <w:rPr>
              <w:b/>
              <w:bCs/>
              <w:noProof/>
            </w:rPr>
            <w:fldChar w:fldCharType="end"/>
          </w:r>
        </w:p>
      </w:sdtContent>
    </w:sdt>
    <w:bookmarkStart w:id="0" w:name="_Toc437340013" w:displacedByCustomXml="prev"/>
    <w:bookmarkEnd w:id="0" w:displacedByCustomXml="prev"/>
    <w:bookmarkStart w:id="1" w:name="_Toc437340012" w:displacedByCustomXml="prev"/>
    <w:bookmarkEnd w:id="1" w:displacedByCustomXml="prev"/>
    <w:bookmarkStart w:id="2" w:name="_Toc437340011" w:displacedByCustomXml="prev"/>
    <w:bookmarkEnd w:id="2" w:displacedByCustomXml="prev"/>
    <w:bookmarkStart w:id="3" w:name="_Toc437340010" w:displacedByCustomXml="prev"/>
    <w:bookmarkEnd w:id="3" w:displacedByCustomXml="prev"/>
    <w:p w14:paraId="3889A294" w14:textId="77777777" w:rsidR="008555C6" w:rsidRDefault="008555C6" w:rsidP="008555C6">
      <w:pPr>
        <w:pStyle w:val="Heading1"/>
        <w:numPr>
          <w:ilvl w:val="0"/>
          <w:numId w:val="0"/>
        </w:numPr>
        <w:ind w:left="432"/>
      </w:pPr>
    </w:p>
    <w:p w14:paraId="1C45B472" w14:textId="77777777" w:rsidR="008555C6" w:rsidRDefault="008555C6" w:rsidP="008555C6"/>
    <w:p w14:paraId="3928295E" w14:textId="77777777" w:rsidR="008555C6" w:rsidRDefault="008555C6" w:rsidP="008555C6"/>
    <w:p w14:paraId="54C7DE94" w14:textId="77777777" w:rsidR="008555C6" w:rsidRDefault="008555C6" w:rsidP="008555C6"/>
    <w:p w14:paraId="12B2AF08" w14:textId="77777777" w:rsidR="008555C6" w:rsidRDefault="008555C6" w:rsidP="008555C6"/>
    <w:p w14:paraId="6BF18285" w14:textId="77777777" w:rsidR="008555C6" w:rsidRDefault="008555C6" w:rsidP="008555C6"/>
    <w:p w14:paraId="2B29267F" w14:textId="77777777" w:rsidR="008555C6" w:rsidRDefault="008555C6" w:rsidP="008555C6"/>
    <w:p w14:paraId="64B6AB7A" w14:textId="77777777" w:rsidR="008555C6" w:rsidRDefault="008555C6" w:rsidP="008555C6"/>
    <w:p w14:paraId="4EDD6340" w14:textId="77777777" w:rsidR="008555C6" w:rsidRDefault="008555C6" w:rsidP="008555C6"/>
    <w:p w14:paraId="1E3578BA" w14:textId="77777777" w:rsidR="008555C6" w:rsidRDefault="008555C6" w:rsidP="008555C6"/>
    <w:p w14:paraId="04652F52" w14:textId="77777777" w:rsidR="008555C6" w:rsidRDefault="008555C6" w:rsidP="008555C6"/>
    <w:p w14:paraId="38D515A9" w14:textId="77777777" w:rsidR="008555C6" w:rsidRDefault="008555C6" w:rsidP="008555C6"/>
    <w:p w14:paraId="61ACC910" w14:textId="77777777" w:rsidR="008555C6" w:rsidRDefault="008555C6" w:rsidP="008555C6"/>
    <w:p w14:paraId="3CAA4E65" w14:textId="77777777" w:rsidR="008555C6" w:rsidRDefault="008555C6" w:rsidP="008555C6"/>
    <w:p w14:paraId="6C8E3B86" w14:textId="77777777" w:rsidR="008555C6" w:rsidRDefault="008555C6" w:rsidP="008555C6"/>
    <w:p w14:paraId="278E84C8" w14:textId="77777777" w:rsidR="008555C6" w:rsidRDefault="008555C6" w:rsidP="008555C6"/>
    <w:p w14:paraId="2188C54C" w14:textId="77777777" w:rsidR="008555C6" w:rsidRDefault="008555C6" w:rsidP="008555C6"/>
    <w:p w14:paraId="1705C9E1" w14:textId="77777777" w:rsidR="008555C6" w:rsidRDefault="008555C6" w:rsidP="008555C6"/>
    <w:p w14:paraId="541E8B56" w14:textId="77777777" w:rsidR="008555C6" w:rsidRDefault="008555C6" w:rsidP="008555C6"/>
    <w:p w14:paraId="32D450D6" w14:textId="77777777" w:rsidR="008555C6" w:rsidRDefault="008555C6" w:rsidP="008555C6"/>
    <w:p w14:paraId="162DFF7B" w14:textId="77777777" w:rsidR="008555C6" w:rsidRDefault="008555C6" w:rsidP="008555C6"/>
    <w:p w14:paraId="62D07749" w14:textId="3F59C9E6" w:rsidR="009547A0" w:rsidRDefault="009547A0" w:rsidP="008555C6"/>
    <w:p w14:paraId="3C73BE56" w14:textId="77777777" w:rsidR="009547A0" w:rsidRPr="008555C6" w:rsidRDefault="009547A0" w:rsidP="008555C6"/>
    <w:p w14:paraId="25A7238C" w14:textId="14F9C128" w:rsidR="00BD44B2" w:rsidRDefault="002D2A11" w:rsidP="00BD44B2">
      <w:pPr>
        <w:pStyle w:val="Heading1"/>
      </w:pPr>
      <w:bookmarkStart w:id="4" w:name="_Toc518034129"/>
      <w:r w:rsidRPr="001A2786">
        <w:lastRenderedPageBreak/>
        <w:t>A</w:t>
      </w:r>
      <w:r w:rsidR="00EA5BD7" w:rsidRPr="001A2786">
        <w:t>nnual reports</w:t>
      </w:r>
      <w:bookmarkEnd w:id="4"/>
    </w:p>
    <w:p w14:paraId="0FF53711" w14:textId="77777777" w:rsidR="004818AE" w:rsidRPr="004818AE" w:rsidRDefault="004818AE" w:rsidP="004818AE">
      <w:pPr>
        <w:spacing w:after="0"/>
      </w:pPr>
    </w:p>
    <w:p w14:paraId="1A091664" w14:textId="668554B1" w:rsidR="00D97FF1" w:rsidRDefault="00D97FF1" w:rsidP="004818AE">
      <w:pPr>
        <w:pStyle w:val="Heading2"/>
        <w:ind w:left="939"/>
      </w:pPr>
      <w:bookmarkStart w:id="5" w:name="_Toc437340026"/>
      <w:bookmarkStart w:id="6" w:name="_Toc518034130"/>
      <w:bookmarkEnd w:id="5"/>
      <w:r>
        <w:t>Fundamental Rights Report 2018</w:t>
      </w:r>
      <w:bookmarkEnd w:id="6"/>
    </w:p>
    <w:p w14:paraId="2C8ADE77" w14:textId="737D4F65" w:rsidR="00D97FF1" w:rsidRDefault="007F5D0C" w:rsidP="004818AE">
      <w:pPr>
        <w:spacing w:after="0"/>
      </w:pPr>
      <w:r w:rsidRPr="0033559A">
        <w:t>For more detailed information:</w:t>
      </w:r>
      <w:r>
        <w:t xml:space="preserve"> </w:t>
      </w:r>
      <w:hyperlink r:id="rId8" w:history="1">
        <w:r w:rsidRPr="00FF770D">
          <w:rPr>
            <w:rStyle w:val="Hyperlink"/>
          </w:rPr>
          <w:t>http://fra.europa.eu/en/publication/2018/fundamental-rights-report-2018</w:t>
        </w:r>
      </w:hyperlink>
      <w:r>
        <w:t xml:space="preserve"> .</w:t>
      </w:r>
    </w:p>
    <w:p w14:paraId="1C1BAD32" w14:textId="2B52C221" w:rsidR="001C6763" w:rsidRDefault="00EA3B92" w:rsidP="004818AE">
      <w:pPr>
        <w:spacing w:after="0"/>
      </w:pPr>
      <w:r>
        <w:rPr>
          <w:noProof/>
          <w:lang w:eastAsia="en-IE"/>
        </w:rPr>
        <w:drawing>
          <wp:inline distT="0" distB="0" distL="0" distR="0" wp14:anchorId="3957AB55" wp14:editId="35482225">
            <wp:extent cx="3314540" cy="29622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PD1.PNG"/>
                    <pic:cNvPicPr/>
                  </pic:nvPicPr>
                  <pic:blipFill>
                    <a:blip r:embed="rId9">
                      <a:extLst>
                        <a:ext uri="{28A0092B-C50C-407E-A947-70E740481C1C}">
                          <a14:useLocalDpi xmlns:a14="http://schemas.microsoft.com/office/drawing/2010/main" val="0"/>
                        </a:ext>
                      </a:extLst>
                    </a:blip>
                    <a:stretch>
                      <a:fillRect/>
                    </a:stretch>
                  </pic:blipFill>
                  <pic:spPr>
                    <a:xfrm>
                      <a:off x="0" y="0"/>
                      <a:ext cx="3340112" cy="2985129"/>
                    </a:xfrm>
                    <a:prstGeom prst="rect">
                      <a:avLst/>
                    </a:prstGeom>
                  </pic:spPr>
                </pic:pic>
              </a:graphicData>
            </a:graphic>
          </wp:inline>
        </w:drawing>
      </w:r>
      <w:r>
        <w:t xml:space="preserve">    (p.230)</w:t>
      </w:r>
    </w:p>
    <w:p w14:paraId="4D4E4238" w14:textId="77777777" w:rsidR="004818AE" w:rsidRDefault="004818AE" w:rsidP="004818AE">
      <w:pPr>
        <w:spacing w:after="0"/>
      </w:pPr>
    </w:p>
    <w:p w14:paraId="1B0B7C8A" w14:textId="5795B30F" w:rsidR="00D97FF1" w:rsidRDefault="00D97FF1" w:rsidP="004818AE">
      <w:pPr>
        <w:pStyle w:val="Heading2"/>
        <w:ind w:left="939"/>
      </w:pPr>
      <w:bookmarkStart w:id="7" w:name="_Toc518034131"/>
      <w:r>
        <w:t>Fundamental Rights Report 2017</w:t>
      </w:r>
      <w:bookmarkEnd w:id="7"/>
    </w:p>
    <w:p w14:paraId="13B666E2" w14:textId="5302C386" w:rsidR="00D97FF1" w:rsidRDefault="0033559A" w:rsidP="004818AE">
      <w:pPr>
        <w:spacing w:after="0"/>
      </w:pPr>
      <w:r w:rsidRPr="0033559A">
        <w:t>For more detailed information:</w:t>
      </w:r>
      <w:r>
        <w:t xml:space="preserve"> </w:t>
      </w:r>
      <w:hyperlink r:id="rId10" w:history="1">
        <w:r w:rsidRPr="00FF770D">
          <w:rPr>
            <w:rStyle w:val="Hyperlink"/>
          </w:rPr>
          <w:t>http://fra.europa.eu/en/publication/2017/fundamental-rights-report-2017</w:t>
        </w:r>
      </w:hyperlink>
      <w:r>
        <w:t xml:space="preserve"> .</w:t>
      </w:r>
    </w:p>
    <w:p w14:paraId="7347AC12" w14:textId="77777777" w:rsidR="00B23303" w:rsidRDefault="00623B31" w:rsidP="004818AE">
      <w:pPr>
        <w:spacing w:after="0"/>
      </w:pPr>
      <w:r>
        <w:t>“</w:t>
      </w:r>
      <w:r w:rsidRPr="00623B31">
        <w:t xml:space="preserve">Notably, </w:t>
      </w:r>
      <w:r w:rsidRPr="00623B31">
        <w:rPr>
          <w:bCs/>
        </w:rPr>
        <w:t>Germany</w:t>
      </w:r>
      <w:r w:rsidRPr="00623B31">
        <w:rPr>
          <w:b/>
          <w:bCs/>
        </w:rPr>
        <w:t xml:space="preserve"> </w:t>
      </w:r>
      <w:r w:rsidRPr="00623B31">
        <w:t xml:space="preserve">and </w:t>
      </w:r>
      <w:r w:rsidRPr="00623B31">
        <w:rPr>
          <w:b/>
          <w:bCs/>
        </w:rPr>
        <w:t xml:space="preserve">Malta </w:t>
      </w:r>
      <w:r w:rsidRPr="00623B31">
        <w:t>in 2016 introduced national legislation on disability that mentions multiple discrimination. The Maltese Equal Opportunities (Persons with Disabilities) Act prohibits discrimination in a “multiple manner” of people with disabilities</w:t>
      </w:r>
      <w:r>
        <w:t>.” (p.69)</w:t>
      </w:r>
      <w:r w:rsidR="00B23303">
        <w:t xml:space="preserve"> </w:t>
      </w:r>
    </w:p>
    <w:p w14:paraId="1A72A6D9" w14:textId="5FDEA78B" w:rsidR="00E44D9B" w:rsidRPr="00D97FF1" w:rsidRDefault="00B23303" w:rsidP="00D97FF1">
      <w:r>
        <w:rPr>
          <w:noProof/>
          <w:lang w:eastAsia="en-IE"/>
        </w:rPr>
        <w:drawing>
          <wp:inline distT="0" distB="0" distL="0" distR="0" wp14:anchorId="6A6F15A5" wp14:editId="0A6F034F">
            <wp:extent cx="2270634" cy="22764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6053" cy="2301959"/>
                    </a:xfrm>
                    <a:prstGeom prst="rect">
                      <a:avLst/>
                    </a:prstGeom>
                    <a:noFill/>
                  </pic:spPr>
                </pic:pic>
              </a:graphicData>
            </a:graphic>
          </wp:inline>
        </w:drawing>
      </w:r>
      <w:r w:rsidR="00623B31">
        <w:t xml:space="preserve">  (p.225)</w:t>
      </w:r>
    </w:p>
    <w:p w14:paraId="122B9222" w14:textId="3682223E" w:rsidR="00DC58E1" w:rsidRDefault="00DC58E1" w:rsidP="004818AE">
      <w:pPr>
        <w:pStyle w:val="Heading2"/>
        <w:ind w:left="939"/>
      </w:pPr>
      <w:bookmarkStart w:id="8" w:name="_Toc518034132"/>
      <w:r w:rsidRPr="004C24D1">
        <w:lastRenderedPageBreak/>
        <w:t>Fundamental Rights Report 2016</w:t>
      </w:r>
      <w:bookmarkEnd w:id="8"/>
    </w:p>
    <w:p w14:paraId="27B8F0D3" w14:textId="3F47A260" w:rsidR="00DC58E1" w:rsidRDefault="00DC58E1" w:rsidP="004818AE">
      <w:pPr>
        <w:spacing w:after="0"/>
        <w:rPr>
          <w:sz w:val="24"/>
          <w:szCs w:val="24"/>
        </w:rPr>
      </w:pPr>
      <w:r w:rsidRPr="00E673AD">
        <w:rPr>
          <w:sz w:val="24"/>
          <w:szCs w:val="24"/>
        </w:rPr>
        <w:t xml:space="preserve">For more detailed information: </w:t>
      </w:r>
      <w:hyperlink r:id="rId12" w:history="1">
        <w:r w:rsidRPr="00E673AD">
          <w:rPr>
            <w:rStyle w:val="Hyperlink"/>
            <w:sz w:val="24"/>
            <w:szCs w:val="24"/>
          </w:rPr>
          <w:t>http://fra.europa.eu/en/publications-and-resources/publications/annual-reports/fundamental-rights-2016</w:t>
        </w:r>
      </w:hyperlink>
      <w:r w:rsidR="008152A5" w:rsidRPr="008152A5">
        <w:rPr>
          <w:rStyle w:val="Hyperlink"/>
          <w:sz w:val="24"/>
          <w:szCs w:val="24"/>
          <w:u w:val="none"/>
        </w:rPr>
        <w:t>.</w:t>
      </w:r>
      <w:r w:rsidRPr="008152A5">
        <w:rPr>
          <w:sz w:val="24"/>
          <w:szCs w:val="24"/>
        </w:rPr>
        <w:t xml:space="preserve"> </w:t>
      </w:r>
    </w:p>
    <w:p w14:paraId="13DFBBF1" w14:textId="50363CEB" w:rsidR="00623B31" w:rsidRDefault="00623B31" w:rsidP="004818AE">
      <w:pPr>
        <w:spacing w:after="0"/>
        <w:rPr>
          <w:sz w:val="24"/>
          <w:szCs w:val="24"/>
        </w:rPr>
      </w:pPr>
      <w:r>
        <w:rPr>
          <w:sz w:val="24"/>
          <w:szCs w:val="24"/>
        </w:rPr>
        <w:t>“</w:t>
      </w:r>
      <w:r w:rsidRPr="00623B31">
        <w:rPr>
          <w:bCs/>
          <w:sz w:val="24"/>
          <w:szCs w:val="24"/>
        </w:rPr>
        <w:t>Cyprus</w:t>
      </w:r>
      <w:r w:rsidRPr="00623B31">
        <w:rPr>
          <w:sz w:val="24"/>
          <w:szCs w:val="24"/>
        </w:rPr>
        <w:t xml:space="preserve">, </w:t>
      </w:r>
      <w:r w:rsidRPr="00623B31">
        <w:rPr>
          <w:b/>
          <w:bCs/>
          <w:sz w:val="24"/>
          <w:szCs w:val="24"/>
        </w:rPr>
        <w:t>Malta</w:t>
      </w:r>
      <w:r w:rsidRPr="00623B31">
        <w:rPr>
          <w:sz w:val="24"/>
          <w:szCs w:val="24"/>
        </w:rPr>
        <w:t xml:space="preserve">, the </w:t>
      </w:r>
      <w:r w:rsidRPr="00623B31">
        <w:rPr>
          <w:bCs/>
          <w:sz w:val="24"/>
          <w:szCs w:val="24"/>
        </w:rPr>
        <w:t>Netherlands</w:t>
      </w:r>
      <w:r w:rsidRPr="00623B31">
        <w:rPr>
          <w:sz w:val="24"/>
          <w:szCs w:val="24"/>
        </w:rPr>
        <w:t xml:space="preserve">, </w:t>
      </w:r>
      <w:r w:rsidRPr="00623B31">
        <w:rPr>
          <w:bCs/>
          <w:sz w:val="24"/>
          <w:szCs w:val="24"/>
        </w:rPr>
        <w:t>Slovakia</w:t>
      </w:r>
      <w:r w:rsidRPr="00623B31">
        <w:rPr>
          <w:sz w:val="24"/>
          <w:szCs w:val="24"/>
        </w:rPr>
        <w:t xml:space="preserve">, </w:t>
      </w:r>
      <w:r w:rsidRPr="00623B31">
        <w:rPr>
          <w:bCs/>
          <w:sz w:val="24"/>
          <w:szCs w:val="24"/>
        </w:rPr>
        <w:t xml:space="preserve">Spain </w:t>
      </w:r>
      <w:r w:rsidRPr="00623B31">
        <w:rPr>
          <w:sz w:val="24"/>
          <w:szCs w:val="24"/>
        </w:rPr>
        <w:t xml:space="preserve">and the </w:t>
      </w:r>
      <w:r w:rsidRPr="00623B31">
        <w:rPr>
          <w:bCs/>
          <w:sz w:val="24"/>
          <w:szCs w:val="24"/>
        </w:rPr>
        <w:t>United Kingdom</w:t>
      </w:r>
      <w:r w:rsidRPr="00623B31">
        <w:rPr>
          <w:b/>
          <w:bCs/>
          <w:sz w:val="24"/>
          <w:szCs w:val="24"/>
        </w:rPr>
        <w:t xml:space="preserve"> </w:t>
      </w:r>
      <w:r w:rsidRPr="00623B31">
        <w:rPr>
          <w:sz w:val="24"/>
          <w:szCs w:val="24"/>
        </w:rPr>
        <w:t>took action to counter dis</w:t>
      </w:r>
      <w:r w:rsidRPr="00623B31">
        <w:rPr>
          <w:sz w:val="24"/>
          <w:szCs w:val="24"/>
        </w:rPr>
        <w:softHyphen/>
        <w:t>crimination based on disability.</w:t>
      </w:r>
      <w:r w:rsidR="00623424" w:rsidRPr="00623424">
        <w:rPr>
          <w:rFonts w:ascii="DaxlinePro-Regular" w:hAnsi="DaxlinePro-Regular" w:cs="DaxlinePro-Regular"/>
          <w:color w:val="000000"/>
          <w:sz w:val="18"/>
          <w:szCs w:val="18"/>
        </w:rPr>
        <w:t xml:space="preserve"> </w:t>
      </w:r>
      <w:r w:rsidR="00623424" w:rsidRPr="00623424">
        <w:rPr>
          <w:sz w:val="24"/>
          <w:szCs w:val="24"/>
        </w:rPr>
        <w:t>The Maltese Parliament adopted legis</w:t>
      </w:r>
      <w:r w:rsidR="00623424" w:rsidRPr="00623424">
        <w:rPr>
          <w:sz w:val="24"/>
          <w:szCs w:val="24"/>
        </w:rPr>
        <w:softHyphen/>
        <w:t>lation imposing a quota of persons with disabilities in a number of public entities/authorities, including the national equality body.</w:t>
      </w:r>
      <w:r w:rsidR="00623424">
        <w:rPr>
          <w:sz w:val="24"/>
          <w:szCs w:val="24"/>
        </w:rPr>
        <w:t xml:space="preserve"> </w:t>
      </w:r>
      <w:r w:rsidR="00623424" w:rsidRPr="00623424">
        <w:rPr>
          <w:sz w:val="24"/>
          <w:szCs w:val="24"/>
        </w:rPr>
        <w:t>Should any such entity not hire at least one person with a disability or a repre</w:t>
      </w:r>
      <w:r w:rsidR="00623424" w:rsidRPr="00623424">
        <w:rPr>
          <w:sz w:val="24"/>
          <w:szCs w:val="24"/>
        </w:rPr>
        <w:softHyphen/>
        <w:t>sentative thereof, the entity will not be considered to be legally constituted.</w:t>
      </w:r>
      <w:r w:rsidR="00623424">
        <w:rPr>
          <w:sz w:val="24"/>
          <w:szCs w:val="24"/>
        </w:rPr>
        <w:t>”</w:t>
      </w:r>
      <w:r w:rsidR="00623424" w:rsidRPr="00623424">
        <w:rPr>
          <w:sz w:val="24"/>
          <w:szCs w:val="24"/>
        </w:rPr>
        <w:t xml:space="preserve"> </w:t>
      </w:r>
      <w:r w:rsidR="00623424">
        <w:rPr>
          <w:sz w:val="24"/>
          <w:szCs w:val="24"/>
        </w:rPr>
        <w:t xml:space="preserve"> </w:t>
      </w:r>
      <w:r>
        <w:rPr>
          <w:sz w:val="24"/>
          <w:szCs w:val="24"/>
        </w:rPr>
        <w:t xml:space="preserve"> (p.68)</w:t>
      </w:r>
    </w:p>
    <w:p w14:paraId="4BCBEE5E" w14:textId="237F0DEF" w:rsidR="00623424" w:rsidRDefault="00623424" w:rsidP="004818AE">
      <w:pPr>
        <w:spacing w:after="0"/>
        <w:rPr>
          <w:sz w:val="24"/>
          <w:szCs w:val="24"/>
        </w:rPr>
      </w:pPr>
      <w:r>
        <w:rPr>
          <w:sz w:val="24"/>
          <w:szCs w:val="24"/>
        </w:rPr>
        <w:t>“</w:t>
      </w:r>
      <w:r w:rsidRPr="00623424">
        <w:rPr>
          <w:sz w:val="24"/>
          <w:szCs w:val="24"/>
        </w:rPr>
        <w:t>FRA evidence shows that EU Member States have implemented a wide range of measures to bring persons with dis</w:t>
      </w:r>
      <w:r w:rsidRPr="00623424">
        <w:rPr>
          <w:sz w:val="24"/>
          <w:szCs w:val="24"/>
        </w:rPr>
        <w:softHyphen/>
        <w:t>abilities into the policy-making process.</w:t>
      </w:r>
      <w:r>
        <w:rPr>
          <w:sz w:val="24"/>
          <w:szCs w:val="24"/>
        </w:rPr>
        <w:t xml:space="preserve"> </w:t>
      </w:r>
      <w:r w:rsidRPr="00623424">
        <w:rPr>
          <w:sz w:val="24"/>
          <w:szCs w:val="24"/>
        </w:rPr>
        <w:t>Two examples from 2015 highlight the variety of pos</w:t>
      </w:r>
      <w:r w:rsidRPr="00623424">
        <w:rPr>
          <w:sz w:val="24"/>
          <w:szCs w:val="24"/>
        </w:rPr>
        <w:softHyphen/>
        <w:t xml:space="preserve">sible approaches. </w:t>
      </w:r>
      <w:r w:rsidRPr="00623424">
        <w:rPr>
          <w:b/>
          <w:bCs/>
          <w:sz w:val="24"/>
          <w:szCs w:val="24"/>
        </w:rPr>
        <w:t xml:space="preserve">Malta </w:t>
      </w:r>
      <w:r w:rsidRPr="00623424">
        <w:rPr>
          <w:sz w:val="24"/>
          <w:szCs w:val="24"/>
        </w:rPr>
        <w:t>moved to formalise the partic</w:t>
      </w:r>
      <w:r w:rsidRPr="00623424">
        <w:rPr>
          <w:sz w:val="24"/>
          <w:szCs w:val="24"/>
        </w:rPr>
        <w:softHyphen/>
        <w:t>ipation of persons with disabilities in decision-making by amending a number of legal acts to provide for per</w:t>
      </w:r>
      <w:r w:rsidRPr="00623424">
        <w:rPr>
          <w:sz w:val="24"/>
          <w:szCs w:val="24"/>
        </w:rPr>
        <w:softHyphen/>
        <w:t>sons with disabilities’ membership of the governing authorities of different public entities. For instance, the Housing Authority Act was amended to require that one of the up to 11 members of the Board of Directors of the Housing Authority will be a person with a disa</w:t>
      </w:r>
      <w:r w:rsidRPr="00623424">
        <w:rPr>
          <w:sz w:val="24"/>
          <w:szCs w:val="24"/>
        </w:rPr>
        <w:softHyphen/>
        <w:t>bility; similarly, one of the seven to 10 members of the</w:t>
      </w:r>
      <w:r>
        <w:rPr>
          <w:sz w:val="24"/>
          <w:szCs w:val="24"/>
        </w:rPr>
        <w:t xml:space="preserve"> </w:t>
      </w:r>
      <w:r w:rsidRPr="00623424">
        <w:rPr>
          <w:sz w:val="24"/>
          <w:szCs w:val="24"/>
        </w:rPr>
        <w:t>National Commission for Further and Higher Education must now be a person with a disability</w:t>
      </w:r>
      <w:r>
        <w:rPr>
          <w:sz w:val="24"/>
          <w:szCs w:val="24"/>
        </w:rPr>
        <w:t>.” (p. 190-191)</w:t>
      </w:r>
    </w:p>
    <w:p w14:paraId="36B54B29" w14:textId="77777777" w:rsidR="004818AE" w:rsidRPr="00E673AD" w:rsidRDefault="004818AE" w:rsidP="004818AE">
      <w:pPr>
        <w:spacing w:after="0"/>
        <w:rPr>
          <w:sz w:val="24"/>
          <w:szCs w:val="24"/>
        </w:rPr>
      </w:pPr>
    </w:p>
    <w:p w14:paraId="4AECC35A" w14:textId="4003C412" w:rsidR="002D2A11" w:rsidRDefault="002D2A11" w:rsidP="004818AE">
      <w:pPr>
        <w:pStyle w:val="Heading2"/>
        <w:ind w:left="939"/>
      </w:pPr>
      <w:bookmarkStart w:id="9" w:name="_Toc518034133"/>
      <w:r w:rsidRPr="004C24D1">
        <w:t>Fundamental rights: challenges and achievements in 2014 – Annual Report 2014 (June 2015)</w:t>
      </w:r>
      <w:bookmarkEnd w:id="9"/>
    </w:p>
    <w:p w14:paraId="4AECC35B" w14:textId="6B85AE65" w:rsidR="002D2A11" w:rsidRDefault="00DC58E1" w:rsidP="004818AE">
      <w:pPr>
        <w:spacing w:after="0"/>
        <w:rPr>
          <w:rStyle w:val="Hyperlink"/>
          <w:color w:val="auto"/>
          <w:sz w:val="24"/>
          <w:szCs w:val="24"/>
          <w:u w:val="none"/>
        </w:rPr>
      </w:pPr>
      <w:r w:rsidRPr="00E673AD">
        <w:rPr>
          <w:sz w:val="24"/>
          <w:szCs w:val="24"/>
        </w:rPr>
        <w:t>For more detailed information</w:t>
      </w:r>
      <w:r w:rsidR="00F956F0">
        <w:rPr>
          <w:sz w:val="24"/>
          <w:szCs w:val="24"/>
        </w:rPr>
        <w:t>:</w:t>
      </w:r>
      <w:r w:rsidRPr="00E673AD">
        <w:rPr>
          <w:sz w:val="24"/>
          <w:szCs w:val="24"/>
        </w:rPr>
        <w:t xml:space="preserve"> </w:t>
      </w:r>
      <w:hyperlink r:id="rId13" w:history="1">
        <w:r w:rsidR="002D2A11" w:rsidRPr="00E673AD">
          <w:rPr>
            <w:rStyle w:val="Hyperlink"/>
            <w:sz w:val="24"/>
            <w:szCs w:val="24"/>
          </w:rPr>
          <w:t>http://fra.europa.eu/en/publications-and-resources/publications/annual-reports/fundamental-rights-2014</w:t>
        </w:r>
      </w:hyperlink>
      <w:r w:rsidR="002D605B" w:rsidRPr="002D605B">
        <w:rPr>
          <w:rStyle w:val="Hyperlink"/>
          <w:color w:val="auto"/>
          <w:sz w:val="24"/>
          <w:szCs w:val="24"/>
          <w:u w:val="none"/>
        </w:rPr>
        <w:t>.</w:t>
      </w:r>
    </w:p>
    <w:p w14:paraId="3E1CDD17" w14:textId="73D9B606" w:rsidR="00623424" w:rsidRDefault="001E66D9" w:rsidP="004818AE">
      <w:pPr>
        <w:spacing w:after="0"/>
        <w:rPr>
          <w:sz w:val="24"/>
          <w:szCs w:val="24"/>
        </w:rPr>
      </w:pPr>
      <w:r>
        <w:rPr>
          <w:rStyle w:val="Hyperlink"/>
          <w:color w:val="auto"/>
          <w:sz w:val="24"/>
          <w:szCs w:val="24"/>
          <w:u w:val="none"/>
        </w:rPr>
        <w:t>“</w:t>
      </w:r>
      <w:r w:rsidRPr="001E66D9">
        <w:rPr>
          <w:sz w:val="24"/>
          <w:szCs w:val="24"/>
        </w:rPr>
        <w:t>Given that the new ESIF regulation came into force on 1 January 2014, it was to be expected that Member States would begin implementing measures to fulfil these conditionalities only during 2014; the deadline to fulfil them is 31 December 2016</w:t>
      </w:r>
      <w:r>
        <w:rPr>
          <w:sz w:val="24"/>
          <w:szCs w:val="24"/>
        </w:rPr>
        <w:t>.</w:t>
      </w:r>
      <w:r w:rsidRPr="001E66D9">
        <w:rPr>
          <w:sz w:val="24"/>
          <w:szCs w:val="24"/>
        </w:rPr>
        <w:t xml:space="preserve"> </w:t>
      </w:r>
      <w:r>
        <w:rPr>
          <w:rStyle w:val="Hyperlink"/>
          <w:color w:val="auto"/>
          <w:sz w:val="24"/>
          <w:szCs w:val="24"/>
          <w:u w:val="none"/>
        </w:rPr>
        <w:t>Concerning</w:t>
      </w:r>
      <w:r w:rsidR="00623424" w:rsidRPr="00623424">
        <w:rPr>
          <w:sz w:val="24"/>
          <w:szCs w:val="24"/>
        </w:rPr>
        <w:t xml:space="preserve"> the third conditionality, some Member States have consulted or plan to consult with bodies in charge of protection of rights of persons with disa</w:t>
      </w:r>
      <w:r w:rsidR="00623424" w:rsidRPr="00623424">
        <w:rPr>
          <w:sz w:val="24"/>
          <w:szCs w:val="24"/>
        </w:rPr>
        <w:softHyphen/>
        <w:t xml:space="preserve">bilities or disabled persons organisations (DPOs). This was the case in </w:t>
      </w:r>
      <w:r w:rsidR="00623424" w:rsidRPr="001E66D9">
        <w:rPr>
          <w:bCs/>
          <w:sz w:val="24"/>
          <w:szCs w:val="24"/>
        </w:rPr>
        <w:t>Austria</w:t>
      </w:r>
      <w:r w:rsidR="00623424" w:rsidRPr="001E66D9">
        <w:rPr>
          <w:sz w:val="24"/>
          <w:szCs w:val="24"/>
        </w:rPr>
        <w:t xml:space="preserve">, </w:t>
      </w:r>
      <w:r w:rsidR="00623424" w:rsidRPr="001E66D9">
        <w:rPr>
          <w:bCs/>
          <w:sz w:val="24"/>
          <w:szCs w:val="24"/>
        </w:rPr>
        <w:t>Belgium</w:t>
      </w:r>
      <w:r w:rsidR="00623424" w:rsidRPr="001E66D9">
        <w:rPr>
          <w:sz w:val="24"/>
          <w:szCs w:val="24"/>
        </w:rPr>
        <w:t xml:space="preserve">, </w:t>
      </w:r>
      <w:r w:rsidR="00623424" w:rsidRPr="001E66D9">
        <w:rPr>
          <w:bCs/>
          <w:sz w:val="24"/>
          <w:szCs w:val="24"/>
        </w:rPr>
        <w:t>Bulgaria</w:t>
      </w:r>
      <w:r w:rsidR="00623424" w:rsidRPr="001E66D9">
        <w:rPr>
          <w:sz w:val="24"/>
          <w:szCs w:val="24"/>
        </w:rPr>
        <w:t xml:space="preserve">, </w:t>
      </w:r>
      <w:r w:rsidR="00623424" w:rsidRPr="001E66D9">
        <w:rPr>
          <w:bCs/>
          <w:sz w:val="24"/>
          <w:szCs w:val="24"/>
        </w:rPr>
        <w:t>Cyprus</w:t>
      </w:r>
      <w:r w:rsidR="00623424" w:rsidRPr="001E66D9">
        <w:rPr>
          <w:sz w:val="24"/>
          <w:szCs w:val="24"/>
        </w:rPr>
        <w:t xml:space="preserve">, </w:t>
      </w:r>
      <w:r w:rsidR="00623424" w:rsidRPr="001E66D9">
        <w:rPr>
          <w:bCs/>
          <w:sz w:val="24"/>
          <w:szCs w:val="24"/>
        </w:rPr>
        <w:t>Denmark</w:t>
      </w:r>
      <w:r w:rsidR="00623424" w:rsidRPr="001E66D9">
        <w:rPr>
          <w:sz w:val="24"/>
          <w:szCs w:val="24"/>
        </w:rPr>
        <w:t xml:space="preserve">, </w:t>
      </w:r>
      <w:r w:rsidR="00623424" w:rsidRPr="001E66D9">
        <w:rPr>
          <w:bCs/>
          <w:sz w:val="24"/>
          <w:szCs w:val="24"/>
        </w:rPr>
        <w:t>Estonia</w:t>
      </w:r>
      <w:r w:rsidR="00623424" w:rsidRPr="001E66D9">
        <w:rPr>
          <w:sz w:val="24"/>
          <w:szCs w:val="24"/>
        </w:rPr>
        <w:t xml:space="preserve">, </w:t>
      </w:r>
      <w:r w:rsidR="00623424" w:rsidRPr="001E66D9">
        <w:rPr>
          <w:bCs/>
          <w:sz w:val="24"/>
          <w:szCs w:val="24"/>
        </w:rPr>
        <w:t>France</w:t>
      </w:r>
      <w:r w:rsidR="00623424" w:rsidRPr="001E66D9">
        <w:rPr>
          <w:sz w:val="24"/>
          <w:szCs w:val="24"/>
        </w:rPr>
        <w:t xml:space="preserve">, </w:t>
      </w:r>
      <w:r w:rsidR="00623424" w:rsidRPr="001E66D9">
        <w:rPr>
          <w:bCs/>
          <w:sz w:val="24"/>
          <w:szCs w:val="24"/>
        </w:rPr>
        <w:t>Greece</w:t>
      </w:r>
      <w:r w:rsidR="00623424" w:rsidRPr="001E66D9">
        <w:rPr>
          <w:sz w:val="24"/>
          <w:szCs w:val="24"/>
        </w:rPr>
        <w:t xml:space="preserve">, </w:t>
      </w:r>
      <w:r w:rsidR="00623424" w:rsidRPr="001E66D9">
        <w:rPr>
          <w:bCs/>
          <w:sz w:val="24"/>
          <w:szCs w:val="24"/>
        </w:rPr>
        <w:t>Hungary</w:t>
      </w:r>
      <w:r w:rsidR="00623424" w:rsidRPr="001E66D9">
        <w:rPr>
          <w:sz w:val="24"/>
          <w:szCs w:val="24"/>
        </w:rPr>
        <w:t xml:space="preserve">, </w:t>
      </w:r>
      <w:r w:rsidR="00623424" w:rsidRPr="001E66D9">
        <w:rPr>
          <w:bCs/>
          <w:sz w:val="24"/>
          <w:szCs w:val="24"/>
        </w:rPr>
        <w:t>Ireland</w:t>
      </w:r>
      <w:r w:rsidR="00623424" w:rsidRPr="001E66D9">
        <w:rPr>
          <w:sz w:val="24"/>
          <w:szCs w:val="24"/>
        </w:rPr>
        <w:t xml:space="preserve">, </w:t>
      </w:r>
      <w:r w:rsidR="00623424" w:rsidRPr="001E66D9">
        <w:rPr>
          <w:bCs/>
          <w:sz w:val="24"/>
          <w:szCs w:val="24"/>
        </w:rPr>
        <w:t>Italy</w:t>
      </w:r>
      <w:r w:rsidR="00623424" w:rsidRPr="001E66D9">
        <w:rPr>
          <w:sz w:val="24"/>
          <w:szCs w:val="24"/>
        </w:rPr>
        <w:t xml:space="preserve">, </w:t>
      </w:r>
      <w:r w:rsidR="00623424" w:rsidRPr="001E66D9">
        <w:rPr>
          <w:bCs/>
          <w:sz w:val="24"/>
          <w:szCs w:val="24"/>
        </w:rPr>
        <w:t>Latvia</w:t>
      </w:r>
      <w:r w:rsidR="00623424" w:rsidRPr="001E66D9">
        <w:rPr>
          <w:sz w:val="24"/>
          <w:szCs w:val="24"/>
        </w:rPr>
        <w:t xml:space="preserve">, </w:t>
      </w:r>
      <w:r w:rsidR="00623424" w:rsidRPr="001E66D9">
        <w:rPr>
          <w:bCs/>
          <w:sz w:val="24"/>
          <w:szCs w:val="24"/>
        </w:rPr>
        <w:t>Lithuania</w:t>
      </w:r>
      <w:r w:rsidR="00623424" w:rsidRPr="001E66D9">
        <w:rPr>
          <w:sz w:val="24"/>
          <w:szCs w:val="24"/>
        </w:rPr>
        <w:t xml:space="preserve">, </w:t>
      </w:r>
      <w:r w:rsidR="00623424" w:rsidRPr="001E66D9">
        <w:rPr>
          <w:bCs/>
          <w:sz w:val="24"/>
          <w:szCs w:val="24"/>
        </w:rPr>
        <w:t>Luxembourg</w:t>
      </w:r>
      <w:r w:rsidR="00623424" w:rsidRPr="00623424">
        <w:rPr>
          <w:sz w:val="24"/>
          <w:szCs w:val="24"/>
        </w:rPr>
        <w:t xml:space="preserve">, </w:t>
      </w:r>
      <w:r w:rsidR="00623424" w:rsidRPr="00623424">
        <w:rPr>
          <w:b/>
          <w:bCs/>
          <w:sz w:val="24"/>
          <w:szCs w:val="24"/>
        </w:rPr>
        <w:t>Malta</w:t>
      </w:r>
      <w:r w:rsidR="00623424" w:rsidRPr="00623424">
        <w:rPr>
          <w:sz w:val="24"/>
          <w:szCs w:val="24"/>
        </w:rPr>
        <w:t xml:space="preserve">, the </w:t>
      </w:r>
      <w:r w:rsidR="00623424" w:rsidRPr="001E66D9">
        <w:rPr>
          <w:bCs/>
          <w:sz w:val="24"/>
          <w:szCs w:val="24"/>
        </w:rPr>
        <w:t>Netherlands</w:t>
      </w:r>
      <w:r w:rsidR="00623424" w:rsidRPr="001E66D9">
        <w:rPr>
          <w:sz w:val="24"/>
          <w:szCs w:val="24"/>
        </w:rPr>
        <w:t xml:space="preserve">, </w:t>
      </w:r>
      <w:r w:rsidR="00623424" w:rsidRPr="001E66D9">
        <w:rPr>
          <w:bCs/>
          <w:sz w:val="24"/>
          <w:szCs w:val="24"/>
        </w:rPr>
        <w:t>Poland</w:t>
      </w:r>
      <w:r w:rsidR="00623424" w:rsidRPr="001E66D9">
        <w:rPr>
          <w:sz w:val="24"/>
          <w:szCs w:val="24"/>
        </w:rPr>
        <w:t xml:space="preserve">, </w:t>
      </w:r>
      <w:r w:rsidR="00623424" w:rsidRPr="001E66D9">
        <w:rPr>
          <w:bCs/>
          <w:sz w:val="24"/>
          <w:szCs w:val="24"/>
        </w:rPr>
        <w:t>Portugal</w:t>
      </w:r>
      <w:r w:rsidR="00623424" w:rsidRPr="001E66D9">
        <w:rPr>
          <w:sz w:val="24"/>
          <w:szCs w:val="24"/>
        </w:rPr>
        <w:t xml:space="preserve">, </w:t>
      </w:r>
      <w:r w:rsidR="00623424" w:rsidRPr="001E66D9">
        <w:rPr>
          <w:bCs/>
          <w:sz w:val="24"/>
          <w:szCs w:val="24"/>
        </w:rPr>
        <w:t>Romania</w:t>
      </w:r>
      <w:r w:rsidR="00623424" w:rsidRPr="001E66D9">
        <w:rPr>
          <w:sz w:val="24"/>
          <w:szCs w:val="24"/>
        </w:rPr>
        <w:t xml:space="preserve">, </w:t>
      </w:r>
      <w:r w:rsidR="00623424" w:rsidRPr="001E66D9">
        <w:rPr>
          <w:bCs/>
          <w:sz w:val="24"/>
          <w:szCs w:val="24"/>
        </w:rPr>
        <w:t>Slovakia</w:t>
      </w:r>
      <w:r w:rsidR="00623424" w:rsidRPr="001E66D9">
        <w:rPr>
          <w:sz w:val="24"/>
          <w:szCs w:val="24"/>
        </w:rPr>
        <w:t xml:space="preserve">, </w:t>
      </w:r>
      <w:r w:rsidR="00623424" w:rsidRPr="001E66D9">
        <w:rPr>
          <w:bCs/>
          <w:sz w:val="24"/>
          <w:szCs w:val="24"/>
        </w:rPr>
        <w:t xml:space="preserve">Spain </w:t>
      </w:r>
      <w:r w:rsidR="00623424" w:rsidRPr="001E66D9">
        <w:rPr>
          <w:sz w:val="24"/>
          <w:szCs w:val="24"/>
        </w:rPr>
        <w:t xml:space="preserve">and </w:t>
      </w:r>
      <w:r w:rsidR="00623424" w:rsidRPr="001E66D9">
        <w:rPr>
          <w:bCs/>
          <w:sz w:val="24"/>
          <w:szCs w:val="24"/>
        </w:rPr>
        <w:t>Sweden</w:t>
      </w:r>
      <w:r w:rsidR="00623424" w:rsidRPr="00623424">
        <w:rPr>
          <w:sz w:val="24"/>
          <w:szCs w:val="24"/>
        </w:rPr>
        <w:t>. The criteria to be met under this conditionality include having a plan in place to involve such organisations, identifying relevant actors and their roles and facilitating their active involvement in the process.</w:t>
      </w:r>
      <w:r>
        <w:rPr>
          <w:sz w:val="24"/>
          <w:szCs w:val="24"/>
        </w:rPr>
        <w:t xml:space="preserve">” </w:t>
      </w:r>
      <w:r w:rsidR="001D62AF">
        <w:rPr>
          <w:sz w:val="24"/>
          <w:szCs w:val="24"/>
        </w:rPr>
        <w:t>(p. 31)</w:t>
      </w:r>
    </w:p>
    <w:p w14:paraId="3082DF0F" w14:textId="3F36A677" w:rsidR="001E66D9" w:rsidRDefault="001E66D9" w:rsidP="004818AE">
      <w:pPr>
        <w:spacing w:after="0"/>
        <w:rPr>
          <w:sz w:val="24"/>
          <w:szCs w:val="24"/>
        </w:rPr>
      </w:pPr>
      <w:r>
        <w:rPr>
          <w:sz w:val="24"/>
          <w:szCs w:val="24"/>
        </w:rPr>
        <w:t>“</w:t>
      </w:r>
      <w:r w:rsidRPr="001E66D9">
        <w:rPr>
          <w:sz w:val="24"/>
          <w:szCs w:val="24"/>
        </w:rPr>
        <w:t xml:space="preserve">For the fourth conditionality, Member States took steps to ensure that relevant staff will be trained on applicable EU and national disability law and policy, including accessibility and the implementation of the CRPD. This happened in </w:t>
      </w:r>
      <w:r w:rsidRPr="001E66D9">
        <w:rPr>
          <w:bCs/>
          <w:sz w:val="24"/>
          <w:szCs w:val="24"/>
        </w:rPr>
        <w:t>Austria</w:t>
      </w:r>
      <w:r w:rsidRPr="001E66D9">
        <w:rPr>
          <w:sz w:val="24"/>
          <w:szCs w:val="24"/>
        </w:rPr>
        <w:t xml:space="preserve">, </w:t>
      </w:r>
      <w:r w:rsidRPr="001E66D9">
        <w:rPr>
          <w:bCs/>
          <w:sz w:val="24"/>
          <w:szCs w:val="24"/>
        </w:rPr>
        <w:t>Belgium</w:t>
      </w:r>
      <w:r w:rsidRPr="001E66D9">
        <w:rPr>
          <w:sz w:val="24"/>
          <w:szCs w:val="24"/>
        </w:rPr>
        <w:t xml:space="preserve">, </w:t>
      </w:r>
      <w:r w:rsidRPr="001E66D9">
        <w:rPr>
          <w:bCs/>
          <w:sz w:val="24"/>
          <w:szCs w:val="24"/>
        </w:rPr>
        <w:t>Bulgaria</w:t>
      </w:r>
      <w:r w:rsidRPr="001E66D9">
        <w:rPr>
          <w:sz w:val="24"/>
          <w:szCs w:val="24"/>
        </w:rPr>
        <w:t xml:space="preserve">, the </w:t>
      </w:r>
      <w:r w:rsidRPr="001E66D9">
        <w:rPr>
          <w:bCs/>
          <w:sz w:val="24"/>
          <w:szCs w:val="24"/>
        </w:rPr>
        <w:t>Czech Republic</w:t>
      </w:r>
      <w:r w:rsidRPr="001E66D9">
        <w:rPr>
          <w:sz w:val="24"/>
          <w:szCs w:val="24"/>
        </w:rPr>
        <w:t xml:space="preserve">, </w:t>
      </w:r>
      <w:r w:rsidRPr="001E66D9">
        <w:rPr>
          <w:bCs/>
          <w:sz w:val="24"/>
          <w:szCs w:val="24"/>
        </w:rPr>
        <w:t>Denmark</w:t>
      </w:r>
      <w:r w:rsidRPr="001E66D9">
        <w:rPr>
          <w:sz w:val="24"/>
          <w:szCs w:val="24"/>
        </w:rPr>
        <w:t xml:space="preserve">, </w:t>
      </w:r>
      <w:r w:rsidRPr="001E66D9">
        <w:rPr>
          <w:bCs/>
          <w:sz w:val="24"/>
          <w:szCs w:val="24"/>
        </w:rPr>
        <w:t>Estonia</w:t>
      </w:r>
      <w:r w:rsidRPr="001E66D9">
        <w:rPr>
          <w:sz w:val="24"/>
          <w:szCs w:val="24"/>
        </w:rPr>
        <w:t xml:space="preserve">, </w:t>
      </w:r>
      <w:r w:rsidRPr="001E66D9">
        <w:rPr>
          <w:bCs/>
          <w:sz w:val="24"/>
          <w:szCs w:val="24"/>
        </w:rPr>
        <w:t>Finland</w:t>
      </w:r>
      <w:r w:rsidRPr="001E66D9">
        <w:rPr>
          <w:sz w:val="24"/>
          <w:szCs w:val="24"/>
        </w:rPr>
        <w:t xml:space="preserve">, </w:t>
      </w:r>
      <w:r w:rsidRPr="001E66D9">
        <w:rPr>
          <w:bCs/>
          <w:sz w:val="24"/>
          <w:szCs w:val="24"/>
        </w:rPr>
        <w:t>France</w:t>
      </w:r>
      <w:r w:rsidRPr="001E66D9">
        <w:rPr>
          <w:sz w:val="24"/>
          <w:szCs w:val="24"/>
        </w:rPr>
        <w:t xml:space="preserve">, </w:t>
      </w:r>
      <w:r w:rsidRPr="001E66D9">
        <w:rPr>
          <w:bCs/>
          <w:sz w:val="24"/>
          <w:szCs w:val="24"/>
        </w:rPr>
        <w:t>Germany</w:t>
      </w:r>
      <w:r w:rsidRPr="001E66D9">
        <w:rPr>
          <w:sz w:val="24"/>
          <w:szCs w:val="24"/>
        </w:rPr>
        <w:t xml:space="preserve">, </w:t>
      </w:r>
      <w:r w:rsidRPr="001E66D9">
        <w:rPr>
          <w:bCs/>
          <w:sz w:val="24"/>
          <w:szCs w:val="24"/>
        </w:rPr>
        <w:t>Greece</w:t>
      </w:r>
      <w:r w:rsidRPr="001E66D9">
        <w:rPr>
          <w:sz w:val="24"/>
          <w:szCs w:val="24"/>
        </w:rPr>
        <w:t xml:space="preserve">, </w:t>
      </w:r>
      <w:r w:rsidRPr="001E66D9">
        <w:rPr>
          <w:bCs/>
          <w:sz w:val="24"/>
          <w:szCs w:val="24"/>
        </w:rPr>
        <w:t>Hungary</w:t>
      </w:r>
      <w:r w:rsidRPr="001E66D9">
        <w:rPr>
          <w:sz w:val="24"/>
          <w:szCs w:val="24"/>
        </w:rPr>
        <w:t xml:space="preserve">, </w:t>
      </w:r>
      <w:r w:rsidRPr="001E66D9">
        <w:rPr>
          <w:bCs/>
          <w:sz w:val="24"/>
          <w:szCs w:val="24"/>
        </w:rPr>
        <w:t>Italy</w:t>
      </w:r>
      <w:r w:rsidRPr="001E66D9">
        <w:rPr>
          <w:sz w:val="24"/>
          <w:szCs w:val="24"/>
        </w:rPr>
        <w:t xml:space="preserve">, </w:t>
      </w:r>
      <w:r w:rsidRPr="001E66D9">
        <w:rPr>
          <w:bCs/>
          <w:sz w:val="24"/>
          <w:szCs w:val="24"/>
        </w:rPr>
        <w:t>Latvia</w:t>
      </w:r>
      <w:r w:rsidRPr="001E66D9">
        <w:rPr>
          <w:sz w:val="24"/>
          <w:szCs w:val="24"/>
        </w:rPr>
        <w:t xml:space="preserve">, </w:t>
      </w:r>
      <w:r w:rsidRPr="001E66D9">
        <w:rPr>
          <w:bCs/>
          <w:sz w:val="24"/>
          <w:szCs w:val="24"/>
        </w:rPr>
        <w:t>Luxembourg</w:t>
      </w:r>
      <w:r w:rsidRPr="001E66D9">
        <w:rPr>
          <w:sz w:val="24"/>
          <w:szCs w:val="24"/>
        </w:rPr>
        <w:t xml:space="preserve">, </w:t>
      </w:r>
      <w:r w:rsidRPr="001E66D9">
        <w:rPr>
          <w:b/>
          <w:bCs/>
          <w:sz w:val="24"/>
          <w:szCs w:val="24"/>
        </w:rPr>
        <w:t>Malta</w:t>
      </w:r>
      <w:r w:rsidRPr="001E66D9">
        <w:rPr>
          <w:sz w:val="24"/>
          <w:szCs w:val="24"/>
        </w:rPr>
        <w:t xml:space="preserve">, the </w:t>
      </w:r>
      <w:r w:rsidRPr="001E66D9">
        <w:rPr>
          <w:bCs/>
          <w:sz w:val="24"/>
          <w:szCs w:val="24"/>
        </w:rPr>
        <w:t>Netherlands</w:t>
      </w:r>
      <w:r w:rsidRPr="001E66D9">
        <w:rPr>
          <w:sz w:val="24"/>
          <w:szCs w:val="24"/>
        </w:rPr>
        <w:t xml:space="preserve">, </w:t>
      </w:r>
      <w:r w:rsidRPr="001E66D9">
        <w:rPr>
          <w:bCs/>
          <w:sz w:val="24"/>
          <w:szCs w:val="24"/>
        </w:rPr>
        <w:t>Portugal</w:t>
      </w:r>
      <w:r w:rsidRPr="001E66D9">
        <w:rPr>
          <w:sz w:val="24"/>
          <w:szCs w:val="24"/>
        </w:rPr>
        <w:t xml:space="preserve">, </w:t>
      </w:r>
      <w:r w:rsidRPr="001E66D9">
        <w:rPr>
          <w:bCs/>
          <w:sz w:val="24"/>
          <w:szCs w:val="24"/>
        </w:rPr>
        <w:t>Romania</w:t>
      </w:r>
      <w:r w:rsidRPr="001E66D9">
        <w:rPr>
          <w:sz w:val="24"/>
          <w:szCs w:val="24"/>
        </w:rPr>
        <w:t xml:space="preserve">, </w:t>
      </w:r>
      <w:r w:rsidRPr="001E66D9">
        <w:rPr>
          <w:bCs/>
          <w:sz w:val="24"/>
          <w:szCs w:val="24"/>
        </w:rPr>
        <w:t>Slovenia</w:t>
      </w:r>
      <w:r w:rsidRPr="001E66D9">
        <w:rPr>
          <w:sz w:val="24"/>
          <w:szCs w:val="24"/>
        </w:rPr>
        <w:t xml:space="preserve">, </w:t>
      </w:r>
      <w:r w:rsidRPr="001E66D9">
        <w:rPr>
          <w:bCs/>
          <w:sz w:val="24"/>
          <w:szCs w:val="24"/>
        </w:rPr>
        <w:t xml:space="preserve">Slovakia </w:t>
      </w:r>
      <w:r w:rsidRPr="001E66D9">
        <w:rPr>
          <w:sz w:val="24"/>
          <w:szCs w:val="24"/>
        </w:rPr>
        <w:t xml:space="preserve">and </w:t>
      </w:r>
      <w:r w:rsidRPr="001E66D9">
        <w:rPr>
          <w:bCs/>
          <w:sz w:val="24"/>
          <w:szCs w:val="24"/>
        </w:rPr>
        <w:t>Spain</w:t>
      </w:r>
      <w:r w:rsidRPr="001E66D9">
        <w:rPr>
          <w:sz w:val="24"/>
          <w:szCs w:val="24"/>
        </w:rPr>
        <w:t>.</w:t>
      </w:r>
      <w:r>
        <w:rPr>
          <w:sz w:val="24"/>
          <w:szCs w:val="24"/>
        </w:rPr>
        <w:t>”</w:t>
      </w:r>
      <w:r w:rsidR="001D62AF">
        <w:rPr>
          <w:sz w:val="24"/>
          <w:szCs w:val="24"/>
        </w:rPr>
        <w:t xml:space="preserve"> (p. 31)</w:t>
      </w:r>
    </w:p>
    <w:p w14:paraId="5369AE22" w14:textId="59861AB7" w:rsidR="001C6763" w:rsidRPr="00E673AD" w:rsidRDefault="001E66D9" w:rsidP="004818AE">
      <w:pPr>
        <w:spacing w:after="0"/>
        <w:rPr>
          <w:rStyle w:val="Hyperlink"/>
          <w:sz w:val="24"/>
          <w:szCs w:val="24"/>
        </w:rPr>
      </w:pPr>
      <w:r>
        <w:rPr>
          <w:sz w:val="24"/>
          <w:szCs w:val="24"/>
        </w:rPr>
        <w:lastRenderedPageBreak/>
        <w:t>“</w:t>
      </w:r>
      <w:r w:rsidRPr="001E66D9">
        <w:rPr>
          <w:sz w:val="24"/>
          <w:szCs w:val="24"/>
        </w:rPr>
        <w:t>The other relevant conditionality Member States have to meet relates to arrangements to monitor the imple</w:t>
      </w:r>
      <w:r w:rsidRPr="001E66D9">
        <w:rPr>
          <w:sz w:val="24"/>
          <w:szCs w:val="24"/>
        </w:rPr>
        <w:softHyphen/>
        <w:t>mentation of Article 9 of the CRPD on accessibility, in the context of disbursing structural and investment funds.</w:t>
      </w:r>
      <w:r>
        <w:rPr>
          <w:sz w:val="24"/>
          <w:szCs w:val="24"/>
        </w:rPr>
        <w:t xml:space="preserve"> </w:t>
      </w:r>
      <w:r w:rsidRPr="001E66D9">
        <w:rPr>
          <w:bCs/>
          <w:sz w:val="24"/>
          <w:szCs w:val="24"/>
        </w:rPr>
        <w:t>Austria</w:t>
      </w:r>
      <w:r w:rsidRPr="001E66D9">
        <w:rPr>
          <w:sz w:val="24"/>
          <w:szCs w:val="24"/>
        </w:rPr>
        <w:t xml:space="preserve">, </w:t>
      </w:r>
      <w:r w:rsidRPr="001E66D9">
        <w:rPr>
          <w:bCs/>
          <w:sz w:val="24"/>
          <w:szCs w:val="24"/>
        </w:rPr>
        <w:t>Belgium</w:t>
      </w:r>
      <w:r w:rsidRPr="001E66D9">
        <w:rPr>
          <w:sz w:val="24"/>
          <w:szCs w:val="24"/>
        </w:rPr>
        <w:t xml:space="preserve">, </w:t>
      </w:r>
      <w:r w:rsidRPr="001E66D9">
        <w:rPr>
          <w:bCs/>
          <w:sz w:val="24"/>
          <w:szCs w:val="24"/>
        </w:rPr>
        <w:t>Bulgaria</w:t>
      </w:r>
      <w:r w:rsidRPr="001E66D9">
        <w:rPr>
          <w:sz w:val="24"/>
          <w:szCs w:val="24"/>
        </w:rPr>
        <w:t xml:space="preserve">, </w:t>
      </w:r>
      <w:r w:rsidRPr="001E66D9">
        <w:rPr>
          <w:bCs/>
          <w:sz w:val="24"/>
          <w:szCs w:val="24"/>
        </w:rPr>
        <w:t>Denmark</w:t>
      </w:r>
      <w:r w:rsidRPr="001E66D9">
        <w:rPr>
          <w:sz w:val="24"/>
          <w:szCs w:val="24"/>
        </w:rPr>
        <w:t xml:space="preserve">, </w:t>
      </w:r>
      <w:r w:rsidRPr="001E66D9">
        <w:rPr>
          <w:bCs/>
          <w:sz w:val="24"/>
          <w:szCs w:val="24"/>
        </w:rPr>
        <w:t>France</w:t>
      </w:r>
      <w:r w:rsidRPr="001E66D9">
        <w:rPr>
          <w:sz w:val="24"/>
          <w:szCs w:val="24"/>
        </w:rPr>
        <w:t xml:space="preserve">, </w:t>
      </w:r>
      <w:r w:rsidRPr="001E66D9">
        <w:rPr>
          <w:bCs/>
          <w:sz w:val="24"/>
          <w:szCs w:val="24"/>
        </w:rPr>
        <w:t>Hungary</w:t>
      </w:r>
      <w:r w:rsidRPr="001E66D9">
        <w:rPr>
          <w:sz w:val="24"/>
          <w:szCs w:val="24"/>
        </w:rPr>
        <w:t xml:space="preserve">, </w:t>
      </w:r>
      <w:r w:rsidRPr="001E66D9">
        <w:rPr>
          <w:bCs/>
          <w:sz w:val="24"/>
          <w:szCs w:val="24"/>
        </w:rPr>
        <w:t>Italy</w:t>
      </w:r>
      <w:r w:rsidRPr="001E66D9">
        <w:rPr>
          <w:sz w:val="24"/>
          <w:szCs w:val="24"/>
        </w:rPr>
        <w:t xml:space="preserve">, </w:t>
      </w:r>
      <w:r w:rsidRPr="001E66D9">
        <w:rPr>
          <w:bCs/>
          <w:sz w:val="24"/>
          <w:szCs w:val="24"/>
        </w:rPr>
        <w:t>Latvia</w:t>
      </w:r>
      <w:r w:rsidRPr="001E66D9">
        <w:rPr>
          <w:sz w:val="24"/>
          <w:szCs w:val="24"/>
        </w:rPr>
        <w:t xml:space="preserve">, </w:t>
      </w:r>
      <w:r w:rsidRPr="001E66D9">
        <w:rPr>
          <w:bCs/>
          <w:sz w:val="24"/>
          <w:szCs w:val="24"/>
        </w:rPr>
        <w:t>Lithuania</w:t>
      </w:r>
      <w:r w:rsidRPr="001E66D9">
        <w:rPr>
          <w:sz w:val="24"/>
          <w:szCs w:val="24"/>
        </w:rPr>
        <w:t xml:space="preserve">, </w:t>
      </w:r>
      <w:r w:rsidRPr="001E66D9">
        <w:rPr>
          <w:bCs/>
          <w:sz w:val="24"/>
          <w:szCs w:val="24"/>
        </w:rPr>
        <w:t>Luxembourg</w:t>
      </w:r>
      <w:r w:rsidRPr="001E66D9">
        <w:rPr>
          <w:sz w:val="24"/>
          <w:szCs w:val="24"/>
        </w:rPr>
        <w:t xml:space="preserve">, </w:t>
      </w:r>
      <w:r w:rsidRPr="001E66D9">
        <w:rPr>
          <w:b/>
          <w:bCs/>
          <w:sz w:val="24"/>
          <w:szCs w:val="24"/>
        </w:rPr>
        <w:t>Malta</w:t>
      </w:r>
      <w:r w:rsidRPr="001E66D9">
        <w:rPr>
          <w:sz w:val="24"/>
          <w:szCs w:val="24"/>
        </w:rPr>
        <w:t xml:space="preserve">, </w:t>
      </w:r>
      <w:r w:rsidRPr="001E66D9">
        <w:rPr>
          <w:bCs/>
          <w:sz w:val="24"/>
          <w:szCs w:val="24"/>
        </w:rPr>
        <w:t>Poland</w:t>
      </w:r>
      <w:r w:rsidRPr="001E66D9">
        <w:rPr>
          <w:sz w:val="24"/>
          <w:szCs w:val="24"/>
        </w:rPr>
        <w:t xml:space="preserve">, </w:t>
      </w:r>
      <w:r w:rsidRPr="001E66D9">
        <w:rPr>
          <w:bCs/>
          <w:sz w:val="24"/>
          <w:szCs w:val="24"/>
        </w:rPr>
        <w:t>Romania</w:t>
      </w:r>
      <w:r w:rsidRPr="001E66D9">
        <w:rPr>
          <w:sz w:val="24"/>
          <w:szCs w:val="24"/>
        </w:rPr>
        <w:t xml:space="preserve">, </w:t>
      </w:r>
      <w:r w:rsidRPr="001E66D9">
        <w:rPr>
          <w:bCs/>
          <w:sz w:val="24"/>
          <w:szCs w:val="24"/>
        </w:rPr>
        <w:t>Slovakia</w:t>
      </w:r>
      <w:r w:rsidRPr="001E66D9">
        <w:rPr>
          <w:sz w:val="24"/>
          <w:szCs w:val="24"/>
        </w:rPr>
        <w:t xml:space="preserve">, </w:t>
      </w:r>
      <w:r w:rsidRPr="001E66D9">
        <w:rPr>
          <w:bCs/>
          <w:sz w:val="24"/>
          <w:szCs w:val="24"/>
        </w:rPr>
        <w:t xml:space="preserve">Sweden </w:t>
      </w:r>
      <w:r w:rsidRPr="001E66D9">
        <w:rPr>
          <w:sz w:val="24"/>
          <w:szCs w:val="24"/>
        </w:rPr>
        <w:t xml:space="preserve">and the </w:t>
      </w:r>
      <w:r w:rsidRPr="001E66D9">
        <w:rPr>
          <w:bCs/>
          <w:sz w:val="24"/>
          <w:szCs w:val="24"/>
        </w:rPr>
        <w:t xml:space="preserve">United Kingdom </w:t>
      </w:r>
      <w:r w:rsidRPr="001E66D9">
        <w:rPr>
          <w:sz w:val="24"/>
          <w:szCs w:val="24"/>
        </w:rPr>
        <w:t>took steps towards meeting this conditionality</w:t>
      </w:r>
      <w:r>
        <w:rPr>
          <w:sz w:val="24"/>
          <w:szCs w:val="24"/>
        </w:rPr>
        <w:t>” (p.31)</w:t>
      </w:r>
    </w:p>
    <w:p w14:paraId="6F02D066" w14:textId="2806FC2A" w:rsidR="00D97FF1" w:rsidRDefault="007E19AF" w:rsidP="00D97FF1">
      <w:pPr>
        <w:pStyle w:val="Heading1"/>
        <w:rPr>
          <w:rFonts w:asciiTheme="minorHAnsi" w:hAnsiTheme="minorHAnsi"/>
        </w:rPr>
      </w:pPr>
      <w:bookmarkStart w:id="10" w:name="_Toc437340032"/>
      <w:bookmarkStart w:id="11" w:name="_Toc518034134"/>
      <w:bookmarkEnd w:id="10"/>
      <w:r w:rsidRPr="001B79F3">
        <w:rPr>
          <w:rFonts w:asciiTheme="minorHAnsi" w:hAnsiTheme="minorHAnsi"/>
        </w:rPr>
        <w:t>Thematic</w:t>
      </w:r>
      <w:r w:rsidR="00EF36C3" w:rsidRPr="001B79F3">
        <w:rPr>
          <w:rFonts w:asciiTheme="minorHAnsi" w:hAnsiTheme="minorHAnsi"/>
        </w:rPr>
        <w:t xml:space="preserve"> reports on the rights of persons with disabilities</w:t>
      </w:r>
      <w:bookmarkEnd w:id="11"/>
    </w:p>
    <w:p w14:paraId="2DE0B426" w14:textId="77777777" w:rsidR="004818AE" w:rsidRPr="004818AE" w:rsidRDefault="004818AE" w:rsidP="004818AE">
      <w:pPr>
        <w:spacing w:after="0"/>
      </w:pPr>
    </w:p>
    <w:p w14:paraId="382F70F2" w14:textId="62A8F081" w:rsidR="00D97FF1" w:rsidRDefault="00D97FF1" w:rsidP="004818AE">
      <w:pPr>
        <w:pStyle w:val="Heading2"/>
        <w:ind w:left="939"/>
      </w:pPr>
      <w:bookmarkStart w:id="12" w:name="_Toc518034135"/>
      <w:r w:rsidRPr="00D97FF1">
        <w:t>From institutions to community living - Part I: commitments and structures</w:t>
      </w:r>
      <w:bookmarkEnd w:id="12"/>
    </w:p>
    <w:p w14:paraId="675DFFAD" w14:textId="4DA0531E" w:rsidR="00D97FF1" w:rsidRDefault="00D97FF1" w:rsidP="004818AE">
      <w:pPr>
        <w:spacing w:after="0"/>
      </w:pPr>
      <w:r w:rsidRPr="00D97FF1">
        <w:t>For more detailed information:</w:t>
      </w:r>
      <w:r>
        <w:t xml:space="preserve"> </w:t>
      </w:r>
      <w:hyperlink r:id="rId14" w:history="1">
        <w:r w:rsidRPr="00580E70">
          <w:rPr>
            <w:rStyle w:val="Hyperlink"/>
          </w:rPr>
          <w:t>http://fra.europa.eu/en/publication/2017/independent-living-structures</w:t>
        </w:r>
      </w:hyperlink>
      <w:r>
        <w:t xml:space="preserve"> . Also available in easy-to-read: </w:t>
      </w:r>
      <w:hyperlink r:id="rId15" w:history="1">
        <w:r w:rsidRPr="00580E70">
          <w:rPr>
            <w:rStyle w:val="Hyperlink"/>
          </w:rPr>
          <w:t>http://fra.europa.eu/en/publication/2018/institutions-community-living-part-i-commitments-and-structures-easy-read</w:t>
        </w:r>
      </w:hyperlink>
      <w:r>
        <w:t xml:space="preserve"> .</w:t>
      </w:r>
    </w:p>
    <w:p w14:paraId="598F0146" w14:textId="5EA8D725" w:rsidR="001E66D9" w:rsidRDefault="001E66D9" w:rsidP="004818AE">
      <w:pPr>
        <w:spacing w:after="0"/>
      </w:pPr>
      <w:r>
        <w:t>“</w:t>
      </w:r>
      <w:r w:rsidRPr="001E66D9">
        <w:t>For 2014–2020, the European Commission identified a need for measures for the shift from institutional to community-ba</w:t>
      </w:r>
      <w:r>
        <w:t>sed care in 12 EU Member States […].</w:t>
      </w:r>
      <w:r w:rsidR="007B2B00">
        <w:t xml:space="preserve"> </w:t>
      </w:r>
      <w:r w:rsidR="007B2B00" w:rsidRPr="007B2B00">
        <w:t>In a further five Member States (</w:t>
      </w:r>
      <w:r w:rsidR="007B2B00" w:rsidRPr="007B2B00">
        <w:rPr>
          <w:bCs/>
        </w:rPr>
        <w:t>Denmark</w:t>
      </w:r>
      <w:r w:rsidR="007B2B00" w:rsidRPr="007B2B00">
        <w:t xml:space="preserve">, </w:t>
      </w:r>
      <w:r w:rsidR="007B2B00" w:rsidRPr="007B2B00">
        <w:rPr>
          <w:bCs/>
        </w:rPr>
        <w:t>Ireland</w:t>
      </w:r>
      <w:r w:rsidR="007B2B00" w:rsidRPr="007B2B00">
        <w:t xml:space="preserve">, </w:t>
      </w:r>
      <w:r w:rsidR="007B2B00" w:rsidRPr="007B2B00">
        <w:rPr>
          <w:b/>
          <w:bCs/>
        </w:rPr>
        <w:t>Malta</w:t>
      </w:r>
      <w:r w:rsidR="007B2B00" w:rsidRPr="007B2B00">
        <w:t xml:space="preserve">, </w:t>
      </w:r>
      <w:r w:rsidR="007B2B00" w:rsidRPr="007B2B00">
        <w:rPr>
          <w:bCs/>
        </w:rPr>
        <w:t xml:space="preserve">Portugal </w:t>
      </w:r>
      <w:r w:rsidR="007B2B00" w:rsidRPr="007B2B00">
        <w:t xml:space="preserve">and </w:t>
      </w:r>
      <w:r w:rsidR="007B2B00" w:rsidRPr="007B2B00">
        <w:rPr>
          <w:bCs/>
        </w:rPr>
        <w:t>Spain</w:t>
      </w:r>
      <w:r w:rsidR="007B2B00" w:rsidRPr="007B2B00">
        <w:t>), partnership agreements contain a commitment to deinstitutionalisation and identify measures to support the process, FRA’s review of 2014– 2020 partnership agreements between the European Commission and individual EU countries reveals</w:t>
      </w:r>
      <w:r w:rsidR="007B2B00">
        <w:t>.” (p. 10)</w:t>
      </w:r>
    </w:p>
    <w:p w14:paraId="6428C042" w14:textId="206BE9A7" w:rsidR="003D3B43" w:rsidRDefault="007B2B00" w:rsidP="004818AE">
      <w:pPr>
        <w:spacing w:after="0"/>
      </w:pPr>
      <w:r>
        <w:t>“</w:t>
      </w:r>
      <w:r w:rsidRPr="007B2B00">
        <w:t>FRA’s analysis indicates that most Member States with strat</w:t>
      </w:r>
      <w:r w:rsidRPr="007B2B00">
        <w:softHyphen/>
        <w:t>egies on or including deinstitutionalisation measures have set up mechanisms to monitor their implementa</w:t>
      </w:r>
      <w:r w:rsidRPr="007B2B00">
        <w:softHyphen/>
        <w:t xml:space="preserve">tion. However, the relevant strategies in </w:t>
      </w:r>
      <w:r w:rsidRPr="007B2B00">
        <w:rPr>
          <w:bCs/>
        </w:rPr>
        <w:t>Cyprus</w:t>
      </w:r>
      <w:r w:rsidRPr="007B2B00">
        <w:t xml:space="preserve">, </w:t>
      </w:r>
      <w:r w:rsidRPr="007B2B00">
        <w:rPr>
          <w:bCs/>
        </w:rPr>
        <w:t>Greece</w:t>
      </w:r>
      <w:r w:rsidRPr="007B2B00">
        <w:t xml:space="preserve">, </w:t>
      </w:r>
      <w:r w:rsidRPr="007B2B00">
        <w:rPr>
          <w:bCs/>
        </w:rPr>
        <w:t>Italy</w:t>
      </w:r>
      <w:r w:rsidRPr="007B2B00">
        <w:t xml:space="preserve">, </w:t>
      </w:r>
      <w:r w:rsidRPr="007B2B00">
        <w:rPr>
          <w:b/>
          <w:bCs/>
        </w:rPr>
        <w:t>Malta</w:t>
      </w:r>
      <w:r w:rsidRPr="007B2B00">
        <w:rPr>
          <w:bCs/>
        </w:rPr>
        <w:t xml:space="preserve"> </w:t>
      </w:r>
      <w:r w:rsidRPr="007B2B00">
        <w:t xml:space="preserve">and </w:t>
      </w:r>
      <w:r w:rsidRPr="007B2B00">
        <w:rPr>
          <w:bCs/>
        </w:rPr>
        <w:t xml:space="preserve">Romania </w:t>
      </w:r>
      <w:r w:rsidRPr="007B2B00">
        <w:t>do not include provi</w:t>
      </w:r>
      <w:r w:rsidRPr="007B2B00">
        <w:softHyphen/>
        <w:t>sions for any monitoring mechanisms.”</w:t>
      </w:r>
      <w:r w:rsidR="003D3B43">
        <w:t xml:space="preserve"> (p. 13)</w:t>
      </w:r>
    </w:p>
    <w:p w14:paraId="66EF68F5" w14:textId="77777777" w:rsidR="004818AE" w:rsidRDefault="004818AE" w:rsidP="004818AE">
      <w:pPr>
        <w:spacing w:after="0"/>
      </w:pPr>
    </w:p>
    <w:p w14:paraId="6409EB08" w14:textId="2A111AC3" w:rsidR="00D97FF1" w:rsidRDefault="00D97FF1" w:rsidP="004818AE">
      <w:pPr>
        <w:pStyle w:val="Heading2"/>
        <w:ind w:left="939"/>
      </w:pPr>
      <w:bookmarkStart w:id="13" w:name="_Toc518034136"/>
      <w:r w:rsidRPr="00D97FF1">
        <w:t>From institutions to community living - Part III: outcomes for persons with disabilities</w:t>
      </w:r>
      <w:bookmarkEnd w:id="13"/>
    </w:p>
    <w:p w14:paraId="5D231AA4" w14:textId="165CF574" w:rsidR="00D97FF1" w:rsidRDefault="00D97FF1" w:rsidP="004818AE">
      <w:pPr>
        <w:spacing w:after="0"/>
      </w:pPr>
      <w:r w:rsidRPr="00D97FF1">
        <w:t>For more detailed information:</w:t>
      </w:r>
      <w:r>
        <w:t xml:space="preserve"> </w:t>
      </w:r>
      <w:hyperlink r:id="rId16" w:history="1">
        <w:r w:rsidRPr="00580E70">
          <w:rPr>
            <w:rStyle w:val="Hyperlink"/>
          </w:rPr>
          <w:t>http://fra.europa.eu/en/publication/2017/independent-living-outcomes</w:t>
        </w:r>
      </w:hyperlink>
      <w:r>
        <w:t xml:space="preserve"> . Also available in easy-to-read: </w:t>
      </w:r>
      <w:hyperlink r:id="rId17" w:history="1">
        <w:r w:rsidRPr="00580E70">
          <w:rPr>
            <w:rStyle w:val="Hyperlink"/>
          </w:rPr>
          <w:t>http://fra.europa.eu/en/publication/2018/institutions-community-living-part-iii-outcomes-persons-disabilities-easy-read</w:t>
        </w:r>
      </w:hyperlink>
      <w:r>
        <w:t xml:space="preserve"> .</w:t>
      </w:r>
    </w:p>
    <w:p w14:paraId="0A647DBF" w14:textId="49E97ADA" w:rsidR="003D3B43" w:rsidRDefault="003D3B43" w:rsidP="004818AE">
      <w:pPr>
        <w:spacing w:after="0"/>
      </w:pPr>
      <w:r>
        <w:t>“</w:t>
      </w:r>
      <w:r w:rsidRPr="003D3B43">
        <w:t xml:space="preserve">Unsurprisingly, the smaller populations of </w:t>
      </w:r>
      <w:r w:rsidRPr="003D3B43">
        <w:rPr>
          <w:bCs/>
        </w:rPr>
        <w:t>Cyprus</w:t>
      </w:r>
      <w:r w:rsidRPr="003D3B43">
        <w:rPr>
          <w:b/>
          <w:bCs/>
        </w:rPr>
        <w:t xml:space="preserve"> </w:t>
      </w:r>
      <w:r w:rsidRPr="003D3B43">
        <w:t xml:space="preserve">and </w:t>
      </w:r>
      <w:r w:rsidRPr="003D3B43">
        <w:rPr>
          <w:b/>
          <w:bCs/>
        </w:rPr>
        <w:t xml:space="preserve">Malta </w:t>
      </w:r>
      <w:r w:rsidRPr="003D3B43">
        <w:t>mean lower numbers of assistive devices are provided.</w:t>
      </w:r>
      <w:r>
        <w:t xml:space="preserve"> </w:t>
      </w:r>
      <w:r w:rsidRPr="003D3B43">
        <w:t xml:space="preserve">In </w:t>
      </w:r>
      <w:r w:rsidRPr="003D3B43">
        <w:rPr>
          <w:b/>
        </w:rPr>
        <w:t>Malta</w:t>
      </w:r>
      <w:r w:rsidRPr="003D3B43">
        <w:t>, 374 persons obtained funds from the special apparatus fund in 2014.</w:t>
      </w:r>
      <w:r>
        <w:t>” (p. 20)</w:t>
      </w:r>
    </w:p>
    <w:p w14:paraId="1D1AD9BC" w14:textId="51E368A3" w:rsidR="003D3B43" w:rsidRDefault="003D3B43" w:rsidP="004818AE">
      <w:pPr>
        <w:spacing w:after="0"/>
      </w:pPr>
      <w:r>
        <w:t>“</w:t>
      </w:r>
      <w:r w:rsidRPr="003D3B43">
        <w:t>On average, persons with disabilities in the EU are more likely than other persons to have difficulty in using general services commonly available to the public</w:t>
      </w:r>
      <w:r>
        <w:t xml:space="preserve">. </w:t>
      </w:r>
      <w:r w:rsidRPr="003D3B43">
        <w:t xml:space="preserve">The ‘disability gap’ varies across EU Member States and different services. It is comparatively low in </w:t>
      </w:r>
      <w:r w:rsidRPr="003D3B43">
        <w:rPr>
          <w:bCs/>
        </w:rPr>
        <w:t>Luxembourg</w:t>
      </w:r>
      <w:r w:rsidRPr="003D3B43">
        <w:t xml:space="preserve">, </w:t>
      </w:r>
      <w:r w:rsidRPr="003D3B43">
        <w:rPr>
          <w:b/>
          <w:bCs/>
        </w:rPr>
        <w:t>Malta</w:t>
      </w:r>
      <w:r w:rsidRPr="003D3B43">
        <w:rPr>
          <w:bCs/>
        </w:rPr>
        <w:t xml:space="preserve"> </w:t>
      </w:r>
      <w:r w:rsidRPr="003D3B43">
        <w:t xml:space="preserve">and </w:t>
      </w:r>
      <w:r w:rsidRPr="003D3B43">
        <w:rPr>
          <w:bCs/>
        </w:rPr>
        <w:t>Poland</w:t>
      </w:r>
      <w:r w:rsidRPr="003D3B43">
        <w:t>, and non-existent in France.</w:t>
      </w:r>
      <w:r>
        <w:t>” (p. 23)</w:t>
      </w:r>
    </w:p>
    <w:p w14:paraId="4D672CB8" w14:textId="77777777" w:rsidR="00D97FF1" w:rsidRPr="00D97FF1" w:rsidRDefault="00D97FF1" w:rsidP="00D97FF1"/>
    <w:p w14:paraId="3C7E58F4" w14:textId="0BF8A7F8" w:rsidR="008152A5" w:rsidRDefault="00281962" w:rsidP="004818AE">
      <w:pPr>
        <w:pStyle w:val="Heading2"/>
        <w:ind w:left="939"/>
      </w:pPr>
      <w:bookmarkStart w:id="14" w:name="_Toc518034137"/>
      <w:r w:rsidRPr="001B79F3">
        <w:lastRenderedPageBreak/>
        <w:t>Violence against children with disabilities: legislation, policies and programmes in the EU report (2015)</w:t>
      </w:r>
      <w:bookmarkEnd w:id="14"/>
    </w:p>
    <w:p w14:paraId="5DAF0577" w14:textId="207D2FE5" w:rsidR="00116EA9" w:rsidRDefault="00281962" w:rsidP="004818AE">
      <w:pPr>
        <w:spacing w:after="0"/>
        <w:rPr>
          <w:rFonts w:cs="DaxlinePro-RegularItalic"/>
          <w:iCs/>
          <w:sz w:val="24"/>
          <w:szCs w:val="24"/>
        </w:rPr>
      </w:pPr>
      <w:r w:rsidRPr="001114EE">
        <w:rPr>
          <w:color w:val="000000" w:themeColor="text1"/>
          <w:sz w:val="24"/>
          <w:szCs w:val="24"/>
        </w:rPr>
        <w:t>For more detailed information:</w:t>
      </w:r>
      <w:r w:rsidRPr="001114EE">
        <w:rPr>
          <w:sz w:val="24"/>
          <w:szCs w:val="24"/>
        </w:rPr>
        <w:t xml:space="preserve"> </w:t>
      </w:r>
      <w:hyperlink r:id="rId18" w:history="1">
        <w:r w:rsidRPr="001114EE">
          <w:rPr>
            <w:rStyle w:val="Hyperlink"/>
            <w:sz w:val="24"/>
            <w:szCs w:val="24"/>
          </w:rPr>
          <w:t>http://fra.europa.eu/en/publication/2015/children-disabilities-violence</w:t>
        </w:r>
      </w:hyperlink>
      <w:r w:rsidR="00E9518E">
        <w:rPr>
          <w:rStyle w:val="Hyperlink"/>
          <w:sz w:val="24"/>
          <w:szCs w:val="24"/>
          <w:u w:val="none"/>
        </w:rPr>
        <w:t xml:space="preserve">. </w:t>
      </w:r>
      <w:r w:rsidR="008152A5" w:rsidRPr="001114EE">
        <w:rPr>
          <w:rFonts w:cs="DaxlinePro-RegularItalic"/>
          <w:iCs/>
          <w:sz w:val="24"/>
          <w:szCs w:val="24"/>
        </w:rPr>
        <w:t xml:space="preserve">Also available in easy-to-read: </w:t>
      </w:r>
      <w:hyperlink r:id="rId19" w:history="1">
        <w:r w:rsidR="008152A5" w:rsidRPr="001114EE">
          <w:rPr>
            <w:rStyle w:val="Hyperlink"/>
            <w:rFonts w:cs="DaxlinePro-RegularItalic"/>
            <w:iCs/>
            <w:sz w:val="24"/>
            <w:szCs w:val="24"/>
          </w:rPr>
          <w:t>http://fra.europa.eu/en/publication/2015/violence-against-children-disabilities</w:t>
        </w:r>
      </w:hyperlink>
      <w:r w:rsidR="008152A5" w:rsidRPr="001114EE">
        <w:rPr>
          <w:rFonts w:cs="DaxlinePro-RegularItalic"/>
          <w:iCs/>
          <w:sz w:val="24"/>
          <w:szCs w:val="24"/>
        </w:rPr>
        <w:t>.</w:t>
      </w:r>
    </w:p>
    <w:p w14:paraId="489F4D06" w14:textId="47697654" w:rsidR="00E15F49" w:rsidRDefault="00E15F49" w:rsidP="004818AE">
      <w:pPr>
        <w:spacing w:after="0"/>
        <w:rPr>
          <w:rFonts w:cs="DaxlinePro-RegularItalic"/>
          <w:iCs/>
          <w:sz w:val="24"/>
          <w:szCs w:val="24"/>
        </w:rPr>
      </w:pPr>
      <w:r>
        <w:rPr>
          <w:rFonts w:cs="DaxlinePro-RegularItalic"/>
          <w:iCs/>
          <w:sz w:val="24"/>
          <w:szCs w:val="24"/>
        </w:rPr>
        <w:t>“</w:t>
      </w:r>
      <w:r w:rsidRPr="00E15F49">
        <w:rPr>
          <w:rFonts w:cs="DaxlinePro-RegularItalic"/>
          <w:iCs/>
          <w:sz w:val="24"/>
          <w:szCs w:val="24"/>
        </w:rPr>
        <w:t xml:space="preserve">FRA research reveals that all Member States except for Germany, </w:t>
      </w:r>
      <w:r w:rsidRPr="00E15F49">
        <w:rPr>
          <w:rFonts w:cs="DaxlinePro-RegularItalic"/>
          <w:b/>
          <w:iCs/>
          <w:sz w:val="24"/>
          <w:szCs w:val="24"/>
        </w:rPr>
        <w:t>Malta</w:t>
      </w:r>
      <w:r w:rsidRPr="00E15F49">
        <w:rPr>
          <w:rFonts w:cs="DaxlinePro-RegularItalic"/>
          <w:iCs/>
          <w:sz w:val="24"/>
          <w:szCs w:val="24"/>
        </w:rPr>
        <w:t xml:space="preserve"> and the Netherlands have legisla</w:t>
      </w:r>
      <w:r w:rsidRPr="00E15F49">
        <w:rPr>
          <w:rFonts w:cs="DaxlinePro-RegularItalic"/>
          <w:iCs/>
          <w:sz w:val="24"/>
          <w:szCs w:val="24"/>
        </w:rPr>
        <w:softHyphen/>
        <w:t>tion obliging professionals who work with children to report child abuse, neglect and violence.</w:t>
      </w:r>
      <w:r>
        <w:rPr>
          <w:rFonts w:cs="DaxlinePro-RegularItalic"/>
          <w:iCs/>
          <w:sz w:val="24"/>
          <w:szCs w:val="24"/>
        </w:rPr>
        <w:t>” (p. 40)</w:t>
      </w:r>
    </w:p>
    <w:p w14:paraId="33ED4DC2" w14:textId="27999548" w:rsidR="00E15F49" w:rsidRDefault="00E15F49" w:rsidP="004818AE">
      <w:pPr>
        <w:spacing w:after="0"/>
        <w:rPr>
          <w:rFonts w:cs="DaxlinePro-RegularItalic"/>
          <w:iCs/>
          <w:sz w:val="24"/>
          <w:szCs w:val="24"/>
        </w:rPr>
      </w:pPr>
      <w:r>
        <w:rPr>
          <w:rFonts w:cs="DaxlinePro-RegularItalic"/>
          <w:iCs/>
          <w:sz w:val="24"/>
          <w:szCs w:val="24"/>
        </w:rPr>
        <w:t>“</w:t>
      </w:r>
      <w:r w:rsidRPr="00E15F49">
        <w:rPr>
          <w:rFonts w:cs="DaxlinePro-RegularItalic"/>
          <w:iCs/>
          <w:sz w:val="24"/>
          <w:szCs w:val="24"/>
        </w:rPr>
        <w:t>The CRC Committee has expressed serious concerns about the high number of children with disabilities placed in institutions, reiterating, for example, the need for alter</w:t>
      </w:r>
      <w:r w:rsidRPr="00E15F49">
        <w:rPr>
          <w:rFonts w:cs="DaxlinePro-RegularItalic"/>
          <w:iCs/>
          <w:sz w:val="24"/>
          <w:szCs w:val="24"/>
        </w:rPr>
        <w:softHyphen/>
        <w:t>natives to institutionalisation in its Concluding Obser</w:t>
      </w:r>
      <w:r w:rsidRPr="00E15F49">
        <w:rPr>
          <w:rFonts w:cs="DaxlinePro-RegularItalic"/>
          <w:iCs/>
          <w:sz w:val="24"/>
          <w:szCs w:val="24"/>
        </w:rPr>
        <w:softHyphen/>
        <w:t xml:space="preserve">vations to Austria, Greece and </w:t>
      </w:r>
      <w:r w:rsidRPr="00E15F49">
        <w:rPr>
          <w:rFonts w:cs="DaxlinePro-RegularItalic"/>
          <w:b/>
          <w:iCs/>
          <w:sz w:val="24"/>
          <w:szCs w:val="24"/>
        </w:rPr>
        <w:t>Malta</w:t>
      </w:r>
      <w:r w:rsidRPr="00E15F49">
        <w:rPr>
          <w:rFonts w:cs="DaxlinePro-RegularItalic"/>
          <w:iCs/>
          <w:sz w:val="24"/>
          <w:szCs w:val="24"/>
        </w:rPr>
        <w:t>, as well as in its General Comment No. 9.</w:t>
      </w:r>
      <w:r>
        <w:rPr>
          <w:rFonts w:cs="DaxlinePro-RegularItalic"/>
          <w:iCs/>
          <w:sz w:val="24"/>
          <w:szCs w:val="24"/>
        </w:rPr>
        <w:t>” (p. 74)</w:t>
      </w:r>
    </w:p>
    <w:p w14:paraId="3B13929A" w14:textId="0F89B084" w:rsidR="00AD4A15" w:rsidRDefault="00AD4A15" w:rsidP="004818AE">
      <w:pPr>
        <w:spacing w:after="0"/>
        <w:rPr>
          <w:rFonts w:cs="DaxlinePro-RegularItalic"/>
          <w:iCs/>
          <w:sz w:val="24"/>
          <w:szCs w:val="24"/>
        </w:rPr>
      </w:pPr>
      <w:r>
        <w:rPr>
          <w:rFonts w:cs="DaxlinePro-RegularItalic"/>
          <w:iCs/>
          <w:sz w:val="24"/>
          <w:szCs w:val="24"/>
        </w:rPr>
        <w:t>“</w:t>
      </w:r>
      <w:r w:rsidRPr="00AD4A15">
        <w:rPr>
          <w:rFonts w:cs="DaxlinePro-RegularItalic"/>
          <w:iCs/>
          <w:sz w:val="24"/>
          <w:szCs w:val="24"/>
        </w:rPr>
        <w:t>National bodies tasked with protecting and promot</w:t>
      </w:r>
      <w:r w:rsidRPr="00AD4A15">
        <w:rPr>
          <w:rFonts w:cs="DaxlinePro-RegularItalic"/>
          <w:iCs/>
          <w:sz w:val="24"/>
          <w:szCs w:val="24"/>
        </w:rPr>
        <w:softHyphen/>
        <w:t>ing human rights also have the right to visit and monitor different institutions, including long</w:t>
      </w:r>
      <w:r w:rsidRPr="00AD4A15">
        <w:rPr>
          <w:rFonts w:cs="DaxlinePro-RegularItalic"/>
          <w:iCs/>
          <w:sz w:val="24"/>
          <w:szCs w:val="24"/>
        </w:rPr>
        <w:noBreakHyphen/>
        <w:t>term care institutions for people with disabilities and dis</w:t>
      </w:r>
      <w:r w:rsidRPr="00AD4A15">
        <w:rPr>
          <w:rFonts w:cs="DaxlinePro-RegularItalic"/>
          <w:iCs/>
          <w:sz w:val="24"/>
          <w:szCs w:val="24"/>
        </w:rPr>
        <w:softHyphen/>
        <w:t>ability day centres.</w:t>
      </w:r>
      <w:r>
        <w:rPr>
          <w:rFonts w:cs="DaxlinePro-RegularItalic"/>
          <w:iCs/>
          <w:sz w:val="24"/>
          <w:szCs w:val="24"/>
        </w:rPr>
        <w:t xml:space="preserve"> </w:t>
      </w:r>
      <w:r w:rsidRPr="00AD4A15">
        <w:rPr>
          <w:rFonts w:cs="DaxlinePro-RegularItalic"/>
          <w:iCs/>
          <w:sz w:val="24"/>
          <w:szCs w:val="24"/>
        </w:rPr>
        <w:t>In some countries, there is a dedicated ombudsperson for children or child commissioners. This is the case in Cyprus, Fin</w:t>
      </w:r>
      <w:r w:rsidRPr="00AD4A15">
        <w:rPr>
          <w:rFonts w:cs="DaxlinePro-RegularItalic"/>
          <w:iCs/>
          <w:sz w:val="24"/>
          <w:szCs w:val="24"/>
        </w:rPr>
        <w:softHyphen/>
        <w:t xml:space="preserve">land, Croatia, Ireland, Italy, Lithuania, Luxemburg, </w:t>
      </w:r>
      <w:r w:rsidRPr="00AD4A15">
        <w:rPr>
          <w:rFonts w:cs="DaxlinePro-RegularItalic"/>
          <w:b/>
          <w:iCs/>
          <w:sz w:val="24"/>
          <w:szCs w:val="24"/>
        </w:rPr>
        <w:t>Malta</w:t>
      </w:r>
      <w:r w:rsidRPr="00AD4A15">
        <w:rPr>
          <w:rFonts w:cs="DaxlinePro-RegularItalic"/>
          <w:iCs/>
          <w:sz w:val="24"/>
          <w:szCs w:val="24"/>
        </w:rPr>
        <w:t>, the Netherlands, some regions of Spain, Po</w:t>
      </w:r>
      <w:r w:rsidRPr="00AD4A15">
        <w:rPr>
          <w:rFonts w:cs="DaxlinePro-RegularItalic"/>
          <w:iCs/>
          <w:sz w:val="24"/>
          <w:szCs w:val="24"/>
        </w:rPr>
        <w:softHyphen/>
        <w:t>land, Sweden and the United Kingdom</w:t>
      </w:r>
      <w:r>
        <w:rPr>
          <w:rFonts w:cs="DaxlinePro-RegularItalic"/>
          <w:iCs/>
          <w:sz w:val="24"/>
          <w:szCs w:val="24"/>
        </w:rPr>
        <w:t>.” (p. 76)</w:t>
      </w:r>
    </w:p>
    <w:p w14:paraId="0980A729" w14:textId="75730762" w:rsidR="00E15F49" w:rsidRDefault="00AD4A15" w:rsidP="002D605B">
      <w:pPr>
        <w:rPr>
          <w:rFonts w:cs="DaxlinePro-RegularItalic"/>
          <w:iCs/>
          <w:sz w:val="24"/>
          <w:szCs w:val="24"/>
        </w:rPr>
      </w:pPr>
      <w:r>
        <w:rPr>
          <w:rFonts w:cs="DaxlinePro-RegularItalic"/>
          <w:iCs/>
          <w:noProof/>
          <w:sz w:val="24"/>
          <w:szCs w:val="24"/>
          <w:lang w:eastAsia="en-IE"/>
        </w:rPr>
        <w:drawing>
          <wp:inline distT="0" distB="0" distL="0" distR="0" wp14:anchorId="58EF3CC0" wp14:editId="3CAE62AD">
            <wp:extent cx="5731510" cy="69977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PD3.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699770"/>
                    </a:xfrm>
                    <a:prstGeom prst="rect">
                      <a:avLst/>
                    </a:prstGeom>
                  </pic:spPr>
                </pic:pic>
              </a:graphicData>
            </a:graphic>
          </wp:inline>
        </w:drawing>
      </w:r>
    </w:p>
    <w:p w14:paraId="4D86DF0D" w14:textId="6531A2B0" w:rsidR="007637C6" w:rsidRDefault="00AD4A15" w:rsidP="007637C6">
      <w:pPr>
        <w:autoSpaceDE w:val="0"/>
        <w:autoSpaceDN w:val="0"/>
        <w:adjustRightInd w:val="0"/>
        <w:spacing w:after="100" w:line="185" w:lineRule="atLeast"/>
        <w:rPr>
          <w:rFonts w:cs="DaxlinePro-Regular"/>
          <w:color w:val="000000"/>
          <w:sz w:val="24"/>
          <w:szCs w:val="24"/>
        </w:rPr>
      </w:pPr>
      <w:r>
        <w:rPr>
          <w:rFonts w:cs="DaxlinePro-Regular"/>
          <w:noProof/>
          <w:color w:val="000000"/>
          <w:sz w:val="24"/>
          <w:szCs w:val="24"/>
          <w:lang w:eastAsia="en-IE"/>
        </w:rPr>
        <w:drawing>
          <wp:inline distT="0" distB="0" distL="0" distR="0" wp14:anchorId="7861E275" wp14:editId="113BAC2A">
            <wp:extent cx="5731510" cy="125476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RPD4.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1254760"/>
                    </a:xfrm>
                    <a:prstGeom prst="rect">
                      <a:avLst/>
                    </a:prstGeom>
                  </pic:spPr>
                </pic:pic>
              </a:graphicData>
            </a:graphic>
          </wp:inline>
        </w:drawing>
      </w:r>
      <w:r>
        <w:rPr>
          <w:rFonts w:cs="DaxlinePro-Regular"/>
          <w:color w:val="000000"/>
          <w:sz w:val="24"/>
          <w:szCs w:val="24"/>
        </w:rPr>
        <w:t xml:space="preserve"> (p. 95)</w:t>
      </w:r>
    </w:p>
    <w:p w14:paraId="2E9CF3EE" w14:textId="77777777" w:rsidR="001D62AF" w:rsidRPr="007637C6" w:rsidRDefault="001D62AF" w:rsidP="007637C6">
      <w:pPr>
        <w:autoSpaceDE w:val="0"/>
        <w:autoSpaceDN w:val="0"/>
        <w:adjustRightInd w:val="0"/>
        <w:spacing w:after="100" w:line="185" w:lineRule="atLeast"/>
        <w:rPr>
          <w:rFonts w:cs="DaxlinePro-Regular"/>
          <w:color w:val="000000"/>
          <w:sz w:val="24"/>
          <w:szCs w:val="24"/>
        </w:rPr>
      </w:pPr>
    </w:p>
    <w:p w14:paraId="52599D57" w14:textId="77777777" w:rsidR="00281962" w:rsidRPr="004C24D1" w:rsidRDefault="00281962" w:rsidP="004818AE">
      <w:pPr>
        <w:pStyle w:val="Heading2"/>
        <w:ind w:left="939"/>
      </w:pPr>
      <w:bookmarkStart w:id="15" w:name="_Toc518034138"/>
      <w:r w:rsidRPr="004C24D1">
        <w:t>Implementing the UN CRPD: An overview of legal reforms in EU Member States (2015)</w:t>
      </w:r>
      <w:bookmarkEnd w:id="15"/>
      <w:r w:rsidRPr="004C24D1">
        <w:t xml:space="preserve"> </w:t>
      </w:r>
    </w:p>
    <w:p w14:paraId="431D1950" w14:textId="406C0437" w:rsidR="00281962" w:rsidRDefault="00281962" w:rsidP="004818AE">
      <w:pPr>
        <w:spacing w:after="0"/>
        <w:rPr>
          <w:sz w:val="24"/>
          <w:szCs w:val="24"/>
        </w:rPr>
      </w:pPr>
      <w:r w:rsidRPr="001B79F3">
        <w:rPr>
          <w:color w:val="000000" w:themeColor="text1"/>
          <w:sz w:val="24"/>
          <w:szCs w:val="24"/>
        </w:rPr>
        <w:t>For more detailed information</w:t>
      </w:r>
      <w:r w:rsidRPr="001B79F3">
        <w:rPr>
          <w:sz w:val="24"/>
          <w:szCs w:val="24"/>
        </w:rPr>
        <w:t xml:space="preserve">: </w:t>
      </w:r>
      <w:hyperlink r:id="rId22" w:history="1">
        <w:r w:rsidRPr="001B79F3">
          <w:rPr>
            <w:rStyle w:val="Hyperlink"/>
            <w:sz w:val="24"/>
            <w:szCs w:val="24"/>
          </w:rPr>
          <w:t>http://fra.europa.eu/sites/default/files/fra-2015-focus-05-2015-crpd_en.pdf</w:t>
        </w:r>
      </w:hyperlink>
      <w:r w:rsidR="00561A3B" w:rsidRPr="00561A3B">
        <w:rPr>
          <w:rStyle w:val="Hyperlink"/>
          <w:color w:val="auto"/>
          <w:sz w:val="24"/>
          <w:szCs w:val="24"/>
          <w:u w:val="none"/>
        </w:rPr>
        <w:t>.</w:t>
      </w:r>
      <w:r w:rsidRPr="001B79F3">
        <w:rPr>
          <w:sz w:val="24"/>
          <w:szCs w:val="24"/>
        </w:rPr>
        <w:t xml:space="preserve"> </w:t>
      </w:r>
    </w:p>
    <w:p w14:paraId="0D16C64B" w14:textId="73AA1880" w:rsidR="00E9518E" w:rsidRDefault="00E9518E" w:rsidP="004818AE">
      <w:pPr>
        <w:spacing w:after="0"/>
        <w:rPr>
          <w:sz w:val="24"/>
          <w:szCs w:val="24"/>
        </w:rPr>
      </w:pPr>
      <w:r>
        <w:rPr>
          <w:sz w:val="24"/>
          <w:szCs w:val="24"/>
        </w:rPr>
        <w:t>“</w:t>
      </w:r>
      <w:r w:rsidRPr="00E9518E">
        <w:rPr>
          <w:sz w:val="24"/>
          <w:szCs w:val="24"/>
        </w:rPr>
        <w:t xml:space="preserve">Following their ratification of the CRPD, several Member States have established systematic mechanisms for people with disabilities to be consulted on legislative processes that affect them. In </w:t>
      </w:r>
      <w:r w:rsidRPr="00E9518E">
        <w:rPr>
          <w:b/>
          <w:bCs/>
          <w:sz w:val="24"/>
          <w:szCs w:val="24"/>
        </w:rPr>
        <w:t>Malta</w:t>
      </w:r>
      <w:r w:rsidRPr="00E9518E">
        <w:rPr>
          <w:sz w:val="24"/>
          <w:szCs w:val="24"/>
        </w:rPr>
        <w:t xml:space="preserve">, a consultative body for the rights of people with disabilities was established. </w:t>
      </w:r>
      <w:r w:rsidRPr="00E9518E">
        <w:rPr>
          <w:sz w:val="24"/>
          <w:szCs w:val="24"/>
        </w:rPr>
        <w:lastRenderedPageBreak/>
        <w:t>Bringing together people with disabilities, service providers, activists, policy makers, academics and relevant professionals, the body was heavily involved in the preparation of the National Disability Policy in 2014.</w:t>
      </w:r>
      <w:r>
        <w:rPr>
          <w:sz w:val="24"/>
          <w:szCs w:val="24"/>
        </w:rPr>
        <w:t>” (p. 7)</w:t>
      </w:r>
    </w:p>
    <w:p w14:paraId="51E65FCB" w14:textId="32BB09E3" w:rsidR="001C6763" w:rsidRDefault="00E9518E" w:rsidP="004818AE">
      <w:pPr>
        <w:spacing w:after="0"/>
        <w:rPr>
          <w:sz w:val="24"/>
          <w:szCs w:val="24"/>
        </w:rPr>
      </w:pPr>
      <w:r>
        <w:rPr>
          <w:sz w:val="24"/>
          <w:szCs w:val="24"/>
        </w:rPr>
        <w:t>“</w:t>
      </w:r>
      <w:r w:rsidRPr="00E9518E">
        <w:rPr>
          <w:sz w:val="24"/>
          <w:szCs w:val="24"/>
        </w:rPr>
        <w:t xml:space="preserve">Member States, including the </w:t>
      </w:r>
      <w:r w:rsidRPr="00E9518E">
        <w:rPr>
          <w:bCs/>
          <w:sz w:val="24"/>
          <w:szCs w:val="24"/>
        </w:rPr>
        <w:t>Czech Republic</w:t>
      </w:r>
      <w:r w:rsidRPr="00E9518E">
        <w:rPr>
          <w:sz w:val="24"/>
          <w:szCs w:val="24"/>
        </w:rPr>
        <w:t xml:space="preserve">, </w:t>
      </w:r>
      <w:r w:rsidRPr="00E9518E">
        <w:rPr>
          <w:bCs/>
          <w:sz w:val="24"/>
          <w:szCs w:val="24"/>
        </w:rPr>
        <w:t>Hungary</w:t>
      </w:r>
      <w:r w:rsidRPr="00E9518E">
        <w:rPr>
          <w:sz w:val="24"/>
          <w:szCs w:val="24"/>
        </w:rPr>
        <w:t xml:space="preserve">, </w:t>
      </w:r>
      <w:r w:rsidRPr="00E9518E">
        <w:rPr>
          <w:bCs/>
          <w:sz w:val="24"/>
          <w:szCs w:val="24"/>
        </w:rPr>
        <w:t>Latvia</w:t>
      </w:r>
      <w:r w:rsidRPr="00E9518E">
        <w:rPr>
          <w:b/>
          <w:bCs/>
          <w:sz w:val="24"/>
          <w:szCs w:val="24"/>
        </w:rPr>
        <w:t xml:space="preserve"> </w:t>
      </w:r>
      <w:r w:rsidRPr="00E9518E">
        <w:rPr>
          <w:sz w:val="24"/>
          <w:szCs w:val="24"/>
        </w:rPr>
        <w:t xml:space="preserve">and </w:t>
      </w:r>
      <w:r w:rsidRPr="00E9518E">
        <w:rPr>
          <w:b/>
          <w:bCs/>
          <w:sz w:val="24"/>
          <w:szCs w:val="24"/>
        </w:rPr>
        <w:t>Malta</w:t>
      </w:r>
      <w:r w:rsidRPr="00E9518E">
        <w:rPr>
          <w:sz w:val="24"/>
          <w:szCs w:val="24"/>
        </w:rPr>
        <w:t>, have reformed their civil codes to comply with Article 12, although in several cases the law continues to permit some restrictions on legal capacity.</w:t>
      </w:r>
      <w:r>
        <w:rPr>
          <w:sz w:val="24"/>
          <w:szCs w:val="24"/>
        </w:rPr>
        <w:t xml:space="preserve"> </w:t>
      </w:r>
      <w:r w:rsidRPr="00E9518E">
        <w:rPr>
          <w:sz w:val="24"/>
          <w:szCs w:val="24"/>
        </w:rPr>
        <w:t xml:space="preserve">In </w:t>
      </w:r>
      <w:r w:rsidRPr="00E9518E">
        <w:rPr>
          <w:b/>
          <w:bCs/>
          <w:sz w:val="24"/>
          <w:szCs w:val="24"/>
        </w:rPr>
        <w:t>Malta</w:t>
      </w:r>
      <w:r w:rsidRPr="00E9518E">
        <w:rPr>
          <w:sz w:val="24"/>
          <w:szCs w:val="24"/>
        </w:rPr>
        <w:t>, the Civil Code was amended in December 2012 to introduce a system of guardianship to replace incapacitation for people with disabilities. The legislation now states that “a major who has a mental disorder or other condition which renders him incapable of taking care of his own affairs may be subject to guardianship”. In addition, the legislation includes the establishment, which took place in 2014, of a Guardianship Board to regulate how guardianship orders are issued and implemented</w:t>
      </w:r>
      <w:r>
        <w:rPr>
          <w:sz w:val="24"/>
          <w:szCs w:val="24"/>
        </w:rPr>
        <w:t>.” (p. 9)</w:t>
      </w:r>
    </w:p>
    <w:p w14:paraId="4C77143E" w14:textId="77777777" w:rsidR="004818AE" w:rsidRPr="004818AE" w:rsidRDefault="004818AE" w:rsidP="004818AE">
      <w:pPr>
        <w:spacing w:after="0"/>
        <w:rPr>
          <w:rStyle w:val="Hyperlink"/>
          <w:color w:val="auto"/>
          <w:sz w:val="24"/>
          <w:szCs w:val="24"/>
          <w:u w:val="none"/>
        </w:rPr>
      </w:pPr>
    </w:p>
    <w:p w14:paraId="423BDD22" w14:textId="77777777" w:rsidR="00281962" w:rsidRPr="001B79F3" w:rsidRDefault="00281962" w:rsidP="004818AE">
      <w:pPr>
        <w:pStyle w:val="Heading2"/>
        <w:ind w:left="939"/>
      </w:pPr>
      <w:bookmarkStart w:id="16" w:name="_Toc518034139"/>
      <w:r w:rsidRPr="001B79F3">
        <w:t>The right to political participation for persons with disabilities: human rights indicators (2014)</w:t>
      </w:r>
      <w:bookmarkEnd w:id="16"/>
    </w:p>
    <w:p w14:paraId="2B1D4A9A" w14:textId="5DA0A183" w:rsidR="00281962" w:rsidRDefault="00281962" w:rsidP="004818AE">
      <w:pPr>
        <w:spacing w:after="0"/>
        <w:rPr>
          <w:sz w:val="24"/>
          <w:szCs w:val="24"/>
        </w:rPr>
      </w:pPr>
      <w:r w:rsidRPr="001B79F3">
        <w:rPr>
          <w:color w:val="000000" w:themeColor="text1"/>
          <w:sz w:val="24"/>
          <w:szCs w:val="24"/>
        </w:rPr>
        <w:t xml:space="preserve">For more detailed information: </w:t>
      </w:r>
      <w:hyperlink r:id="rId23" w:history="1">
        <w:r w:rsidRPr="001B79F3">
          <w:rPr>
            <w:rStyle w:val="Hyperlink"/>
            <w:sz w:val="24"/>
            <w:szCs w:val="24"/>
          </w:rPr>
          <w:t>http://fra.europa.eu/en/publication/2014/right-political-participation-persons-disabilities-human-rights-indicators</w:t>
        </w:r>
      </w:hyperlink>
      <w:r w:rsidR="006F4931" w:rsidRPr="001B79F3">
        <w:rPr>
          <w:rStyle w:val="Hyperlink"/>
          <w:color w:val="auto"/>
          <w:sz w:val="24"/>
          <w:szCs w:val="24"/>
          <w:u w:val="none"/>
        </w:rPr>
        <w:t>.</w:t>
      </w:r>
      <w:r w:rsidR="004F7947">
        <w:rPr>
          <w:sz w:val="24"/>
          <w:szCs w:val="24"/>
        </w:rPr>
        <w:t xml:space="preserve"> </w:t>
      </w:r>
    </w:p>
    <w:p w14:paraId="44915E32" w14:textId="5ABF7C0B" w:rsidR="00E9518E" w:rsidRDefault="00E9518E" w:rsidP="002D605B">
      <w:pPr>
        <w:rPr>
          <w:sz w:val="24"/>
          <w:szCs w:val="24"/>
        </w:rPr>
      </w:pPr>
      <w:r>
        <w:rPr>
          <w:noProof/>
          <w:sz w:val="24"/>
          <w:szCs w:val="24"/>
          <w:lang w:eastAsia="en-IE"/>
        </w:rPr>
        <w:drawing>
          <wp:inline distT="0" distB="0" distL="0" distR="0" wp14:anchorId="6E81707A" wp14:editId="5A3857D0">
            <wp:extent cx="24384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RPD2.PNG"/>
                    <pic:cNvPicPr/>
                  </pic:nvPicPr>
                  <pic:blipFill>
                    <a:blip r:embed="rId24">
                      <a:extLst>
                        <a:ext uri="{28A0092B-C50C-407E-A947-70E740481C1C}">
                          <a14:useLocalDpi xmlns:a14="http://schemas.microsoft.com/office/drawing/2010/main" val="0"/>
                        </a:ext>
                      </a:extLst>
                    </a:blip>
                    <a:stretch>
                      <a:fillRect/>
                    </a:stretch>
                  </pic:blipFill>
                  <pic:spPr>
                    <a:xfrm>
                      <a:off x="0" y="0"/>
                      <a:ext cx="2441722" cy="3347830"/>
                    </a:xfrm>
                    <a:prstGeom prst="rect">
                      <a:avLst/>
                    </a:prstGeom>
                  </pic:spPr>
                </pic:pic>
              </a:graphicData>
            </a:graphic>
          </wp:inline>
        </w:drawing>
      </w:r>
      <w:r w:rsidR="006A7EDA">
        <w:rPr>
          <w:sz w:val="24"/>
          <w:szCs w:val="24"/>
        </w:rPr>
        <w:t xml:space="preserve">  (p. 25)</w:t>
      </w:r>
    </w:p>
    <w:p w14:paraId="7F06AA7A" w14:textId="3B218BB5" w:rsidR="006A7EDA" w:rsidRDefault="006A7EDA" w:rsidP="004818AE">
      <w:pPr>
        <w:spacing w:after="0"/>
        <w:rPr>
          <w:sz w:val="24"/>
          <w:szCs w:val="24"/>
        </w:rPr>
      </w:pPr>
      <w:r>
        <w:rPr>
          <w:sz w:val="24"/>
          <w:szCs w:val="24"/>
        </w:rPr>
        <w:t>“</w:t>
      </w:r>
      <w:r w:rsidRPr="006A7EDA">
        <w:rPr>
          <w:b/>
          <w:bCs/>
          <w:sz w:val="24"/>
          <w:szCs w:val="24"/>
        </w:rPr>
        <w:t xml:space="preserve">Malta </w:t>
      </w:r>
      <w:r w:rsidRPr="006A7EDA">
        <w:rPr>
          <w:sz w:val="24"/>
          <w:szCs w:val="24"/>
        </w:rPr>
        <w:t xml:space="preserve">is the only </w:t>
      </w:r>
      <w:r>
        <w:rPr>
          <w:sz w:val="24"/>
          <w:szCs w:val="24"/>
        </w:rPr>
        <w:t xml:space="preserve">EU Member State that has made a </w:t>
      </w:r>
      <w:r w:rsidRPr="006A7EDA">
        <w:rPr>
          <w:sz w:val="24"/>
          <w:szCs w:val="24"/>
        </w:rPr>
        <w:t>reservation to Article 29 of the CPRD upon ratification</w:t>
      </w:r>
      <w:r>
        <w:rPr>
          <w:sz w:val="24"/>
          <w:szCs w:val="24"/>
        </w:rPr>
        <w:t xml:space="preserve"> </w:t>
      </w:r>
      <w:r w:rsidRPr="006A7EDA">
        <w:rPr>
          <w:sz w:val="24"/>
          <w:szCs w:val="24"/>
        </w:rPr>
        <w:t>of the CRPD</w:t>
      </w:r>
      <w:r>
        <w:rPr>
          <w:sz w:val="24"/>
          <w:szCs w:val="24"/>
        </w:rPr>
        <w:t xml:space="preserve"> […]. </w:t>
      </w:r>
      <w:r w:rsidRPr="006A7EDA">
        <w:rPr>
          <w:b/>
          <w:sz w:val="24"/>
          <w:szCs w:val="24"/>
        </w:rPr>
        <w:t>Malta</w:t>
      </w:r>
      <w:r>
        <w:rPr>
          <w:sz w:val="24"/>
          <w:szCs w:val="24"/>
        </w:rPr>
        <w:t xml:space="preserve">’s reservation states </w:t>
      </w:r>
      <w:r w:rsidRPr="006A7EDA">
        <w:rPr>
          <w:sz w:val="24"/>
          <w:szCs w:val="24"/>
        </w:rPr>
        <w:t>that with regard to Article 29</w:t>
      </w:r>
      <w:r>
        <w:rPr>
          <w:sz w:val="24"/>
          <w:szCs w:val="24"/>
        </w:rPr>
        <w:t xml:space="preserve"> (a) (i) it “reserves the right </w:t>
      </w:r>
      <w:r w:rsidRPr="006A7EDA">
        <w:rPr>
          <w:sz w:val="24"/>
          <w:szCs w:val="24"/>
        </w:rPr>
        <w:t>to continue to apply its c</w:t>
      </w:r>
      <w:r>
        <w:rPr>
          <w:sz w:val="24"/>
          <w:szCs w:val="24"/>
        </w:rPr>
        <w:t xml:space="preserve">urrent electoral legislation in </w:t>
      </w:r>
      <w:r w:rsidRPr="006A7EDA">
        <w:rPr>
          <w:sz w:val="24"/>
          <w:szCs w:val="24"/>
        </w:rPr>
        <w:t>so far as voting procedure</w:t>
      </w:r>
      <w:r>
        <w:rPr>
          <w:sz w:val="24"/>
          <w:szCs w:val="24"/>
        </w:rPr>
        <w:t xml:space="preserve">s, facilities and materials are </w:t>
      </w:r>
      <w:r w:rsidRPr="006A7EDA">
        <w:rPr>
          <w:sz w:val="24"/>
          <w:szCs w:val="24"/>
        </w:rPr>
        <w:t>concerned” and that with</w:t>
      </w:r>
      <w:r>
        <w:rPr>
          <w:sz w:val="24"/>
          <w:szCs w:val="24"/>
        </w:rPr>
        <w:t xml:space="preserve"> regard to Article 29 (a) (iii) </w:t>
      </w:r>
      <w:r w:rsidRPr="006A7EDA">
        <w:rPr>
          <w:sz w:val="24"/>
          <w:szCs w:val="24"/>
        </w:rPr>
        <w:t>it “reserves the right t</w:t>
      </w:r>
      <w:r>
        <w:rPr>
          <w:sz w:val="24"/>
          <w:szCs w:val="24"/>
        </w:rPr>
        <w:t xml:space="preserve">o continue to apply its current </w:t>
      </w:r>
      <w:r w:rsidRPr="006A7EDA">
        <w:rPr>
          <w:sz w:val="24"/>
          <w:szCs w:val="24"/>
        </w:rPr>
        <w:t>electoral legislation in</w:t>
      </w:r>
      <w:r>
        <w:rPr>
          <w:sz w:val="24"/>
          <w:szCs w:val="24"/>
        </w:rPr>
        <w:t xml:space="preserve"> so far as assistance in voting procedures is concerned”.</w:t>
      </w:r>
      <w:r w:rsidRPr="006A7EDA">
        <w:rPr>
          <w:sz w:val="24"/>
          <w:szCs w:val="24"/>
        </w:rPr>
        <w:t xml:space="preserve"> This re</w:t>
      </w:r>
      <w:r>
        <w:rPr>
          <w:sz w:val="24"/>
          <w:szCs w:val="24"/>
        </w:rPr>
        <w:t xml:space="preserve">servation is tied to </w:t>
      </w:r>
      <w:r w:rsidRPr="006A7EDA">
        <w:rPr>
          <w:sz w:val="24"/>
          <w:szCs w:val="24"/>
        </w:rPr>
        <w:t>the provisions for pe</w:t>
      </w:r>
      <w:r>
        <w:rPr>
          <w:sz w:val="24"/>
          <w:szCs w:val="24"/>
        </w:rPr>
        <w:t xml:space="preserve">rsons with </w:t>
      </w:r>
      <w:r>
        <w:rPr>
          <w:sz w:val="24"/>
          <w:szCs w:val="24"/>
        </w:rPr>
        <w:lastRenderedPageBreak/>
        <w:t xml:space="preserve">disabilities who may </w:t>
      </w:r>
      <w:r w:rsidRPr="006A7EDA">
        <w:rPr>
          <w:sz w:val="24"/>
          <w:szCs w:val="24"/>
        </w:rPr>
        <w:t>require assistance to vo</w:t>
      </w:r>
      <w:r>
        <w:rPr>
          <w:sz w:val="24"/>
          <w:szCs w:val="24"/>
        </w:rPr>
        <w:t xml:space="preserve">te. The current system provides </w:t>
      </w:r>
      <w:r w:rsidRPr="006A7EDA">
        <w:rPr>
          <w:sz w:val="24"/>
          <w:szCs w:val="24"/>
        </w:rPr>
        <w:t>for such voters to vote in front</w:t>
      </w:r>
      <w:r>
        <w:rPr>
          <w:sz w:val="24"/>
          <w:szCs w:val="24"/>
        </w:rPr>
        <w:t xml:space="preserve"> of the assistant commissioners </w:t>
      </w:r>
      <w:r w:rsidRPr="006A7EDA">
        <w:rPr>
          <w:sz w:val="24"/>
          <w:szCs w:val="24"/>
        </w:rPr>
        <w:t>in their polling booth.</w:t>
      </w:r>
      <w:r>
        <w:rPr>
          <w:sz w:val="24"/>
          <w:szCs w:val="24"/>
        </w:rPr>
        <w:t>” (p. 35)</w:t>
      </w:r>
    </w:p>
    <w:p w14:paraId="6EAB897A" w14:textId="102AD8C5" w:rsidR="006A7EDA" w:rsidRDefault="006A7EDA" w:rsidP="004818AE">
      <w:pPr>
        <w:spacing w:after="0"/>
        <w:rPr>
          <w:sz w:val="24"/>
          <w:szCs w:val="24"/>
        </w:rPr>
      </w:pPr>
      <w:r>
        <w:rPr>
          <w:sz w:val="24"/>
          <w:szCs w:val="24"/>
        </w:rPr>
        <w:t>“</w:t>
      </w:r>
      <w:r w:rsidRPr="006A7EDA">
        <w:rPr>
          <w:sz w:val="24"/>
          <w:szCs w:val="24"/>
        </w:rPr>
        <w:t>A further 15 EU Member States pr</w:t>
      </w:r>
      <w:r>
        <w:rPr>
          <w:sz w:val="24"/>
          <w:szCs w:val="24"/>
        </w:rPr>
        <w:t xml:space="preserve">ohibit people with disabilities </w:t>
      </w:r>
      <w:r w:rsidRPr="006A7EDA">
        <w:rPr>
          <w:sz w:val="24"/>
          <w:szCs w:val="24"/>
        </w:rPr>
        <w:t>who have been deprived of their legal capacity</w:t>
      </w:r>
      <w:r>
        <w:rPr>
          <w:sz w:val="24"/>
          <w:szCs w:val="24"/>
        </w:rPr>
        <w:t xml:space="preserve"> </w:t>
      </w:r>
      <w:r w:rsidRPr="006A7EDA">
        <w:rPr>
          <w:sz w:val="24"/>
          <w:szCs w:val="24"/>
        </w:rPr>
        <w:t xml:space="preserve">from voting. The Member States are </w:t>
      </w:r>
      <w:r w:rsidRPr="006A7EDA">
        <w:rPr>
          <w:bCs/>
          <w:sz w:val="24"/>
          <w:szCs w:val="24"/>
        </w:rPr>
        <w:t>Belgium, Bulgaria</w:t>
      </w:r>
      <w:r w:rsidRPr="006A7EDA">
        <w:rPr>
          <w:sz w:val="24"/>
          <w:szCs w:val="24"/>
        </w:rPr>
        <w:t xml:space="preserve">, </w:t>
      </w:r>
      <w:r w:rsidRPr="006A7EDA">
        <w:rPr>
          <w:bCs/>
          <w:sz w:val="24"/>
          <w:szCs w:val="24"/>
        </w:rPr>
        <w:t>Cyprus</w:t>
      </w:r>
      <w:r w:rsidRPr="006A7EDA">
        <w:rPr>
          <w:sz w:val="24"/>
          <w:szCs w:val="24"/>
        </w:rPr>
        <w:t xml:space="preserve">, </w:t>
      </w:r>
      <w:r w:rsidRPr="006A7EDA">
        <w:rPr>
          <w:bCs/>
          <w:sz w:val="24"/>
          <w:szCs w:val="24"/>
        </w:rPr>
        <w:t>Denmark</w:t>
      </w:r>
      <w:r w:rsidRPr="006A7EDA">
        <w:rPr>
          <w:sz w:val="24"/>
          <w:szCs w:val="24"/>
        </w:rPr>
        <w:t xml:space="preserve">, </w:t>
      </w:r>
      <w:r w:rsidRPr="006A7EDA">
        <w:rPr>
          <w:bCs/>
          <w:sz w:val="24"/>
          <w:szCs w:val="24"/>
        </w:rPr>
        <w:t>Estonia</w:t>
      </w:r>
      <w:r w:rsidRPr="006A7EDA">
        <w:rPr>
          <w:sz w:val="24"/>
          <w:szCs w:val="24"/>
        </w:rPr>
        <w:t xml:space="preserve">, </w:t>
      </w:r>
      <w:r w:rsidRPr="006A7EDA">
        <w:rPr>
          <w:bCs/>
          <w:sz w:val="24"/>
          <w:szCs w:val="24"/>
        </w:rPr>
        <w:t>Germany</w:t>
      </w:r>
      <w:r w:rsidRPr="006A7EDA">
        <w:rPr>
          <w:sz w:val="24"/>
          <w:szCs w:val="24"/>
        </w:rPr>
        <w:t xml:space="preserve">, </w:t>
      </w:r>
      <w:r w:rsidRPr="006A7EDA">
        <w:rPr>
          <w:bCs/>
          <w:sz w:val="24"/>
          <w:szCs w:val="24"/>
        </w:rPr>
        <w:t>Greece, Ireland,</w:t>
      </w:r>
      <w:r w:rsidRPr="006A7EDA">
        <w:rPr>
          <w:sz w:val="24"/>
          <w:szCs w:val="24"/>
        </w:rPr>
        <w:t xml:space="preserve"> </w:t>
      </w:r>
      <w:r w:rsidRPr="006A7EDA">
        <w:rPr>
          <w:bCs/>
          <w:sz w:val="24"/>
          <w:szCs w:val="24"/>
        </w:rPr>
        <w:t>Lithuania</w:t>
      </w:r>
      <w:r w:rsidRPr="006A7EDA">
        <w:rPr>
          <w:sz w:val="24"/>
          <w:szCs w:val="24"/>
        </w:rPr>
        <w:t xml:space="preserve">, </w:t>
      </w:r>
      <w:r w:rsidRPr="006A7EDA">
        <w:rPr>
          <w:bCs/>
          <w:sz w:val="24"/>
          <w:szCs w:val="24"/>
        </w:rPr>
        <w:t>Luxembourg</w:t>
      </w:r>
      <w:r w:rsidRPr="006A7EDA">
        <w:rPr>
          <w:sz w:val="24"/>
          <w:szCs w:val="24"/>
        </w:rPr>
        <w:t xml:space="preserve">, </w:t>
      </w:r>
      <w:r w:rsidRPr="006A7EDA">
        <w:rPr>
          <w:b/>
          <w:bCs/>
          <w:sz w:val="24"/>
          <w:szCs w:val="24"/>
        </w:rPr>
        <w:t>Malta</w:t>
      </w:r>
      <w:r w:rsidRPr="006A7EDA">
        <w:rPr>
          <w:sz w:val="24"/>
          <w:szCs w:val="24"/>
        </w:rPr>
        <w:t xml:space="preserve">, </w:t>
      </w:r>
      <w:r w:rsidRPr="006A7EDA">
        <w:rPr>
          <w:bCs/>
          <w:sz w:val="24"/>
          <w:szCs w:val="24"/>
        </w:rPr>
        <w:t>Poland</w:t>
      </w:r>
      <w:r w:rsidRPr="006A7EDA">
        <w:rPr>
          <w:sz w:val="24"/>
          <w:szCs w:val="24"/>
        </w:rPr>
        <w:t xml:space="preserve">, </w:t>
      </w:r>
      <w:r w:rsidRPr="006A7EDA">
        <w:rPr>
          <w:bCs/>
          <w:sz w:val="24"/>
          <w:szCs w:val="24"/>
        </w:rPr>
        <w:t>Portugal,</w:t>
      </w:r>
      <w:r w:rsidRPr="006A7EDA">
        <w:rPr>
          <w:sz w:val="24"/>
          <w:szCs w:val="24"/>
        </w:rPr>
        <w:t xml:space="preserve"> </w:t>
      </w:r>
      <w:r w:rsidRPr="006A7EDA">
        <w:rPr>
          <w:bCs/>
          <w:sz w:val="24"/>
          <w:szCs w:val="24"/>
        </w:rPr>
        <w:t xml:space="preserve">Romania </w:t>
      </w:r>
      <w:r w:rsidRPr="006A7EDA">
        <w:rPr>
          <w:sz w:val="24"/>
          <w:szCs w:val="24"/>
        </w:rPr>
        <w:t xml:space="preserve">and </w:t>
      </w:r>
      <w:r w:rsidRPr="006A7EDA">
        <w:rPr>
          <w:bCs/>
          <w:sz w:val="24"/>
          <w:szCs w:val="24"/>
        </w:rPr>
        <w:t>Slovakia</w:t>
      </w:r>
      <w:r w:rsidRPr="006A7EDA">
        <w:rPr>
          <w:sz w:val="24"/>
          <w:szCs w:val="24"/>
        </w:rPr>
        <w:t xml:space="preserve">. This exclusion is either set out in the country’s constitution or in electoral legislation.” </w:t>
      </w:r>
      <w:r>
        <w:rPr>
          <w:sz w:val="24"/>
          <w:szCs w:val="24"/>
        </w:rPr>
        <w:t>(p. 41)</w:t>
      </w:r>
    </w:p>
    <w:p w14:paraId="4F0CBFF3" w14:textId="583237EA" w:rsidR="006A7EDA" w:rsidRDefault="006A7EDA" w:rsidP="004818AE">
      <w:pPr>
        <w:spacing w:after="0"/>
        <w:rPr>
          <w:sz w:val="24"/>
          <w:szCs w:val="24"/>
        </w:rPr>
      </w:pPr>
      <w:r>
        <w:rPr>
          <w:sz w:val="24"/>
          <w:szCs w:val="24"/>
        </w:rPr>
        <w:t>“</w:t>
      </w:r>
      <w:r w:rsidRPr="006A7EDA">
        <w:rPr>
          <w:sz w:val="24"/>
          <w:szCs w:val="24"/>
        </w:rPr>
        <w:t>Sixteen EU Member Sta</w:t>
      </w:r>
      <w:r>
        <w:rPr>
          <w:sz w:val="24"/>
          <w:szCs w:val="24"/>
        </w:rPr>
        <w:t xml:space="preserve">tes have no legal accessibility </w:t>
      </w:r>
      <w:r w:rsidRPr="006A7EDA">
        <w:rPr>
          <w:sz w:val="24"/>
          <w:szCs w:val="24"/>
        </w:rPr>
        <w:t>standards for providers of internet and web</w:t>
      </w:r>
      <w:r>
        <w:rPr>
          <w:sz w:val="24"/>
          <w:szCs w:val="24"/>
        </w:rPr>
        <w:t>-</w:t>
      </w:r>
      <w:r w:rsidRPr="006A7EDA">
        <w:rPr>
          <w:sz w:val="24"/>
          <w:szCs w:val="24"/>
        </w:rPr>
        <w:t>based</w:t>
      </w:r>
      <w:r>
        <w:rPr>
          <w:sz w:val="24"/>
          <w:szCs w:val="24"/>
        </w:rPr>
        <w:t xml:space="preserve"> </w:t>
      </w:r>
      <w:r w:rsidRPr="006A7EDA">
        <w:rPr>
          <w:sz w:val="24"/>
          <w:szCs w:val="24"/>
        </w:rPr>
        <w:t>public information, the analysis shows. Only</w:t>
      </w:r>
      <w:r>
        <w:rPr>
          <w:sz w:val="24"/>
          <w:szCs w:val="24"/>
        </w:rPr>
        <w:t xml:space="preserve"> </w:t>
      </w:r>
      <w:r w:rsidRPr="006A7EDA">
        <w:rPr>
          <w:sz w:val="24"/>
          <w:szCs w:val="24"/>
        </w:rPr>
        <w:t xml:space="preserve">four Member States, </w:t>
      </w:r>
      <w:r w:rsidRPr="006A7EDA">
        <w:rPr>
          <w:bCs/>
          <w:sz w:val="24"/>
          <w:szCs w:val="24"/>
        </w:rPr>
        <w:t>Austria</w:t>
      </w:r>
      <w:r w:rsidRPr="006A7EDA">
        <w:rPr>
          <w:sz w:val="24"/>
          <w:szCs w:val="24"/>
        </w:rPr>
        <w:t xml:space="preserve">, </w:t>
      </w:r>
      <w:r w:rsidRPr="006A7EDA">
        <w:rPr>
          <w:bCs/>
          <w:sz w:val="24"/>
          <w:szCs w:val="24"/>
        </w:rPr>
        <w:t>Belgium</w:t>
      </w:r>
      <w:r w:rsidRPr="006A7EDA">
        <w:rPr>
          <w:sz w:val="24"/>
          <w:szCs w:val="24"/>
        </w:rPr>
        <w:t xml:space="preserve">, </w:t>
      </w:r>
      <w:r w:rsidRPr="006A7EDA">
        <w:rPr>
          <w:b/>
          <w:bCs/>
          <w:sz w:val="24"/>
          <w:szCs w:val="24"/>
        </w:rPr>
        <w:t>Malta</w:t>
      </w:r>
      <w:r w:rsidRPr="006A7EDA">
        <w:rPr>
          <w:bCs/>
          <w:sz w:val="24"/>
          <w:szCs w:val="24"/>
        </w:rPr>
        <w:t xml:space="preserve"> </w:t>
      </w:r>
      <w:r w:rsidRPr="006A7EDA">
        <w:rPr>
          <w:sz w:val="24"/>
          <w:szCs w:val="24"/>
        </w:rPr>
        <w:t xml:space="preserve">and </w:t>
      </w:r>
      <w:r w:rsidRPr="006A7EDA">
        <w:rPr>
          <w:bCs/>
          <w:sz w:val="24"/>
          <w:szCs w:val="24"/>
        </w:rPr>
        <w:t>Spain</w:t>
      </w:r>
      <w:r w:rsidRPr="006A7EDA">
        <w:rPr>
          <w:sz w:val="24"/>
          <w:szCs w:val="24"/>
        </w:rPr>
        <w:t>, have statutory accessibility requirements for</w:t>
      </w:r>
      <w:r>
        <w:rPr>
          <w:sz w:val="24"/>
          <w:szCs w:val="24"/>
        </w:rPr>
        <w:t xml:space="preserve"> </w:t>
      </w:r>
      <w:r w:rsidRPr="006A7EDA">
        <w:rPr>
          <w:sz w:val="24"/>
          <w:szCs w:val="24"/>
        </w:rPr>
        <w:t>both public and private providers, set out in laws on</w:t>
      </w:r>
      <w:r>
        <w:rPr>
          <w:sz w:val="24"/>
          <w:szCs w:val="24"/>
        </w:rPr>
        <w:t xml:space="preserve"> </w:t>
      </w:r>
      <w:r w:rsidRPr="006A7EDA">
        <w:rPr>
          <w:sz w:val="24"/>
          <w:szCs w:val="24"/>
        </w:rPr>
        <w:t>electronic communication and/or equal treatment of</w:t>
      </w:r>
      <w:r>
        <w:rPr>
          <w:sz w:val="24"/>
          <w:szCs w:val="24"/>
        </w:rPr>
        <w:t xml:space="preserve"> </w:t>
      </w:r>
      <w:r w:rsidRPr="006A7EDA">
        <w:rPr>
          <w:sz w:val="24"/>
          <w:szCs w:val="24"/>
        </w:rPr>
        <w:t>persons with disabilities.</w:t>
      </w:r>
      <w:r>
        <w:rPr>
          <w:sz w:val="24"/>
          <w:szCs w:val="24"/>
        </w:rPr>
        <w:t>” (p. 46)</w:t>
      </w:r>
    </w:p>
    <w:p w14:paraId="03778891" w14:textId="505BAA47" w:rsidR="00352797" w:rsidRDefault="006A7EDA" w:rsidP="004818AE">
      <w:pPr>
        <w:spacing w:after="0"/>
        <w:rPr>
          <w:sz w:val="24"/>
          <w:szCs w:val="24"/>
        </w:rPr>
      </w:pPr>
      <w:r>
        <w:rPr>
          <w:sz w:val="24"/>
          <w:szCs w:val="24"/>
        </w:rPr>
        <w:t>“</w:t>
      </w:r>
      <w:r w:rsidRPr="006A7EDA">
        <w:rPr>
          <w:sz w:val="24"/>
          <w:szCs w:val="24"/>
        </w:rPr>
        <w:t>Providing accessibili</w:t>
      </w:r>
      <w:r>
        <w:rPr>
          <w:sz w:val="24"/>
          <w:szCs w:val="24"/>
        </w:rPr>
        <w:t xml:space="preserve">ty to public buildings, such as </w:t>
      </w:r>
      <w:r w:rsidRPr="006A7EDA">
        <w:rPr>
          <w:sz w:val="24"/>
          <w:szCs w:val="24"/>
        </w:rPr>
        <w:t>polling stations and local and national government</w:t>
      </w:r>
      <w:r>
        <w:rPr>
          <w:sz w:val="24"/>
          <w:szCs w:val="24"/>
        </w:rPr>
        <w:t xml:space="preserve"> </w:t>
      </w:r>
      <w:r w:rsidRPr="006A7EDA">
        <w:rPr>
          <w:sz w:val="24"/>
          <w:szCs w:val="24"/>
        </w:rPr>
        <w:t>buildings, is vital to ensure that persons with disabilities</w:t>
      </w:r>
      <w:r>
        <w:rPr>
          <w:sz w:val="24"/>
          <w:szCs w:val="24"/>
        </w:rPr>
        <w:t xml:space="preserve"> </w:t>
      </w:r>
      <w:r w:rsidRPr="006A7EDA">
        <w:rPr>
          <w:sz w:val="24"/>
          <w:szCs w:val="24"/>
        </w:rPr>
        <w:t>can exercise the right to vote and participate</w:t>
      </w:r>
      <w:r>
        <w:rPr>
          <w:sz w:val="24"/>
          <w:szCs w:val="24"/>
        </w:rPr>
        <w:t xml:space="preserve"> </w:t>
      </w:r>
      <w:r w:rsidRPr="006A7EDA">
        <w:rPr>
          <w:sz w:val="24"/>
          <w:szCs w:val="24"/>
        </w:rPr>
        <w:t>fully in public discussions on political issues.</w:t>
      </w:r>
      <w:r>
        <w:rPr>
          <w:sz w:val="24"/>
          <w:szCs w:val="24"/>
        </w:rPr>
        <w:t xml:space="preserve"> </w:t>
      </w:r>
      <w:r w:rsidRPr="006A7EDA">
        <w:rPr>
          <w:sz w:val="24"/>
          <w:szCs w:val="24"/>
        </w:rPr>
        <w:t xml:space="preserve">The information provided for </w:t>
      </w:r>
      <w:r w:rsidRPr="006A7EDA">
        <w:rPr>
          <w:b/>
          <w:bCs/>
          <w:sz w:val="24"/>
          <w:szCs w:val="24"/>
        </w:rPr>
        <w:t>Malta</w:t>
      </w:r>
      <w:r w:rsidRPr="006A7EDA">
        <w:rPr>
          <w:sz w:val="24"/>
          <w:szCs w:val="24"/>
        </w:rPr>
        <w:t xml:space="preserve">, the </w:t>
      </w:r>
      <w:r w:rsidRPr="006A7EDA">
        <w:rPr>
          <w:bCs/>
          <w:sz w:val="24"/>
          <w:szCs w:val="24"/>
        </w:rPr>
        <w:t>Netherlands</w:t>
      </w:r>
      <w:r w:rsidRPr="006A7EDA">
        <w:rPr>
          <w:sz w:val="24"/>
          <w:szCs w:val="24"/>
        </w:rPr>
        <w:t xml:space="preserve">, </w:t>
      </w:r>
      <w:r w:rsidRPr="006A7EDA">
        <w:rPr>
          <w:bCs/>
          <w:sz w:val="24"/>
          <w:szCs w:val="24"/>
        </w:rPr>
        <w:t xml:space="preserve">Romania </w:t>
      </w:r>
      <w:r w:rsidRPr="006A7EDA">
        <w:rPr>
          <w:sz w:val="24"/>
          <w:szCs w:val="24"/>
        </w:rPr>
        <w:t xml:space="preserve">and </w:t>
      </w:r>
      <w:r w:rsidRPr="006A7EDA">
        <w:rPr>
          <w:bCs/>
          <w:sz w:val="24"/>
          <w:szCs w:val="24"/>
        </w:rPr>
        <w:t>Slovakia</w:t>
      </w:r>
      <w:r w:rsidRPr="006A7EDA">
        <w:rPr>
          <w:b/>
          <w:bCs/>
          <w:sz w:val="24"/>
          <w:szCs w:val="24"/>
        </w:rPr>
        <w:t xml:space="preserve"> </w:t>
      </w:r>
      <w:r w:rsidRPr="006A7EDA">
        <w:rPr>
          <w:sz w:val="24"/>
          <w:szCs w:val="24"/>
        </w:rPr>
        <w:t>is insufficient to conclude</w:t>
      </w:r>
      <w:r>
        <w:rPr>
          <w:sz w:val="24"/>
          <w:szCs w:val="24"/>
        </w:rPr>
        <w:t xml:space="preserve"> </w:t>
      </w:r>
      <w:r w:rsidRPr="006A7EDA">
        <w:rPr>
          <w:sz w:val="24"/>
          <w:szCs w:val="24"/>
        </w:rPr>
        <w:t>whether accessibility standards apply both to new</w:t>
      </w:r>
      <w:r>
        <w:rPr>
          <w:sz w:val="24"/>
          <w:szCs w:val="24"/>
        </w:rPr>
        <w:t xml:space="preserve"> </w:t>
      </w:r>
      <w:r w:rsidRPr="006A7EDA">
        <w:rPr>
          <w:sz w:val="24"/>
          <w:szCs w:val="24"/>
        </w:rPr>
        <w:t>and existing buildings.</w:t>
      </w:r>
      <w:r>
        <w:rPr>
          <w:sz w:val="24"/>
          <w:szCs w:val="24"/>
        </w:rPr>
        <w:t>”</w:t>
      </w:r>
      <w:r w:rsidR="001D62AF">
        <w:rPr>
          <w:sz w:val="24"/>
          <w:szCs w:val="24"/>
        </w:rPr>
        <w:t xml:space="preserve"> (p.46)</w:t>
      </w:r>
    </w:p>
    <w:p w14:paraId="1997FA36" w14:textId="672402BC" w:rsidR="006A7EDA" w:rsidRDefault="00352797" w:rsidP="004818AE">
      <w:pPr>
        <w:spacing w:after="0"/>
        <w:rPr>
          <w:sz w:val="24"/>
          <w:szCs w:val="24"/>
        </w:rPr>
      </w:pPr>
      <w:r>
        <w:rPr>
          <w:sz w:val="24"/>
          <w:szCs w:val="24"/>
        </w:rPr>
        <w:t>“</w:t>
      </w:r>
      <w:r w:rsidRPr="00352797">
        <w:rPr>
          <w:sz w:val="24"/>
          <w:szCs w:val="24"/>
        </w:rPr>
        <w:t>The research indicates that in 12 EU Member States,</w:t>
      </w:r>
      <w:r>
        <w:rPr>
          <w:sz w:val="24"/>
          <w:szCs w:val="24"/>
        </w:rPr>
        <w:t xml:space="preserve"> </w:t>
      </w:r>
      <w:r w:rsidRPr="00352797">
        <w:rPr>
          <w:bCs/>
          <w:sz w:val="24"/>
          <w:szCs w:val="24"/>
        </w:rPr>
        <w:t>Croatia</w:t>
      </w:r>
      <w:r w:rsidRPr="00352797">
        <w:rPr>
          <w:sz w:val="24"/>
          <w:szCs w:val="24"/>
        </w:rPr>
        <w:t xml:space="preserve">, </w:t>
      </w:r>
      <w:r w:rsidRPr="00352797">
        <w:rPr>
          <w:bCs/>
          <w:sz w:val="24"/>
          <w:szCs w:val="24"/>
        </w:rPr>
        <w:t>Estonia</w:t>
      </w:r>
      <w:r w:rsidRPr="00352797">
        <w:rPr>
          <w:sz w:val="24"/>
          <w:szCs w:val="24"/>
        </w:rPr>
        <w:t xml:space="preserve">, </w:t>
      </w:r>
      <w:r w:rsidRPr="00352797">
        <w:rPr>
          <w:bCs/>
          <w:sz w:val="24"/>
          <w:szCs w:val="24"/>
        </w:rPr>
        <w:t>France</w:t>
      </w:r>
      <w:r w:rsidRPr="00352797">
        <w:rPr>
          <w:sz w:val="24"/>
          <w:szCs w:val="24"/>
        </w:rPr>
        <w:t xml:space="preserve">, </w:t>
      </w:r>
      <w:r w:rsidRPr="00352797">
        <w:rPr>
          <w:bCs/>
          <w:sz w:val="24"/>
          <w:szCs w:val="24"/>
        </w:rPr>
        <w:t>Germany</w:t>
      </w:r>
      <w:r w:rsidRPr="00352797">
        <w:rPr>
          <w:sz w:val="24"/>
          <w:szCs w:val="24"/>
        </w:rPr>
        <w:t xml:space="preserve">, </w:t>
      </w:r>
      <w:r w:rsidRPr="00352797">
        <w:rPr>
          <w:bCs/>
          <w:sz w:val="24"/>
          <w:szCs w:val="24"/>
        </w:rPr>
        <w:t>Ireland</w:t>
      </w:r>
      <w:r w:rsidRPr="00352797">
        <w:rPr>
          <w:sz w:val="24"/>
          <w:szCs w:val="24"/>
        </w:rPr>
        <w:t xml:space="preserve">, </w:t>
      </w:r>
      <w:r w:rsidRPr="00352797">
        <w:rPr>
          <w:bCs/>
          <w:sz w:val="24"/>
          <w:szCs w:val="24"/>
        </w:rPr>
        <w:t>Lithuania</w:t>
      </w:r>
      <w:r w:rsidRPr="00352797">
        <w:rPr>
          <w:sz w:val="24"/>
          <w:szCs w:val="24"/>
        </w:rPr>
        <w:t xml:space="preserve">, </w:t>
      </w:r>
      <w:r w:rsidRPr="00352797">
        <w:rPr>
          <w:bCs/>
          <w:sz w:val="24"/>
          <w:szCs w:val="24"/>
        </w:rPr>
        <w:t>Luxembourg</w:t>
      </w:r>
      <w:r w:rsidRPr="00352797">
        <w:rPr>
          <w:sz w:val="24"/>
          <w:szCs w:val="24"/>
        </w:rPr>
        <w:t xml:space="preserve">, </w:t>
      </w:r>
      <w:r w:rsidRPr="00352797">
        <w:rPr>
          <w:b/>
          <w:bCs/>
          <w:sz w:val="24"/>
          <w:szCs w:val="24"/>
        </w:rPr>
        <w:t>Malta</w:t>
      </w:r>
      <w:r w:rsidRPr="00352797">
        <w:rPr>
          <w:b/>
          <w:sz w:val="24"/>
          <w:szCs w:val="24"/>
        </w:rPr>
        <w:t>,</w:t>
      </w:r>
      <w:r w:rsidRPr="00352797">
        <w:rPr>
          <w:sz w:val="24"/>
          <w:szCs w:val="24"/>
        </w:rPr>
        <w:t xml:space="preserve"> </w:t>
      </w:r>
      <w:r w:rsidRPr="00352797">
        <w:rPr>
          <w:bCs/>
          <w:sz w:val="24"/>
          <w:szCs w:val="24"/>
        </w:rPr>
        <w:t>Portugal</w:t>
      </w:r>
      <w:r w:rsidRPr="00352797">
        <w:rPr>
          <w:sz w:val="24"/>
          <w:szCs w:val="24"/>
        </w:rPr>
        <w:t xml:space="preserve">, </w:t>
      </w:r>
      <w:r w:rsidRPr="00352797">
        <w:rPr>
          <w:bCs/>
          <w:sz w:val="24"/>
          <w:szCs w:val="24"/>
        </w:rPr>
        <w:t>Spain</w:t>
      </w:r>
      <w:r w:rsidRPr="00352797">
        <w:rPr>
          <w:sz w:val="24"/>
          <w:szCs w:val="24"/>
        </w:rPr>
        <w:t xml:space="preserve">, </w:t>
      </w:r>
      <w:r w:rsidRPr="00352797">
        <w:rPr>
          <w:bCs/>
          <w:sz w:val="24"/>
          <w:szCs w:val="24"/>
        </w:rPr>
        <w:t xml:space="preserve">Sweden </w:t>
      </w:r>
      <w:r w:rsidRPr="00352797">
        <w:rPr>
          <w:sz w:val="24"/>
          <w:szCs w:val="24"/>
        </w:rPr>
        <w:t xml:space="preserve">and the </w:t>
      </w:r>
      <w:r w:rsidRPr="00352797">
        <w:rPr>
          <w:bCs/>
          <w:sz w:val="24"/>
          <w:szCs w:val="24"/>
        </w:rPr>
        <w:t>United Kingdom</w:t>
      </w:r>
      <w:r w:rsidRPr="00352797">
        <w:rPr>
          <w:sz w:val="24"/>
          <w:szCs w:val="24"/>
        </w:rPr>
        <w:t>, have legal accessibility standards which apply to all polling stations.</w:t>
      </w:r>
      <w:r>
        <w:rPr>
          <w:sz w:val="24"/>
          <w:szCs w:val="24"/>
        </w:rPr>
        <w:t>”</w:t>
      </w:r>
      <w:r w:rsidR="006A7EDA">
        <w:rPr>
          <w:sz w:val="24"/>
          <w:szCs w:val="24"/>
        </w:rPr>
        <w:t xml:space="preserve"> (p. 48-49)</w:t>
      </w:r>
    </w:p>
    <w:p w14:paraId="454C1204" w14:textId="4160B031" w:rsidR="006A7EDA" w:rsidRDefault="00352797" w:rsidP="004818AE">
      <w:pPr>
        <w:spacing w:after="0"/>
        <w:rPr>
          <w:sz w:val="24"/>
          <w:szCs w:val="24"/>
        </w:rPr>
      </w:pPr>
      <w:r>
        <w:rPr>
          <w:sz w:val="24"/>
          <w:szCs w:val="24"/>
        </w:rPr>
        <w:t>“</w:t>
      </w:r>
      <w:r w:rsidRPr="00352797">
        <w:rPr>
          <w:sz w:val="24"/>
          <w:szCs w:val="24"/>
        </w:rPr>
        <w:t>In a second gro</w:t>
      </w:r>
      <w:r>
        <w:rPr>
          <w:sz w:val="24"/>
          <w:szCs w:val="24"/>
        </w:rPr>
        <w:t xml:space="preserve">up of Member States, made up of </w:t>
      </w:r>
      <w:r w:rsidRPr="00352797">
        <w:rPr>
          <w:bCs/>
          <w:sz w:val="24"/>
          <w:szCs w:val="24"/>
        </w:rPr>
        <w:t>Austria</w:t>
      </w:r>
      <w:r w:rsidRPr="00352797">
        <w:rPr>
          <w:sz w:val="24"/>
          <w:szCs w:val="24"/>
        </w:rPr>
        <w:t xml:space="preserve">, </w:t>
      </w:r>
      <w:r w:rsidRPr="00352797">
        <w:rPr>
          <w:bCs/>
          <w:sz w:val="24"/>
          <w:szCs w:val="24"/>
        </w:rPr>
        <w:t>Greece</w:t>
      </w:r>
      <w:r w:rsidRPr="00352797">
        <w:rPr>
          <w:sz w:val="24"/>
          <w:szCs w:val="24"/>
        </w:rPr>
        <w:t xml:space="preserve">, </w:t>
      </w:r>
      <w:r w:rsidRPr="00352797">
        <w:rPr>
          <w:bCs/>
          <w:sz w:val="24"/>
          <w:szCs w:val="24"/>
        </w:rPr>
        <w:t>Latvia</w:t>
      </w:r>
      <w:r w:rsidRPr="00352797">
        <w:rPr>
          <w:sz w:val="24"/>
          <w:szCs w:val="24"/>
        </w:rPr>
        <w:t xml:space="preserve">, </w:t>
      </w:r>
      <w:r w:rsidRPr="00352797">
        <w:rPr>
          <w:bCs/>
          <w:sz w:val="24"/>
          <w:szCs w:val="24"/>
        </w:rPr>
        <w:t>Lithuania</w:t>
      </w:r>
      <w:r w:rsidRPr="00352797">
        <w:rPr>
          <w:sz w:val="24"/>
          <w:szCs w:val="24"/>
        </w:rPr>
        <w:t xml:space="preserve">, </w:t>
      </w:r>
      <w:r w:rsidRPr="00352797">
        <w:rPr>
          <w:b/>
          <w:bCs/>
          <w:sz w:val="24"/>
          <w:szCs w:val="24"/>
        </w:rPr>
        <w:t xml:space="preserve">Malta </w:t>
      </w:r>
      <w:r w:rsidRPr="00352797">
        <w:rPr>
          <w:sz w:val="24"/>
          <w:szCs w:val="24"/>
        </w:rPr>
        <w:t xml:space="preserve">and the </w:t>
      </w:r>
      <w:r w:rsidRPr="00352797">
        <w:rPr>
          <w:bCs/>
          <w:sz w:val="24"/>
          <w:szCs w:val="24"/>
        </w:rPr>
        <w:t>Netherlands</w:t>
      </w:r>
      <w:r w:rsidRPr="00352797">
        <w:rPr>
          <w:sz w:val="24"/>
          <w:szCs w:val="24"/>
        </w:rPr>
        <w:t>, electoral laws specify that assistance</w:t>
      </w:r>
      <w:r>
        <w:rPr>
          <w:sz w:val="24"/>
          <w:szCs w:val="24"/>
        </w:rPr>
        <w:t xml:space="preserve"> </w:t>
      </w:r>
      <w:r w:rsidRPr="00352797">
        <w:rPr>
          <w:sz w:val="24"/>
          <w:szCs w:val="24"/>
        </w:rPr>
        <w:t>is only available to persons with physical or sensory</w:t>
      </w:r>
      <w:r>
        <w:rPr>
          <w:sz w:val="24"/>
          <w:szCs w:val="24"/>
        </w:rPr>
        <w:t xml:space="preserve"> </w:t>
      </w:r>
      <w:r w:rsidRPr="00352797">
        <w:rPr>
          <w:sz w:val="24"/>
          <w:szCs w:val="24"/>
        </w:rPr>
        <w:t>impairments.</w:t>
      </w:r>
      <w:r>
        <w:rPr>
          <w:sz w:val="24"/>
          <w:szCs w:val="24"/>
        </w:rPr>
        <w:t xml:space="preserve"> </w:t>
      </w:r>
      <w:r w:rsidRPr="00352797">
        <w:rPr>
          <w:sz w:val="24"/>
          <w:szCs w:val="24"/>
        </w:rPr>
        <w:t>Where assistance is a</w:t>
      </w:r>
      <w:r>
        <w:rPr>
          <w:sz w:val="24"/>
          <w:szCs w:val="24"/>
        </w:rPr>
        <w:t xml:space="preserve">vailable, legislation generally </w:t>
      </w:r>
      <w:r w:rsidRPr="00352797">
        <w:rPr>
          <w:sz w:val="24"/>
          <w:szCs w:val="24"/>
        </w:rPr>
        <w:t>allows for it to be provided by a person chosen by the</w:t>
      </w:r>
      <w:r>
        <w:rPr>
          <w:sz w:val="24"/>
          <w:szCs w:val="24"/>
        </w:rPr>
        <w:t xml:space="preserve"> </w:t>
      </w:r>
      <w:r w:rsidRPr="00352797">
        <w:rPr>
          <w:sz w:val="24"/>
          <w:szCs w:val="24"/>
        </w:rPr>
        <w:t xml:space="preserve">person with a disability. In </w:t>
      </w:r>
      <w:r w:rsidRPr="00352797">
        <w:rPr>
          <w:b/>
          <w:bCs/>
          <w:sz w:val="24"/>
          <w:szCs w:val="24"/>
        </w:rPr>
        <w:t>Malta</w:t>
      </w:r>
      <w:r w:rsidRPr="00352797">
        <w:rPr>
          <w:sz w:val="24"/>
          <w:szCs w:val="24"/>
        </w:rPr>
        <w:t>, however, such assistance</w:t>
      </w:r>
      <w:r>
        <w:rPr>
          <w:sz w:val="24"/>
          <w:szCs w:val="24"/>
        </w:rPr>
        <w:t xml:space="preserve"> </w:t>
      </w:r>
      <w:r w:rsidRPr="00352797">
        <w:rPr>
          <w:sz w:val="24"/>
          <w:szCs w:val="24"/>
        </w:rPr>
        <w:t>can only be provided by electoral officials, a rule</w:t>
      </w:r>
      <w:r>
        <w:rPr>
          <w:sz w:val="24"/>
          <w:szCs w:val="24"/>
        </w:rPr>
        <w:t xml:space="preserve"> </w:t>
      </w:r>
      <w:r w:rsidRPr="00352797">
        <w:rPr>
          <w:sz w:val="24"/>
          <w:szCs w:val="24"/>
        </w:rPr>
        <w:t>which forms part of the basis for the reservation Malta</w:t>
      </w:r>
      <w:r>
        <w:rPr>
          <w:sz w:val="24"/>
          <w:szCs w:val="24"/>
        </w:rPr>
        <w:t xml:space="preserve"> </w:t>
      </w:r>
      <w:r w:rsidRPr="00352797">
        <w:rPr>
          <w:sz w:val="24"/>
          <w:szCs w:val="24"/>
        </w:rPr>
        <w:t>entered to Article 29 when it ratified the CRPD (see</w:t>
      </w:r>
      <w:r>
        <w:rPr>
          <w:sz w:val="24"/>
          <w:szCs w:val="24"/>
        </w:rPr>
        <w:t xml:space="preserve"> </w:t>
      </w:r>
      <w:r w:rsidRPr="00352797">
        <w:rPr>
          <w:sz w:val="24"/>
          <w:szCs w:val="24"/>
        </w:rPr>
        <w:t>indicator 2.1.1).</w:t>
      </w:r>
      <w:r>
        <w:rPr>
          <w:sz w:val="24"/>
          <w:szCs w:val="24"/>
        </w:rPr>
        <w:t>” (p. 51)</w:t>
      </w:r>
    </w:p>
    <w:p w14:paraId="35541BCC" w14:textId="1466F853" w:rsidR="00352797" w:rsidRDefault="00352797" w:rsidP="004818AE">
      <w:pPr>
        <w:spacing w:after="0"/>
        <w:rPr>
          <w:sz w:val="24"/>
          <w:szCs w:val="24"/>
        </w:rPr>
      </w:pPr>
      <w:r>
        <w:rPr>
          <w:sz w:val="24"/>
          <w:szCs w:val="24"/>
        </w:rPr>
        <w:t xml:space="preserve">“Laws in </w:t>
      </w:r>
      <w:r w:rsidRPr="00352797">
        <w:rPr>
          <w:sz w:val="24"/>
          <w:szCs w:val="24"/>
        </w:rPr>
        <w:t xml:space="preserve">force in </w:t>
      </w:r>
      <w:r w:rsidRPr="00352797">
        <w:rPr>
          <w:bCs/>
          <w:sz w:val="24"/>
          <w:szCs w:val="24"/>
        </w:rPr>
        <w:t>Austria</w:t>
      </w:r>
      <w:r w:rsidRPr="00352797">
        <w:rPr>
          <w:sz w:val="24"/>
          <w:szCs w:val="24"/>
        </w:rPr>
        <w:t xml:space="preserve">, </w:t>
      </w:r>
      <w:r w:rsidRPr="00352797">
        <w:rPr>
          <w:bCs/>
          <w:sz w:val="24"/>
          <w:szCs w:val="24"/>
        </w:rPr>
        <w:t>Croatia</w:t>
      </w:r>
      <w:r w:rsidRPr="00352797">
        <w:rPr>
          <w:sz w:val="24"/>
          <w:szCs w:val="24"/>
        </w:rPr>
        <w:t xml:space="preserve">, </w:t>
      </w:r>
      <w:r w:rsidRPr="00352797">
        <w:rPr>
          <w:bCs/>
          <w:sz w:val="24"/>
          <w:szCs w:val="24"/>
        </w:rPr>
        <w:t>Cyprus</w:t>
      </w:r>
      <w:r w:rsidRPr="00352797">
        <w:rPr>
          <w:sz w:val="24"/>
          <w:szCs w:val="24"/>
        </w:rPr>
        <w:t xml:space="preserve">, </w:t>
      </w:r>
      <w:r w:rsidRPr="00352797">
        <w:rPr>
          <w:bCs/>
          <w:sz w:val="24"/>
          <w:szCs w:val="24"/>
        </w:rPr>
        <w:t>Finland</w:t>
      </w:r>
      <w:r w:rsidRPr="00352797">
        <w:rPr>
          <w:sz w:val="24"/>
          <w:szCs w:val="24"/>
        </w:rPr>
        <w:t xml:space="preserve">, </w:t>
      </w:r>
      <w:r w:rsidRPr="00352797">
        <w:rPr>
          <w:bCs/>
          <w:sz w:val="24"/>
          <w:szCs w:val="24"/>
        </w:rPr>
        <w:t>Germany</w:t>
      </w:r>
      <w:r w:rsidRPr="00352797">
        <w:rPr>
          <w:sz w:val="24"/>
          <w:szCs w:val="24"/>
        </w:rPr>
        <w:t xml:space="preserve">, </w:t>
      </w:r>
      <w:r w:rsidRPr="00352797">
        <w:rPr>
          <w:bCs/>
          <w:sz w:val="24"/>
          <w:szCs w:val="24"/>
        </w:rPr>
        <w:t>Italy</w:t>
      </w:r>
      <w:r w:rsidRPr="00352797">
        <w:rPr>
          <w:sz w:val="24"/>
          <w:szCs w:val="24"/>
        </w:rPr>
        <w:t xml:space="preserve">, </w:t>
      </w:r>
      <w:r w:rsidRPr="00352797">
        <w:rPr>
          <w:bCs/>
          <w:sz w:val="24"/>
          <w:szCs w:val="24"/>
        </w:rPr>
        <w:t>Latvia</w:t>
      </w:r>
      <w:r w:rsidRPr="00352797">
        <w:rPr>
          <w:sz w:val="24"/>
          <w:szCs w:val="24"/>
        </w:rPr>
        <w:t xml:space="preserve">, </w:t>
      </w:r>
      <w:r w:rsidRPr="00352797">
        <w:rPr>
          <w:b/>
          <w:bCs/>
          <w:sz w:val="24"/>
          <w:szCs w:val="24"/>
        </w:rPr>
        <w:t>Malta</w:t>
      </w:r>
      <w:r w:rsidRPr="00352797">
        <w:rPr>
          <w:bCs/>
          <w:sz w:val="24"/>
          <w:szCs w:val="24"/>
        </w:rPr>
        <w:t xml:space="preserve"> </w:t>
      </w:r>
      <w:r w:rsidRPr="00352797">
        <w:rPr>
          <w:sz w:val="24"/>
          <w:szCs w:val="24"/>
        </w:rPr>
        <w:t xml:space="preserve">and the </w:t>
      </w:r>
      <w:r w:rsidRPr="00352797">
        <w:rPr>
          <w:bCs/>
          <w:sz w:val="24"/>
          <w:szCs w:val="24"/>
        </w:rPr>
        <w:t>United Kingdom</w:t>
      </w:r>
      <w:r w:rsidRPr="00352797">
        <w:rPr>
          <w:b/>
          <w:bCs/>
          <w:sz w:val="24"/>
          <w:szCs w:val="24"/>
        </w:rPr>
        <w:t xml:space="preserve"> </w:t>
      </w:r>
      <w:r w:rsidRPr="00352797">
        <w:rPr>
          <w:sz w:val="24"/>
          <w:szCs w:val="24"/>
        </w:rPr>
        <w:t>provide that all</w:t>
      </w:r>
      <w:r>
        <w:rPr>
          <w:sz w:val="24"/>
          <w:szCs w:val="24"/>
        </w:rPr>
        <w:t xml:space="preserve"> </w:t>
      </w:r>
      <w:r w:rsidRPr="00352797">
        <w:rPr>
          <w:sz w:val="24"/>
          <w:szCs w:val="24"/>
        </w:rPr>
        <w:t>persons with disabilities, including those who have been</w:t>
      </w:r>
      <w:r>
        <w:rPr>
          <w:sz w:val="24"/>
          <w:szCs w:val="24"/>
        </w:rPr>
        <w:t xml:space="preserve"> </w:t>
      </w:r>
      <w:r w:rsidRPr="00352797">
        <w:rPr>
          <w:sz w:val="24"/>
          <w:szCs w:val="24"/>
        </w:rPr>
        <w:t>deprived of their legal capacity, have access to redress</w:t>
      </w:r>
      <w:r>
        <w:rPr>
          <w:sz w:val="24"/>
          <w:szCs w:val="24"/>
        </w:rPr>
        <w:t xml:space="preserve"> </w:t>
      </w:r>
      <w:r w:rsidRPr="00352797">
        <w:rPr>
          <w:sz w:val="24"/>
          <w:szCs w:val="24"/>
        </w:rPr>
        <w:t>mechanisms in cases where they have not been able to</w:t>
      </w:r>
      <w:r>
        <w:rPr>
          <w:sz w:val="24"/>
          <w:szCs w:val="24"/>
        </w:rPr>
        <w:t xml:space="preserve"> </w:t>
      </w:r>
      <w:r w:rsidRPr="00352797">
        <w:rPr>
          <w:sz w:val="24"/>
          <w:szCs w:val="24"/>
        </w:rPr>
        <w:t>exercise their right to political participation.</w:t>
      </w:r>
      <w:r>
        <w:rPr>
          <w:sz w:val="24"/>
          <w:szCs w:val="24"/>
        </w:rPr>
        <w:t>” (p. 53)</w:t>
      </w:r>
    </w:p>
    <w:p w14:paraId="04A966CD" w14:textId="1CA34A76" w:rsidR="00352797" w:rsidRDefault="00352797" w:rsidP="004818AE">
      <w:pPr>
        <w:spacing w:after="0"/>
        <w:rPr>
          <w:sz w:val="24"/>
          <w:szCs w:val="24"/>
        </w:rPr>
      </w:pPr>
      <w:r>
        <w:rPr>
          <w:sz w:val="24"/>
          <w:szCs w:val="24"/>
        </w:rPr>
        <w:t>“</w:t>
      </w:r>
      <w:r w:rsidRPr="00352797">
        <w:rPr>
          <w:sz w:val="24"/>
          <w:szCs w:val="24"/>
        </w:rPr>
        <w:t>The analysis indicates</w:t>
      </w:r>
      <w:r>
        <w:rPr>
          <w:sz w:val="24"/>
          <w:szCs w:val="24"/>
        </w:rPr>
        <w:t xml:space="preserve"> that in nearly half (13) of EU </w:t>
      </w:r>
      <w:r w:rsidRPr="00352797">
        <w:rPr>
          <w:sz w:val="24"/>
          <w:szCs w:val="24"/>
        </w:rPr>
        <w:t>Member States, DPOs’ involvement in the development</w:t>
      </w:r>
      <w:r>
        <w:rPr>
          <w:sz w:val="24"/>
          <w:szCs w:val="24"/>
        </w:rPr>
        <w:t xml:space="preserve"> </w:t>
      </w:r>
      <w:r w:rsidRPr="00352797">
        <w:rPr>
          <w:sz w:val="24"/>
          <w:szCs w:val="24"/>
        </w:rPr>
        <w:t>of laws and policies is provided for by law.</w:t>
      </w:r>
      <w:r>
        <w:rPr>
          <w:sz w:val="24"/>
          <w:szCs w:val="24"/>
        </w:rPr>
        <w:t xml:space="preserve"> </w:t>
      </w:r>
      <w:r w:rsidRPr="00352797">
        <w:rPr>
          <w:sz w:val="24"/>
          <w:szCs w:val="24"/>
        </w:rPr>
        <w:t>This involvement takes several different forms.</w:t>
      </w:r>
      <w:r>
        <w:rPr>
          <w:sz w:val="24"/>
          <w:szCs w:val="24"/>
        </w:rPr>
        <w:t xml:space="preserve"> In </w:t>
      </w:r>
      <w:r w:rsidRPr="00352797">
        <w:rPr>
          <w:bCs/>
          <w:sz w:val="24"/>
          <w:szCs w:val="24"/>
        </w:rPr>
        <w:t>Austria</w:t>
      </w:r>
      <w:r w:rsidRPr="00352797">
        <w:rPr>
          <w:sz w:val="24"/>
          <w:szCs w:val="24"/>
        </w:rPr>
        <w:t xml:space="preserve">, </w:t>
      </w:r>
      <w:r w:rsidRPr="00352797">
        <w:rPr>
          <w:bCs/>
          <w:sz w:val="24"/>
          <w:szCs w:val="24"/>
        </w:rPr>
        <w:t>Cyprus</w:t>
      </w:r>
      <w:r w:rsidRPr="00352797">
        <w:rPr>
          <w:sz w:val="24"/>
          <w:szCs w:val="24"/>
        </w:rPr>
        <w:t xml:space="preserve">, </w:t>
      </w:r>
      <w:r w:rsidRPr="00352797">
        <w:rPr>
          <w:b/>
          <w:bCs/>
          <w:sz w:val="24"/>
          <w:szCs w:val="24"/>
        </w:rPr>
        <w:t>Malta</w:t>
      </w:r>
      <w:r w:rsidRPr="00352797">
        <w:rPr>
          <w:bCs/>
          <w:sz w:val="24"/>
          <w:szCs w:val="24"/>
        </w:rPr>
        <w:t xml:space="preserve"> </w:t>
      </w:r>
      <w:r w:rsidRPr="00352797">
        <w:rPr>
          <w:sz w:val="24"/>
          <w:szCs w:val="24"/>
        </w:rPr>
        <w:t xml:space="preserve">and </w:t>
      </w:r>
      <w:r w:rsidRPr="00352797">
        <w:rPr>
          <w:bCs/>
          <w:sz w:val="24"/>
          <w:szCs w:val="24"/>
        </w:rPr>
        <w:t xml:space="preserve">Spain </w:t>
      </w:r>
      <w:r w:rsidRPr="00352797">
        <w:rPr>
          <w:sz w:val="24"/>
          <w:szCs w:val="24"/>
        </w:rPr>
        <w:t>it is provided for</w:t>
      </w:r>
      <w:r>
        <w:rPr>
          <w:sz w:val="24"/>
          <w:szCs w:val="24"/>
        </w:rPr>
        <w:t xml:space="preserve"> </w:t>
      </w:r>
      <w:r w:rsidRPr="00352797">
        <w:rPr>
          <w:sz w:val="24"/>
          <w:szCs w:val="24"/>
        </w:rPr>
        <w:t>in relevant disability-focused legislation.</w:t>
      </w:r>
      <w:r>
        <w:rPr>
          <w:sz w:val="24"/>
          <w:szCs w:val="24"/>
        </w:rPr>
        <w:t>” (p. 56)</w:t>
      </w:r>
    </w:p>
    <w:p w14:paraId="3F6C5F3E" w14:textId="3BE4CF36" w:rsidR="00352797" w:rsidRDefault="00352797" w:rsidP="004818AE">
      <w:pPr>
        <w:spacing w:after="0"/>
        <w:rPr>
          <w:sz w:val="24"/>
          <w:szCs w:val="24"/>
        </w:rPr>
      </w:pPr>
      <w:r>
        <w:rPr>
          <w:sz w:val="24"/>
          <w:szCs w:val="24"/>
        </w:rPr>
        <w:t>“</w:t>
      </w:r>
      <w:r w:rsidRPr="00352797">
        <w:rPr>
          <w:sz w:val="24"/>
          <w:szCs w:val="24"/>
        </w:rPr>
        <w:t>The analysis shows tha</w:t>
      </w:r>
      <w:r>
        <w:rPr>
          <w:sz w:val="24"/>
          <w:szCs w:val="24"/>
        </w:rPr>
        <w:t xml:space="preserve">t in six EU Member States – </w:t>
      </w:r>
      <w:r w:rsidRPr="00352797">
        <w:rPr>
          <w:sz w:val="24"/>
          <w:szCs w:val="24"/>
        </w:rPr>
        <w:t xml:space="preserve">the </w:t>
      </w:r>
      <w:r w:rsidRPr="00352797">
        <w:rPr>
          <w:bCs/>
          <w:sz w:val="24"/>
          <w:szCs w:val="24"/>
        </w:rPr>
        <w:t>Czech Republic</w:t>
      </w:r>
      <w:r w:rsidRPr="00352797">
        <w:rPr>
          <w:sz w:val="24"/>
          <w:szCs w:val="24"/>
        </w:rPr>
        <w:t xml:space="preserve">, </w:t>
      </w:r>
      <w:r w:rsidRPr="00352797">
        <w:rPr>
          <w:bCs/>
          <w:sz w:val="24"/>
          <w:szCs w:val="24"/>
        </w:rPr>
        <w:t>Lithuania</w:t>
      </w:r>
      <w:r w:rsidRPr="00352797">
        <w:rPr>
          <w:sz w:val="24"/>
          <w:szCs w:val="24"/>
        </w:rPr>
        <w:t xml:space="preserve">, </w:t>
      </w:r>
      <w:r w:rsidRPr="00352797">
        <w:rPr>
          <w:b/>
          <w:bCs/>
          <w:sz w:val="24"/>
          <w:szCs w:val="24"/>
        </w:rPr>
        <w:t>Malta</w:t>
      </w:r>
      <w:r w:rsidRPr="00352797">
        <w:rPr>
          <w:sz w:val="24"/>
          <w:szCs w:val="24"/>
        </w:rPr>
        <w:t xml:space="preserve">, </w:t>
      </w:r>
      <w:r w:rsidRPr="00352797">
        <w:rPr>
          <w:bCs/>
          <w:sz w:val="24"/>
          <w:szCs w:val="24"/>
        </w:rPr>
        <w:t>Poland</w:t>
      </w:r>
      <w:r w:rsidRPr="00352797">
        <w:rPr>
          <w:sz w:val="24"/>
          <w:szCs w:val="24"/>
        </w:rPr>
        <w:t xml:space="preserve">, </w:t>
      </w:r>
      <w:r w:rsidRPr="00352797">
        <w:rPr>
          <w:bCs/>
          <w:sz w:val="24"/>
          <w:szCs w:val="24"/>
        </w:rPr>
        <w:t xml:space="preserve">Spain </w:t>
      </w:r>
      <w:r w:rsidRPr="00352797">
        <w:rPr>
          <w:sz w:val="24"/>
          <w:szCs w:val="24"/>
        </w:rPr>
        <w:t xml:space="preserve">and </w:t>
      </w:r>
      <w:r w:rsidRPr="00352797">
        <w:rPr>
          <w:bCs/>
          <w:sz w:val="24"/>
          <w:szCs w:val="24"/>
        </w:rPr>
        <w:t xml:space="preserve">Sweden </w:t>
      </w:r>
      <w:r w:rsidRPr="00352797">
        <w:rPr>
          <w:sz w:val="24"/>
          <w:szCs w:val="24"/>
        </w:rPr>
        <w:t>– information about how and where to complain about voting rights is provided on a website that</w:t>
      </w:r>
      <w:r>
        <w:rPr>
          <w:sz w:val="24"/>
          <w:szCs w:val="24"/>
        </w:rPr>
        <w:t xml:space="preserve"> </w:t>
      </w:r>
      <w:r w:rsidRPr="00352797">
        <w:rPr>
          <w:sz w:val="24"/>
          <w:szCs w:val="24"/>
        </w:rPr>
        <w:t>declares it meets WCAG 2.0 AA standards or in other</w:t>
      </w:r>
      <w:r>
        <w:rPr>
          <w:sz w:val="24"/>
          <w:szCs w:val="24"/>
        </w:rPr>
        <w:t xml:space="preserve"> </w:t>
      </w:r>
      <w:r w:rsidRPr="00352797">
        <w:rPr>
          <w:sz w:val="24"/>
          <w:szCs w:val="24"/>
        </w:rPr>
        <w:t>accessible formats.</w:t>
      </w:r>
      <w:r>
        <w:rPr>
          <w:sz w:val="24"/>
          <w:szCs w:val="24"/>
        </w:rPr>
        <w:t xml:space="preserve"> In some </w:t>
      </w:r>
      <w:r w:rsidRPr="00352797">
        <w:rPr>
          <w:sz w:val="24"/>
          <w:szCs w:val="24"/>
        </w:rPr>
        <w:t>cases, such as the</w:t>
      </w:r>
      <w:r>
        <w:rPr>
          <w:sz w:val="24"/>
          <w:szCs w:val="24"/>
        </w:rPr>
        <w:t xml:space="preserve"> website of the National Commis</w:t>
      </w:r>
      <w:r w:rsidRPr="00352797">
        <w:rPr>
          <w:sz w:val="24"/>
          <w:szCs w:val="24"/>
        </w:rPr>
        <w:t xml:space="preserve">sion of Persons </w:t>
      </w:r>
      <w:r w:rsidRPr="00352797">
        <w:rPr>
          <w:sz w:val="24"/>
          <w:szCs w:val="24"/>
        </w:rPr>
        <w:lastRenderedPageBreak/>
        <w:t xml:space="preserve">with Disability in </w:t>
      </w:r>
      <w:r w:rsidRPr="00352797">
        <w:rPr>
          <w:b/>
          <w:bCs/>
          <w:sz w:val="24"/>
          <w:szCs w:val="24"/>
        </w:rPr>
        <w:t>Malta</w:t>
      </w:r>
      <w:r w:rsidRPr="00352797">
        <w:rPr>
          <w:sz w:val="24"/>
          <w:szCs w:val="24"/>
        </w:rPr>
        <w:t>, the information</w:t>
      </w:r>
      <w:r>
        <w:rPr>
          <w:sz w:val="24"/>
          <w:szCs w:val="24"/>
        </w:rPr>
        <w:t xml:space="preserve"> </w:t>
      </w:r>
      <w:r w:rsidRPr="00352797">
        <w:rPr>
          <w:sz w:val="24"/>
          <w:szCs w:val="24"/>
        </w:rPr>
        <w:t>provided is on complaints in general and not specifically</w:t>
      </w:r>
      <w:r>
        <w:rPr>
          <w:sz w:val="24"/>
          <w:szCs w:val="24"/>
        </w:rPr>
        <w:t xml:space="preserve"> </w:t>
      </w:r>
      <w:r w:rsidRPr="00352797">
        <w:rPr>
          <w:sz w:val="24"/>
          <w:szCs w:val="24"/>
        </w:rPr>
        <w:t>regarding political participation.</w:t>
      </w:r>
      <w:r>
        <w:rPr>
          <w:sz w:val="24"/>
          <w:szCs w:val="24"/>
        </w:rPr>
        <w:t>” (p. 60)</w:t>
      </w:r>
    </w:p>
    <w:p w14:paraId="53EE2B80" w14:textId="11DC2F23" w:rsidR="00352797" w:rsidRDefault="00352797" w:rsidP="004818AE">
      <w:pPr>
        <w:spacing w:after="0"/>
        <w:rPr>
          <w:sz w:val="24"/>
          <w:szCs w:val="24"/>
        </w:rPr>
      </w:pPr>
      <w:r>
        <w:rPr>
          <w:sz w:val="24"/>
          <w:szCs w:val="24"/>
        </w:rPr>
        <w:t xml:space="preserve">“Before the </w:t>
      </w:r>
      <w:r w:rsidRPr="00352797">
        <w:rPr>
          <w:sz w:val="24"/>
          <w:szCs w:val="24"/>
        </w:rPr>
        <w:t xml:space="preserve">2008 General Election in </w:t>
      </w:r>
      <w:r w:rsidRPr="00352797">
        <w:rPr>
          <w:b/>
          <w:bCs/>
          <w:sz w:val="24"/>
          <w:szCs w:val="24"/>
        </w:rPr>
        <w:t>Malta</w:t>
      </w:r>
      <w:r w:rsidRPr="00352797">
        <w:rPr>
          <w:sz w:val="24"/>
          <w:szCs w:val="24"/>
        </w:rPr>
        <w:t>, the Society of the Blind</w:t>
      </w:r>
      <w:r>
        <w:rPr>
          <w:sz w:val="24"/>
          <w:szCs w:val="24"/>
        </w:rPr>
        <w:t xml:space="preserve"> </w:t>
      </w:r>
      <w:r w:rsidRPr="00352797">
        <w:rPr>
          <w:sz w:val="24"/>
          <w:szCs w:val="24"/>
        </w:rPr>
        <w:t>opened a case regarding the right of persons with visual</w:t>
      </w:r>
      <w:r>
        <w:rPr>
          <w:sz w:val="24"/>
          <w:szCs w:val="24"/>
        </w:rPr>
        <w:t xml:space="preserve"> </w:t>
      </w:r>
      <w:r w:rsidRPr="00352797">
        <w:rPr>
          <w:sz w:val="24"/>
          <w:szCs w:val="24"/>
        </w:rPr>
        <w:t>impairments to vote in secret, arguing that the lack of</w:t>
      </w:r>
      <w:r>
        <w:rPr>
          <w:sz w:val="24"/>
          <w:szCs w:val="24"/>
        </w:rPr>
        <w:t xml:space="preserve"> </w:t>
      </w:r>
      <w:r w:rsidRPr="00352797">
        <w:rPr>
          <w:sz w:val="24"/>
          <w:szCs w:val="24"/>
        </w:rPr>
        <w:t>privacy was humiliating and in breach of Malta’s equality</w:t>
      </w:r>
      <w:r>
        <w:rPr>
          <w:sz w:val="24"/>
          <w:szCs w:val="24"/>
        </w:rPr>
        <w:t xml:space="preserve"> </w:t>
      </w:r>
      <w:r w:rsidRPr="00352797">
        <w:rPr>
          <w:sz w:val="24"/>
          <w:szCs w:val="24"/>
        </w:rPr>
        <w:t>legislation. Although the court ruled that it did not</w:t>
      </w:r>
      <w:r>
        <w:rPr>
          <w:sz w:val="24"/>
          <w:szCs w:val="24"/>
        </w:rPr>
        <w:t xml:space="preserve"> </w:t>
      </w:r>
      <w:r w:rsidRPr="00352797">
        <w:rPr>
          <w:sz w:val="24"/>
          <w:szCs w:val="24"/>
        </w:rPr>
        <w:t>have jurisdiction in the case, the General Elections Act</w:t>
      </w:r>
      <w:r>
        <w:rPr>
          <w:sz w:val="24"/>
          <w:szCs w:val="24"/>
        </w:rPr>
        <w:t xml:space="preserve"> </w:t>
      </w:r>
      <w:r w:rsidRPr="00352797">
        <w:rPr>
          <w:sz w:val="24"/>
          <w:szCs w:val="24"/>
        </w:rPr>
        <w:t>was subsequently amended to include an obligation on</w:t>
      </w:r>
      <w:r>
        <w:rPr>
          <w:sz w:val="24"/>
          <w:szCs w:val="24"/>
        </w:rPr>
        <w:t xml:space="preserve"> </w:t>
      </w:r>
      <w:r w:rsidRPr="00352797">
        <w:rPr>
          <w:sz w:val="24"/>
          <w:szCs w:val="24"/>
        </w:rPr>
        <w:t>the Electoral Commission to produce templates in Braille</w:t>
      </w:r>
      <w:r>
        <w:rPr>
          <w:sz w:val="24"/>
          <w:szCs w:val="24"/>
        </w:rPr>
        <w:t xml:space="preserve"> </w:t>
      </w:r>
      <w:r w:rsidRPr="00352797">
        <w:rPr>
          <w:sz w:val="24"/>
          <w:szCs w:val="24"/>
        </w:rPr>
        <w:t>and facilitate the use of playback listening devices.</w:t>
      </w:r>
      <w:r>
        <w:rPr>
          <w:sz w:val="24"/>
          <w:szCs w:val="24"/>
        </w:rPr>
        <w:t>” (p. 62)</w:t>
      </w:r>
    </w:p>
    <w:p w14:paraId="47090963" w14:textId="46F3F9C3" w:rsidR="00352797" w:rsidRDefault="00352797" w:rsidP="004818AE">
      <w:pPr>
        <w:spacing w:after="0"/>
        <w:rPr>
          <w:sz w:val="24"/>
          <w:szCs w:val="24"/>
        </w:rPr>
      </w:pPr>
      <w:r>
        <w:rPr>
          <w:sz w:val="24"/>
          <w:szCs w:val="24"/>
        </w:rPr>
        <w:t>“</w:t>
      </w:r>
      <w:r w:rsidRPr="00352797">
        <w:rPr>
          <w:sz w:val="24"/>
          <w:szCs w:val="24"/>
        </w:rPr>
        <w:t xml:space="preserve">In </w:t>
      </w:r>
      <w:r w:rsidRPr="00352797">
        <w:rPr>
          <w:b/>
          <w:bCs/>
          <w:sz w:val="24"/>
          <w:szCs w:val="24"/>
        </w:rPr>
        <w:t>Malta</w:t>
      </w:r>
      <w:r w:rsidRPr="00352797">
        <w:rPr>
          <w:sz w:val="24"/>
          <w:szCs w:val="24"/>
        </w:rPr>
        <w:t xml:space="preserve">, </w:t>
      </w:r>
      <w:r w:rsidRPr="00352797">
        <w:rPr>
          <w:bCs/>
          <w:sz w:val="24"/>
          <w:szCs w:val="24"/>
        </w:rPr>
        <w:t xml:space="preserve">Slovenia </w:t>
      </w:r>
      <w:r w:rsidRPr="00352797">
        <w:rPr>
          <w:sz w:val="24"/>
          <w:szCs w:val="24"/>
        </w:rPr>
        <w:t xml:space="preserve">and </w:t>
      </w:r>
      <w:r w:rsidRPr="00352797">
        <w:rPr>
          <w:bCs/>
          <w:sz w:val="24"/>
          <w:szCs w:val="24"/>
        </w:rPr>
        <w:t>Spain</w:t>
      </w:r>
      <w:r>
        <w:rPr>
          <w:sz w:val="24"/>
          <w:szCs w:val="24"/>
        </w:rPr>
        <w:t xml:space="preserve">, this research found cases </w:t>
      </w:r>
      <w:r w:rsidRPr="00352797">
        <w:rPr>
          <w:sz w:val="24"/>
          <w:szCs w:val="24"/>
        </w:rPr>
        <w:t>linked to the accessibility of information regarding elections,</w:t>
      </w:r>
      <w:r>
        <w:rPr>
          <w:sz w:val="24"/>
          <w:szCs w:val="24"/>
        </w:rPr>
        <w:t xml:space="preserve"> </w:t>
      </w:r>
      <w:r w:rsidRPr="00352797">
        <w:rPr>
          <w:sz w:val="24"/>
          <w:szCs w:val="24"/>
        </w:rPr>
        <w:t>specifically for persons with visual and hearing</w:t>
      </w:r>
      <w:r>
        <w:rPr>
          <w:sz w:val="24"/>
          <w:szCs w:val="24"/>
        </w:rPr>
        <w:t xml:space="preserve"> </w:t>
      </w:r>
      <w:r w:rsidRPr="00352797">
        <w:rPr>
          <w:sz w:val="24"/>
          <w:szCs w:val="24"/>
        </w:rPr>
        <w:t>impairments. In 2013, the Deaf Persons Association filed</w:t>
      </w:r>
      <w:r>
        <w:rPr>
          <w:sz w:val="24"/>
          <w:szCs w:val="24"/>
        </w:rPr>
        <w:t xml:space="preserve"> </w:t>
      </w:r>
      <w:r w:rsidRPr="00352797">
        <w:rPr>
          <w:sz w:val="24"/>
          <w:szCs w:val="24"/>
        </w:rPr>
        <w:t>a complaint with the National Commission on Persons</w:t>
      </w:r>
      <w:r>
        <w:rPr>
          <w:sz w:val="24"/>
          <w:szCs w:val="24"/>
        </w:rPr>
        <w:t xml:space="preserve"> </w:t>
      </w:r>
      <w:r w:rsidRPr="00352797">
        <w:rPr>
          <w:sz w:val="24"/>
          <w:szCs w:val="24"/>
        </w:rPr>
        <w:t xml:space="preserve">with Disability in </w:t>
      </w:r>
      <w:r w:rsidRPr="00352797">
        <w:rPr>
          <w:b/>
          <w:bCs/>
          <w:sz w:val="24"/>
          <w:szCs w:val="24"/>
        </w:rPr>
        <w:t xml:space="preserve">Malta </w:t>
      </w:r>
      <w:r w:rsidRPr="00352797">
        <w:rPr>
          <w:sz w:val="24"/>
          <w:szCs w:val="24"/>
        </w:rPr>
        <w:t>about the lack of Maltese Sign</w:t>
      </w:r>
      <w:r>
        <w:rPr>
          <w:sz w:val="24"/>
          <w:szCs w:val="24"/>
        </w:rPr>
        <w:t xml:space="preserve"> </w:t>
      </w:r>
      <w:r w:rsidRPr="00352797">
        <w:rPr>
          <w:sz w:val="24"/>
          <w:szCs w:val="24"/>
        </w:rPr>
        <w:t>Language interpretation on national television during</w:t>
      </w:r>
      <w:r>
        <w:rPr>
          <w:sz w:val="24"/>
          <w:szCs w:val="24"/>
        </w:rPr>
        <w:t xml:space="preserve"> </w:t>
      </w:r>
      <w:r w:rsidRPr="00352797">
        <w:rPr>
          <w:sz w:val="24"/>
          <w:szCs w:val="24"/>
        </w:rPr>
        <w:t>an election broadcast. As a result of the complaint, the</w:t>
      </w:r>
      <w:r>
        <w:rPr>
          <w:sz w:val="24"/>
          <w:szCs w:val="24"/>
        </w:rPr>
        <w:t xml:space="preserve"> </w:t>
      </w:r>
      <w:r w:rsidRPr="00352797">
        <w:rPr>
          <w:sz w:val="24"/>
          <w:szCs w:val="24"/>
        </w:rPr>
        <w:t>Broadcasting Authority included Maltese Sign Language</w:t>
      </w:r>
      <w:r>
        <w:rPr>
          <w:sz w:val="24"/>
          <w:szCs w:val="24"/>
        </w:rPr>
        <w:t xml:space="preserve"> </w:t>
      </w:r>
      <w:r w:rsidRPr="00352797">
        <w:rPr>
          <w:sz w:val="24"/>
          <w:szCs w:val="24"/>
        </w:rPr>
        <w:t>interpretation in its broadcasts on the elections</w:t>
      </w:r>
      <w:r w:rsidR="00E03832">
        <w:rPr>
          <w:sz w:val="24"/>
          <w:szCs w:val="24"/>
        </w:rPr>
        <w:t>.” (p. 63)</w:t>
      </w:r>
    </w:p>
    <w:p w14:paraId="43AA9E6E" w14:textId="7FDFCC97" w:rsidR="00EE03DC" w:rsidRDefault="00E03832" w:rsidP="00262F12">
      <w:pPr>
        <w:spacing w:after="0"/>
        <w:rPr>
          <w:sz w:val="24"/>
          <w:szCs w:val="24"/>
        </w:rPr>
      </w:pPr>
      <w:r>
        <w:rPr>
          <w:sz w:val="24"/>
          <w:szCs w:val="24"/>
        </w:rPr>
        <w:t>“</w:t>
      </w:r>
      <w:r w:rsidRPr="00E03832">
        <w:rPr>
          <w:sz w:val="24"/>
          <w:szCs w:val="24"/>
        </w:rPr>
        <w:t xml:space="preserve">In a second group of Member States, including </w:t>
      </w:r>
      <w:r w:rsidRPr="00E03832">
        <w:rPr>
          <w:bCs/>
          <w:sz w:val="24"/>
          <w:szCs w:val="24"/>
        </w:rPr>
        <w:t>France</w:t>
      </w:r>
      <w:r w:rsidRPr="00E03832">
        <w:rPr>
          <w:sz w:val="24"/>
          <w:szCs w:val="24"/>
        </w:rPr>
        <w:t xml:space="preserve">, </w:t>
      </w:r>
      <w:r w:rsidRPr="00E03832">
        <w:rPr>
          <w:bCs/>
          <w:sz w:val="24"/>
          <w:szCs w:val="24"/>
        </w:rPr>
        <w:t>Hungary</w:t>
      </w:r>
      <w:r w:rsidRPr="00E03832">
        <w:rPr>
          <w:sz w:val="24"/>
          <w:szCs w:val="24"/>
        </w:rPr>
        <w:t xml:space="preserve">, </w:t>
      </w:r>
      <w:r w:rsidRPr="00E03832">
        <w:rPr>
          <w:bCs/>
          <w:sz w:val="24"/>
          <w:szCs w:val="24"/>
        </w:rPr>
        <w:t>Ireland, Italy</w:t>
      </w:r>
      <w:r w:rsidRPr="00E03832">
        <w:rPr>
          <w:sz w:val="24"/>
          <w:szCs w:val="24"/>
        </w:rPr>
        <w:t xml:space="preserve">, </w:t>
      </w:r>
      <w:r w:rsidRPr="00E03832">
        <w:rPr>
          <w:b/>
          <w:bCs/>
          <w:sz w:val="24"/>
          <w:szCs w:val="24"/>
        </w:rPr>
        <w:t>Malta</w:t>
      </w:r>
      <w:r w:rsidRPr="00E03832">
        <w:rPr>
          <w:bCs/>
          <w:sz w:val="24"/>
          <w:szCs w:val="24"/>
        </w:rPr>
        <w:t xml:space="preserve"> </w:t>
      </w:r>
      <w:r w:rsidRPr="00E03832">
        <w:rPr>
          <w:sz w:val="24"/>
          <w:szCs w:val="24"/>
        </w:rPr>
        <w:t xml:space="preserve">and </w:t>
      </w:r>
      <w:r w:rsidRPr="00E03832">
        <w:rPr>
          <w:bCs/>
          <w:sz w:val="24"/>
          <w:szCs w:val="24"/>
        </w:rPr>
        <w:t xml:space="preserve">Spain, </w:t>
      </w:r>
      <w:r w:rsidRPr="00E03832">
        <w:rPr>
          <w:sz w:val="24"/>
          <w:szCs w:val="24"/>
        </w:rPr>
        <w:t>data indicating</w:t>
      </w:r>
      <w:r>
        <w:rPr>
          <w:sz w:val="24"/>
          <w:szCs w:val="24"/>
        </w:rPr>
        <w:t xml:space="preserve"> </w:t>
      </w:r>
      <w:r w:rsidRPr="00E03832">
        <w:rPr>
          <w:sz w:val="24"/>
          <w:szCs w:val="24"/>
        </w:rPr>
        <w:t>that there are parliamentarians who identify as having</w:t>
      </w:r>
      <w:r>
        <w:rPr>
          <w:sz w:val="24"/>
          <w:szCs w:val="24"/>
        </w:rPr>
        <w:t xml:space="preserve"> </w:t>
      </w:r>
      <w:r w:rsidRPr="00E03832">
        <w:rPr>
          <w:sz w:val="24"/>
          <w:szCs w:val="24"/>
        </w:rPr>
        <w:t>a disability could be collected from unofficial sources</w:t>
      </w:r>
      <w:r>
        <w:rPr>
          <w:sz w:val="24"/>
          <w:szCs w:val="24"/>
        </w:rPr>
        <w:t xml:space="preserve"> </w:t>
      </w:r>
      <w:r w:rsidRPr="00E03832">
        <w:rPr>
          <w:sz w:val="24"/>
          <w:szCs w:val="24"/>
        </w:rPr>
        <w:t>such as candidate websites and the media.</w:t>
      </w:r>
      <w:r>
        <w:rPr>
          <w:sz w:val="24"/>
          <w:szCs w:val="24"/>
        </w:rPr>
        <w:t>” (p. 69)</w:t>
      </w:r>
    </w:p>
    <w:p w14:paraId="47B8CA2C" w14:textId="77777777" w:rsidR="00262F12" w:rsidRPr="00262F12" w:rsidRDefault="00262F12" w:rsidP="00262F12">
      <w:pPr>
        <w:spacing w:after="0"/>
        <w:rPr>
          <w:sz w:val="24"/>
          <w:szCs w:val="24"/>
        </w:rPr>
      </w:pPr>
    </w:p>
    <w:p w14:paraId="1F87A38A" w14:textId="77777777" w:rsidR="00281962" w:rsidRDefault="00281962" w:rsidP="004818AE">
      <w:pPr>
        <w:pStyle w:val="Heading2"/>
        <w:ind w:left="939"/>
      </w:pPr>
      <w:bookmarkStart w:id="17" w:name="_Toc518034140"/>
      <w:r w:rsidRPr="004C24D1">
        <w:t>Legal capacity of persons with intellectual disabilities and persons with mental health problems (2013)</w:t>
      </w:r>
      <w:bookmarkEnd w:id="17"/>
    </w:p>
    <w:p w14:paraId="75B80A28" w14:textId="67A042C7" w:rsidR="00281962" w:rsidRDefault="00281962" w:rsidP="004818AE">
      <w:pPr>
        <w:spacing w:after="0"/>
        <w:rPr>
          <w:sz w:val="24"/>
          <w:szCs w:val="24"/>
          <w:lang w:val="en"/>
        </w:rPr>
      </w:pPr>
      <w:bookmarkStart w:id="18" w:name="_GoBack"/>
      <w:bookmarkEnd w:id="18"/>
      <w:r w:rsidRPr="00E673AD">
        <w:rPr>
          <w:sz w:val="24"/>
          <w:szCs w:val="24"/>
          <w:lang w:val="en"/>
        </w:rPr>
        <w:t>For more information:</w:t>
      </w:r>
      <w:r w:rsidRPr="00E673AD">
        <w:rPr>
          <w:sz w:val="24"/>
          <w:szCs w:val="24"/>
        </w:rPr>
        <w:t xml:space="preserve"> </w:t>
      </w:r>
      <w:hyperlink r:id="rId25" w:history="1">
        <w:r w:rsidRPr="00E673AD">
          <w:rPr>
            <w:rStyle w:val="Hyperlink"/>
            <w:sz w:val="24"/>
            <w:szCs w:val="24"/>
            <w:lang w:val="en"/>
          </w:rPr>
          <w:t>http://fra.europa.eu/en/publication/2013/legal-capacity-persons-intellectual-disabilities-and-persons-mental-health-problems</w:t>
        </w:r>
      </w:hyperlink>
      <w:r w:rsidR="006F4931" w:rsidRPr="006F4931">
        <w:rPr>
          <w:rStyle w:val="Hyperlink"/>
          <w:color w:val="auto"/>
          <w:sz w:val="24"/>
          <w:szCs w:val="24"/>
          <w:u w:val="none"/>
          <w:lang w:val="en"/>
        </w:rPr>
        <w:t>.</w:t>
      </w:r>
      <w:r w:rsidR="00FE5A96">
        <w:rPr>
          <w:rStyle w:val="Hyperlink"/>
          <w:sz w:val="24"/>
          <w:szCs w:val="24"/>
          <w:u w:val="none"/>
          <w:lang w:val="en"/>
        </w:rPr>
        <w:t xml:space="preserve"> </w:t>
      </w:r>
      <w:r w:rsidR="006F4931">
        <w:rPr>
          <w:sz w:val="24"/>
          <w:szCs w:val="24"/>
          <w:lang w:val="en"/>
        </w:rPr>
        <w:t xml:space="preserve">Also available in easy-to-read: </w:t>
      </w:r>
      <w:hyperlink r:id="rId26" w:history="1">
        <w:r w:rsidR="006F4931" w:rsidRPr="00B82C70">
          <w:rPr>
            <w:rStyle w:val="Hyperlink"/>
            <w:sz w:val="24"/>
            <w:szCs w:val="24"/>
            <w:lang w:val="en"/>
          </w:rPr>
          <w:t>http://fra.europa.eu/en/publication/2013/laws-about-being-able-make-important-decisions-yourself</w:t>
        </w:r>
      </w:hyperlink>
      <w:r w:rsidR="006F4931">
        <w:rPr>
          <w:sz w:val="24"/>
          <w:szCs w:val="24"/>
          <w:lang w:val="en"/>
        </w:rPr>
        <w:t xml:space="preserve">. </w:t>
      </w:r>
    </w:p>
    <w:p w14:paraId="766111E7" w14:textId="7CDA7F3C" w:rsidR="00E03832" w:rsidRDefault="00E03832" w:rsidP="00262F12">
      <w:pPr>
        <w:spacing w:after="0"/>
        <w:rPr>
          <w:sz w:val="24"/>
          <w:szCs w:val="24"/>
        </w:rPr>
      </w:pPr>
      <w:r>
        <w:rPr>
          <w:sz w:val="24"/>
          <w:szCs w:val="24"/>
          <w:lang w:val="en"/>
        </w:rPr>
        <w:t>“</w:t>
      </w:r>
      <w:r w:rsidRPr="00E03832">
        <w:rPr>
          <w:sz w:val="24"/>
          <w:szCs w:val="24"/>
        </w:rPr>
        <w:t xml:space="preserve">In </w:t>
      </w:r>
      <w:r w:rsidRPr="00E03832">
        <w:rPr>
          <w:b/>
          <w:bCs/>
          <w:sz w:val="24"/>
          <w:szCs w:val="24"/>
        </w:rPr>
        <w:t>Malta</w:t>
      </w:r>
      <w:r w:rsidRPr="00E03832">
        <w:rPr>
          <w:sz w:val="24"/>
          <w:szCs w:val="24"/>
        </w:rPr>
        <w:t>, the Civil Code was amended in December 2012 to introduce a system of guardianship providing that “a major who has a mental disorder or other condition which renders him incapa</w:t>
      </w:r>
      <w:r w:rsidRPr="00E03832">
        <w:rPr>
          <w:sz w:val="24"/>
          <w:szCs w:val="24"/>
        </w:rPr>
        <w:softHyphen/>
        <w:t>ble of taking care of his own affairs may be subject to guardianship”</w:t>
      </w:r>
      <w:r>
        <w:rPr>
          <w:sz w:val="24"/>
          <w:szCs w:val="24"/>
        </w:rPr>
        <w:t>. (p. 28)</w:t>
      </w:r>
    </w:p>
    <w:p w14:paraId="65502678" w14:textId="628A3013" w:rsidR="00E03832" w:rsidRDefault="00E03832" w:rsidP="00262F12">
      <w:pPr>
        <w:spacing w:after="0"/>
        <w:rPr>
          <w:sz w:val="24"/>
          <w:szCs w:val="24"/>
        </w:rPr>
      </w:pPr>
      <w:r>
        <w:rPr>
          <w:sz w:val="24"/>
          <w:szCs w:val="24"/>
        </w:rPr>
        <w:t>“</w:t>
      </w:r>
      <w:r w:rsidRPr="00E03832">
        <w:rPr>
          <w:sz w:val="24"/>
          <w:szCs w:val="24"/>
        </w:rPr>
        <w:t>Four Member States have established special courts that deal exclusively with establishing and terminating protection measures and restricting legal capac</w:t>
      </w:r>
      <w:r>
        <w:rPr>
          <w:sz w:val="24"/>
          <w:szCs w:val="24"/>
        </w:rPr>
        <w:t xml:space="preserve">ity. </w:t>
      </w:r>
      <w:r w:rsidRPr="00E03832">
        <w:rPr>
          <w:sz w:val="24"/>
          <w:szCs w:val="24"/>
        </w:rPr>
        <w:t xml:space="preserve">In </w:t>
      </w:r>
      <w:r w:rsidRPr="00E03832">
        <w:rPr>
          <w:b/>
          <w:bCs/>
          <w:sz w:val="24"/>
          <w:szCs w:val="24"/>
        </w:rPr>
        <w:t>Malta</w:t>
      </w:r>
      <w:r w:rsidRPr="00E03832">
        <w:rPr>
          <w:sz w:val="24"/>
          <w:szCs w:val="24"/>
        </w:rPr>
        <w:t>, for example, this role is fulfilled by the Court of Voluntary Jurisdiction for matters of interdiction or incapacita</w:t>
      </w:r>
      <w:r w:rsidRPr="00E03832">
        <w:rPr>
          <w:sz w:val="24"/>
          <w:szCs w:val="24"/>
        </w:rPr>
        <w:softHyphen/>
        <w:t xml:space="preserve">tion or by the Guardianship Board in case of a request for guardianship; in </w:t>
      </w:r>
      <w:r w:rsidRPr="00E03832">
        <w:rPr>
          <w:bCs/>
          <w:sz w:val="24"/>
          <w:szCs w:val="24"/>
        </w:rPr>
        <w:t xml:space="preserve">Latvia </w:t>
      </w:r>
      <w:r w:rsidRPr="00E03832">
        <w:rPr>
          <w:sz w:val="24"/>
          <w:szCs w:val="24"/>
        </w:rPr>
        <w:t xml:space="preserve">by the Orphan Court; in </w:t>
      </w:r>
      <w:r w:rsidRPr="00E03832">
        <w:rPr>
          <w:bCs/>
          <w:sz w:val="24"/>
          <w:szCs w:val="24"/>
        </w:rPr>
        <w:t xml:space="preserve">England </w:t>
      </w:r>
      <w:r w:rsidRPr="00E03832">
        <w:rPr>
          <w:sz w:val="24"/>
          <w:szCs w:val="24"/>
        </w:rPr>
        <w:t xml:space="preserve">and </w:t>
      </w:r>
      <w:r w:rsidRPr="00E03832">
        <w:rPr>
          <w:bCs/>
          <w:sz w:val="24"/>
          <w:szCs w:val="24"/>
        </w:rPr>
        <w:t xml:space="preserve">Wales </w:t>
      </w:r>
      <w:r w:rsidRPr="00E03832">
        <w:rPr>
          <w:sz w:val="24"/>
          <w:szCs w:val="24"/>
        </w:rPr>
        <w:t xml:space="preserve">by the Court of Protection; and, finally, in </w:t>
      </w:r>
      <w:r w:rsidRPr="00E03832">
        <w:rPr>
          <w:bCs/>
          <w:sz w:val="24"/>
          <w:szCs w:val="24"/>
        </w:rPr>
        <w:t>Spain</w:t>
      </w:r>
      <w:r w:rsidRPr="00E03832">
        <w:rPr>
          <w:sz w:val="24"/>
          <w:szCs w:val="24"/>
        </w:rPr>
        <w:t>, by incapacitation courts in several cities (Barcelona, Bilbao, Granada, Madrid, Valencia and Vitoria).”</w:t>
      </w:r>
      <w:r>
        <w:rPr>
          <w:sz w:val="24"/>
          <w:szCs w:val="24"/>
        </w:rPr>
        <w:t xml:space="preserve"> (p. 33)</w:t>
      </w:r>
    </w:p>
    <w:p w14:paraId="35914C29" w14:textId="27408F8E" w:rsidR="00262F12" w:rsidRPr="00262F12" w:rsidRDefault="00E03832" w:rsidP="00262F12">
      <w:pPr>
        <w:spacing w:after="0"/>
        <w:rPr>
          <w:sz w:val="24"/>
          <w:szCs w:val="24"/>
        </w:rPr>
      </w:pPr>
      <w:r>
        <w:rPr>
          <w:sz w:val="24"/>
          <w:szCs w:val="24"/>
        </w:rPr>
        <w:t>“</w:t>
      </w:r>
      <w:r w:rsidRPr="00E03832">
        <w:rPr>
          <w:sz w:val="24"/>
          <w:szCs w:val="24"/>
        </w:rPr>
        <w:t>FRA’s research shows that only a few EU Member States set a maximum time limit for reviewing a protective measure.</w:t>
      </w:r>
      <w:r>
        <w:rPr>
          <w:sz w:val="24"/>
          <w:szCs w:val="24"/>
        </w:rPr>
        <w:t xml:space="preserve"> </w:t>
      </w:r>
      <w:r w:rsidRPr="00E03832">
        <w:rPr>
          <w:sz w:val="24"/>
          <w:szCs w:val="24"/>
        </w:rPr>
        <w:t xml:space="preserve">In </w:t>
      </w:r>
      <w:r w:rsidRPr="00E03832">
        <w:rPr>
          <w:b/>
          <w:bCs/>
          <w:sz w:val="24"/>
          <w:szCs w:val="24"/>
        </w:rPr>
        <w:t>Malta</w:t>
      </w:r>
      <w:r w:rsidRPr="00E03832">
        <w:rPr>
          <w:sz w:val="24"/>
          <w:szCs w:val="24"/>
        </w:rPr>
        <w:t xml:space="preserve">, when a guardian is appointed, the Guardianship </w:t>
      </w:r>
      <w:r w:rsidRPr="00E03832">
        <w:rPr>
          <w:sz w:val="24"/>
          <w:szCs w:val="24"/>
        </w:rPr>
        <w:lastRenderedPageBreak/>
        <w:t>Board “shall also order that a hearing for the review (…) be held within specific period, not being longer than two years”.</w:t>
      </w:r>
      <w:r>
        <w:rPr>
          <w:sz w:val="24"/>
          <w:szCs w:val="24"/>
        </w:rPr>
        <w:t xml:space="preserve"> (p. 37)</w:t>
      </w:r>
    </w:p>
    <w:p w14:paraId="29241099" w14:textId="5A34ABF8" w:rsidR="00F00E55" w:rsidRPr="00F00E55" w:rsidRDefault="00281962" w:rsidP="00262F12">
      <w:pPr>
        <w:pStyle w:val="Heading2"/>
        <w:spacing w:before="240"/>
        <w:ind w:left="939"/>
      </w:pPr>
      <w:bookmarkStart w:id="19" w:name="_Toc518034141"/>
      <w:r w:rsidRPr="004C24D1">
        <w:t>Involuntary placement and involuntary treatment of persons with mental health problems (2012)</w:t>
      </w:r>
      <w:bookmarkEnd w:id="19"/>
    </w:p>
    <w:p w14:paraId="31B628A1" w14:textId="6BEF68B1" w:rsidR="00F00E55" w:rsidRDefault="00281962" w:rsidP="00262F12">
      <w:pPr>
        <w:spacing w:after="0"/>
        <w:rPr>
          <w:rStyle w:val="Hyperlink"/>
          <w:color w:val="auto"/>
          <w:sz w:val="24"/>
          <w:szCs w:val="24"/>
          <w:u w:val="none"/>
        </w:rPr>
      </w:pPr>
      <w:r w:rsidRPr="00E673AD">
        <w:rPr>
          <w:sz w:val="24"/>
          <w:szCs w:val="24"/>
          <w:lang w:val="en"/>
        </w:rPr>
        <w:t xml:space="preserve">For more information: </w:t>
      </w:r>
      <w:hyperlink r:id="rId27" w:history="1">
        <w:r w:rsidRPr="00E673AD">
          <w:rPr>
            <w:rStyle w:val="Hyperlink"/>
            <w:sz w:val="24"/>
            <w:szCs w:val="24"/>
          </w:rPr>
          <w:t>http://fra.europa.eu/en/publication/2012/involuntary-placement-and-involuntary-treatment-persons-mental-health-problems</w:t>
        </w:r>
      </w:hyperlink>
      <w:r w:rsidR="00920299" w:rsidRPr="00920299">
        <w:rPr>
          <w:rStyle w:val="Hyperlink"/>
          <w:color w:val="auto"/>
          <w:sz w:val="24"/>
          <w:szCs w:val="24"/>
          <w:u w:val="none"/>
        </w:rPr>
        <w:t xml:space="preserve">. </w:t>
      </w:r>
    </w:p>
    <w:p w14:paraId="33116B5D" w14:textId="3943CA5E" w:rsidR="00E03832" w:rsidRDefault="00E03832" w:rsidP="00262F12">
      <w:pPr>
        <w:spacing w:after="0"/>
        <w:rPr>
          <w:sz w:val="24"/>
          <w:szCs w:val="24"/>
        </w:rPr>
      </w:pPr>
      <w:r>
        <w:rPr>
          <w:rStyle w:val="Hyperlink"/>
          <w:color w:val="auto"/>
          <w:sz w:val="24"/>
          <w:szCs w:val="24"/>
          <w:u w:val="none"/>
        </w:rPr>
        <w:t>“</w:t>
      </w:r>
      <w:r w:rsidRPr="00E03832">
        <w:rPr>
          <w:sz w:val="24"/>
          <w:szCs w:val="24"/>
        </w:rPr>
        <w:t xml:space="preserve">In 12 Member States, the existence of a significant risk of serious harm to oneself or others and a confirmed mental health problem are the two main conditions justifying involuntary placement. The need for a therapeutic purpose is not explicitly stipulated. This is the case, in </w:t>
      </w:r>
      <w:r w:rsidRPr="00EB2FD8">
        <w:rPr>
          <w:bCs/>
          <w:sz w:val="24"/>
          <w:szCs w:val="24"/>
        </w:rPr>
        <w:t xml:space="preserve">Austria, Belgium, Bulgaria, Cyprus, </w:t>
      </w:r>
      <w:r w:rsidRPr="00EB2FD8">
        <w:rPr>
          <w:sz w:val="24"/>
          <w:szCs w:val="24"/>
        </w:rPr>
        <w:t xml:space="preserve">the </w:t>
      </w:r>
      <w:r w:rsidRPr="00EB2FD8">
        <w:rPr>
          <w:bCs/>
          <w:sz w:val="24"/>
          <w:szCs w:val="24"/>
        </w:rPr>
        <w:t xml:space="preserve">Czech Republic, Germany, Estonia, Hungary, Lithuania, Luxembourg, </w:t>
      </w:r>
      <w:r w:rsidRPr="00EB2FD8">
        <w:rPr>
          <w:b/>
          <w:bCs/>
          <w:sz w:val="24"/>
          <w:szCs w:val="24"/>
        </w:rPr>
        <w:t>Malta</w:t>
      </w:r>
      <w:r w:rsidRPr="00EB2FD8">
        <w:rPr>
          <w:bCs/>
          <w:sz w:val="24"/>
          <w:szCs w:val="24"/>
        </w:rPr>
        <w:t xml:space="preserve"> </w:t>
      </w:r>
      <w:r w:rsidRPr="00EB2FD8">
        <w:rPr>
          <w:sz w:val="24"/>
          <w:szCs w:val="24"/>
        </w:rPr>
        <w:t xml:space="preserve">and the </w:t>
      </w:r>
      <w:r w:rsidRPr="00EB2FD8">
        <w:rPr>
          <w:bCs/>
          <w:sz w:val="24"/>
          <w:szCs w:val="24"/>
        </w:rPr>
        <w:t>Netherlands</w:t>
      </w:r>
      <w:r w:rsidRPr="00EB2FD8">
        <w:rPr>
          <w:sz w:val="24"/>
          <w:szCs w:val="24"/>
        </w:rPr>
        <w:t>.</w:t>
      </w:r>
      <w:r w:rsidR="00EB2FD8">
        <w:rPr>
          <w:sz w:val="24"/>
          <w:szCs w:val="24"/>
        </w:rPr>
        <w:t>” (p. 31)</w:t>
      </w:r>
    </w:p>
    <w:p w14:paraId="2721082F" w14:textId="76481295" w:rsidR="00EB2FD8" w:rsidRDefault="00EB2FD8" w:rsidP="00262F12">
      <w:pPr>
        <w:spacing w:after="0"/>
        <w:rPr>
          <w:sz w:val="24"/>
          <w:szCs w:val="24"/>
        </w:rPr>
      </w:pPr>
      <w:r>
        <w:rPr>
          <w:sz w:val="24"/>
          <w:szCs w:val="24"/>
        </w:rPr>
        <w:t>“</w:t>
      </w:r>
      <w:r w:rsidRPr="00EB2FD8">
        <w:rPr>
          <w:sz w:val="24"/>
          <w:szCs w:val="24"/>
        </w:rPr>
        <w:t xml:space="preserve">In other EU Member States, the use of less restrictive approaches applies only to involuntary treatment. Such is the case in </w:t>
      </w:r>
      <w:r w:rsidRPr="00EB2FD8">
        <w:rPr>
          <w:b/>
          <w:bCs/>
          <w:sz w:val="24"/>
          <w:szCs w:val="24"/>
        </w:rPr>
        <w:t>Malta</w:t>
      </w:r>
      <w:r w:rsidRPr="00EB2FD8">
        <w:rPr>
          <w:sz w:val="24"/>
          <w:szCs w:val="24"/>
        </w:rPr>
        <w:t>, where according to Section 14 (3) of the Mental Health Act the two medical practitioners applying for an involuntary treatment measure “must specify whether other methods of dealing with the patient are available and, if so, why such methods are not appropriate.”</w:t>
      </w:r>
      <w:r>
        <w:rPr>
          <w:sz w:val="24"/>
          <w:szCs w:val="24"/>
        </w:rPr>
        <w:t xml:space="preserve"> (p. 33)</w:t>
      </w:r>
    </w:p>
    <w:p w14:paraId="45FDD172" w14:textId="7F68C879" w:rsidR="00EB2FD8" w:rsidRDefault="00EB2FD8" w:rsidP="00262F12">
      <w:pPr>
        <w:spacing w:after="0"/>
        <w:rPr>
          <w:bCs/>
          <w:sz w:val="24"/>
          <w:szCs w:val="24"/>
        </w:rPr>
      </w:pPr>
      <w:r>
        <w:rPr>
          <w:sz w:val="24"/>
          <w:szCs w:val="24"/>
        </w:rPr>
        <w:t>“</w:t>
      </w:r>
      <w:r w:rsidRPr="00EB2FD8">
        <w:rPr>
          <w:sz w:val="24"/>
          <w:szCs w:val="24"/>
        </w:rPr>
        <w:t>Many EU Member States laws refer to the persons’ opinion at times with respect to involuntary placement and more often to treatment</w:t>
      </w:r>
      <w:r>
        <w:rPr>
          <w:sz w:val="24"/>
          <w:szCs w:val="24"/>
        </w:rPr>
        <w:t xml:space="preserve">. </w:t>
      </w:r>
      <w:r w:rsidRPr="00EB2FD8">
        <w:rPr>
          <w:sz w:val="24"/>
          <w:szCs w:val="24"/>
        </w:rPr>
        <w:t xml:space="preserve">A small number of EU Member States laws do not refer to the person’s opinion in the course of an involuntary measure. This is the case in the </w:t>
      </w:r>
      <w:r w:rsidRPr="00EB2FD8">
        <w:rPr>
          <w:bCs/>
          <w:sz w:val="24"/>
          <w:szCs w:val="24"/>
        </w:rPr>
        <w:t xml:space="preserve">Czech Republic, Greece, Latvia, </w:t>
      </w:r>
      <w:r w:rsidRPr="00EB2FD8">
        <w:rPr>
          <w:b/>
          <w:bCs/>
          <w:sz w:val="24"/>
          <w:szCs w:val="24"/>
        </w:rPr>
        <w:t>Malta</w:t>
      </w:r>
      <w:r w:rsidRPr="00EB2FD8">
        <w:rPr>
          <w:sz w:val="24"/>
          <w:szCs w:val="24"/>
        </w:rPr>
        <w:t xml:space="preserve">, </w:t>
      </w:r>
      <w:r w:rsidRPr="00EB2FD8">
        <w:rPr>
          <w:bCs/>
          <w:sz w:val="24"/>
          <w:szCs w:val="24"/>
        </w:rPr>
        <w:t xml:space="preserve">Slovakia </w:t>
      </w:r>
      <w:r w:rsidRPr="00EB2FD8">
        <w:rPr>
          <w:sz w:val="24"/>
          <w:szCs w:val="24"/>
        </w:rPr>
        <w:t xml:space="preserve">and the </w:t>
      </w:r>
      <w:r w:rsidRPr="00EB2FD8">
        <w:rPr>
          <w:bCs/>
          <w:sz w:val="24"/>
          <w:szCs w:val="24"/>
        </w:rPr>
        <w:t>United Kingdom</w:t>
      </w:r>
      <w:r>
        <w:rPr>
          <w:bCs/>
          <w:sz w:val="24"/>
          <w:szCs w:val="24"/>
        </w:rPr>
        <w:t>.” (p. 34)</w:t>
      </w:r>
    </w:p>
    <w:p w14:paraId="71DFC73C" w14:textId="7989ABD8" w:rsidR="00EB2FD8" w:rsidRDefault="00EB2FD8" w:rsidP="00262F12">
      <w:pPr>
        <w:spacing w:after="0"/>
        <w:rPr>
          <w:bCs/>
          <w:sz w:val="24"/>
          <w:szCs w:val="24"/>
        </w:rPr>
      </w:pPr>
      <w:r>
        <w:rPr>
          <w:bCs/>
          <w:sz w:val="24"/>
          <w:szCs w:val="24"/>
        </w:rPr>
        <w:t>“</w:t>
      </w:r>
      <w:r w:rsidRPr="00EB2FD8">
        <w:rPr>
          <w:bCs/>
          <w:sz w:val="24"/>
          <w:szCs w:val="24"/>
        </w:rPr>
        <w:t>In most EU Member States the involuntary placement decision under a regular admissions procedure is decided by a non-medical body, generally a court</w:t>
      </w:r>
      <w:r>
        <w:rPr>
          <w:bCs/>
          <w:sz w:val="24"/>
          <w:szCs w:val="24"/>
        </w:rPr>
        <w:t xml:space="preserve">. </w:t>
      </w:r>
      <w:r w:rsidRPr="00EB2FD8">
        <w:rPr>
          <w:bCs/>
          <w:sz w:val="24"/>
          <w:szCs w:val="24"/>
        </w:rPr>
        <w:t xml:space="preserve">In a few EU Member States the final decision remains a medical one. For example, in </w:t>
      </w:r>
      <w:r w:rsidRPr="00EB2FD8">
        <w:rPr>
          <w:b/>
          <w:bCs/>
          <w:sz w:val="24"/>
          <w:szCs w:val="24"/>
        </w:rPr>
        <w:t>Malta</w:t>
      </w:r>
      <w:r w:rsidRPr="00EB2FD8">
        <w:rPr>
          <w:bCs/>
          <w:sz w:val="24"/>
          <w:szCs w:val="24"/>
        </w:rPr>
        <w:t>, the decision is taken by the manager of the psychiatric hospital; and in Romania by the “medical authority”.</w:t>
      </w:r>
      <w:r>
        <w:rPr>
          <w:bCs/>
          <w:sz w:val="24"/>
          <w:szCs w:val="24"/>
        </w:rPr>
        <w:t xml:space="preserve"> (p. </w:t>
      </w:r>
      <w:r w:rsidR="00691A7F">
        <w:rPr>
          <w:bCs/>
          <w:sz w:val="24"/>
          <w:szCs w:val="24"/>
        </w:rPr>
        <w:t>36-37)</w:t>
      </w:r>
    </w:p>
    <w:p w14:paraId="3192677E" w14:textId="068DA529" w:rsidR="00691A7F" w:rsidRDefault="00691A7F" w:rsidP="002D605B">
      <w:pPr>
        <w:rPr>
          <w:bCs/>
          <w:sz w:val="24"/>
          <w:szCs w:val="24"/>
        </w:rPr>
      </w:pPr>
      <w:r>
        <w:rPr>
          <w:bCs/>
          <w:noProof/>
          <w:sz w:val="24"/>
          <w:szCs w:val="24"/>
          <w:lang w:eastAsia="en-IE"/>
        </w:rPr>
        <w:drawing>
          <wp:inline distT="0" distB="0" distL="0" distR="0" wp14:anchorId="0305BDD6" wp14:editId="030DFFBD">
            <wp:extent cx="3267075" cy="601345"/>
            <wp:effectExtent l="0" t="0" r="952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RPD1.PNG"/>
                    <pic:cNvPicPr/>
                  </pic:nvPicPr>
                  <pic:blipFill>
                    <a:blip r:embed="rId28">
                      <a:extLst>
                        <a:ext uri="{28A0092B-C50C-407E-A947-70E740481C1C}">
                          <a14:useLocalDpi xmlns:a14="http://schemas.microsoft.com/office/drawing/2010/main" val="0"/>
                        </a:ext>
                      </a:extLst>
                    </a:blip>
                    <a:stretch>
                      <a:fillRect/>
                    </a:stretch>
                  </pic:blipFill>
                  <pic:spPr>
                    <a:xfrm>
                      <a:off x="0" y="0"/>
                      <a:ext cx="3332858" cy="613453"/>
                    </a:xfrm>
                    <a:prstGeom prst="rect">
                      <a:avLst/>
                    </a:prstGeom>
                  </pic:spPr>
                </pic:pic>
              </a:graphicData>
            </a:graphic>
          </wp:inline>
        </w:drawing>
      </w:r>
    </w:p>
    <w:p w14:paraId="72D0067C" w14:textId="30978404" w:rsidR="00262F12" w:rsidRPr="00920299" w:rsidRDefault="00691A7F" w:rsidP="002D605B">
      <w:pPr>
        <w:rPr>
          <w:sz w:val="24"/>
          <w:szCs w:val="24"/>
        </w:rPr>
      </w:pPr>
      <w:r>
        <w:rPr>
          <w:noProof/>
          <w:sz w:val="24"/>
          <w:szCs w:val="24"/>
          <w:lang w:eastAsia="en-IE"/>
        </w:rPr>
        <w:drawing>
          <wp:inline distT="0" distB="0" distL="0" distR="0" wp14:anchorId="2A57DB2E" wp14:editId="69FED9C2">
            <wp:extent cx="628650" cy="5838823"/>
            <wp:effectExtent l="5080" t="0" r="508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RPD4.PNG"/>
                    <pic:cNvPicPr/>
                  </pic:nvPicPr>
                  <pic:blipFill>
                    <a:blip r:embed="rId29">
                      <a:extLst>
                        <a:ext uri="{28A0092B-C50C-407E-A947-70E740481C1C}">
                          <a14:useLocalDpi xmlns:a14="http://schemas.microsoft.com/office/drawing/2010/main" val="0"/>
                        </a:ext>
                      </a:extLst>
                    </a:blip>
                    <a:stretch>
                      <a:fillRect/>
                    </a:stretch>
                  </pic:blipFill>
                  <pic:spPr>
                    <a:xfrm rot="5400000">
                      <a:off x="0" y="0"/>
                      <a:ext cx="629910" cy="5850524"/>
                    </a:xfrm>
                    <a:prstGeom prst="rect">
                      <a:avLst/>
                    </a:prstGeom>
                  </pic:spPr>
                </pic:pic>
              </a:graphicData>
            </a:graphic>
          </wp:inline>
        </w:drawing>
      </w:r>
      <w:r>
        <w:rPr>
          <w:rStyle w:val="Hyperlink"/>
          <w:color w:val="auto"/>
          <w:sz w:val="24"/>
          <w:szCs w:val="24"/>
          <w:u w:val="none"/>
        </w:rPr>
        <w:t>(p. 59)</w:t>
      </w:r>
    </w:p>
    <w:p w14:paraId="35CB58D1" w14:textId="79A81095" w:rsidR="00281962" w:rsidRPr="008358FD" w:rsidRDefault="00281962" w:rsidP="00262F12">
      <w:pPr>
        <w:pStyle w:val="Heading2"/>
        <w:ind w:left="939"/>
      </w:pPr>
      <w:bookmarkStart w:id="20" w:name="_Toc518034142"/>
      <w:r w:rsidRPr="004C24D1">
        <w:t>The legal protection of persons with mental health problems under non-discrimination law (2011)</w:t>
      </w:r>
      <w:bookmarkEnd w:id="20"/>
    </w:p>
    <w:p w14:paraId="551B0E2F" w14:textId="1C0BA822" w:rsidR="00281962" w:rsidRDefault="00281962" w:rsidP="00262F12">
      <w:pPr>
        <w:spacing w:after="0"/>
        <w:rPr>
          <w:sz w:val="24"/>
          <w:szCs w:val="24"/>
        </w:rPr>
      </w:pPr>
      <w:r w:rsidRPr="00E673AD">
        <w:rPr>
          <w:color w:val="000000" w:themeColor="text1"/>
          <w:sz w:val="24"/>
          <w:szCs w:val="24"/>
        </w:rPr>
        <w:t>For more detailed information:</w:t>
      </w:r>
      <w:r w:rsidRPr="00E673AD">
        <w:rPr>
          <w:sz w:val="24"/>
          <w:szCs w:val="24"/>
        </w:rPr>
        <w:t xml:space="preserve"> </w:t>
      </w:r>
      <w:hyperlink r:id="rId30" w:history="1">
        <w:r w:rsidRPr="00E673AD">
          <w:rPr>
            <w:rStyle w:val="Hyperlink"/>
            <w:sz w:val="24"/>
            <w:szCs w:val="24"/>
          </w:rPr>
          <w:t>http://fra.europa.eu/en/publication/2011/legal-protection-persons-mental-health-problems-under-non-discrimination-law</w:t>
        </w:r>
      </w:hyperlink>
      <w:r w:rsidR="00FA36D5" w:rsidRPr="00FA36D5">
        <w:rPr>
          <w:rStyle w:val="Hyperlink"/>
          <w:sz w:val="24"/>
          <w:szCs w:val="24"/>
          <w:u w:val="none"/>
        </w:rPr>
        <w:t>.</w:t>
      </w:r>
      <w:r w:rsidRPr="00FA36D5">
        <w:rPr>
          <w:sz w:val="24"/>
          <w:szCs w:val="24"/>
        </w:rPr>
        <w:t xml:space="preserve"> </w:t>
      </w:r>
    </w:p>
    <w:p w14:paraId="13BBBB18" w14:textId="3FB05C0E" w:rsidR="001C6763" w:rsidRDefault="00691A7F" w:rsidP="00262F12">
      <w:pPr>
        <w:spacing w:after="0"/>
        <w:rPr>
          <w:sz w:val="24"/>
          <w:szCs w:val="24"/>
        </w:rPr>
      </w:pPr>
      <w:r>
        <w:rPr>
          <w:sz w:val="24"/>
          <w:szCs w:val="24"/>
        </w:rPr>
        <w:lastRenderedPageBreak/>
        <w:t>“</w:t>
      </w:r>
      <w:r w:rsidRPr="00691A7F">
        <w:rPr>
          <w:sz w:val="24"/>
          <w:szCs w:val="24"/>
        </w:rPr>
        <w:t xml:space="preserve">The </w:t>
      </w:r>
      <w:r w:rsidRPr="00691A7F">
        <w:rPr>
          <w:b/>
          <w:sz w:val="24"/>
          <w:szCs w:val="24"/>
        </w:rPr>
        <w:t>Maltese</w:t>
      </w:r>
      <w:r>
        <w:rPr>
          <w:sz w:val="24"/>
          <w:szCs w:val="24"/>
        </w:rPr>
        <w:t xml:space="preserve"> </w:t>
      </w:r>
      <w:r w:rsidRPr="00691A7F">
        <w:rPr>
          <w:sz w:val="24"/>
          <w:szCs w:val="24"/>
        </w:rPr>
        <w:t>Equal Opportunities (Persons with Disability) Act</w:t>
      </w:r>
      <w:r>
        <w:rPr>
          <w:sz w:val="24"/>
          <w:szCs w:val="24"/>
        </w:rPr>
        <w:t xml:space="preserve"> </w:t>
      </w:r>
      <w:r w:rsidRPr="00691A7F">
        <w:rPr>
          <w:sz w:val="24"/>
          <w:szCs w:val="24"/>
        </w:rPr>
        <w:t>defines disability in Section 2 as “a physical or mental</w:t>
      </w:r>
      <w:r>
        <w:rPr>
          <w:sz w:val="24"/>
          <w:szCs w:val="24"/>
        </w:rPr>
        <w:t xml:space="preserve"> </w:t>
      </w:r>
      <w:r w:rsidRPr="00691A7F">
        <w:rPr>
          <w:sz w:val="24"/>
          <w:szCs w:val="24"/>
        </w:rPr>
        <w:t>impairment that substantially limits one or more of the</w:t>
      </w:r>
      <w:r>
        <w:rPr>
          <w:sz w:val="24"/>
          <w:szCs w:val="24"/>
        </w:rPr>
        <w:t xml:space="preserve"> </w:t>
      </w:r>
      <w:r w:rsidRPr="00691A7F">
        <w:rPr>
          <w:sz w:val="24"/>
          <w:szCs w:val="24"/>
        </w:rPr>
        <w:t>major life activities of a person”. It has been argued</w:t>
      </w:r>
      <w:r>
        <w:rPr>
          <w:sz w:val="24"/>
          <w:szCs w:val="24"/>
        </w:rPr>
        <w:t xml:space="preserve"> </w:t>
      </w:r>
      <w:r w:rsidRPr="00691A7F">
        <w:rPr>
          <w:sz w:val="24"/>
          <w:szCs w:val="24"/>
        </w:rPr>
        <w:t>that the requirement that the impairment substantially</w:t>
      </w:r>
      <w:r>
        <w:rPr>
          <w:sz w:val="24"/>
          <w:szCs w:val="24"/>
        </w:rPr>
        <w:t xml:space="preserve"> </w:t>
      </w:r>
      <w:r w:rsidRPr="00691A7F">
        <w:rPr>
          <w:sz w:val="24"/>
          <w:szCs w:val="24"/>
        </w:rPr>
        <w:t>limits one or more of the major life activities of a</w:t>
      </w:r>
      <w:r>
        <w:rPr>
          <w:sz w:val="24"/>
          <w:szCs w:val="24"/>
        </w:rPr>
        <w:t xml:space="preserve"> </w:t>
      </w:r>
      <w:r w:rsidRPr="00691A7F">
        <w:rPr>
          <w:sz w:val="24"/>
          <w:szCs w:val="24"/>
        </w:rPr>
        <w:t>person may risk excluding persons with mental health</w:t>
      </w:r>
      <w:r>
        <w:rPr>
          <w:sz w:val="24"/>
          <w:szCs w:val="24"/>
        </w:rPr>
        <w:t xml:space="preserve"> </w:t>
      </w:r>
      <w:r w:rsidRPr="00691A7F">
        <w:rPr>
          <w:sz w:val="24"/>
          <w:szCs w:val="24"/>
        </w:rPr>
        <w:t>problems from the scope of protection. However,</w:t>
      </w:r>
      <w:r>
        <w:rPr>
          <w:sz w:val="24"/>
          <w:szCs w:val="24"/>
        </w:rPr>
        <w:t xml:space="preserve"> </w:t>
      </w:r>
      <w:r w:rsidRPr="00691A7F">
        <w:rPr>
          <w:sz w:val="24"/>
          <w:szCs w:val="24"/>
        </w:rPr>
        <w:t>the National Commission Persons with Disability</w:t>
      </w:r>
      <w:r>
        <w:rPr>
          <w:sz w:val="24"/>
          <w:szCs w:val="24"/>
        </w:rPr>
        <w:t xml:space="preserve"> </w:t>
      </w:r>
      <w:r w:rsidRPr="00691A7F">
        <w:rPr>
          <w:i/>
          <w:iCs/>
          <w:sz w:val="24"/>
          <w:szCs w:val="24"/>
        </w:rPr>
        <w:t>(Kummissjoni Nazzjonali Persuni b</w:t>
      </w:r>
      <w:r w:rsidRPr="00691A7F">
        <w:rPr>
          <w:rFonts w:hint="eastAsia"/>
          <w:i/>
          <w:iCs/>
          <w:sz w:val="24"/>
          <w:szCs w:val="24"/>
        </w:rPr>
        <w:t>’</w:t>
      </w:r>
      <w:r w:rsidRPr="00691A7F">
        <w:rPr>
          <w:i/>
          <w:iCs/>
          <w:sz w:val="24"/>
          <w:szCs w:val="24"/>
        </w:rPr>
        <w:t>Di</w:t>
      </w:r>
      <w:r w:rsidRPr="00691A7F">
        <w:rPr>
          <w:rFonts w:hint="eastAsia"/>
          <w:i/>
          <w:iCs/>
          <w:sz w:val="24"/>
          <w:szCs w:val="24"/>
        </w:rPr>
        <w:t>ż</w:t>
      </w:r>
      <w:r w:rsidRPr="00691A7F">
        <w:rPr>
          <w:i/>
          <w:iCs/>
          <w:sz w:val="24"/>
          <w:szCs w:val="24"/>
        </w:rPr>
        <w:t>abilita)</w:t>
      </w:r>
      <w:r w:rsidRPr="00691A7F">
        <w:rPr>
          <w:sz w:val="24"/>
          <w:szCs w:val="24"/>
        </w:rPr>
        <w:t>, which</w:t>
      </w:r>
      <w:r>
        <w:rPr>
          <w:sz w:val="24"/>
          <w:szCs w:val="24"/>
        </w:rPr>
        <w:t xml:space="preserve"> </w:t>
      </w:r>
      <w:r w:rsidRPr="00691A7F">
        <w:rPr>
          <w:sz w:val="24"/>
          <w:szCs w:val="24"/>
        </w:rPr>
        <w:t>investigates complaints under the Equal Opportunities</w:t>
      </w:r>
      <w:r>
        <w:rPr>
          <w:sz w:val="24"/>
          <w:szCs w:val="24"/>
        </w:rPr>
        <w:t xml:space="preserve"> </w:t>
      </w:r>
      <w:r w:rsidRPr="00691A7F">
        <w:rPr>
          <w:sz w:val="24"/>
          <w:szCs w:val="24"/>
        </w:rPr>
        <w:t>(Persons with Disability) Act, has accepted complaints</w:t>
      </w:r>
      <w:r>
        <w:rPr>
          <w:sz w:val="24"/>
          <w:szCs w:val="24"/>
        </w:rPr>
        <w:t xml:space="preserve"> </w:t>
      </w:r>
      <w:r w:rsidRPr="00691A7F">
        <w:rPr>
          <w:sz w:val="24"/>
          <w:szCs w:val="24"/>
        </w:rPr>
        <w:t>from persons with mental health problems</w:t>
      </w:r>
      <w:r>
        <w:rPr>
          <w:sz w:val="24"/>
          <w:szCs w:val="24"/>
        </w:rPr>
        <w:t>.” (p. 23)</w:t>
      </w:r>
    </w:p>
    <w:p w14:paraId="6BC84D51" w14:textId="77777777" w:rsidR="00262F12" w:rsidRPr="00E673AD" w:rsidRDefault="00262F12" w:rsidP="00262F12">
      <w:pPr>
        <w:spacing w:after="0"/>
        <w:rPr>
          <w:sz w:val="24"/>
          <w:szCs w:val="24"/>
        </w:rPr>
      </w:pPr>
    </w:p>
    <w:p w14:paraId="248AB149" w14:textId="1C33E105" w:rsidR="00281962" w:rsidRPr="001B79F3" w:rsidRDefault="00281962" w:rsidP="00262F12">
      <w:pPr>
        <w:pStyle w:val="Heading2"/>
        <w:ind w:left="939"/>
      </w:pPr>
      <w:bookmarkStart w:id="21" w:name="_Toc518034143"/>
      <w:r w:rsidRPr="004C24D1">
        <w:t>The right to political participation of persons with mental health problems and persons with intellectual disabilities (2010)</w:t>
      </w:r>
      <w:bookmarkEnd w:id="21"/>
    </w:p>
    <w:p w14:paraId="5AB7B151" w14:textId="38515B2F" w:rsidR="00281962" w:rsidRDefault="00281962" w:rsidP="00262F12">
      <w:pPr>
        <w:spacing w:after="0"/>
        <w:rPr>
          <w:sz w:val="24"/>
          <w:szCs w:val="24"/>
        </w:rPr>
      </w:pPr>
      <w:r w:rsidRPr="00E673AD">
        <w:rPr>
          <w:color w:val="000000" w:themeColor="text1"/>
          <w:sz w:val="24"/>
          <w:szCs w:val="24"/>
        </w:rPr>
        <w:t>For more detailed information:</w:t>
      </w:r>
      <w:r w:rsidR="00FE5A96">
        <w:rPr>
          <w:sz w:val="24"/>
          <w:szCs w:val="24"/>
        </w:rPr>
        <w:t xml:space="preserve"> </w:t>
      </w:r>
      <w:hyperlink r:id="rId31" w:history="1">
        <w:r w:rsidRPr="00E673AD">
          <w:rPr>
            <w:rStyle w:val="Hyperlink"/>
            <w:sz w:val="24"/>
            <w:szCs w:val="24"/>
          </w:rPr>
          <w:t>http://fra.europa.eu/en/publication/2010/right-political-participation-persons-mental-health-problems-and-persons</w:t>
        </w:r>
      </w:hyperlink>
      <w:r w:rsidR="001B79F3">
        <w:rPr>
          <w:sz w:val="24"/>
          <w:szCs w:val="24"/>
        </w:rPr>
        <w:t xml:space="preserve"> </w:t>
      </w:r>
      <w:r w:rsidR="00691A7F">
        <w:rPr>
          <w:sz w:val="24"/>
          <w:szCs w:val="24"/>
        </w:rPr>
        <w:t>.</w:t>
      </w:r>
    </w:p>
    <w:p w14:paraId="116F387A" w14:textId="2A99F581" w:rsidR="00691A7F" w:rsidRDefault="00691A7F" w:rsidP="00262F12">
      <w:pPr>
        <w:spacing w:after="0"/>
        <w:rPr>
          <w:sz w:val="24"/>
          <w:szCs w:val="24"/>
        </w:rPr>
      </w:pPr>
      <w:r>
        <w:rPr>
          <w:sz w:val="24"/>
          <w:szCs w:val="24"/>
        </w:rPr>
        <w:t>“</w:t>
      </w:r>
      <w:r w:rsidRPr="00691A7F">
        <w:rPr>
          <w:sz w:val="24"/>
          <w:szCs w:val="24"/>
        </w:rPr>
        <w:t>A majority of European Union Member States links the right to political participation to the legal capacity of the individual.</w:t>
      </w:r>
      <w:r>
        <w:rPr>
          <w:sz w:val="24"/>
          <w:szCs w:val="24"/>
        </w:rPr>
        <w:t xml:space="preserve"> </w:t>
      </w:r>
      <w:r w:rsidRPr="00691A7F">
        <w:rPr>
          <w:sz w:val="24"/>
          <w:szCs w:val="24"/>
        </w:rPr>
        <w:t>These Member States have an automatic or quasi-automatic exclusion provision in their legal systems.</w:t>
      </w:r>
      <w:r>
        <w:rPr>
          <w:sz w:val="24"/>
          <w:szCs w:val="24"/>
        </w:rPr>
        <w:t xml:space="preserve"> </w:t>
      </w:r>
      <w:r w:rsidR="00E6080E" w:rsidRPr="00E6080E">
        <w:rPr>
          <w:sz w:val="24"/>
          <w:szCs w:val="24"/>
        </w:rPr>
        <w:t>In countries where there is an automatic exclusion it is either entrenched in the Constitution or prescribed in electoral legislation.</w:t>
      </w:r>
      <w:r w:rsidR="00E6080E">
        <w:rPr>
          <w:sz w:val="24"/>
          <w:szCs w:val="24"/>
        </w:rPr>
        <w:t xml:space="preserve"> </w:t>
      </w:r>
      <w:r w:rsidR="00E6080E" w:rsidRPr="00E6080E">
        <w:rPr>
          <w:sz w:val="24"/>
          <w:szCs w:val="24"/>
        </w:rPr>
        <w:t xml:space="preserve">The </w:t>
      </w:r>
      <w:r w:rsidR="00E6080E" w:rsidRPr="00E6080E">
        <w:rPr>
          <w:bCs/>
          <w:sz w:val="24"/>
          <w:szCs w:val="24"/>
        </w:rPr>
        <w:t>Hungarian</w:t>
      </w:r>
      <w:r w:rsidR="00E6080E" w:rsidRPr="00E6080E">
        <w:rPr>
          <w:b/>
          <w:bCs/>
          <w:sz w:val="24"/>
          <w:szCs w:val="24"/>
        </w:rPr>
        <w:t xml:space="preserve"> </w:t>
      </w:r>
      <w:r w:rsidR="00E6080E" w:rsidRPr="00E6080E">
        <w:rPr>
          <w:sz w:val="24"/>
          <w:szCs w:val="24"/>
        </w:rPr>
        <w:t>Constitution provides an explicit excep</w:t>
      </w:r>
      <w:r w:rsidR="00E6080E" w:rsidRPr="00E6080E">
        <w:rPr>
          <w:sz w:val="24"/>
          <w:szCs w:val="24"/>
        </w:rPr>
        <w:softHyphen/>
        <w:t>tion from the universal right to vote – only persons with full legal capacity can exercise it</w:t>
      </w:r>
      <w:r w:rsidR="00E6080E">
        <w:rPr>
          <w:sz w:val="24"/>
          <w:szCs w:val="24"/>
        </w:rPr>
        <w:t xml:space="preserve">. </w:t>
      </w:r>
      <w:r w:rsidR="00E6080E" w:rsidRPr="00E6080E">
        <w:rPr>
          <w:sz w:val="24"/>
          <w:szCs w:val="24"/>
        </w:rPr>
        <w:t>Similar constitutional provisions can be found in sev</w:t>
      </w:r>
      <w:r w:rsidR="00E6080E" w:rsidRPr="00E6080E">
        <w:rPr>
          <w:sz w:val="24"/>
          <w:szCs w:val="24"/>
        </w:rPr>
        <w:softHyphen/>
        <w:t xml:space="preserve">eral countries: the </w:t>
      </w:r>
      <w:r w:rsidR="00E6080E" w:rsidRPr="00E6080E">
        <w:rPr>
          <w:bCs/>
          <w:sz w:val="24"/>
          <w:szCs w:val="24"/>
        </w:rPr>
        <w:t>Czech Republic</w:t>
      </w:r>
      <w:r w:rsidR="00E6080E" w:rsidRPr="00E6080E">
        <w:rPr>
          <w:sz w:val="24"/>
          <w:szCs w:val="24"/>
        </w:rPr>
        <w:t xml:space="preserve">, </w:t>
      </w:r>
      <w:r w:rsidR="00E6080E" w:rsidRPr="00E6080E">
        <w:rPr>
          <w:bCs/>
          <w:sz w:val="24"/>
          <w:szCs w:val="24"/>
        </w:rPr>
        <w:t>Denmark</w:t>
      </w:r>
      <w:r w:rsidR="00E6080E" w:rsidRPr="00E6080E">
        <w:rPr>
          <w:sz w:val="24"/>
          <w:szCs w:val="24"/>
        </w:rPr>
        <w:t xml:space="preserve">, </w:t>
      </w:r>
      <w:r w:rsidR="00E6080E" w:rsidRPr="00E6080E">
        <w:rPr>
          <w:bCs/>
          <w:sz w:val="24"/>
          <w:szCs w:val="24"/>
        </w:rPr>
        <w:t>Estonia</w:t>
      </w:r>
      <w:r w:rsidR="00E6080E" w:rsidRPr="00E6080E">
        <w:rPr>
          <w:sz w:val="24"/>
          <w:szCs w:val="24"/>
        </w:rPr>
        <w:t xml:space="preserve">, </w:t>
      </w:r>
      <w:r w:rsidR="00E6080E" w:rsidRPr="00E6080E">
        <w:rPr>
          <w:bCs/>
          <w:sz w:val="24"/>
          <w:szCs w:val="24"/>
        </w:rPr>
        <w:t>Greece</w:t>
      </w:r>
      <w:r w:rsidR="00E6080E" w:rsidRPr="00E6080E">
        <w:rPr>
          <w:sz w:val="24"/>
          <w:szCs w:val="24"/>
        </w:rPr>
        <w:t xml:space="preserve">, </w:t>
      </w:r>
      <w:r w:rsidR="00E6080E" w:rsidRPr="00E6080E">
        <w:rPr>
          <w:bCs/>
          <w:sz w:val="24"/>
          <w:szCs w:val="24"/>
        </w:rPr>
        <w:t>Lithuania</w:t>
      </w:r>
      <w:r w:rsidR="00E6080E" w:rsidRPr="00E6080E">
        <w:rPr>
          <w:sz w:val="24"/>
          <w:szCs w:val="24"/>
        </w:rPr>
        <w:t xml:space="preserve">, </w:t>
      </w:r>
      <w:r w:rsidR="00E6080E" w:rsidRPr="00E6080E">
        <w:rPr>
          <w:bCs/>
          <w:sz w:val="24"/>
          <w:szCs w:val="24"/>
        </w:rPr>
        <w:t>Luxembourg</w:t>
      </w:r>
      <w:r w:rsidR="00E6080E" w:rsidRPr="00E6080E">
        <w:rPr>
          <w:sz w:val="24"/>
          <w:szCs w:val="24"/>
        </w:rPr>
        <w:t xml:space="preserve">, </w:t>
      </w:r>
      <w:r w:rsidR="00E6080E" w:rsidRPr="00E6080E">
        <w:rPr>
          <w:b/>
          <w:bCs/>
          <w:sz w:val="24"/>
          <w:szCs w:val="24"/>
        </w:rPr>
        <w:t>Malta</w:t>
      </w:r>
      <w:r w:rsidR="00E6080E" w:rsidRPr="00E6080E">
        <w:rPr>
          <w:bCs/>
          <w:sz w:val="24"/>
          <w:szCs w:val="24"/>
        </w:rPr>
        <w:t xml:space="preserve"> </w:t>
      </w:r>
      <w:r w:rsidR="00E6080E" w:rsidRPr="00E6080E">
        <w:rPr>
          <w:sz w:val="24"/>
          <w:szCs w:val="24"/>
        </w:rPr>
        <w:t xml:space="preserve">or </w:t>
      </w:r>
      <w:r w:rsidR="00E6080E" w:rsidRPr="00E6080E">
        <w:rPr>
          <w:bCs/>
          <w:sz w:val="24"/>
          <w:szCs w:val="24"/>
        </w:rPr>
        <w:t xml:space="preserve">Poland </w:t>
      </w:r>
      <w:r w:rsidR="00E6080E" w:rsidRPr="00E6080E">
        <w:rPr>
          <w:sz w:val="24"/>
          <w:szCs w:val="24"/>
        </w:rPr>
        <w:t xml:space="preserve">and </w:t>
      </w:r>
      <w:r w:rsidR="00E6080E" w:rsidRPr="00E6080E">
        <w:rPr>
          <w:bCs/>
          <w:sz w:val="24"/>
          <w:szCs w:val="24"/>
        </w:rPr>
        <w:t>Portugal</w:t>
      </w:r>
      <w:r w:rsidR="00E6080E" w:rsidRPr="00E6080E">
        <w:rPr>
          <w:sz w:val="24"/>
          <w:szCs w:val="24"/>
        </w:rPr>
        <w:t>, among others.</w:t>
      </w:r>
      <w:r w:rsidR="00E6080E">
        <w:rPr>
          <w:sz w:val="24"/>
          <w:szCs w:val="24"/>
        </w:rPr>
        <w:t>” (p. 15)</w:t>
      </w:r>
    </w:p>
    <w:p w14:paraId="1A9704F4" w14:textId="6B9FBF95" w:rsidR="00E6080E" w:rsidRPr="00E6080E" w:rsidRDefault="00E6080E" w:rsidP="00262F12">
      <w:pPr>
        <w:spacing w:after="0"/>
        <w:rPr>
          <w:i/>
          <w:sz w:val="24"/>
          <w:szCs w:val="24"/>
        </w:rPr>
      </w:pPr>
      <w:r w:rsidRPr="00E6080E">
        <w:rPr>
          <w:i/>
          <w:sz w:val="24"/>
          <w:szCs w:val="24"/>
        </w:rPr>
        <w:t xml:space="preserve">Limited political participation </w:t>
      </w:r>
    </w:p>
    <w:p w14:paraId="6F6C2E20" w14:textId="07874ACD" w:rsidR="00E6080E" w:rsidRDefault="00E6080E" w:rsidP="00262F12">
      <w:pPr>
        <w:spacing w:after="0"/>
        <w:rPr>
          <w:sz w:val="24"/>
          <w:szCs w:val="24"/>
        </w:rPr>
      </w:pPr>
      <w:r>
        <w:rPr>
          <w:sz w:val="24"/>
          <w:szCs w:val="24"/>
        </w:rPr>
        <w:t xml:space="preserve">“These EU Member States […] </w:t>
      </w:r>
      <w:r w:rsidRPr="00E6080E">
        <w:rPr>
          <w:sz w:val="24"/>
          <w:szCs w:val="24"/>
        </w:rPr>
        <w:t xml:space="preserve">have adopted a variety of practices falling between the two ends of the spectrum, in which an assessment is made of the individual’s actual ability to vote. </w:t>
      </w:r>
      <w:r w:rsidR="005834BE">
        <w:rPr>
          <w:sz w:val="24"/>
          <w:szCs w:val="24"/>
        </w:rPr>
        <w:t xml:space="preserve">[…] </w:t>
      </w:r>
      <w:r w:rsidRPr="00E6080E">
        <w:rPr>
          <w:sz w:val="24"/>
          <w:szCs w:val="24"/>
        </w:rPr>
        <w:t xml:space="preserve">in some cases, these countries have adopted either an exclusion policy coupled with an individualised assessment (such as </w:t>
      </w:r>
      <w:r w:rsidRPr="00E6080E">
        <w:rPr>
          <w:bCs/>
          <w:sz w:val="24"/>
          <w:szCs w:val="24"/>
        </w:rPr>
        <w:t>Estonia</w:t>
      </w:r>
      <w:r w:rsidRPr="00E6080E">
        <w:rPr>
          <w:b/>
          <w:bCs/>
          <w:sz w:val="24"/>
          <w:szCs w:val="24"/>
        </w:rPr>
        <w:t xml:space="preserve"> </w:t>
      </w:r>
      <w:r w:rsidRPr="00E6080E">
        <w:rPr>
          <w:sz w:val="24"/>
          <w:szCs w:val="24"/>
        </w:rPr>
        <w:t xml:space="preserve">and </w:t>
      </w:r>
      <w:r w:rsidRPr="00E6080E">
        <w:rPr>
          <w:b/>
          <w:bCs/>
          <w:sz w:val="24"/>
          <w:szCs w:val="24"/>
        </w:rPr>
        <w:t>Malta</w:t>
      </w:r>
      <w:r w:rsidRPr="00E6080E">
        <w:rPr>
          <w:sz w:val="24"/>
          <w:szCs w:val="24"/>
        </w:rPr>
        <w:t>) or a full participation policy com</w:t>
      </w:r>
      <w:r w:rsidRPr="00E6080E">
        <w:rPr>
          <w:sz w:val="24"/>
          <w:szCs w:val="24"/>
        </w:rPr>
        <w:softHyphen/>
        <w:t>plemented with a specific decision on voting capacity (</w:t>
      </w:r>
      <w:r w:rsidRPr="00E6080E">
        <w:rPr>
          <w:bCs/>
          <w:sz w:val="24"/>
          <w:szCs w:val="24"/>
        </w:rPr>
        <w:t xml:space="preserve">Spain </w:t>
      </w:r>
      <w:r w:rsidRPr="00E6080E">
        <w:rPr>
          <w:sz w:val="24"/>
          <w:szCs w:val="24"/>
        </w:rPr>
        <w:t xml:space="preserve">and </w:t>
      </w:r>
      <w:r w:rsidRPr="00E6080E">
        <w:rPr>
          <w:bCs/>
          <w:sz w:val="24"/>
          <w:szCs w:val="24"/>
        </w:rPr>
        <w:t>France</w:t>
      </w:r>
      <w:r w:rsidRPr="00E6080E">
        <w:rPr>
          <w:sz w:val="24"/>
          <w:szCs w:val="24"/>
        </w:rPr>
        <w:t>).</w:t>
      </w:r>
      <w:r>
        <w:rPr>
          <w:sz w:val="24"/>
          <w:szCs w:val="24"/>
        </w:rPr>
        <w:t>”</w:t>
      </w:r>
    </w:p>
    <w:p w14:paraId="4783B52E" w14:textId="3A86A0AA" w:rsidR="00E6080E" w:rsidRDefault="00E6080E" w:rsidP="00262F12">
      <w:pPr>
        <w:spacing w:after="0"/>
        <w:rPr>
          <w:sz w:val="24"/>
          <w:szCs w:val="24"/>
        </w:rPr>
      </w:pPr>
      <w:r>
        <w:rPr>
          <w:sz w:val="24"/>
          <w:szCs w:val="24"/>
        </w:rPr>
        <w:t>“[…] t</w:t>
      </w:r>
      <w:r w:rsidRPr="00E6080E">
        <w:rPr>
          <w:sz w:val="24"/>
          <w:szCs w:val="24"/>
        </w:rPr>
        <w:t xml:space="preserve">he constitution of </w:t>
      </w:r>
      <w:r w:rsidRPr="00E6080E">
        <w:rPr>
          <w:b/>
          <w:bCs/>
          <w:sz w:val="24"/>
          <w:szCs w:val="24"/>
        </w:rPr>
        <w:t xml:space="preserve">Malta </w:t>
      </w:r>
      <w:r w:rsidRPr="00E6080E">
        <w:rPr>
          <w:sz w:val="24"/>
          <w:szCs w:val="24"/>
        </w:rPr>
        <w:t>denies voting rights to persons ‘interdicted or incapacitated for any mental in</w:t>
      </w:r>
      <w:r w:rsidR="00262F12">
        <w:rPr>
          <w:sz w:val="24"/>
          <w:szCs w:val="24"/>
        </w:rPr>
        <w:t>firmity by a court in Malta or […]</w:t>
      </w:r>
      <w:r w:rsidRPr="00E6080E">
        <w:rPr>
          <w:sz w:val="24"/>
          <w:szCs w:val="24"/>
        </w:rPr>
        <w:t xml:space="preserve"> otherwise determined in Malta to be of unsound mind’. A medical board, consisting of doc</w:t>
      </w:r>
      <w:r w:rsidRPr="00E6080E">
        <w:rPr>
          <w:sz w:val="24"/>
          <w:szCs w:val="24"/>
        </w:rPr>
        <w:softHyphen/>
        <w:t>tors, is set up to decide on any dispute related to the exclusion of persons ‘with mental infirmity’ or persons with ‘unsound mind’ as foreseen in the constitution. Unless a competent court takes a decision concerning the incapacity of an individual, the medical board’s deci</w:t>
      </w:r>
      <w:r w:rsidRPr="00E6080E">
        <w:rPr>
          <w:sz w:val="24"/>
          <w:szCs w:val="24"/>
        </w:rPr>
        <w:softHyphen/>
        <w:t>sion will be needed before refusing to register a person as a voter.</w:t>
      </w:r>
      <w:r>
        <w:rPr>
          <w:sz w:val="24"/>
          <w:szCs w:val="24"/>
        </w:rPr>
        <w:t>” (p. 17)</w:t>
      </w:r>
    </w:p>
    <w:p w14:paraId="6C4D4062" w14:textId="60974988" w:rsidR="005834BE" w:rsidRDefault="005834BE" w:rsidP="00262F12">
      <w:pPr>
        <w:spacing w:after="0"/>
        <w:rPr>
          <w:sz w:val="24"/>
          <w:szCs w:val="24"/>
        </w:rPr>
      </w:pPr>
      <w:r>
        <w:rPr>
          <w:noProof/>
          <w:sz w:val="24"/>
          <w:szCs w:val="24"/>
          <w:lang w:eastAsia="en-IE"/>
        </w:rPr>
        <w:drawing>
          <wp:inline distT="0" distB="0" distL="0" distR="0" wp14:anchorId="26ECC485" wp14:editId="16200AD5">
            <wp:extent cx="5731510" cy="76898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RPD1.PNG"/>
                    <pic:cNvPicPr/>
                  </pic:nvPicPr>
                  <pic:blipFill>
                    <a:blip r:embed="rId32">
                      <a:extLst>
                        <a:ext uri="{28A0092B-C50C-407E-A947-70E740481C1C}">
                          <a14:useLocalDpi xmlns:a14="http://schemas.microsoft.com/office/drawing/2010/main" val="0"/>
                        </a:ext>
                      </a:extLst>
                    </a:blip>
                    <a:stretch>
                      <a:fillRect/>
                    </a:stretch>
                  </pic:blipFill>
                  <pic:spPr>
                    <a:xfrm>
                      <a:off x="0" y="0"/>
                      <a:ext cx="5731510" cy="768985"/>
                    </a:xfrm>
                    <a:prstGeom prst="rect">
                      <a:avLst/>
                    </a:prstGeom>
                  </pic:spPr>
                </pic:pic>
              </a:graphicData>
            </a:graphic>
          </wp:inline>
        </w:drawing>
      </w:r>
    </w:p>
    <w:p w14:paraId="063DF1BB" w14:textId="59CE7731" w:rsidR="00691A7F" w:rsidRPr="00E673AD" w:rsidRDefault="005834BE" w:rsidP="002D605B">
      <w:pPr>
        <w:rPr>
          <w:sz w:val="24"/>
          <w:szCs w:val="24"/>
        </w:rPr>
      </w:pPr>
      <w:r>
        <w:rPr>
          <w:noProof/>
          <w:sz w:val="24"/>
          <w:szCs w:val="24"/>
          <w:lang w:eastAsia="en-IE"/>
        </w:rPr>
        <w:lastRenderedPageBreak/>
        <w:drawing>
          <wp:inline distT="0" distB="0" distL="0" distR="0" wp14:anchorId="19EE257C" wp14:editId="3671D697">
            <wp:extent cx="5731510" cy="342265"/>
            <wp:effectExtent l="0" t="0" r="254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RPD2.PNG"/>
                    <pic:cNvPicPr/>
                  </pic:nvPicPr>
                  <pic:blipFill>
                    <a:blip r:embed="rId33">
                      <a:extLst>
                        <a:ext uri="{28A0092B-C50C-407E-A947-70E740481C1C}">
                          <a14:useLocalDpi xmlns:a14="http://schemas.microsoft.com/office/drawing/2010/main" val="0"/>
                        </a:ext>
                      </a:extLst>
                    </a:blip>
                    <a:stretch>
                      <a:fillRect/>
                    </a:stretch>
                  </pic:blipFill>
                  <pic:spPr>
                    <a:xfrm>
                      <a:off x="0" y="0"/>
                      <a:ext cx="5731510" cy="342265"/>
                    </a:xfrm>
                    <a:prstGeom prst="rect">
                      <a:avLst/>
                    </a:prstGeom>
                  </pic:spPr>
                </pic:pic>
              </a:graphicData>
            </a:graphic>
          </wp:inline>
        </w:drawing>
      </w:r>
      <w:r>
        <w:rPr>
          <w:sz w:val="24"/>
          <w:szCs w:val="24"/>
        </w:rPr>
        <w:t xml:space="preserve"> (p. 23)</w:t>
      </w:r>
    </w:p>
    <w:p w14:paraId="6123E846" w14:textId="0CAB20F2" w:rsidR="00CA32AA" w:rsidRPr="00CA32AA" w:rsidRDefault="00CA32AA" w:rsidP="00CA32AA">
      <w:pPr>
        <w:pStyle w:val="Default"/>
        <w:rPr>
          <w:rFonts w:asciiTheme="minorHAnsi" w:hAnsiTheme="minorHAnsi"/>
        </w:rPr>
      </w:pPr>
    </w:p>
    <w:sectPr w:rsidR="00CA32AA" w:rsidRPr="00CA32AA" w:rsidSect="00600164">
      <w:footerReference w:type="defaul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F2749E" w14:textId="77777777" w:rsidR="00077FA9" w:rsidRDefault="00077FA9" w:rsidP="00965BA3">
      <w:pPr>
        <w:spacing w:after="0"/>
      </w:pPr>
      <w:r>
        <w:separator/>
      </w:r>
    </w:p>
  </w:endnote>
  <w:endnote w:type="continuationSeparator" w:id="0">
    <w:p w14:paraId="6BDDCA6A" w14:textId="77777777" w:rsidR="00077FA9" w:rsidRDefault="00077FA9" w:rsidP="00965BA3">
      <w:pPr>
        <w:spacing w:after="0"/>
      </w:pPr>
      <w:r>
        <w:continuationSeparator/>
      </w:r>
    </w:p>
  </w:endnote>
  <w:endnote w:type="continuationNotice" w:id="1">
    <w:p w14:paraId="5F6A1AA0" w14:textId="77777777" w:rsidR="00077FA9" w:rsidRDefault="00077FA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axlinePro-Regular">
    <w:altName w:val="DaxlinePro-Regular"/>
    <w:panose1 w:val="00000000000000000000"/>
    <w:charset w:val="00"/>
    <w:family w:val="swiss"/>
    <w:notTrueType/>
    <w:pitch w:val="default"/>
    <w:sig w:usb0="00000203" w:usb1="08070000" w:usb2="00000010" w:usb3="00000000" w:csb0="00020005" w:csb1="00000000"/>
  </w:font>
  <w:font w:name="Segoe UI">
    <w:panose1 w:val="020B0502040204020203"/>
    <w:charset w:val="00"/>
    <w:family w:val="swiss"/>
    <w:pitch w:val="variable"/>
    <w:sig w:usb0="E4002EFF" w:usb1="C000E47F" w:usb2="00000009" w:usb3="00000000" w:csb0="000001FF" w:csb1="00000000"/>
  </w:font>
  <w:font w:name="DaxlinePro-RegularItalic">
    <w:altName w:val="DaxlinePro-RegularItalic"/>
    <w:panose1 w:val="00000000000000000000"/>
    <w:charset w:val="00"/>
    <w:family w:val="swiss"/>
    <w:notTrueType/>
    <w:pitch w:val="default"/>
    <w:sig w:usb0="00000007" w:usb1="00000000" w:usb2="00000000" w:usb3="00000000" w:csb0="00000003" w:csb1="00000000"/>
  </w:font>
  <w:font w:name="Daxline Offc Pro">
    <w:altName w:val="Daxline Offc Pro"/>
    <w:panose1 w:val="020B0504020101020102"/>
    <w:charset w:val="00"/>
    <w:family w:val="swiss"/>
    <w:pitch w:val="variable"/>
    <w:sig w:usb0="A00002FF" w:usb1="4000A4FB" w:usb2="00000000" w:usb3="00000000" w:csb0="0000009F" w:csb1="00000000"/>
  </w:font>
  <w:font w:name="DaxlinePro-Bold">
    <w:altName w:val="DaxlinePro-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3068318"/>
      <w:docPartObj>
        <w:docPartGallery w:val="Page Numbers (Bottom of Page)"/>
        <w:docPartUnique/>
      </w:docPartObj>
    </w:sdtPr>
    <w:sdtEndPr>
      <w:rPr>
        <w:noProof/>
      </w:rPr>
    </w:sdtEndPr>
    <w:sdtContent>
      <w:p w14:paraId="004920C8" w14:textId="62A662BC" w:rsidR="00352797" w:rsidRDefault="00352797">
        <w:pPr>
          <w:pStyle w:val="Footer"/>
          <w:jc w:val="right"/>
        </w:pPr>
        <w:r>
          <w:fldChar w:fldCharType="begin"/>
        </w:r>
        <w:r>
          <w:instrText xml:space="preserve"> PAGE   \* MERGEFORMAT </w:instrText>
        </w:r>
        <w:r>
          <w:fldChar w:fldCharType="separate"/>
        </w:r>
        <w:r w:rsidR="001D62AF">
          <w:rPr>
            <w:noProof/>
          </w:rPr>
          <w:t>9</w:t>
        </w:r>
        <w:r>
          <w:rPr>
            <w:noProof/>
          </w:rPr>
          <w:fldChar w:fldCharType="end"/>
        </w:r>
      </w:p>
    </w:sdtContent>
  </w:sdt>
  <w:p w14:paraId="611E7F29" w14:textId="77777777" w:rsidR="00352797" w:rsidRDefault="003527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479C8" w14:textId="77777777" w:rsidR="00077FA9" w:rsidRDefault="00077FA9" w:rsidP="00965BA3">
      <w:pPr>
        <w:spacing w:after="0"/>
      </w:pPr>
      <w:r>
        <w:separator/>
      </w:r>
    </w:p>
  </w:footnote>
  <w:footnote w:type="continuationSeparator" w:id="0">
    <w:p w14:paraId="0E0607D8" w14:textId="77777777" w:rsidR="00077FA9" w:rsidRDefault="00077FA9" w:rsidP="00965BA3">
      <w:pPr>
        <w:spacing w:after="0"/>
      </w:pPr>
      <w:r>
        <w:continuationSeparator/>
      </w:r>
    </w:p>
  </w:footnote>
  <w:footnote w:type="continuationNotice" w:id="1">
    <w:p w14:paraId="598F8680" w14:textId="77777777" w:rsidR="00077FA9" w:rsidRDefault="00077FA9">
      <w:pPr>
        <w:spacing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87614"/>
    <w:multiLevelType w:val="hybridMultilevel"/>
    <w:tmpl w:val="A4E213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846A7"/>
    <w:multiLevelType w:val="hybridMultilevel"/>
    <w:tmpl w:val="8C3C4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20E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A867F2"/>
    <w:multiLevelType w:val="hybridMultilevel"/>
    <w:tmpl w:val="D92C1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25CF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1427"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EFD4BA6"/>
    <w:multiLevelType w:val="hybridMultilevel"/>
    <w:tmpl w:val="BAFE1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2A4F8B"/>
    <w:multiLevelType w:val="hybridMultilevel"/>
    <w:tmpl w:val="8C3C4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843F30"/>
    <w:multiLevelType w:val="hybridMultilevel"/>
    <w:tmpl w:val="9E746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832CE7"/>
    <w:multiLevelType w:val="hybridMultilevel"/>
    <w:tmpl w:val="ADBC7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3B3FCB"/>
    <w:multiLevelType w:val="multilevel"/>
    <w:tmpl w:val="5F98A73E"/>
    <w:lvl w:ilvl="0">
      <w:start w:val="1"/>
      <w:numFmt w:val="decimal"/>
      <w:lvlText w:val="%1"/>
      <w:lvlJc w:val="left"/>
      <w:pPr>
        <w:ind w:left="432" w:hanging="432"/>
      </w:pPr>
    </w:lvl>
    <w:lvl w:ilvl="1">
      <w:start w:val="1"/>
      <w:numFmt w:val="decimal"/>
      <w:lvlText w:val="%1.%2"/>
      <w:lvlJc w:val="left"/>
      <w:pPr>
        <w:ind w:left="860" w:hanging="576"/>
      </w:pPr>
      <w:rPr>
        <w:rFonts w:asciiTheme="minorHAnsi" w:hAnsiTheme="minorHAnsi"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D6841DE"/>
    <w:multiLevelType w:val="hybridMultilevel"/>
    <w:tmpl w:val="9E746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590B0C"/>
    <w:multiLevelType w:val="hybridMultilevel"/>
    <w:tmpl w:val="2EA02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3A044A"/>
    <w:multiLevelType w:val="hybridMultilevel"/>
    <w:tmpl w:val="E8882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E925C7"/>
    <w:multiLevelType w:val="hybridMultilevel"/>
    <w:tmpl w:val="01EE7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291F70"/>
    <w:multiLevelType w:val="multilevel"/>
    <w:tmpl w:val="8C8432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6"/>
  </w:num>
  <w:num w:numId="3">
    <w:abstractNumId w:val="1"/>
  </w:num>
  <w:num w:numId="4">
    <w:abstractNumId w:val="3"/>
  </w:num>
  <w:num w:numId="5">
    <w:abstractNumId w:val="14"/>
  </w:num>
  <w:num w:numId="6">
    <w:abstractNumId w:val="2"/>
  </w:num>
  <w:num w:numId="7">
    <w:abstractNumId w:val="5"/>
  </w:num>
  <w:num w:numId="8">
    <w:abstractNumId w:val="8"/>
  </w:num>
  <w:num w:numId="9">
    <w:abstractNumId w:val="13"/>
  </w:num>
  <w:num w:numId="10">
    <w:abstractNumId w:val="9"/>
  </w:num>
  <w:num w:numId="11">
    <w:abstractNumId w:val="0"/>
  </w:num>
  <w:num w:numId="12">
    <w:abstractNumId w:val="11"/>
  </w:num>
  <w:num w:numId="13">
    <w:abstractNumId w:val="10"/>
  </w:num>
  <w:num w:numId="14">
    <w:abstractNumId w:val="4"/>
  </w:num>
  <w:num w:numId="15">
    <w:abstractNumId w:val="7"/>
  </w:num>
  <w:num w:numId="16">
    <w:abstractNumId w:val="4"/>
  </w:num>
  <w:num w:numId="17">
    <w:abstractNumId w:val="4"/>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FAA"/>
    <w:rsid w:val="00016A70"/>
    <w:rsid w:val="000206A4"/>
    <w:rsid w:val="00027F44"/>
    <w:rsid w:val="00036F2B"/>
    <w:rsid w:val="00042065"/>
    <w:rsid w:val="00054F8C"/>
    <w:rsid w:val="00057A2A"/>
    <w:rsid w:val="00077123"/>
    <w:rsid w:val="00077FA9"/>
    <w:rsid w:val="00080A14"/>
    <w:rsid w:val="00084AD9"/>
    <w:rsid w:val="00085181"/>
    <w:rsid w:val="00097ADB"/>
    <w:rsid w:val="000A6661"/>
    <w:rsid w:val="000B2AF6"/>
    <w:rsid w:val="000B7126"/>
    <w:rsid w:val="000C05D5"/>
    <w:rsid w:val="000D23FE"/>
    <w:rsid w:val="000D7027"/>
    <w:rsid w:val="000F4194"/>
    <w:rsid w:val="000F7C63"/>
    <w:rsid w:val="00103312"/>
    <w:rsid w:val="001114EE"/>
    <w:rsid w:val="00116E00"/>
    <w:rsid w:val="00116EA9"/>
    <w:rsid w:val="0012027F"/>
    <w:rsid w:val="00120DCE"/>
    <w:rsid w:val="00127721"/>
    <w:rsid w:val="001308E6"/>
    <w:rsid w:val="001603EA"/>
    <w:rsid w:val="00161C83"/>
    <w:rsid w:val="00172A85"/>
    <w:rsid w:val="001A1196"/>
    <w:rsid w:val="001A2786"/>
    <w:rsid w:val="001B79F3"/>
    <w:rsid w:val="001B7A00"/>
    <w:rsid w:val="001C03A7"/>
    <w:rsid w:val="001C34B1"/>
    <w:rsid w:val="001C6763"/>
    <w:rsid w:val="001D62AF"/>
    <w:rsid w:val="001D6F6A"/>
    <w:rsid w:val="001E2A54"/>
    <w:rsid w:val="001E66D9"/>
    <w:rsid w:val="001F003F"/>
    <w:rsid w:val="001F18DB"/>
    <w:rsid w:val="001F2AC3"/>
    <w:rsid w:val="001F48E9"/>
    <w:rsid w:val="0020630F"/>
    <w:rsid w:val="0022202D"/>
    <w:rsid w:val="002431F6"/>
    <w:rsid w:val="0024644A"/>
    <w:rsid w:val="00262F12"/>
    <w:rsid w:val="00280DA0"/>
    <w:rsid w:val="00281962"/>
    <w:rsid w:val="00290D06"/>
    <w:rsid w:val="002A1817"/>
    <w:rsid w:val="002A31CD"/>
    <w:rsid w:val="002A3F72"/>
    <w:rsid w:val="002A4F35"/>
    <w:rsid w:val="002A6648"/>
    <w:rsid w:val="002B0997"/>
    <w:rsid w:val="002B32EB"/>
    <w:rsid w:val="002B63DB"/>
    <w:rsid w:val="002C5F83"/>
    <w:rsid w:val="002D208F"/>
    <w:rsid w:val="002D2434"/>
    <w:rsid w:val="002D2A11"/>
    <w:rsid w:val="002D605B"/>
    <w:rsid w:val="002D6C99"/>
    <w:rsid w:val="002E1549"/>
    <w:rsid w:val="002E2E4A"/>
    <w:rsid w:val="002F654F"/>
    <w:rsid w:val="00304462"/>
    <w:rsid w:val="003100A5"/>
    <w:rsid w:val="00312560"/>
    <w:rsid w:val="00324FD0"/>
    <w:rsid w:val="003331A0"/>
    <w:rsid w:val="0033559A"/>
    <w:rsid w:val="00336068"/>
    <w:rsid w:val="0033695C"/>
    <w:rsid w:val="00352797"/>
    <w:rsid w:val="0036562B"/>
    <w:rsid w:val="003736F1"/>
    <w:rsid w:val="00374510"/>
    <w:rsid w:val="00375561"/>
    <w:rsid w:val="00375FB8"/>
    <w:rsid w:val="00376E84"/>
    <w:rsid w:val="00380471"/>
    <w:rsid w:val="00380FE9"/>
    <w:rsid w:val="003815E1"/>
    <w:rsid w:val="003878DD"/>
    <w:rsid w:val="00392DA1"/>
    <w:rsid w:val="003A1126"/>
    <w:rsid w:val="003C03EB"/>
    <w:rsid w:val="003D3B43"/>
    <w:rsid w:val="003E161E"/>
    <w:rsid w:val="003E2F60"/>
    <w:rsid w:val="003F69A1"/>
    <w:rsid w:val="003F6DD5"/>
    <w:rsid w:val="00401692"/>
    <w:rsid w:val="004111B9"/>
    <w:rsid w:val="00413D35"/>
    <w:rsid w:val="00435FEA"/>
    <w:rsid w:val="00437E3E"/>
    <w:rsid w:val="0045101D"/>
    <w:rsid w:val="00464CC5"/>
    <w:rsid w:val="00467184"/>
    <w:rsid w:val="00473A78"/>
    <w:rsid w:val="00473CF9"/>
    <w:rsid w:val="004818AE"/>
    <w:rsid w:val="00482353"/>
    <w:rsid w:val="00490274"/>
    <w:rsid w:val="004C24D1"/>
    <w:rsid w:val="004C2E1C"/>
    <w:rsid w:val="004C5ED3"/>
    <w:rsid w:val="004C76B3"/>
    <w:rsid w:val="004E2F2D"/>
    <w:rsid w:val="004F31B8"/>
    <w:rsid w:val="004F65D2"/>
    <w:rsid w:val="004F7947"/>
    <w:rsid w:val="00502B7D"/>
    <w:rsid w:val="0050303F"/>
    <w:rsid w:val="00505457"/>
    <w:rsid w:val="00506713"/>
    <w:rsid w:val="005166B9"/>
    <w:rsid w:val="00523654"/>
    <w:rsid w:val="0052734D"/>
    <w:rsid w:val="0053494C"/>
    <w:rsid w:val="00536146"/>
    <w:rsid w:val="00551C6F"/>
    <w:rsid w:val="00561A3B"/>
    <w:rsid w:val="00565D51"/>
    <w:rsid w:val="00572E10"/>
    <w:rsid w:val="0058187B"/>
    <w:rsid w:val="005834BE"/>
    <w:rsid w:val="00587004"/>
    <w:rsid w:val="005914D0"/>
    <w:rsid w:val="005B2460"/>
    <w:rsid w:val="005B48DD"/>
    <w:rsid w:val="005C624E"/>
    <w:rsid w:val="005D7B7A"/>
    <w:rsid w:val="005E073F"/>
    <w:rsid w:val="005F7ACC"/>
    <w:rsid w:val="00600164"/>
    <w:rsid w:val="0060021F"/>
    <w:rsid w:val="00604345"/>
    <w:rsid w:val="00610FE3"/>
    <w:rsid w:val="00615700"/>
    <w:rsid w:val="00623424"/>
    <w:rsid w:val="00623B31"/>
    <w:rsid w:val="00625CD3"/>
    <w:rsid w:val="00632135"/>
    <w:rsid w:val="00653906"/>
    <w:rsid w:val="00663115"/>
    <w:rsid w:val="00667B22"/>
    <w:rsid w:val="00691A7F"/>
    <w:rsid w:val="006A2B54"/>
    <w:rsid w:val="006A56DA"/>
    <w:rsid w:val="006A7EDA"/>
    <w:rsid w:val="006B7ED6"/>
    <w:rsid w:val="006C1A56"/>
    <w:rsid w:val="006C66FE"/>
    <w:rsid w:val="006E0C35"/>
    <w:rsid w:val="006E0FBB"/>
    <w:rsid w:val="006F4931"/>
    <w:rsid w:val="006F6129"/>
    <w:rsid w:val="00720251"/>
    <w:rsid w:val="007210B1"/>
    <w:rsid w:val="007242D0"/>
    <w:rsid w:val="00732093"/>
    <w:rsid w:val="00733189"/>
    <w:rsid w:val="00737E81"/>
    <w:rsid w:val="007430E6"/>
    <w:rsid w:val="00753796"/>
    <w:rsid w:val="00753828"/>
    <w:rsid w:val="007619A1"/>
    <w:rsid w:val="007637C6"/>
    <w:rsid w:val="007679D6"/>
    <w:rsid w:val="00773E39"/>
    <w:rsid w:val="00773F56"/>
    <w:rsid w:val="00782C1C"/>
    <w:rsid w:val="00785E7B"/>
    <w:rsid w:val="00787290"/>
    <w:rsid w:val="007A6402"/>
    <w:rsid w:val="007A7767"/>
    <w:rsid w:val="007B2B00"/>
    <w:rsid w:val="007B3C18"/>
    <w:rsid w:val="007C6423"/>
    <w:rsid w:val="007E19AF"/>
    <w:rsid w:val="007F5D0C"/>
    <w:rsid w:val="008152A5"/>
    <w:rsid w:val="008358FD"/>
    <w:rsid w:val="008467E0"/>
    <w:rsid w:val="008555C6"/>
    <w:rsid w:val="00871DEB"/>
    <w:rsid w:val="00881E3E"/>
    <w:rsid w:val="008909CB"/>
    <w:rsid w:val="008977B8"/>
    <w:rsid w:val="008A1005"/>
    <w:rsid w:val="008A7B3E"/>
    <w:rsid w:val="008B25C1"/>
    <w:rsid w:val="008B2A5F"/>
    <w:rsid w:val="008B3C73"/>
    <w:rsid w:val="008C515E"/>
    <w:rsid w:val="008D0CA8"/>
    <w:rsid w:val="008F75AA"/>
    <w:rsid w:val="0090029C"/>
    <w:rsid w:val="00920299"/>
    <w:rsid w:val="009347EA"/>
    <w:rsid w:val="00942DD1"/>
    <w:rsid w:val="009547A0"/>
    <w:rsid w:val="0095635D"/>
    <w:rsid w:val="00965BA3"/>
    <w:rsid w:val="00970E41"/>
    <w:rsid w:val="00973F2A"/>
    <w:rsid w:val="009809C7"/>
    <w:rsid w:val="00982892"/>
    <w:rsid w:val="0098494E"/>
    <w:rsid w:val="00997506"/>
    <w:rsid w:val="009A0C73"/>
    <w:rsid w:val="009A6731"/>
    <w:rsid w:val="009B0584"/>
    <w:rsid w:val="009E7666"/>
    <w:rsid w:val="009F32DE"/>
    <w:rsid w:val="009F7D5A"/>
    <w:rsid w:val="00A034D5"/>
    <w:rsid w:val="00A0373F"/>
    <w:rsid w:val="00A07592"/>
    <w:rsid w:val="00A13095"/>
    <w:rsid w:val="00A13172"/>
    <w:rsid w:val="00A36815"/>
    <w:rsid w:val="00A609A1"/>
    <w:rsid w:val="00A65A89"/>
    <w:rsid w:val="00A7194D"/>
    <w:rsid w:val="00A82561"/>
    <w:rsid w:val="00A833A2"/>
    <w:rsid w:val="00A8362E"/>
    <w:rsid w:val="00AA6458"/>
    <w:rsid w:val="00AA7190"/>
    <w:rsid w:val="00AB3B41"/>
    <w:rsid w:val="00AC0F19"/>
    <w:rsid w:val="00AC75BF"/>
    <w:rsid w:val="00AD1326"/>
    <w:rsid w:val="00AD4A15"/>
    <w:rsid w:val="00AE3ADA"/>
    <w:rsid w:val="00AF5A6F"/>
    <w:rsid w:val="00B044C8"/>
    <w:rsid w:val="00B076C9"/>
    <w:rsid w:val="00B0789D"/>
    <w:rsid w:val="00B11D11"/>
    <w:rsid w:val="00B220B7"/>
    <w:rsid w:val="00B2224B"/>
    <w:rsid w:val="00B23303"/>
    <w:rsid w:val="00B33FCD"/>
    <w:rsid w:val="00B37BB4"/>
    <w:rsid w:val="00B416FD"/>
    <w:rsid w:val="00B41ADB"/>
    <w:rsid w:val="00B43912"/>
    <w:rsid w:val="00B562E3"/>
    <w:rsid w:val="00B609E2"/>
    <w:rsid w:val="00B623DF"/>
    <w:rsid w:val="00B62EB6"/>
    <w:rsid w:val="00B75891"/>
    <w:rsid w:val="00B758EA"/>
    <w:rsid w:val="00B76CA3"/>
    <w:rsid w:val="00B8485D"/>
    <w:rsid w:val="00B85EBC"/>
    <w:rsid w:val="00B95627"/>
    <w:rsid w:val="00BA4824"/>
    <w:rsid w:val="00BA5441"/>
    <w:rsid w:val="00BA726C"/>
    <w:rsid w:val="00BA7ACB"/>
    <w:rsid w:val="00BC019E"/>
    <w:rsid w:val="00BC4D01"/>
    <w:rsid w:val="00BD44B2"/>
    <w:rsid w:val="00BE2BD6"/>
    <w:rsid w:val="00BF550F"/>
    <w:rsid w:val="00C0037B"/>
    <w:rsid w:val="00C1271F"/>
    <w:rsid w:val="00C2590F"/>
    <w:rsid w:val="00C4175B"/>
    <w:rsid w:val="00C4271C"/>
    <w:rsid w:val="00C450F6"/>
    <w:rsid w:val="00C46005"/>
    <w:rsid w:val="00C53AEF"/>
    <w:rsid w:val="00C551EB"/>
    <w:rsid w:val="00C73C4D"/>
    <w:rsid w:val="00C77109"/>
    <w:rsid w:val="00C87080"/>
    <w:rsid w:val="00C95747"/>
    <w:rsid w:val="00CA2D10"/>
    <w:rsid w:val="00CA32AA"/>
    <w:rsid w:val="00CC4EBB"/>
    <w:rsid w:val="00CD208D"/>
    <w:rsid w:val="00CD4639"/>
    <w:rsid w:val="00CD4C71"/>
    <w:rsid w:val="00CD6B96"/>
    <w:rsid w:val="00CE18CF"/>
    <w:rsid w:val="00CE61C6"/>
    <w:rsid w:val="00CF0940"/>
    <w:rsid w:val="00CF1986"/>
    <w:rsid w:val="00CF419E"/>
    <w:rsid w:val="00D0097F"/>
    <w:rsid w:val="00D12E08"/>
    <w:rsid w:val="00D1321D"/>
    <w:rsid w:val="00D35A08"/>
    <w:rsid w:val="00D3636D"/>
    <w:rsid w:val="00D4104D"/>
    <w:rsid w:val="00D42671"/>
    <w:rsid w:val="00D655B9"/>
    <w:rsid w:val="00D71E3D"/>
    <w:rsid w:val="00D73436"/>
    <w:rsid w:val="00D752B9"/>
    <w:rsid w:val="00D80518"/>
    <w:rsid w:val="00D83FAA"/>
    <w:rsid w:val="00D92AF2"/>
    <w:rsid w:val="00D97FF1"/>
    <w:rsid w:val="00DC0BF8"/>
    <w:rsid w:val="00DC0C16"/>
    <w:rsid w:val="00DC1EAB"/>
    <w:rsid w:val="00DC4536"/>
    <w:rsid w:val="00DC58E1"/>
    <w:rsid w:val="00DE0651"/>
    <w:rsid w:val="00DE5F8A"/>
    <w:rsid w:val="00E0137B"/>
    <w:rsid w:val="00E028AD"/>
    <w:rsid w:val="00E03832"/>
    <w:rsid w:val="00E049D6"/>
    <w:rsid w:val="00E15F49"/>
    <w:rsid w:val="00E16CC2"/>
    <w:rsid w:val="00E42EE7"/>
    <w:rsid w:val="00E44D9B"/>
    <w:rsid w:val="00E45C7B"/>
    <w:rsid w:val="00E6080E"/>
    <w:rsid w:val="00E673AD"/>
    <w:rsid w:val="00E80FAD"/>
    <w:rsid w:val="00E81DE0"/>
    <w:rsid w:val="00E87163"/>
    <w:rsid w:val="00E87794"/>
    <w:rsid w:val="00E904D7"/>
    <w:rsid w:val="00E9518E"/>
    <w:rsid w:val="00E95489"/>
    <w:rsid w:val="00EA2F7A"/>
    <w:rsid w:val="00EA3B92"/>
    <w:rsid w:val="00EA5BD7"/>
    <w:rsid w:val="00EB2FD8"/>
    <w:rsid w:val="00EE03DC"/>
    <w:rsid w:val="00EF0CB7"/>
    <w:rsid w:val="00EF2E96"/>
    <w:rsid w:val="00EF36C3"/>
    <w:rsid w:val="00F00E55"/>
    <w:rsid w:val="00F0351D"/>
    <w:rsid w:val="00F21735"/>
    <w:rsid w:val="00F24742"/>
    <w:rsid w:val="00F32237"/>
    <w:rsid w:val="00F3320B"/>
    <w:rsid w:val="00F36838"/>
    <w:rsid w:val="00F733E3"/>
    <w:rsid w:val="00F83F6A"/>
    <w:rsid w:val="00F956F0"/>
    <w:rsid w:val="00FA04C6"/>
    <w:rsid w:val="00FA36D5"/>
    <w:rsid w:val="00FA63E2"/>
    <w:rsid w:val="00FB2053"/>
    <w:rsid w:val="00FB602B"/>
    <w:rsid w:val="00FE2128"/>
    <w:rsid w:val="00FE2420"/>
    <w:rsid w:val="00FE5A96"/>
    <w:rsid w:val="00FF2B27"/>
    <w:rsid w:val="00FF3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C33F"/>
  <w15:chartTrackingRefBased/>
  <w15:docId w15:val="{538E2BAB-BCD7-467F-9926-793FD0755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before="24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FAA"/>
    <w:rPr>
      <w:lang w:val="en-IE"/>
    </w:rPr>
  </w:style>
  <w:style w:type="paragraph" w:styleId="Heading1">
    <w:name w:val="heading 1"/>
    <w:basedOn w:val="Normal"/>
    <w:next w:val="Normal"/>
    <w:link w:val="Heading1Char"/>
    <w:uiPriority w:val="9"/>
    <w:qFormat/>
    <w:rsid w:val="00EA5BD7"/>
    <w:pPr>
      <w:keepNext/>
      <w:keepLines/>
      <w:numPr>
        <w:numId w:val="14"/>
      </w:numPr>
      <w:spacing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605B"/>
    <w:pPr>
      <w:keepNext/>
      <w:keepLines/>
      <w:numPr>
        <w:ilvl w:val="1"/>
        <w:numId w:val="14"/>
      </w:numPr>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2A3F72"/>
    <w:pPr>
      <w:keepNext/>
      <w:keepLines/>
      <w:numPr>
        <w:ilvl w:val="2"/>
        <w:numId w:val="1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A3F72"/>
    <w:pPr>
      <w:keepNext/>
      <w:keepLines/>
      <w:numPr>
        <w:ilvl w:val="3"/>
        <w:numId w:val="1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A3F72"/>
    <w:pPr>
      <w:keepNext/>
      <w:keepLines/>
      <w:numPr>
        <w:ilvl w:val="4"/>
        <w:numId w:val="1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A3F72"/>
    <w:pPr>
      <w:keepNext/>
      <w:keepLines/>
      <w:numPr>
        <w:ilvl w:val="5"/>
        <w:numId w:val="1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A3F72"/>
    <w:pPr>
      <w:keepNext/>
      <w:keepLines/>
      <w:numPr>
        <w:ilvl w:val="6"/>
        <w:numId w:val="1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A3F72"/>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A3F72"/>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2A11"/>
    <w:rPr>
      <w:color w:val="0563C1" w:themeColor="hyperlink"/>
      <w:u w:val="single"/>
    </w:rPr>
  </w:style>
  <w:style w:type="paragraph" w:styleId="ListParagraph">
    <w:name w:val="List Paragraph"/>
    <w:basedOn w:val="Normal"/>
    <w:uiPriority w:val="34"/>
    <w:qFormat/>
    <w:rsid w:val="002D2A11"/>
    <w:pPr>
      <w:ind w:left="720"/>
      <w:contextualSpacing/>
    </w:pPr>
  </w:style>
  <w:style w:type="character" w:customStyle="1" w:styleId="A9">
    <w:name w:val="A9"/>
    <w:uiPriority w:val="99"/>
    <w:rsid w:val="002D2A11"/>
    <w:rPr>
      <w:rFonts w:cs="DaxlinePro-Regular"/>
      <w:color w:val="000000"/>
      <w:sz w:val="10"/>
      <w:szCs w:val="10"/>
    </w:rPr>
  </w:style>
  <w:style w:type="paragraph" w:styleId="Header">
    <w:name w:val="header"/>
    <w:basedOn w:val="Normal"/>
    <w:link w:val="HeaderChar"/>
    <w:uiPriority w:val="99"/>
    <w:unhideWhenUsed/>
    <w:rsid w:val="00965BA3"/>
    <w:pPr>
      <w:tabs>
        <w:tab w:val="center" w:pos="4513"/>
        <w:tab w:val="right" w:pos="9026"/>
      </w:tabs>
      <w:spacing w:after="0"/>
    </w:pPr>
  </w:style>
  <w:style w:type="character" w:customStyle="1" w:styleId="HeaderChar">
    <w:name w:val="Header Char"/>
    <w:basedOn w:val="DefaultParagraphFont"/>
    <w:link w:val="Header"/>
    <w:uiPriority w:val="99"/>
    <w:rsid w:val="00965BA3"/>
    <w:rPr>
      <w:lang w:val="en-IE"/>
    </w:rPr>
  </w:style>
  <w:style w:type="paragraph" w:styleId="Footer">
    <w:name w:val="footer"/>
    <w:basedOn w:val="Normal"/>
    <w:link w:val="FooterChar"/>
    <w:uiPriority w:val="99"/>
    <w:unhideWhenUsed/>
    <w:rsid w:val="00965BA3"/>
    <w:pPr>
      <w:tabs>
        <w:tab w:val="center" w:pos="4513"/>
        <w:tab w:val="right" w:pos="9026"/>
      </w:tabs>
      <w:spacing w:after="0"/>
    </w:pPr>
  </w:style>
  <w:style w:type="character" w:customStyle="1" w:styleId="FooterChar">
    <w:name w:val="Footer Char"/>
    <w:basedOn w:val="DefaultParagraphFont"/>
    <w:link w:val="Footer"/>
    <w:uiPriority w:val="99"/>
    <w:rsid w:val="00965BA3"/>
    <w:rPr>
      <w:lang w:val="en-IE"/>
    </w:rPr>
  </w:style>
  <w:style w:type="paragraph" w:customStyle="1" w:styleId="Pa47">
    <w:name w:val="Pa47"/>
    <w:basedOn w:val="Normal"/>
    <w:next w:val="Normal"/>
    <w:uiPriority w:val="99"/>
    <w:rsid w:val="00A13095"/>
    <w:pPr>
      <w:autoSpaceDE w:val="0"/>
      <w:autoSpaceDN w:val="0"/>
      <w:adjustRightInd w:val="0"/>
      <w:spacing w:after="0" w:line="185" w:lineRule="atLeast"/>
    </w:pPr>
    <w:rPr>
      <w:rFonts w:ascii="DaxlinePro-Regular" w:eastAsia="DaxlinePro-Regular"/>
      <w:sz w:val="24"/>
      <w:szCs w:val="24"/>
      <w:lang w:val="en-GB"/>
    </w:rPr>
  </w:style>
  <w:style w:type="character" w:customStyle="1" w:styleId="A4">
    <w:name w:val="A4"/>
    <w:uiPriority w:val="99"/>
    <w:rsid w:val="00D42671"/>
    <w:rPr>
      <w:rFonts w:cs="DaxlinePro-Regular"/>
      <w:color w:val="000000"/>
      <w:sz w:val="18"/>
      <w:szCs w:val="18"/>
    </w:rPr>
  </w:style>
  <w:style w:type="paragraph" w:customStyle="1" w:styleId="Pa31">
    <w:name w:val="Pa31"/>
    <w:basedOn w:val="Normal"/>
    <w:next w:val="Normal"/>
    <w:uiPriority w:val="99"/>
    <w:rsid w:val="00D42671"/>
    <w:pPr>
      <w:autoSpaceDE w:val="0"/>
      <w:autoSpaceDN w:val="0"/>
      <w:adjustRightInd w:val="0"/>
      <w:spacing w:after="0" w:line="185" w:lineRule="atLeast"/>
    </w:pPr>
    <w:rPr>
      <w:rFonts w:ascii="DaxlinePro-Regular" w:eastAsia="DaxlinePro-Regular"/>
      <w:sz w:val="24"/>
      <w:szCs w:val="24"/>
      <w:lang w:val="en-GB"/>
    </w:rPr>
  </w:style>
  <w:style w:type="character" w:customStyle="1" w:styleId="A7">
    <w:name w:val="A7"/>
    <w:uiPriority w:val="99"/>
    <w:rsid w:val="000B2AF6"/>
    <w:rPr>
      <w:rFonts w:cs="DaxlinePro-Regular"/>
      <w:color w:val="000000"/>
      <w:sz w:val="18"/>
      <w:szCs w:val="18"/>
    </w:rPr>
  </w:style>
  <w:style w:type="character" w:styleId="FollowedHyperlink">
    <w:name w:val="FollowedHyperlink"/>
    <w:basedOn w:val="DefaultParagraphFont"/>
    <w:uiPriority w:val="99"/>
    <w:semiHidden/>
    <w:unhideWhenUsed/>
    <w:rsid w:val="001308E6"/>
    <w:rPr>
      <w:color w:val="954F72" w:themeColor="followedHyperlink"/>
      <w:u w:val="single"/>
    </w:rPr>
  </w:style>
  <w:style w:type="character" w:customStyle="1" w:styleId="Heading1Char">
    <w:name w:val="Heading 1 Char"/>
    <w:basedOn w:val="DefaultParagraphFont"/>
    <w:link w:val="Heading1"/>
    <w:uiPriority w:val="9"/>
    <w:rsid w:val="00EA5BD7"/>
    <w:rPr>
      <w:rFonts w:asciiTheme="majorHAnsi" w:eastAsiaTheme="majorEastAsia" w:hAnsiTheme="majorHAnsi" w:cstheme="majorBidi"/>
      <w:color w:val="2E74B5" w:themeColor="accent1" w:themeShade="BF"/>
      <w:sz w:val="32"/>
      <w:szCs w:val="32"/>
      <w:lang w:val="en-IE"/>
    </w:rPr>
  </w:style>
  <w:style w:type="paragraph" w:styleId="TOCHeading">
    <w:name w:val="TOC Heading"/>
    <w:basedOn w:val="Heading1"/>
    <w:next w:val="Normal"/>
    <w:uiPriority w:val="39"/>
    <w:unhideWhenUsed/>
    <w:qFormat/>
    <w:rsid w:val="00EA5BD7"/>
    <w:pPr>
      <w:numPr>
        <w:numId w:val="0"/>
      </w:numPr>
      <w:outlineLvl w:val="9"/>
    </w:pPr>
    <w:rPr>
      <w:lang w:val="en-US"/>
    </w:rPr>
  </w:style>
  <w:style w:type="character" w:customStyle="1" w:styleId="Heading2Char">
    <w:name w:val="Heading 2 Char"/>
    <w:basedOn w:val="DefaultParagraphFont"/>
    <w:link w:val="Heading2"/>
    <w:uiPriority w:val="9"/>
    <w:rsid w:val="002D605B"/>
    <w:rPr>
      <w:rFonts w:eastAsiaTheme="majorEastAsia" w:cstheme="majorBidi"/>
      <w:color w:val="2E74B5" w:themeColor="accent1" w:themeShade="BF"/>
      <w:sz w:val="28"/>
      <w:szCs w:val="26"/>
      <w:lang w:val="en-IE"/>
    </w:rPr>
  </w:style>
  <w:style w:type="paragraph" w:styleId="TOC1">
    <w:name w:val="toc 1"/>
    <w:basedOn w:val="Normal"/>
    <w:next w:val="Normal"/>
    <w:autoRedefine/>
    <w:uiPriority w:val="39"/>
    <w:unhideWhenUsed/>
    <w:rsid w:val="000D23FE"/>
    <w:pPr>
      <w:tabs>
        <w:tab w:val="left" w:pos="440"/>
        <w:tab w:val="right" w:leader="dot" w:pos="9016"/>
      </w:tabs>
      <w:spacing w:after="100"/>
    </w:pPr>
  </w:style>
  <w:style w:type="paragraph" w:styleId="TOC2">
    <w:name w:val="toc 2"/>
    <w:basedOn w:val="Normal"/>
    <w:next w:val="Normal"/>
    <w:autoRedefine/>
    <w:uiPriority w:val="39"/>
    <w:unhideWhenUsed/>
    <w:rsid w:val="00EA5BD7"/>
    <w:pPr>
      <w:spacing w:after="100"/>
      <w:ind w:left="220"/>
    </w:pPr>
  </w:style>
  <w:style w:type="character" w:styleId="CommentReference">
    <w:name w:val="annotation reference"/>
    <w:basedOn w:val="DefaultParagraphFont"/>
    <w:uiPriority w:val="99"/>
    <w:semiHidden/>
    <w:unhideWhenUsed/>
    <w:rsid w:val="000C05D5"/>
    <w:rPr>
      <w:sz w:val="16"/>
      <w:szCs w:val="16"/>
    </w:rPr>
  </w:style>
  <w:style w:type="paragraph" w:styleId="CommentText">
    <w:name w:val="annotation text"/>
    <w:basedOn w:val="Normal"/>
    <w:link w:val="CommentTextChar"/>
    <w:uiPriority w:val="99"/>
    <w:semiHidden/>
    <w:unhideWhenUsed/>
    <w:rsid w:val="000C05D5"/>
    <w:rPr>
      <w:sz w:val="20"/>
      <w:szCs w:val="20"/>
    </w:rPr>
  </w:style>
  <w:style w:type="character" w:customStyle="1" w:styleId="CommentTextChar">
    <w:name w:val="Comment Text Char"/>
    <w:basedOn w:val="DefaultParagraphFont"/>
    <w:link w:val="CommentText"/>
    <w:uiPriority w:val="99"/>
    <w:semiHidden/>
    <w:rsid w:val="000C05D5"/>
    <w:rPr>
      <w:sz w:val="20"/>
      <w:szCs w:val="20"/>
      <w:lang w:val="en-IE"/>
    </w:rPr>
  </w:style>
  <w:style w:type="paragraph" w:styleId="CommentSubject">
    <w:name w:val="annotation subject"/>
    <w:basedOn w:val="CommentText"/>
    <w:next w:val="CommentText"/>
    <w:link w:val="CommentSubjectChar"/>
    <w:uiPriority w:val="99"/>
    <w:semiHidden/>
    <w:unhideWhenUsed/>
    <w:rsid w:val="000C05D5"/>
    <w:rPr>
      <w:b/>
      <w:bCs/>
    </w:rPr>
  </w:style>
  <w:style w:type="character" w:customStyle="1" w:styleId="CommentSubjectChar">
    <w:name w:val="Comment Subject Char"/>
    <w:basedOn w:val="CommentTextChar"/>
    <w:link w:val="CommentSubject"/>
    <w:uiPriority w:val="99"/>
    <w:semiHidden/>
    <w:rsid w:val="000C05D5"/>
    <w:rPr>
      <w:b/>
      <w:bCs/>
      <w:sz w:val="20"/>
      <w:szCs w:val="20"/>
      <w:lang w:val="en-IE"/>
    </w:rPr>
  </w:style>
  <w:style w:type="paragraph" w:styleId="BalloonText">
    <w:name w:val="Balloon Text"/>
    <w:basedOn w:val="Normal"/>
    <w:link w:val="BalloonTextChar"/>
    <w:uiPriority w:val="99"/>
    <w:semiHidden/>
    <w:unhideWhenUsed/>
    <w:rsid w:val="000C05D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5D5"/>
    <w:rPr>
      <w:rFonts w:ascii="Segoe UI" w:hAnsi="Segoe UI" w:cs="Segoe UI"/>
      <w:sz w:val="18"/>
      <w:szCs w:val="18"/>
      <w:lang w:val="en-IE"/>
    </w:rPr>
  </w:style>
  <w:style w:type="character" w:styleId="Strong">
    <w:name w:val="Strong"/>
    <w:basedOn w:val="DefaultParagraphFont"/>
    <w:uiPriority w:val="22"/>
    <w:qFormat/>
    <w:rsid w:val="00E42EE7"/>
    <w:rPr>
      <w:b/>
      <w:bCs/>
    </w:rPr>
  </w:style>
  <w:style w:type="paragraph" w:styleId="NormalWeb">
    <w:name w:val="Normal (Web)"/>
    <w:basedOn w:val="Normal"/>
    <w:uiPriority w:val="99"/>
    <w:semiHidden/>
    <w:unhideWhenUsed/>
    <w:rsid w:val="00E42EE7"/>
    <w:pPr>
      <w:spacing w:before="100" w:beforeAutospacing="1" w:after="100" w:afterAutospacing="1"/>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2D6C99"/>
    <w:pPr>
      <w:spacing w:after="0"/>
    </w:pPr>
    <w:rPr>
      <w:sz w:val="20"/>
      <w:szCs w:val="20"/>
    </w:rPr>
  </w:style>
  <w:style w:type="character" w:customStyle="1" w:styleId="FootnoteTextChar">
    <w:name w:val="Footnote Text Char"/>
    <w:basedOn w:val="DefaultParagraphFont"/>
    <w:link w:val="FootnoteText"/>
    <w:uiPriority w:val="99"/>
    <w:semiHidden/>
    <w:rsid w:val="002D6C99"/>
    <w:rPr>
      <w:sz w:val="20"/>
      <w:szCs w:val="20"/>
      <w:lang w:val="en-IE"/>
    </w:rPr>
  </w:style>
  <w:style w:type="character" w:styleId="FootnoteReference">
    <w:name w:val="footnote reference"/>
    <w:aliases w:val="Footnote Refernece,callout,Footnotes refss,Appel note de bas de p.,Fn Ref,Footnote Reference Superscript,BVI fnr,Footnote Reference Number,Footnote Refernece + (Latein) Arial,10 pt,Blau,Fußnotenzeichen_Raxen,Footnote Refe,FR,..."/>
    <w:basedOn w:val="DefaultParagraphFont"/>
    <w:uiPriority w:val="99"/>
    <w:unhideWhenUsed/>
    <w:rsid w:val="002D6C99"/>
    <w:rPr>
      <w:vertAlign w:val="superscript"/>
    </w:rPr>
  </w:style>
  <w:style w:type="character" w:customStyle="1" w:styleId="Heading3Char">
    <w:name w:val="Heading 3 Char"/>
    <w:basedOn w:val="DefaultParagraphFont"/>
    <w:link w:val="Heading3"/>
    <w:uiPriority w:val="9"/>
    <w:rsid w:val="002A3F72"/>
    <w:rPr>
      <w:rFonts w:asciiTheme="majorHAnsi" w:eastAsiaTheme="majorEastAsia" w:hAnsiTheme="majorHAnsi" w:cstheme="majorBidi"/>
      <w:color w:val="1F4D78" w:themeColor="accent1" w:themeShade="7F"/>
      <w:sz w:val="24"/>
      <w:szCs w:val="24"/>
      <w:lang w:val="en-IE"/>
    </w:rPr>
  </w:style>
  <w:style w:type="character" w:customStyle="1" w:styleId="Heading4Char">
    <w:name w:val="Heading 4 Char"/>
    <w:basedOn w:val="DefaultParagraphFont"/>
    <w:link w:val="Heading4"/>
    <w:uiPriority w:val="9"/>
    <w:rsid w:val="002A3F72"/>
    <w:rPr>
      <w:rFonts w:asciiTheme="majorHAnsi" w:eastAsiaTheme="majorEastAsia" w:hAnsiTheme="majorHAnsi" w:cstheme="majorBidi"/>
      <w:i/>
      <w:iCs/>
      <w:color w:val="2E74B5" w:themeColor="accent1" w:themeShade="BF"/>
      <w:lang w:val="en-IE"/>
    </w:rPr>
  </w:style>
  <w:style w:type="character" w:customStyle="1" w:styleId="Heading5Char">
    <w:name w:val="Heading 5 Char"/>
    <w:basedOn w:val="DefaultParagraphFont"/>
    <w:link w:val="Heading5"/>
    <w:uiPriority w:val="9"/>
    <w:semiHidden/>
    <w:rsid w:val="002A3F72"/>
    <w:rPr>
      <w:rFonts w:asciiTheme="majorHAnsi" w:eastAsiaTheme="majorEastAsia" w:hAnsiTheme="majorHAnsi" w:cstheme="majorBidi"/>
      <w:color w:val="2E74B5" w:themeColor="accent1" w:themeShade="BF"/>
      <w:lang w:val="en-IE"/>
    </w:rPr>
  </w:style>
  <w:style w:type="character" w:customStyle="1" w:styleId="Heading6Char">
    <w:name w:val="Heading 6 Char"/>
    <w:basedOn w:val="DefaultParagraphFont"/>
    <w:link w:val="Heading6"/>
    <w:uiPriority w:val="9"/>
    <w:semiHidden/>
    <w:rsid w:val="002A3F72"/>
    <w:rPr>
      <w:rFonts w:asciiTheme="majorHAnsi" w:eastAsiaTheme="majorEastAsia" w:hAnsiTheme="majorHAnsi" w:cstheme="majorBidi"/>
      <w:color w:val="1F4D78" w:themeColor="accent1" w:themeShade="7F"/>
      <w:lang w:val="en-IE"/>
    </w:rPr>
  </w:style>
  <w:style w:type="character" w:customStyle="1" w:styleId="Heading7Char">
    <w:name w:val="Heading 7 Char"/>
    <w:basedOn w:val="DefaultParagraphFont"/>
    <w:link w:val="Heading7"/>
    <w:uiPriority w:val="9"/>
    <w:semiHidden/>
    <w:rsid w:val="002A3F72"/>
    <w:rPr>
      <w:rFonts w:asciiTheme="majorHAnsi" w:eastAsiaTheme="majorEastAsia" w:hAnsiTheme="majorHAnsi" w:cstheme="majorBidi"/>
      <w:i/>
      <w:iCs/>
      <w:color w:val="1F4D78" w:themeColor="accent1" w:themeShade="7F"/>
      <w:lang w:val="en-IE"/>
    </w:rPr>
  </w:style>
  <w:style w:type="character" w:customStyle="1" w:styleId="Heading8Char">
    <w:name w:val="Heading 8 Char"/>
    <w:basedOn w:val="DefaultParagraphFont"/>
    <w:link w:val="Heading8"/>
    <w:uiPriority w:val="9"/>
    <w:semiHidden/>
    <w:rsid w:val="002A3F72"/>
    <w:rPr>
      <w:rFonts w:asciiTheme="majorHAnsi" w:eastAsiaTheme="majorEastAsia" w:hAnsiTheme="majorHAnsi" w:cstheme="majorBidi"/>
      <w:color w:val="272727" w:themeColor="text1" w:themeTint="D8"/>
      <w:sz w:val="21"/>
      <w:szCs w:val="21"/>
      <w:lang w:val="en-IE"/>
    </w:rPr>
  </w:style>
  <w:style w:type="character" w:customStyle="1" w:styleId="Heading9Char">
    <w:name w:val="Heading 9 Char"/>
    <w:basedOn w:val="DefaultParagraphFont"/>
    <w:link w:val="Heading9"/>
    <w:uiPriority w:val="9"/>
    <w:semiHidden/>
    <w:rsid w:val="002A3F72"/>
    <w:rPr>
      <w:rFonts w:asciiTheme="majorHAnsi" w:eastAsiaTheme="majorEastAsia" w:hAnsiTheme="majorHAnsi" w:cstheme="majorBidi"/>
      <w:i/>
      <w:iCs/>
      <w:color w:val="272727" w:themeColor="text1" w:themeTint="D8"/>
      <w:sz w:val="21"/>
      <w:szCs w:val="21"/>
      <w:lang w:val="en-IE"/>
    </w:rPr>
  </w:style>
  <w:style w:type="character" w:customStyle="1" w:styleId="A13">
    <w:name w:val="A13"/>
    <w:uiPriority w:val="99"/>
    <w:rsid w:val="00502B7D"/>
    <w:rPr>
      <w:rFonts w:cs="DaxlinePro-Regular"/>
      <w:color w:val="000000"/>
      <w:sz w:val="10"/>
      <w:szCs w:val="10"/>
    </w:rPr>
  </w:style>
  <w:style w:type="paragraph" w:customStyle="1" w:styleId="Pa13">
    <w:name w:val="Pa13"/>
    <w:basedOn w:val="Normal"/>
    <w:next w:val="Normal"/>
    <w:uiPriority w:val="99"/>
    <w:rsid w:val="004E2F2D"/>
    <w:pPr>
      <w:autoSpaceDE w:val="0"/>
      <w:autoSpaceDN w:val="0"/>
      <w:adjustRightInd w:val="0"/>
      <w:spacing w:after="0" w:line="185" w:lineRule="atLeast"/>
    </w:pPr>
    <w:rPr>
      <w:rFonts w:ascii="DaxlinePro-RegularItalic" w:hAnsi="DaxlinePro-RegularItalic"/>
      <w:sz w:val="24"/>
      <w:szCs w:val="24"/>
    </w:rPr>
  </w:style>
  <w:style w:type="paragraph" w:customStyle="1" w:styleId="Pa17">
    <w:name w:val="Pa17"/>
    <w:basedOn w:val="Normal"/>
    <w:next w:val="Normal"/>
    <w:uiPriority w:val="99"/>
    <w:rsid w:val="004E2F2D"/>
    <w:pPr>
      <w:autoSpaceDE w:val="0"/>
      <w:autoSpaceDN w:val="0"/>
      <w:adjustRightInd w:val="0"/>
      <w:spacing w:after="0" w:line="161" w:lineRule="atLeast"/>
    </w:pPr>
    <w:rPr>
      <w:rFonts w:ascii="DaxlinePro-RegularItalic" w:hAnsi="DaxlinePro-RegularItalic"/>
      <w:sz w:val="24"/>
      <w:szCs w:val="24"/>
    </w:rPr>
  </w:style>
  <w:style w:type="paragraph" w:customStyle="1" w:styleId="Pa46">
    <w:name w:val="Pa46"/>
    <w:basedOn w:val="Normal"/>
    <w:next w:val="Normal"/>
    <w:uiPriority w:val="99"/>
    <w:rsid w:val="0012027F"/>
    <w:pPr>
      <w:autoSpaceDE w:val="0"/>
      <w:autoSpaceDN w:val="0"/>
      <w:adjustRightInd w:val="0"/>
      <w:spacing w:after="0" w:line="221" w:lineRule="atLeast"/>
    </w:pPr>
    <w:rPr>
      <w:rFonts w:ascii="DaxlinePro-Regular" w:eastAsia="DaxlinePro-Regular"/>
      <w:sz w:val="24"/>
      <w:szCs w:val="24"/>
    </w:rPr>
  </w:style>
  <w:style w:type="paragraph" w:customStyle="1" w:styleId="Pa44">
    <w:name w:val="Pa44"/>
    <w:basedOn w:val="Normal"/>
    <w:next w:val="Normal"/>
    <w:uiPriority w:val="99"/>
    <w:rsid w:val="0012027F"/>
    <w:pPr>
      <w:autoSpaceDE w:val="0"/>
      <w:autoSpaceDN w:val="0"/>
      <w:adjustRightInd w:val="0"/>
      <w:spacing w:after="0" w:line="241" w:lineRule="atLeast"/>
    </w:pPr>
    <w:rPr>
      <w:rFonts w:ascii="DaxlinePro-Regular" w:eastAsia="DaxlinePro-Regular"/>
      <w:sz w:val="24"/>
      <w:szCs w:val="24"/>
    </w:rPr>
  </w:style>
  <w:style w:type="paragraph" w:customStyle="1" w:styleId="Pa45">
    <w:name w:val="Pa45"/>
    <w:basedOn w:val="Normal"/>
    <w:next w:val="Normal"/>
    <w:uiPriority w:val="99"/>
    <w:rsid w:val="0012027F"/>
    <w:pPr>
      <w:autoSpaceDE w:val="0"/>
      <w:autoSpaceDN w:val="0"/>
      <w:adjustRightInd w:val="0"/>
      <w:spacing w:after="0" w:line="185" w:lineRule="atLeast"/>
    </w:pPr>
    <w:rPr>
      <w:rFonts w:ascii="DaxlinePro-Regular" w:eastAsia="DaxlinePro-Regular"/>
      <w:sz w:val="24"/>
      <w:szCs w:val="24"/>
    </w:rPr>
  </w:style>
  <w:style w:type="paragraph" w:customStyle="1" w:styleId="Pa9">
    <w:name w:val="Pa9"/>
    <w:basedOn w:val="Normal"/>
    <w:next w:val="Normal"/>
    <w:uiPriority w:val="99"/>
    <w:rsid w:val="0020630F"/>
    <w:pPr>
      <w:autoSpaceDE w:val="0"/>
      <w:autoSpaceDN w:val="0"/>
      <w:adjustRightInd w:val="0"/>
      <w:spacing w:after="0" w:line="185" w:lineRule="atLeast"/>
    </w:pPr>
    <w:rPr>
      <w:rFonts w:ascii="DaxlinePro-Regular" w:eastAsia="DaxlinePro-Regular"/>
      <w:sz w:val="24"/>
      <w:szCs w:val="24"/>
    </w:rPr>
  </w:style>
  <w:style w:type="paragraph" w:customStyle="1" w:styleId="Default">
    <w:name w:val="Default"/>
    <w:rsid w:val="00BC019E"/>
    <w:pPr>
      <w:autoSpaceDE w:val="0"/>
      <w:autoSpaceDN w:val="0"/>
      <w:adjustRightInd w:val="0"/>
      <w:spacing w:after="0"/>
    </w:pPr>
    <w:rPr>
      <w:rFonts w:ascii="Daxline Offc Pro" w:hAnsi="Daxline Offc Pro" w:cs="Daxline Offc Pro"/>
      <w:color w:val="000000"/>
      <w:sz w:val="24"/>
      <w:szCs w:val="24"/>
      <w:lang w:val="en-IE"/>
    </w:rPr>
  </w:style>
  <w:style w:type="character" w:customStyle="1" w:styleId="A5">
    <w:name w:val="A5"/>
    <w:uiPriority w:val="99"/>
    <w:rsid w:val="00604345"/>
    <w:rPr>
      <w:rFonts w:cs="DaxlinePro-Regular"/>
      <w:color w:val="000000"/>
      <w:sz w:val="18"/>
      <w:szCs w:val="18"/>
    </w:rPr>
  </w:style>
  <w:style w:type="character" w:customStyle="1" w:styleId="A6">
    <w:name w:val="A6"/>
    <w:uiPriority w:val="99"/>
    <w:rsid w:val="00604345"/>
    <w:rPr>
      <w:rFonts w:cs="DaxlinePro-Regular"/>
      <w:color w:val="000000"/>
      <w:sz w:val="10"/>
      <w:szCs w:val="10"/>
    </w:rPr>
  </w:style>
  <w:style w:type="paragraph" w:customStyle="1" w:styleId="Pa21">
    <w:name w:val="Pa21"/>
    <w:basedOn w:val="Default"/>
    <w:next w:val="Default"/>
    <w:uiPriority w:val="99"/>
    <w:rsid w:val="00653906"/>
    <w:pPr>
      <w:spacing w:line="185" w:lineRule="atLeast"/>
    </w:pPr>
    <w:rPr>
      <w:rFonts w:ascii="DaxlinePro-Bold" w:hAnsi="DaxlinePro-Bold" w:cstheme="minorBidi"/>
      <w:color w:val="auto"/>
    </w:rPr>
  </w:style>
  <w:style w:type="character" w:customStyle="1" w:styleId="A8">
    <w:name w:val="A8"/>
    <w:uiPriority w:val="99"/>
    <w:rsid w:val="003736F1"/>
    <w:rPr>
      <w:rFonts w:cs="DaxlinePro-Regular"/>
      <w:color w:val="000000"/>
      <w:sz w:val="10"/>
      <w:szCs w:val="10"/>
    </w:rPr>
  </w:style>
  <w:style w:type="character" w:customStyle="1" w:styleId="A2">
    <w:name w:val="A2"/>
    <w:uiPriority w:val="99"/>
    <w:rsid w:val="003736F1"/>
    <w:rPr>
      <w:rFonts w:cs="DaxlinePro-Regular"/>
      <w:color w:val="000000"/>
      <w:sz w:val="18"/>
      <w:szCs w:val="18"/>
    </w:rPr>
  </w:style>
  <w:style w:type="paragraph" w:customStyle="1" w:styleId="Pa4">
    <w:name w:val="Pa4"/>
    <w:basedOn w:val="Default"/>
    <w:next w:val="Default"/>
    <w:uiPriority w:val="99"/>
    <w:rsid w:val="00753796"/>
    <w:pPr>
      <w:spacing w:line="185" w:lineRule="atLeast"/>
    </w:pPr>
    <w:rPr>
      <w:rFonts w:ascii="DaxlinePro-Regular" w:eastAsia="DaxlinePro-Regular" w:hAnsiTheme="minorHAnsi" w:cstheme="minorBidi"/>
      <w:color w:val="auto"/>
    </w:rPr>
  </w:style>
  <w:style w:type="paragraph" w:customStyle="1" w:styleId="Pa23">
    <w:name w:val="Pa23"/>
    <w:basedOn w:val="Default"/>
    <w:next w:val="Default"/>
    <w:uiPriority w:val="99"/>
    <w:rsid w:val="00CD4639"/>
    <w:pPr>
      <w:spacing w:line="221" w:lineRule="atLeast"/>
    </w:pPr>
    <w:rPr>
      <w:rFonts w:ascii="DaxlinePro-Regular" w:eastAsia="DaxlinePro-Regular" w:hAnsiTheme="minorHAnsi" w:cstheme="minorBidi"/>
      <w:color w:val="auto"/>
    </w:rPr>
  </w:style>
  <w:style w:type="paragraph" w:customStyle="1" w:styleId="Pa24">
    <w:name w:val="Pa24"/>
    <w:basedOn w:val="Default"/>
    <w:next w:val="Default"/>
    <w:uiPriority w:val="99"/>
    <w:rsid w:val="00CD4639"/>
    <w:pPr>
      <w:spacing w:line="241" w:lineRule="atLeast"/>
    </w:pPr>
    <w:rPr>
      <w:rFonts w:ascii="DaxlinePro-Regular" w:eastAsia="DaxlinePro-Regular" w:hAnsiTheme="minorHAnsi" w:cstheme="minorBidi"/>
      <w:color w:val="auto"/>
    </w:rPr>
  </w:style>
  <w:style w:type="paragraph" w:customStyle="1" w:styleId="Pa25">
    <w:name w:val="Pa25"/>
    <w:basedOn w:val="Default"/>
    <w:next w:val="Default"/>
    <w:uiPriority w:val="99"/>
    <w:rsid w:val="00CD4639"/>
    <w:pPr>
      <w:spacing w:line="185" w:lineRule="atLeast"/>
    </w:pPr>
    <w:rPr>
      <w:rFonts w:ascii="DaxlinePro-Regular" w:eastAsia="DaxlinePro-Regular" w:hAnsiTheme="minorHAnsi" w:cstheme="minorBidi"/>
      <w:color w:val="auto"/>
    </w:rPr>
  </w:style>
  <w:style w:type="paragraph" w:customStyle="1" w:styleId="Pa26">
    <w:name w:val="Pa26"/>
    <w:basedOn w:val="Default"/>
    <w:next w:val="Default"/>
    <w:uiPriority w:val="99"/>
    <w:rsid w:val="00CD4639"/>
    <w:pPr>
      <w:spacing w:line="145" w:lineRule="atLeast"/>
    </w:pPr>
    <w:rPr>
      <w:rFonts w:ascii="DaxlinePro-Regular" w:eastAsia="DaxlinePro-Regular" w:hAnsiTheme="minorHAnsi" w:cstheme="minorBidi"/>
      <w:color w:val="auto"/>
    </w:rPr>
  </w:style>
  <w:style w:type="paragraph" w:styleId="TOC3">
    <w:name w:val="toc 3"/>
    <w:basedOn w:val="Normal"/>
    <w:next w:val="Normal"/>
    <w:autoRedefine/>
    <w:uiPriority w:val="39"/>
    <w:unhideWhenUsed/>
    <w:rsid w:val="009F7D5A"/>
    <w:pPr>
      <w:spacing w:after="100"/>
      <w:ind w:left="440"/>
    </w:pPr>
  </w:style>
  <w:style w:type="character" w:styleId="SubtleEmphasis">
    <w:name w:val="Subtle Emphasis"/>
    <w:basedOn w:val="DefaultParagraphFont"/>
    <w:uiPriority w:val="19"/>
    <w:qFormat/>
    <w:rsid w:val="00F956F0"/>
    <w:rPr>
      <w:i/>
      <w:iCs/>
      <w:color w:val="404040" w:themeColor="text1" w:themeTint="BF"/>
    </w:rPr>
  </w:style>
  <w:style w:type="paragraph" w:styleId="Subtitle">
    <w:name w:val="Subtitle"/>
    <w:basedOn w:val="Normal"/>
    <w:next w:val="Normal"/>
    <w:link w:val="SubtitleChar"/>
    <w:uiPriority w:val="11"/>
    <w:qFormat/>
    <w:rsid w:val="00EF36C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F36C3"/>
    <w:rPr>
      <w:rFonts w:eastAsiaTheme="minorEastAsia"/>
      <w:color w:val="5A5A5A" w:themeColor="text1" w:themeTint="A5"/>
      <w:spacing w:val="15"/>
      <w:lang w:val="en-IE"/>
    </w:rPr>
  </w:style>
  <w:style w:type="table" w:styleId="TableGrid">
    <w:name w:val="Table Grid"/>
    <w:basedOn w:val="TableNormal"/>
    <w:uiPriority w:val="39"/>
    <w:rsid w:val="00EF36C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0">
    <w:name w:val="A20"/>
    <w:uiPriority w:val="99"/>
    <w:rsid w:val="000F7C63"/>
    <w:rPr>
      <w:rFonts w:cs="DaxlinePro-Bold"/>
      <w:b/>
      <w:bCs/>
      <w:color w:val="000000"/>
      <w:sz w:val="17"/>
      <w:szCs w:val="17"/>
    </w:rPr>
  </w:style>
  <w:style w:type="paragraph" w:customStyle="1" w:styleId="Pa10">
    <w:name w:val="Pa10"/>
    <w:basedOn w:val="Default"/>
    <w:next w:val="Default"/>
    <w:uiPriority w:val="99"/>
    <w:rsid w:val="000F7C63"/>
    <w:pPr>
      <w:spacing w:line="185" w:lineRule="atLeast"/>
    </w:pPr>
    <w:rPr>
      <w:rFonts w:ascii="DaxlinePro-Bold" w:hAnsi="DaxlinePro-Bold" w:cstheme="minorBidi"/>
      <w:color w:val="auto"/>
    </w:rPr>
  </w:style>
  <w:style w:type="paragraph" w:styleId="NoSpacing">
    <w:name w:val="No Spacing"/>
    <w:uiPriority w:val="1"/>
    <w:qFormat/>
    <w:rsid w:val="00782C1C"/>
    <w:pPr>
      <w:spacing w:after="0"/>
    </w:pPr>
    <w:rPr>
      <w:lang w:val="en-IE"/>
    </w:rPr>
  </w:style>
  <w:style w:type="paragraph" w:customStyle="1" w:styleId="Pa3">
    <w:name w:val="Pa3"/>
    <w:basedOn w:val="Default"/>
    <w:next w:val="Default"/>
    <w:uiPriority w:val="99"/>
    <w:rsid w:val="002E1549"/>
    <w:pPr>
      <w:spacing w:line="181" w:lineRule="atLeast"/>
    </w:pPr>
    <w:rPr>
      <w:rFonts w:ascii="DaxlinePro-Regular" w:eastAsia="DaxlinePro-Regular"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68335">
      <w:bodyDiv w:val="1"/>
      <w:marLeft w:val="0"/>
      <w:marRight w:val="0"/>
      <w:marTop w:val="0"/>
      <w:marBottom w:val="0"/>
      <w:divBdr>
        <w:top w:val="none" w:sz="0" w:space="0" w:color="auto"/>
        <w:left w:val="none" w:sz="0" w:space="0" w:color="auto"/>
        <w:bottom w:val="none" w:sz="0" w:space="0" w:color="auto"/>
        <w:right w:val="none" w:sz="0" w:space="0" w:color="auto"/>
      </w:divBdr>
    </w:div>
    <w:div w:id="461656416">
      <w:bodyDiv w:val="1"/>
      <w:marLeft w:val="0"/>
      <w:marRight w:val="0"/>
      <w:marTop w:val="0"/>
      <w:marBottom w:val="0"/>
      <w:divBdr>
        <w:top w:val="none" w:sz="0" w:space="0" w:color="auto"/>
        <w:left w:val="none" w:sz="0" w:space="0" w:color="auto"/>
        <w:bottom w:val="none" w:sz="0" w:space="0" w:color="auto"/>
        <w:right w:val="none" w:sz="0" w:space="0" w:color="auto"/>
      </w:divBdr>
      <w:divsChild>
        <w:div w:id="75371659">
          <w:marLeft w:val="0"/>
          <w:marRight w:val="0"/>
          <w:marTop w:val="345"/>
          <w:marBottom w:val="0"/>
          <w:divBdr>
            <w:top w:val="none" w:sz="0" w:space="0" w:color="auto"/>
            <w:left w:val="none" w:sz="0" w:space="0" w:color="auto"/>
            <w:bottom w:val="none" w:sz="0" w:space="0" w:color="auto"/>
            <w:right w:val="none" w:sz="0" w:space="0" w:color="auto"/>
          </w:divBdr>
          <w:divsChild>
            <w:div w:id="1840269781">
              <w:marLeft w:val="0"/>
              <w:marRight w:val="0"/>
              <w:marTop w:val="0"/>
              <w:marBottom w:val="0"/>
              <w:divBdr>
                <w:top w:val="none" w:sz="0" w:space="0" w:color="auto"/>
                <w:left w:val="none" w:sz="0" w:space="0" w:color="auto"/>
                <w:bottom w:val="none" w:sz="0" w:space="0" w:color="auto"/>
                <w:right w:val="none" w:sz="0" w:space="0" w:color="auto"/>
              </w:divBdr>
              <w:divsChild>
                <w:div w:id="1178734736">
                  <w:marLeft w:val="0"/>
                  <w:marRight w:val="-14400"/>
                  <w:marTop w:val="0"/>
                  <w:marBottom w:val="0"/>
                  <w:divBdr>
                    <w:top w:val="none" w:sz="0" w:space="0" w:color="auto"/>
                    <w:left w:val="none" w:sz="0" w:space="0" w:color="auto"/>
                    <w:bottom w:val="none" w:sz="0" w:space="0" w:color="auto"/>
                    <w:right w:val="none" w:sz="0" w:space="0" w:color="auto"/>
                  </w:divBdr>
                  <w:divsChild>
                    <w:div w:id="1957633254">
                      <w:marLeft w:val="0"/>
                      <w:marRight w:val="0"/>
                      <w:marTop w:val="0"/>
                      <w:marBottom w:val="0"/>
                      <w:divBdr>
                        <w:top w:val="none" w:sz="0" w:space="0" w:color="auto"/>
                        <w:left w:val="none" w:sz="0" w:space="0" w:color="auto"/>
                        <w:bottom w:val="none" w:sz="0" w:space="0" w:color="auto"/>
                        <w:right w:val="none" w:sz="0" w:space="0" w:color="auto"/>
                      </w:divBdr>
                      <w:divsChild>
                        <w:div w:id="857743769">
                          <w:marLeft w:val="0"/>
                          <w:marRight w:val="0"/>
                          <w:marTop w:val="0"/>
                          <w:marBottom w:val="0"/>
                          <w:divBdr>
                            <w:top w:val="none" w:sz="0" w:space="0" w:color="auto"/>
                            <w:left w:val="none" w:sz="0" w:space="0" w:color="auto"/>
                            <w:bottom w:val="none" w:sz="0" w:space="0" w:color="auto"/>
                            <w:right w:val="none" w:sz="0" w:space="0" w:color="auto"/>
                          </w:divBdr>
                          <w:divsChild>
                            <w:div w:id="997078121">
                              <w:marLeft w:val="0"/>
                              <w:marRight w:val="0"/>
                              <w:marTop w:val="0"/>
                              <w:marBottom w:val="0"/>
                              <w:divBdr>
                                <w:top w:val="none" w:sz="0" w:space="0" w:color="auto"/>
                                <w:left w:val="none" w:sz="0" w:space="0" w:color="auto"/>
                                <w:bottom w:val="none" w:sz="0" w:space="0" w:color="auto"/>
                                <w:right w:val="none" w:sz="0" w:space="0" w:color="auto"/>
                              </w:divBdr>
                              <w:divsChild>
                                <w:div w:id="351567415">
                                  <w:marLeft w:val="0"/>
                                  <w:marRight w:val="0"/>
                                  <w:marTop w:val="0"/>
                                  <w:marBottom w:val="0"/>
                                  <w:divBdr>
                                    <w:top w:val="none" w:sz="0" w:space="0" w:color="auto"/>
                                    <w:left w:val="none" w:sz="0" w:space="0" w:color="auto"/>
                                    <w:bottom w:val="none" w:sz="0" w:space="0" w:color="auto"/>
                                    <w:right w:val="none" w:sz="0" w:space="0" w:color="auto"/>
                                  </w:divBdr>
                                  <w:divsChild>
                                    <w:div w:id="689261414">
                                      <w:blockQuote w:val="1"/>
                                      <w:marLeft w:val="300"/>
                                      <w:marRight w:val="300"/>
                                      <w:marTop w:val="0"/>
                                      <w:marBottom w:val="0"/>
                                      <w:divBdr>
                                        <w:top w:val="dashed" w:sz="12" w:space="8" w:color="FFFFFF"/>
                                        <w:left w:val="dashed" w:sz="12" w:space="15" w:color="FFFFFF"/>
                                        <w:bottom w:val="dashed" w:sz="12" w:space="19" w:color="FFFFFF"/>
                                        <w:right w:val="dashed" w:sz="12" w:space="15" w:color="FFFFFF"/>
                                      </w:divBdr>
                                    </w:div>
                                  </w:divsChild>
                                </w:div>
                              </w:divsChild>
                            </w:div>
                          </w:divsChild>
                        </w:div>
                      </w:divsChild>
                    </w:div>
                  </w:divsChild>
                </w:div>
              </w:divsChild>
            </w:div>
          </w:divsChild>
        </w:div>
      </w:divsChild>
    </w:div>
    <w:div w:id="937175881">
      <w:bodyDiv w:val="1"/>
      <w:marLeft w:val="0"/>
      <w:marRight w:val="0"/>
      <w:marTop w:val="0"/>
      <w:marBottom w:val="0"/>
      <w:divBdr>
        <w:top w:val="none" w:sz="0" w:space="0" w:color="auto"/>
        <w:left w:val="none" w:sz="0" w:space="0" w:color="auto"/>
        <w:bottom w:val="none" w:sz="0" w:space="0" w:color="auto"/>
        <w:right w:val="none" w:sz="0" w:space="0" w:color="auto"/>
      </w:divBdr>
      <w:divsChild>
        <w:div w:id="1689478913">
          <w:marLeft w:val="0"/>
          <w:marRight w:val="0"/>
          <w:marTop w:val="345"/>
          <w:marBottom w:val="0"/>
          <w:divBdr>
            <w:top w:val="none" w:sz="0" w:space="0" w:color="auto"/>
            <w:left w:val="none" w:sz="0" w:space="0" w:color="auto"/>
            <w:bottom w:val="none" w:sz="0" w:space="0" w:color="auto"/>
            <w:right w:val="none" w:sz="0" w:space="0" w:color="auto"/>
          </w:divBdr>
          <w:divsChild>
            <w:div w:id="1660109081">
              <w:marLeft w:val="0"/>
              <w:marRight w:val="0"/>
              <w:marTop w:val="0"/>
              <w:marBottom w:val="0"/>
              <w:divBdr>
                <w:top w:val="none" w:sz="0" w:space="0" w:color="auto"/>
                <w:left w:val="none" w:sz="0" w:space="0" w:color="auto"/>
                <w:bottom w:val="none" w:sz="0" w:space="0" w:color="auto"/>
                <w:right w:val="none" w:sz="0" w:space="0" w:color="auto"/>
              </w:divBdr>
              <w:divsChild>
                <w:div w:id="280235001">
                  <w:marLeft w:val="0"/>
                  <w:marRight w:val="-14400"/>
                  <w:marTop w:val="0"/>
                  <w:marBottom w:val="0"/>
                  <w:divBdr>
                    <w:top w:val="none" w:sz="0" w:space="0" w:color="auto"/>
                    <w:left w:val="none" w:sz="0" w:space="0" w:color="auto"/>
                    <w:bottom w:val="none" w:sz="0" w:space="0" w:color="auto"/>
                    <w:right w:val="none" w:sz="0" w:space="0" w:color="auto"/>
                  </w:divBdr>
                  <w:divsChild>
                    <w:div w:id="1660961634">
                      <w:marLeft w:val="0"/>
                      <w:marRight w:val="0"/>
                      <w:marTop w:val="0"/>
                      <w:marBottom w:val="0"/>
                      <w:divBdr>
                        <w:top w:val="none" w:sz="0" w:space="0" w:color="auto"/>
                        <w:left w:val="none" w:sz="0" w:space="0" w:color="auto"/>
                        <w:bottom w:val="none" w:sz="0" w:space="0" w:color="auto"/>
                        <w:right w:val="none" w:sz="0" w:space="0" w:color="auto"/>
                      </w:divBdr>
                      <w:divsChild>
                        <w:div w:id="1019311622">
                          <w:marLeft w:val="0"/>
                          <w:marRight w:val="0"/>
                          <w:marTop w:val="0"/>
                          <w:marBottom w:val="0"/>
                          <w:divBdr>
                            <w:top w:val="none" w:sz="0" w:space="0" w:color="auto"/>
                            <w:left w:val="none" w:sz="0" w:space="0" w:color="auto"/>
                            <w:bottom w:val="none" w:sz="0" w:space="0" w:color="auto"/>
                            <w:right w:val="none" w:sz="0" w:space="0" w:color="auto"/>
                          </w:divBdr>
                          <w:divsChild>
                            <w:div w:id="2144542080">
                              <w:marLeft w:val="0"/>
                              <w:marRight w:val="0"/>
                              <w:marTop w:val="0"/>
                              <w:marBottom w:val="0"/>
                              <w:divBdr>
                                <w:top w:val="none" w:sz="0" w:space="0" w:color="auto"/>
                                <w:left w:val="none" w:sz="0" w:space="0" w:color="auto"/>
                                <w:bottom w:val="none" w:sz="0" w:space="0" w:color="auto"/>
                                <w:right w:val="none" w:sz="0" w:space="0" w:color="auto"/>
                              </w:divBdr>
                              <w:divsChild>
                                <w:div w:id="4007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342315">
      <w:bodyDiv w:val="1"/>
      <w:marLeft w:val="0"/>
      <w:marRight w:val="0"/>
      <w:marTop w:val="0"/>
      <w:marBottom w:val="0"/>
      <w:divBdr>
        <w:top w:val="none" w:sz="0" w:space="0" w:color="auto"/>
        <w:left w:val="none" w:sz="0" w:space="0" w:color="auto"/>
        <w:bottom w:val="none" w:sz="0" w:space="0" w:color="auto"/>
        <w:right w:val="none" w:sz="0" w:space="0" w:color="auto"/>
      </w:divBdr>
      <w:divsChild>
        <w:div w:id="175115243">
          <w:marLeft w:val="0"/>
          <w:marRight w:val="0"/>
          <w:marTop w:val="345"/>
          <w:marBottom w:val="0"/>
          <w:divBdr>
            <w:top w:val="none" w:sz="0" w:space="0" w:color="auto"/>
            <w:left w:val="none" w:sz="0" w:space="0" w:color="auto"/>
            <w:bottom w:val="none" w:sz="0" w:space="0" w:color="auto"/>
            <w:right w:val="none" w:sz="0" w:space="0" w:color="auto"/>
          </w:divBdr>
          <w:divsChild>
            <w:div w:id="1339190063">
              <w:marLeft w:val="0"/>
              <w:marRight w:val="0"/>
              <w:marTop w:val="0"/>
              <w:marBottom w:val="0"/>
              <w:divBdr>
                <w:top w:val="none" w:sz="0" w:space="0" w:color="auto"/>
                <w:left w:val="none" w:sz="0" w:space="0" w:color="auto"/>
                <w:bottom w:val="none" w:sz="0" w:space="0" w:color="auto"/>
                <w:right w:val="none" w:sz="0" w:space="0" w:color="auto"/>
              </w:divBdr>
              <w:divsChild>
                <w:div w:id="515387260">
                  <w:marLeft w:val="0"/>
                  <w:marRight w:val="-14400"/>
                  <w:marTop w:val="0"/>
                  <w:marBottom w:val="0"/>
                  <w:divBdr>
                    <w:top w:val="none" w:sz="0" w:space="0" w:color="auto"/>
                    <w:left w:val="none" w:sz="0" w:space="0" w:color="auto"/>
                    <w:bottom w:val="none" w:sz="0" w:space="0" w:color="auto"/>
                    <w:right w:val="none" w:sz="0" w:space="0" w:color="auto"/>
                  </w:divBdr>
                  <w:divsChild>
                    <w:div w:id="706417860">
                      <w:marLeft w:val="0"/>
                      <w:marRight w:val="0"/>
                      <w:marTop w:val="0"/>
                      <w:marBottom w:val="0"/>
                      <w:divBdr>
                        <w:top w:val="none" w:sz="0" w:space="0" w:color="auto"/>
                        <w:left w:val="none" w:sz="0" w:space="0" w:color="auto"/>
                        <w:bottom w:val="none" w:sz="0" w:space="0" w:color="auto"/>
                        <w:right w:val="none" w:sz="0" w:space="0" w:color="auto"/>
                      </w:divBdr>
                      <w:divsChild>
                        <w:div w:id="1025835956">
                          <w:marLeft w:val="0"/>
                          <w:marRight w:val="0"/>
                          <w:marTop w:val="0"/>
                          <w:marBottom w:val="0"/>
                          <w:divBdr>
                            <w:top w:val="none" w:sz="0" w:space="0" w:color="auto"/>
                            <w:left w:val="none" w:sz="0" w:space="0" w:color="auto"/>
                            <w:bottom w:val="none" w:sz="0" w:space="0" w:color="auto"/>
                            <w:right w:val="none" w:sz="0" w:space="0" w:color="auto"/>
                          </w:divBdr>
                          <w:divsChild>
                            <w:div w:id="1204440718">
                              <w:marLeft w:val="0"/>
                              <w:marRight w:val="0"/>
                              <w:marTop w:val="0"/>
                              <w:marBottom w:val="0"/>
                              <w:divBdr>
                                <w:top w:val="none" w:sz="0" w:space="0" w:color="auto"/>
                                <w:left w:val="none" w:sz="0" w:space="0" w:color="auto"/>
                                <w:bottom w:val="none" w:sz="0" w:space="0" w:color="auto"/>
                                <w:right w:val="none" w:sz="0" w:space="0" w:color="auto"/>
                              </w:divBdr>
                              <w:divsChild>
                                <w:div w:id="1304433197">
                                  <w:marLeft w:val="0"/>
                                  <w:marRight w:val="0"/>
                                  <w:marTop w:val="0"/>
                                  <w:marBottom w:val="0"/>
                                  <w:divBdr>
                                    <w:top w:val="none" w:sz="0" w:space="0" w:color="auto"/>
                                    <w:left w:val="none" w:sz="0" w:space="0" w:color="auto"/>
                                    <w:bottom w:val="none" w:sz="0" w:space="0" w:color="auto"/>
                                    <w:right w:val="none" w:sz="0" w:space="0" w:color="auto"/>
                                  </w:divBdr>
                                  <w:divsChild>
                                    <w:div w:id="2085829785">
                                      <w:blockQuote w:val="1"/>
                                      <w:marLeft w:val="300"/>
                                      <w:marRight w:val="300"/>
                                      <w:marTop w:val="0"/>
                                      <w:marBottom w:val="0"/>
                                      <w:divBdr>
                                        <w:top w:val="dashed" w:sz="12" w:space="8" w:color="FFFFFF"/>
                                        <w:left w:val="dashed" w:sz="12" w:space="15" w:color="FFFFFF"/>
                                        <w:bottom w:val="dashed" w:sz="12" w:space="19" w:color="FFFFFF"/>
                                        <w:right w:val="dashed" w:sz="12" w:space="15" w:color="FFFFFF"/>
                                      </w:divBdr>
                                    </w:div>
                                  </w:divsChild>
                                </w:div>
                              </w:divsChild>
                            </w:div>
                          </w:divsChild>
                        </w:div>
                      </w:divsChild>
                    </w:div>
                  </w:divsChild>
                </w:div>
              </w:divsChild>
            </w:div>
          </w:divsChild>
        </w:div>
      </w:divsChild>
    </w:div>
    <w:div w:id="182958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fra.europa.eu/en/publications-and-resources/publications/annual-reports/fundamental-rights-2014" TargetMode="External"/><Relationship Id="rId18" Type="http://schemas.openxmlformats.org/officeDocument/2006/relationships/hyperlink" Target="http://fra.europa.eu/en/publication/2015/children-disabilities-violence" TargetMode="External"/><Relationship Id="rId26" Type="http://schemas.openxmlformats.org/officeDocument/2006/relationships/hyperlink" Target="http://fra.europa.eu/en/publication/2013/laws-about-being-able-make-important-decisions-yourself" TargetMode="External"/><Relationship Id="rId39" Type="http://schemas.openxmlformats.org/officeDocument/2006/relationships/customXml" Target="../customXml/item4.xml"/><Relationship Id="rId21" Type="http://schemas.openxmlformats.org/officeDocument/2006/relationships/image" Target="media/image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fra.europa.eu/en/publications-and-resources/publications/annual-reports/fundamental-rights-2016" TargetMode="External"/><Relationship Id="rId17" Type="http://schemas.openxmlformats.org/officeDocument/2006/relationships/hyperlink" Target="http://fra.europa.eu/en/publication/2018/institutions-community-living-part-iii-outcomes-persons-disabilities-easy-read" TargetMode="External"/><Relationship Id="rId25" Type="http://schemas.openxmlformats.org/officeDocument/2006/relationships/hyperlink" Target="http://fra.europa.eu/en/publication/2013/legal-capacity-persons-intellectual-disabilities-and-persons-mental-health-problems" TargetMode="External"/><Relationship Id="rId33" Type="http://schemas.openxmlformats.org/officeDocument/2006/relationships/image" Target="media/image9.PNG"/><Relationship Id="rId38"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fra.europa.eu/en/publication/2017/independent-living-outcomes" TargetMode="External"/><Relationship Id="rId20" Type="http://schemas.openxmlformats.org/officeDocument/2006/relationships/image" Target="media/image3.PNG"/><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5.PNG"/><Relationship Id="rId32" Type="http://schemas.openxmlformats.org/officeDocument/2006/relationships/image" Target="media/image8.PNG"/><Relationship Id="rId37"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fra.europa.eu/en/publication/2018/institutions-community-living-part-i-commitments-and-structures-easy-read" TargetMode="External"/><Relationship Id="rId23" Type="http://schemas.openxmlformats.org/officeDocument/2006/relationships/hyperlink" Target="http://fra.europa.eu/en/publication/2014/right-political-participation-persons-disabilities-human-rights-indicators" TargetMode="External"/><Relationship Id="rId28" Type="http://schemas.openxmlformats.org/officeDocument/2006/relationships/image" Target="media/image6.PNG"/><Relationship Id="rId36" Type="http://schemas.openxmlformats.org/officeDocument/2006/relationships/theme" Target="theme/theme1.xml"/><Relationship Id="rId10" Type="http://schemas.openxmlformats.org/officeDocument/2006/relationships/hyperlink" Target="http://fra.europa.eu/en/publication/2017/fundamental-rights-report-2017" TargetMode="External"/><Relationship Id="rId19" Type="http://schemas.openxmlformats.org/officeDocument/2006/relationships/hyperlink" Target="http://fra.europa.eu/en/publication/2015/violence-against-children-disabilities" TargetMode="External"/><Relationship Id="rId31" Type="http://schemas.openxmlformats.org/officeDocument/2006/relationships/hyperlink" Target="http://fra.europa.eu/en/publication/2010/right-political-participation-persons-mental-health-problems-and-person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fra.europa.eu/en/publication/2017/independent-living-structures" TargetMode="External"/><Relationship Id="rId22" Type="http://schemas.openxmlformats.org/officeDocument/2006/relationships/hyperlink" Target="http://fra.europa.eu/sites/default/files/fra-2015-focus-05-2015-crpd_en.pdf" TargetMode="External"/><Relationship Id="rId27" Type="http://schemas.openxmlformats.org/officeDocument/2006/relationships/hyperlink" Target="http://fra.europa.eu/en/publication/2012/involuntary-placement-and-involuntary-treatment-persons-mental-health-problems" TargetMode="External"/><Relationship Id="rId30" Type="http://schemas.openxmlformats.org/officeDocument/2006/relationships/hyperlink" Target="http://fra.europa.eu/en/publication/2011/legal-protection-persons-mental-health-problems-under-non-discrimination-law" TargetMode="External"/><Relationship Id="rId35" Type="http://schemas.openxmlformats.org/officeDocument/2006/relationships/fontTable" Target="fontTable.xml"/><Relationship Id="rId8" Type="http://schemas.openxmlformats.org/officeDocument/2006/relationships/hyperlink" Target="http://fra.europa.eu/en/publication/2018/fundamental-rights-report-2018"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90858E-C474-4134-9743-6273CB2F23E0}"/>
</file>

<file path=customXml/itemProps2.xml><?xml version="1.0" encoding="utf-8"?>
<ds:datastoreItem xmlns:ds="http://schemas.openxmlformats.org/officeDocument/2006/customXml" ds:itemID="{2B94A372-141F-4183-AB6A-C784A7532485}"/>
</file>

<file path=customXml/itemProps3.xml><?xml version="1.0" encoding="utf-8"?>
<ds:datastoreItem xmlns:ds="http://schemas.openxmlformats.org/officeDocument/2006/customXml" ds:itemID="{5B668A61-D3E0-4065-A53D-BBEECCB340AA}"/>
</file>

<file path=customXml/itemProps4.xml><?xml version="1.0" encoding="utf-8"?>
<ds:datastoreItem xmlns:ds="http://schemas.openxmlformats.org/officeDocument/2006/customXml" ds:itemID="{A97CFCC7-F84A-444A-B82D-E624AC0326C1}"/>
</file>

<file path=docProps/app.xml><?xml version="1.0" encoding="utf-8"?>
<Properties xmlns="http://schemas.openxmlformats.org/officeDocument/2006/extended-properties" xmlns:vt="http://schemas.openxmlformats.org/officeDocument/2006/docPropsVTypes">
  <Template>Normal</Template>
  <TotalTime>11</TotalTime>
  <Pages>12</Pages>
  <Words>3783</Words>
  <Characters>21566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25299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MIKALAUSKAITE Jadvyga (FRA)</dc:creator>
  <cp:keywords/>
  <dc:description/>
  <cp:lastModifiedBy>IGNJATOVIC Srna (FRA)</cp:lastModifiedBy>
  <cp:revision>4</cp:revision>
  <cp:lastPrinted>2015-12-11T14:11:00Z</cp:lastPrinted>
  <dcterms:created xsi:type="dcterms:W3CDTF">2018-06-27T08:09:00Z</dcterms:created>
  <dcterms:modified xsi:type="dcterms:W3CDTF">2018-06-29T09:57:00Z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