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F07878" w:rsidRDefault="00C05D9B" w:rsidP="00626C39"/>
    <w:p w14:paraId="1C720C6D" w14:textId="77777777" w:rsidR="005403E3" w:rsidRPr="00F07878" w:rsidRDefault="005403E3" w:rsidP="00626C39"/>
    <w:p w14:paraId="5E537D0D" w14:textId="77777777" w:rsidR="005403E3" w:rsidRPr="00F07878" w:rsidRDefault="005403E3" w:rsidP="00626C39"/>
    <w:p w14:paraId="43F13231" w14:textId="38806A1E" w:rsidR="004B1E4E" w:rsidRPr="00F07878" w:rsidRDefault="001D074D" w:rsidP="001E7AD1">
      <w:pPr>
        <w:jc w:val="center"/>
        <w:rPr>
          <w:b/>
        </w:rPr>
      </w:pPr>
      <w:r w:rsidRPr="00F07878">
        <w:rPr>
          <w:b/>
        </w:rPr>
        <w:t>Tunisia</w:t>
      </w:r>
      <w:r w:rsidR="004B1E4E" w:rsidRPr="00F07878">
        <w:rPr>
          <w:b/>
        </w:rPr>
        <w:t xml:space="preserve">’s Compliance with </w:t>
      </w:r>
      <w:r w:rsidR="00EB623D" w:rsidRPr="00F07878">
        <w:rPr>
          <w:b/>
        </w:rPr>
        <w:t xml:space="preserve">the Convention </w:t>
      </w:r>
      <w:r w:rsidR="001E7AD1" w:rsidRPr="00F07878">
        <w:rPr>
          <w:b/>
        </w:rPr>
        <w:t xml:space="preserve">on the Elimination of All Forms of Discrimination Against Women: The </w:t>
      </w:r>
      <w:r w:rsidR="00CE5498" w:rsidRPr="00F07878">
        <w:rPr>
          <w:b/>
        </w:rPr>
        <w:t>Death Penalty</w:t>
      </w:r>
    </w:p>
    <w:p w14:paraId="171F4CCF" w14:textId="77777777" w:rsidR="004B1E4E" w:rsidRPr="00F07878" w:rsidRDefault="004B1E4E" w:rsidP="004B1E4E">
      <w:pPr>
        <w:jc w:val="center"/>
      </w:pPr>
    </w:p>
    <w:p w14:paraId="26D24DDC" w14:textId="77777777" w:rsidR="004B1E4E" w:rsidRPr="00F07878" w:rsidRDefault="004B1E4E" w:rsidP="004B1E4E">
      <w:pPr>
        <w:jc w:val="center"/>
        <w:rPr>
          <w:b/>
        </w:rPr>
      </w:pPr>
      <w:r w:rsidRPr="00F07878">
        <w:rPr>
          <w:b/>
        </w:rPr>
        <w:t xml:space="preserve">Submitted by </w:t>
      </w:r>
      <w:r w:rsidR="00AA7FCB" w:rsidRPr="00F07878">
        <w:rPr>
          <w:b/>
        </w:rPr>
        <w:t>T</w:t>
      </w:r>
      <w:r w:rsidRPr="00F07878">
        <w:rPr>
          <w:b/>
        </w:rPr>
        <w:t>he Advocates for Human Rights</w:t>
      </w:r>
    </w:p>
    <w:p w14:paraId="6D01AE49" w14:textId="77777777" w:rsidR="004B1E4E" w:rsidRPr="00F07878" w:rsidRDefault="004B1E4E" w:rsidP="004B1E4E">
      <w:pPr>
        <w:jc w:val="center"/>
      </w:pPr>
      <w:r w:rsidRPr="00F07878">
        <w:t>a non-governmental organization in special consultative status with ECOSOC</w:t>
      </w:r>
      <w:r w:rsidR="00624A10" w:rsidRPr="00F07878">
        <w:t xml:space="preserve"> since 1996</w:t>
      </w:r>
    </w:p>
    <w:p w14:paraId="7C5325F4" w14:textId="3989D620" w:rsidR="00BA4C3B" w:rsidRDefault="00857D47" w:rsidP="004B1E4E">
      <w:pPr>
        <w:jc w:val="center"/>
        <w:rPr>
          <w:b/>
          <w:bCs/>
        </w:rPr>
      </w:pPr>
      <w:r w:rsidRPr="00F07878">
        <w:rPr>
          <w:b/>
          <w:bCs/>
        </w:rPr>
        <w:t>The World Coalition Against the Death Penalty</w:t>
      </w:r>
    </w:p>
    <w:p w14:paraId="1C340680" w14:textId="625EA250" w:rsidR="00F82F0B" w:rsidRPr="00F07878" w:rsidRDefault="00F82F0B" w:rsidP="004B1E4E">
      <w:pPr>
        <w:jc w:val="center"/>
        <w:rPr>
          <w:b/>
          <w:bCs/>
        </w:rPr>
      </w:pPr>
      <w:r>
        <w:rPr>
          <w:b/>
          <w:bCs/>
        </w:rPr>
        <w:t>The Cornell Center on the Death Penalty Worldwide</w:t>
      </w:r>
    </w:p>
    <w:p w14:paraId="77E85E5E" w14:textId="3180BCD6" w:rsidR="00857D47" w:rsidRPr="00F07878" w:rsidRDefault="00E208B7" w:rsidP="004B1E4E">
      <w:pPr>
        <w:jc w:val="center"/>
        <w:rPr>
          <w:b/>
          <w:bCs/>
        </w:rPr>
      </w:pPr>
      <w:r w:rsidRPr="00F07878">
        <w:rPr>
          <w:b/>
          <w:bCs/>
        </w:rPr>
        <w:t xml:space="preserve">La Coalition </w:t>
      </w:r>
      <w:proofErr w:type="spellStart"/>
      <w:r w:rsidRPr="00F07878">
        <w:rPr>
          <w:b/>
          <w:bCs/>
        </w:rPr>
        <w:t>tunisienne</w:t>
      </w:r>
      <w:proofErr w:type="spellEnd"/>
      <w:r w:rsidRPr="00F07878">
        <w:rPr>
          <w:b/>
          <w:bCs/>
        </w:rPr>
        <w:t xml:space="preserve"> </w:t>
      </w:r>
      <w:proofErr w:type="spellStart"/>
      <w:r w:rsidRPr="00F07878">
        <w:rPr>
          <w:b/>
          <w:bCs/>
        </w:rPr>
        <w:t>contre</w:t>
      </w:r>
      <w:proofErr w:type="spellEnd"/>
      <w:r w:rsidRPr="00F07878">
        <w:rPr>
          <w:b/>
          <w:bCs/>
        </w:rPr>
        <w:t xml:space="preserve"> la </w:t>
      </w:r>
      <w:proofErr w:type="spellStart"/>
      <w:r w:rsidRPr="00F07878">
        <w:rPr>
          <w:b/>
          <w:bCs/>
        </w:rPr>
        <w:t>peine</w:t>
      </w:r>
      <w:proofErr w:type="spellEnd"/>
      <w:r w:rsidRPr="00F07878">
        <w:rPr>
          <w:b/>
          <w:bCs/>
        </w:rPr>
        <w:t xml:space="preserve"> de mort (CTCPM) </w:t>
      </w:r>
    </w:p>
    <w:p w14:paraId="747152FC" w14:textId="735DF67E" w:rsidR="00D75D00" w:rsidRPr="00F07878" w:rsidRDefault="00D75D00" w:rsidP="00F82F0B">
      <w:pPr>
        <w:jc w:val="center"/>
      </w:pPr>
      <w:r w:rsidRPr="00F07878">
        <w:t>and</w:t>
      </w:r>
    </w:p>
    <w:p w14:paraId="29836534" w14:textId="3038A6B2" w:rsidR="00D75D00" w:rsidRPr="00F07878" w:rsidRDefault="00D75D00" w:rsidP="004B1E4E">
      <w:pPr>
        <w:jc w:val="center"/>
        <w:rPr>
          <w:b/>
          <w:bCs/>
        </w:rPr>
      </w:pPr>
      <w:r w:rsidRPr="00F07878">
        <w:rPr>
          <w:b/>
          <w:bCs/>
        </w:rPr>
        <w:t xml:space="preserve">Ensemble </w:t>
      </w:r>
      <w:proofErr w:type="spellStart"/>
      <w:r w:rsidRPr="00F07878">
        <w:rPr>
          <w:b/>
          <w:bCs/>
        </w:rPr>
        <w:t>contre</w:t>
      </w:r>
      <w:proofErr w:type="spellEnd"/>
      <w:r w:rsidRPr="00F07878">
        <w:rPr>
          <w:b/>
          <w:bCs/>
        </w:rPr>
        <w:t xml:space="preserve"> la </w:t>
      </w:r>
      <w:proofErr w:type="spellStart"/>
      <w:r w:rsidRPr="00F07878">
        <w:rPr>
          <w:b/>
          <w:bCs/>
        </w:rPr>
        <w:t>peine</w:t>
      </w:r>
      <w:proofErr w:type="spellEnd"/>
      <w:r w:rsidRPr="00F07878">
        <w:rPr>
          <w:b/>
          <w:bCs/>
        </w:rPr>
        <w:t xml:space="preserve"> de mort (ECPM)</w:t>
      </w:r>
    </w:p>
    <w:p w14:paraId="23C3CAD9" w14:textId="36FEA944" w:rsidR="00D75D00" w:rsidRPr="00F82F0B" w:rsidRDefault="00D75D00" w:rsidP="004B1E4E">
      <w:pPr>
        <w:jc w:val="center"/>
      </w:pPr>
      <w:r w:rsidRPr="00F07878">
        <w:t>for the</w:t>
      </w:r>
    </w:p>
    <w:p w14:paraId="24E688AE" w14:textId="285F4CE8" w:rsidR="004B1E4E" w:rsidRPr="00F07878" w:rsidRDefault="001E7AD1" w:rsidP="004B1E4E">
      <w:pPr>
        <w:jc w:val="center"/>
        <w:rPr>
          <w:b/>
          <w:bCs/>
        </w:rPr>
      </w:pPr>
      <w:r w:rsidRPr="00F07878">
        <w:rPr>
          <w:b/>
          <w:bCs/>
        </w:rPr>
        <w:t xml:space="preserve">84th </w:t>
      </w:r>
      <w:r w:rsidR="004B1E4E" w:rsidRPr="00F07878">
        <w:rPr>
          <w:b/>
          <w:bCs/>
        </w:rPr>
        <w:t xml:space="preserve">Session of the </w:t>
      </w:r>
      <w:r w:rsidR="000407E3" w:rsidRPr="00F07878">
        <w:rPr>
          <w:b/>
          <w:bCs/>
        </w:rPr>
        <w:t xml:space="preserve">Committee </w:t>
      </w:r>
      <w:r w:rsidRPr="00F07878">
        <w:rPr>
          <w:b/>
          <w:bCs/>
        </w:rPr>
        <w:t>on the Elimination of Discrimination Against Women</w:t>
      </w:r>
    </w:p>
    <w:p w14:paraId="3B163C2D" w14:textId="4BC9AB13" w:rsidR="004B1E4E" w:rsidRPr="00F07878" w:rsidRDefault="001E7AD1" w:rsidP="004B1E4E">
      <w:pPr>
        <w:jc w:val="center"/>
        <w:rPr>
          <w:b/>
          <w:bCs/>
        </w:rPr>
      </w:pPr>
      <w:r w:rsidRPr="00F07878">
        <w:rPr>
          <w:b/>
          <w:bCs/>
        </w:rPr>
        <w:t>6</w:t>
      </w:r>
      <w:r w:rsidR="000407E3" w:rsidRPr="00F07878">
        <w:rPr>
          <w:b/>
          <w:bCs/>
        </w:rPr>
        <w:t>–</w:t>
      </w:r>
      <w:r w:rsidRPr="00F07878">
        <w:rPr>
          <w:b/>
          <w:bCs/>
        </w:rPr>
        <w:t>24</w:t>
      </w:r>
      <w:r w:rsidR="000407E3" w:rsidRPr="00F07878">
        <w:rPr>
          <w:b/>
          <w:bCs/>
        </w:rPr>
        <w:t xml:space="preserve"> </w:t>
      </w:r>
      <w:r w:rsidRPr="00F07878">
        <w:rPr>
          <w:b/>
          <w:bCs/>
        </w:rPr>
        <w:t xml:space="preserve">February </w:t>
      </w:r>
      <w:r w:rsidR="000407E3" w:rsidRPr="00F07878">
        <w:rPr>
          <w:b/>
          <w:bCs/>
        </w:rPr>
        <w:t>2023</w:t>
      </w:r>
    </w:p>
    <w:p w14:paraId="42599716" w14:textId="02060FAC" w:rsidR="00C214BA" w:rsidRPr="00F07878" w:rsidRDefault="00C214BA" w:rsidP="004B1E4E">
      <w:pPr>
        <w:jc w:val="center"/>
        <w:rPr>
          <w:b/>
          <w:bCs/>
        </w:rPr>
      </w:pPr>
    </w:p>
    <w:p w14:paraId="3D93E372" w14:textId="1BBAA425" w:rsidR="00C214BA" w:rsidRPr="00F07878" w:rsidRDefault="00C214BA" w:rsidP="004B1E4E">
      <w:pPr>
        <w:jc w:val="center"/>
        <w:rPr>
          <w:b/>
          <w:bCs/>
        </w:rPr>
      </w:pPr>
      <w:r w:rsidRPr="00F07878">
        <w:rPr>
          <w:b/>
          <w:bCs/>
        </w:rPr>
        <w:t xml:space="preserve">Submitted </w:t>
      </w:r>
      <w:r w:rsidR="00CA43EC" w:rsidRPr="00F07878">
        <w:rPr>
          <w:b/>
          <w:bCs/>
        </w:rPr>
        <w:t>9</w:t>
      </w:r>
      <w:r w:rsidRPr="00F07878">
        <w:rPr>
          <w:b/>
          <w:bCs/>
        </w:rPr>
        <w:t xml:space="preserve"> </w:t>
      </w:r>
      <w:r w:rsidR="000407E3" w:rsidRPr="00F07878">
        <w:rPr>
          <w:b/>
          <w:bCs/>
        </w:rPr>
        <w:t>January</w:t>
      </w:r>
      <w:r w:rsidRPr="00F07878">
        <w:rPr>
          <w:b/>
          <w:bCs/>
        </w:rPr>
        <w:t xml:space="preserve"> </w:t>
      </w:r>
      <w:r w:rsidR="000407E3" w:rsidRPr="00F07878">
        <w:rPr>
          <w:b/>
          <w:bCs/>
        </w:rPr>
        <w:t>2023</w:t>
      </w:r>
    </w:p>
    <w:p w14:paraId="69899961" w14:textId="77777777" w:rsidR="005132BB" w:rsidRPr="00F07878" w:rsidRDefault="005132BB" w:rsidP="00626C39"/>
    <w:p w14:paraId="64B92EAF" w14:textId="7F876488" w:rsidR="27553789" w:rsidRPr="00F07878" w:rsidRDefault="004B1E4E" w:rsidP="20EBB8F7">
      <w:pPr>
        <w:jc w:val="both"/>
      </w:pPr>
      <w:r w:rsidRPr="00F07878">
        <w:rPr>
          <w:b/>
        </w:rPr>
        <w:t xml:space="preserve">The Advocates for Human Rights </w:t>
      </w:r>
      <w:r w:rsidRPr="00F07878">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F07878">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828B34A" w14:textId="77777777" w:rsidR="00CE5498" w:rsidRPr="00F07878" w:rsidRDefault="00CE5498" w:rsidP="20EBB8F7">
      <w:pPr>
        <w:jc w:val="both"/>
      </w:pPr>
    </w:p>
    <w:p w14:paraId="65EAECB8" w14:textId="77777777" w:rsidR="00E208B7" w:rsidRPr="00F07878" w:rsidRDefault="00CE5498" w:rsidP="20EBB8F7">
      <w:pPr>
        <w:jc w:val="both"/>
        <w:rPr>
          <w:rStyle w:val="normaltextrun"/>
          <w:color w:val="000000"/>
          <w:shd w:val="clear" w:color="auto" w:fill="FFFFFF"/>
        </w:rPr>
      </w:pPr>
      <w:r w:rsidRPr="00F07878">
        <w:rPr>
          <w:rStyle w:val="normaltextrun"/>
          <w:b/>
          <w:bCs/>
          <w:color w:val="000000"/>
          <w:shd w:val="clear" w:color="auto" w:fill="FFFFFF"/>
        </w:rPr>
        <w:t>The World Coalition Against the Death Penalty</w:t>
      </w:r>
      <w:r w:rsidRPr="00F07878">
        <w:rPr>
          <w:rStyle w:val="normaltextrun"/>
          <w:color w:val="000000"/>
          <w:shd w:val="clear" w:color="auto" w:fill="FFFFFF"/>
        </w:rPr>
        <w:t xml:space="preserve"> </w:t>
      </w:r>
      <w:r w:rsidR="00DA3A8D" w:rsidRPr="00F07878">
        <w:rPr>
          <w:rStyle w:val="normaltextrun"/>
          <w:color w:val="000000"/>
          <w:shd w:val="clear" w:color="auto" w:fill="FFFFFF"/>
        </w:rPr>
        <w:t xml:space="preserve">(the Coalition) </w:t>
      </w:r>
      <w:r w:rsidRPr="00F07878">
        <w:rPr>
          <w:rStyle w:val="normaltextrun"/>
          <w:color w:val="000000"/>
          <w:shd w:val="clear" w:color="auto" w:fill="FFFFFF"/>
        </w:rPr>
        <w:t>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090DBEB" w14:textId="753AA578" w:rsidR="00E208B7" w:rsidRPr="00F07878" w:rsidRDefault="00CE5498" w:rsidP="20EBB8F7">
      <w:pPr>
        <w:jc w:val="both"/>
        <w:rPr>
          <w:rStyle w:val="normaltextrun"/>
          <w:color w:val="000000"/>
          <w:shd w:val="clear" w:color="auto" w:fill="FFFFFF"/>
        </w:rPr>
      </w:pPr>
      <w:r w:rsidRPr="00F07878">
        <w:rPr>
          <w:rStyle w:val="normaltextrun"/>
          <w:color w:val="000000"/>
          <w:shd w:val="clear" w:color="auto" w:fill="FFFFFF"/>
        </w:rPr>
        <w:t> </w:t>
      </w:r>
    </w:p>
    <w:p w14:paraId="4ACE5FE4" w14:textId="252A2250" w:rsidR="00857D47" w:rsidRDefault="00E208B7" w:rsidP="20EBB8F7">
      <w:pPr>
        <w:jc w:val="both"/>
        <w:rPr>
          <w:rStyle w:val="eop"/>
          <w:color w:val="000000"/>
          <w:shd w:val="clear" w:color="auto" w:fill="FFFFFF"/>
        </w:rPr>
      </w:pPr>
      <w:r w:rsidRPr="00F82F0B">
        <w:rPr>
          <w:rStyle w:val="eop"/>
          <w:b/>
          <w:bCs/>
          <w:color w:val="000000"/>
          <w:shd w:val="clear" w:color="auto" w:fill="FFFFFF"/>
        </w:rPr>
        <w:t xml:space="preserve">La Coalition </w:t>
      </w:r>
      <w:proofErr w:type="spellStart"/>
      <w:r w:rsidRPr="00F82F0B">
        <w:rPr>
          <w:rStyle w:val="eop"/>
          <w:b/>
          <w:bCs/>
          <w:color w:val="000000"/>
          <w:shd w:val="clear" w:color="auto" w:fill="FFFFFF"/>
        </w:rPr>
        <w:t>tunisienne</w:t>
      </w:r>
      <w:proofErr w:type="spellEnd"/>
      <w:r w:rsidRPr="00F82F0B">
        <w:rPr>
          <w:rStyle w:val="eop"/>
          <w:b/>
          <w:bCs/>
          <w:color w:val="000000"/>
          <w:shd w:val="clear" w:color="auto" w:fill="FFFFFF"/>
        </w:rPr>
        <w:t xml:space="preserve"> </w:t>
      </w:r>
      <w:proofErr w:type="spellStart"/>
      <w:r w:rsidRPr="00F82F0B">
        <w:rPr>
          <w:rStyle w:val="eop"/>
          <w:b/>
          <w:bCs/>
          <w:color w:val="000000"/>
          <w:shd w:val="clear" w:color="auto" w:fill="FFFFFF"/>
        </w:rPr>
        <w:t>contre</w:t>
      </w:r>
      <w:proofErr w:type="spellEnd"/>
      <w:r w:rsidRPr="00F82F0B">
        <w:rPr>
          <w:rStyle w:val="eop"/>
          <w:b/>
          <w:bCs/>
          <w:color w:val="000000"/>
          <w:shd w:val="clear" w:color="auto" w:fill="FFFFFF"/>
        </w:rPr>
        <w:t xml:space="preserve"> la </w:t>
      </w:r>
      <w:proofErr w:type="spellStart"/>
      <w:r w:rsidRPr="00F82F0B">
        <w:rPr>
          <w:rStyle w:val="eop"/>
          <w:b/>
          <w:bCs/>
          <w:color w:val="000000"/>
          <w:shd w:val="clear" w:color="auto" w:fill="FFFFFF"/>
        </w:rPr>
        <w:t>peine</w:t>
      </w:r>
      <w:proofErr w:type="spellEnd"/>
      <w:r w:rsidRPr="00F82F0B">
        <w:rPr>
          <w:rStyle w:val="eop"/>
          <w:b/>
          <w:bCs/>
          <w:color w:val="000000"/>
          <w:shd w:val="clear" w:color="auto" w:fill="FFFFFF"/>
        </w:rPr>
        <w:t xml:space="preserve"> de mort (CTCPM)</w:t>
      </w:r>
      <w:r w:rsidRPr="00F07878">
        <w:rPr>
          <w:rStyle w:val="eop"/>
          <w:color w:val="000000"/>
          <w:shd w:val="clear" w:color="auto" w:fill="FFFFFF"/>
        </w:rPr>
        <w:t xml:space="preserve"> is a volunteer-based non-governmental organization committed to the definitive abolition of the death penalty in Tunisia, via the Constitution and the development of a citizen movement in favor of abolition and holding Tunisian authorities accountable. Created in 2007 and recognized in 2012, it is also committed to monitoring the situation of persons sentenced to death including the respect for their rights before and after conviction, and to rehabilitate the memory of persons executed for political motives under the dictatorship in Tunisia.</w:t>
      </w:r>
      <w:r w:rsidR="00CE5498" w:rsidRPr="00F07878">
        <w:rPr>
          <w:rStyle w:val="eop"/>
          <w:color w:val="000000"/>
          <w:shd w:val="clear" w:color="auto" w:fill="FFFFFF"/>
        </w:rPr>
        <w:t> </w:t>
      </w:r>
    </w:p>
    <w:p w14:paraId="339C79B0" w14:textId="77777777" w:rsidR="00B35B9D" w:rsidRDefault="00B35B9D" w:rsidP="20EBB8F7">
      <w:pPr>
        <w:jc w:val="both"/>
        <w:rPr>
          <w:rStyle w:val="eop"/>
          <w:color w:val="000000"/>
          <w:shd w:val="clear" w:color="auto" w:fill="FFFFFF"/>
        </w:rPr>
      </w:pPr>
    </w:p>
    <w:p w14:paraId="78898D1C" w14:textId="4FF75E7C" w:rsidR="00B35B9D" w:rsidRPr="00F07878" w:rsidRDefault="00B35B9D" w:rsidP="20EBB8F7">
      <w:pPr>
        <w:jc w:val="both"/>
      </w:pPr>
      <w:r>
        <w:rPr>
          <w:b/>
          <w:bCs/>
        </w:rPr>
        <w:lastRenderedPageBreak/>
        <w:t>The Cornell Center on the Death Penalty Worldwide</w:t>
      </w:r>
      <w: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05343577" w14:textId="77777777" w:rsidR="00795711" w:rsidRPr="00F07878" w:rsidRDefault="00795711" w:rsidP="00795711">
      <w:pPr>
        <w:spacing w:before="240"/>
        <w:jc w:val="both"/>
      </w:pPr>
      <w:r w:rsidRPr="00F07878">
        <w:rPr>
          <w:b/>
          <w:bCs/>
        </w:rPr>
        <w:t>ECPM (Together Against the Death Penalty)</w:t>
      </w:r>
      <w:r w:rsidRPr="00F07878">
        <w:t xml:space="preserve"> is a French non-governmental </w:t>
      </w:r>
      <w:proofErr w:type="spellStart"/>
      <w:r w:rsidRPr="00F07878">
        <w:t>organisation</w:t>
      </w:r>
      <w:proofErr w:type="spellEnd"/>
      <w:r w:rsidRPr="00F07878">
        <w:t xml:space="preserve"> that fights against the death penalty worldwide and in all circumstances by uniting and rallying abolitionist forces across the world. The </w:t>
      </w:r>
      <w:proofErr w:type="spellStart"/>
      <w:r w:rsidRPr="00F07878">
        <w:t>organisation</w:t>
      </w:r>
      <w:proofErr w:type="spellEnd"/>
      <w:r w:rsidRPr="00F07878">
        <w:t xml:space="preserve"> advocates with international bodies and encourages universal abolition through education, information, local </w:t>
      </w:r>
      <w:proofErr w:type="gramStart"/>
      <w:r w:rsidRPr="00F07878">
        <w:t>partnerships</w:t>
      </w:r>
      <w:proofErr w:type="gramEnd"/>
      <w:r w:rsidRPr="00F07878">
        <w:t xml:space="preserve"> and public awareness campaigns. ECPM is the </w:t>
      </w:r>
      <w:proofErr w:type="spellStart"/>
      <w:r w:rsidRPr="00F07878">
        <w:t>organiser</w:t>
      </w:r>
      <w:proofErr w:type="spellEnd"/>
      <w:r w:rsidRPr="00F07878">
        <w:t xml:space="preserve"> of the World Congresses Against the Death Penalty and a founding member of the World Coalition Against the Death Penalty. In 2016, ECPM was granted consultative status with ECOSOC.</w:t>
      </w:r>
    </w:p>
    <w:p w14:paraId="71460289" w14:textId="010CDA32" w:rsidR="00E208B7" w:rsidRPr="00F07878" w:rsidRDefault="00E208B7">
      <w:r w:rsidRPr="00F07878">
        <w:br w:type="page"/>
      </w:r>
    </w:p>
    <w:p w14:paraId="1FC77D31" w14:textId="750BD0AF" w:rsidR="004B1E4E" w:rsidRPr="00F07878" w:rsidRDefault="004B1E4E" w:rsidP="00895886">
      <w:pPr>
        <w:jc w:val="center"/>
        <w:rPr>
          <w:b/>
          <w:caps/>
        </w:rPr>
      </w:pPr>
      <w:r w:rsidRPr="00F07878">
        <w:rPr>
          <w:b/>
          <w:caps/>
        </w:rPr>
        <w:lastRenderedPageBreak/>
        <w:t>Executive Summary</w:t>
      </w:r>
    </w:p>
    <w:p w14:paraId="431A8E80" w14:textId="77777777" w:rsidR="004B1E4E" w:rsidRPr="00F07878" w:rsidRDefault="004B1E4E" w:rsidP="00626C39"/>
    <w:p w14:paraId="5843030B" w14:textId="01368A4D" w:rsidR="009D65E9" w:rsidRPr="00F07878" w:rsidRDefault="00397001" w:rsidP="007B46CD">
      <w:pPr>
        <w:numPr>
          <w:ilvl w:val="0"/>
          <w:numId w:val="7"/>
        </w:numPr>
        <w:spacing w:after="120"/>
        <w:ind w:left="360"/>
        <w:jc w:val="both"/>
      </w:pPr>
      <w:r w:rsidRPr="00F07878">
        <w:t xml:space="preserve">Tunisia carried out its last execution in </w:t>
      </w:r>
      <w:r w:rsidR="00FA2091" w:rsidRPr="00F07878">
        <w:t xml:space="preserve">November </w:t>
      </w:r>
      <w:r w:rsidRPr="00F07878">
        <w:t>199</w:t>
      </w:r>
      <w:r w:rsidR="0096582D" w:rsidRPr="00F07878">
        <w:t>1</w:t>
      </w:r>
      <w:r w:rsidRPr="00F07878">
        <w:t>. Despite this</w:t>
      </w:r>
      <w:r w:rsidR="00416C05" w:rsidRPr="00F07878">
        <w:t xml:space="preserve"> </w:t>
      </w:r>
      <w:r w:rsidR="00B429F0" w:rsidRPr="00F07878">
        <w:t>32-year</w:t>
      </w:r>
      <w:r w:rsidRPr="00F07878">
        <w:t xml:space="preserve"> </w:t>
      </w:r>
      <w:r w:rsidRPr="00F07878">
        <w:rPr>
          <w:i/>
        </w:rPr>
        <w:t>de facto</w:t>
      </w:r>
      <w:r w:rsidRPr="00F07878">
        <w:t xml:space="preserve"> moratorium on executions, Tunisia</w:t>
      </w:r>
      <w:r w:rsidR="00ED27C5" w:rsidRPr="00F07878">
        <w:t>n</w:t>
      </w:r>
      <w:r w:rsidRPr="00F07878">
        <w:t xml:space="preserve"> courts continue to sentence individuals to death for a litany of </w:t>
      </w:r>
      <w:r w:rsidR="00ED27C5" w:rsidRPr="00F07878">
        <w:t>crimes</w:t>
      </w:r>
      <w:r w:rsidRPr="00F07878">
        <w:t xml:space="preserve">, with the ascertainable numbers increasing year over year. In a speech on September 29, 2020, President </w:t>
      </w:r>
      <w:proofErr w:type="spellStart"/>
      <w:r w:rsidRPr="00F07878">
        <w:t>Kais</w:t>
      </w:r>
      <w:proofErr w:type="spellEnd"/>
      <w:r w:rsidRPr="00F07878">
        <w:t xml:space="preserve"> Saied signaled </w:t>
      </w:r>
      <w:r w:rsidR="009D65E9" w:rsidRPr="00F07878">
        <w:t>support</w:t>
      </w:r>
      <w:r w:rsidRPr="00F07878">
        <w:t xml:space="preserve"> </w:t>
      </w:r>
      <w:r w:rsidR="003A493F" w:rsidRPr="00F07878">
        <w:t>for</w:t>
      </w:r>
      <w:r w:rsidRPr="00F07878">
        <w:t xml:space="preserve"> reinstituting </w:t>
      </w:r>
      <w:r w:rsidR="00ED27C5" w:rsidRPr="00F07878">
        <w:t xml:space="preserve">executions </w:t>
      </w:r>
      <w:r w:rsidRPr="00F07878">
        <w:t xml:space="preserve">for </w:t>
      </w:r>
      <w:r w:rsidR="00ED27C5" w:rsidRPr="00F07878">
        <w:t>“</w:t>
      </w:r>
      <w:r w:rsidR="009D65E9" w:rsidRPr="00F07878">
        <w:t>heinous</w:t>
      </w:r>
      <w:r w:rsidRPr="00F07878">
        <w:t xml:space="preserve"> crimes</w:t>
      </w:r>
      <w:r w:rsidR="003A493F" w:rsidRPr="00F07878">
        <w:t>,</w:t>
      </w:r>
      <w:r w:rsidR="00ED27C5" w:rsidRPr="00F07878">
        <w:t>”</w:t>
      </w:r>
      <w:r w:rsidR="009D65E9" w:rsidRPr="00F07878">
        <w:t xml:space="preserve"> </w:t>
      </w:r>
      <w:r w:rsidR="003A493F" w:rsidRPr="00F07878">
        <w:t xml:space="preserve">specifically </w:t>
      </w:r>
      <w:r w:rsidR="009D65E9" w:rsidRPr="00F07878">
        <w:t>including murder.</w:t>
      </w:r>
      <w:r w:rsidRPr="00F07878">
        <w:t xml:space="preserve"> </w:t>
      </w:r>
      <w:r w:rsidR="00B92B61" w:rsidRPr="00F07878">
        <w:t>I</w:t>
      </w:r>
      <w:r w:rsidR="009D65E9" w:rsidRPr="00F07878">
        <w:t xml:space="preserve">n a string of subsequent Presidential Decrees, </w:t>
      </w:r>
      <w:r w:rsidR="00B92B61" w:rsidRPr="00F07878">
        <w:t>President Saied</w:t>
      </w:r>
      <w:r w:rsidR="00065E8D" w:rsidRPr="00F07878">
        <w:t xml:space="preserve"> declared a state of emergency</w:t>
      </w:r>
      <w:r w:rsidR="00B17FCE" w:rsidRPr="00F07878">
        <w:t>,</w:t>
      </w:r>
      <w:r w:rsidR="00B92B61" w:rsidRPr="00F07878">
        <w:t xml:space="preserve"> dissolved </w:t>
      </w:r>
      <w:proofErr w:type="gramStart"/>
      <w:r w:rsidR="00B92B61" w:rsidRPr="00F07878">
        <w:t>Parliament</w:t>
      </w:r>
      <w:proofErr w:type="gramEnd"/>
      <w:r w:rsidR="00B92B61" w:rsidRPr="00F07878">
        <w:t xml:space="preserve"> and the Constitutional Court</w:t>
      </w:r>
      <w:r w:rsidR="00B17FCE" w:rsidRPr="00F07878">
        <w:t>,</w:t>
      </w:r>
      <w:r w:rsidR="00B92B61" w:rsidRPr="00F07878">
        <w:t xml:space="preserve"> and </w:t>
      </w:r>
      <w:r w:rsidR="00B17FCE" w:rsidRPr="00F07878">
        <w:t>set up a presidential regime with executive, legislative, and judicial powers concentrated in his hands</w:t>
      </w:r>
      <w:r w:rsidR="00B92B61" w:rsidRPr="00F07878">
        <w:t xml:space="preserve">. </w:t>
      </w:r>
    </w:p>
    <w:p w14:paraId="539C23DF" w14:textId="13D7B7DC" w:rsidR="007907AB" w:rsidRPr="00F07878" w:rsidRDefault="00116914" w:rsidP="001B15BD">
      <w:pPr>
        <w:numPr>
          <w:ilvl w:val="0"/>
          <w:numId w:val="7"/>
        </w:numPr>
        <w:spacing w:after="120"/>
        <w:ind w:left="360"/>
        <w:jc w:val="both"/>
        <w:rPr>
          <w:color w:val="000000" w:themeColor="text1"/>
        </w:rPr>
      </w:pPr>
      <w:r w:rsidRPr="00F07878">
        <w:rPr>
          <w:color w:val="000000" w:themeColor="text1"/>
        </w:rPr>
        <w:t xml:space="preserve">Tunisia has not abolished the death penalty or established a </w:t>
      </w:r>
      <w:r w:rsidRPr="00F07878">
        <w:rPr>
          <w:i/>
          <w:iCs/>
          <w:color w:val="000000" w:themeColor="text1"/>
        </w:rPr>
        <w:t>de jure</w:t>
      </w:r>
      <w:r w:rsidRPr="00F07878">
        <w:rPr>
          <w:color w:val="000000" w:themeColor="text1"/>
        </w:rPr>
        <w:t xml:space="preserve"> moratorium on the death penalty.</w:t>
      </w:r>
      <w:r w:rsidR="0023382F" w:rsidRPr="00F07878">
        <w:rPr>
          <w:rStyle w:val="FootnoteReference"/>
          <w:color w:val="000000" w:themeColor="text1"/>
        </w:rPr>
        <w:footnoteReference w:id="2"/>
      </w:r>
      <w:r w:rsidRPr="00F07878">
        <w:rPr>
          <w:color w:val="000000" w:themeColor="text1"/>
        </w:rPr>
        <w:t xml:space="preserve"> The legal system does not protect women in conflict with the law from discrimination </w:t>
      </w:r>
      <w:proofErr w:type="gramStart"/>
      <w:r w:rsidRPr="00F07878">
        <w:rPr>
          <w:color w:val="000000" w:themeColor="text1"/>
        </w:rPr>
        <w:t>on the basis of</w:t>
      </w:r>
      <w:proofErr w:type="gramEnd"/>
      <w:r w:rsidRPr="00F07878">
        <w:rPr>
          <w:color w:val="000000" w:themeColor="text1"/>
        </w:rPr>
        <w:t xml:space="preserve"> sex or gender. Nor does it limit capital offenses to the “most serious” crimes.</w:t>
      </w:r>
      <w:r w:rsidR="007907AB" w:rsidRPr="00F07878">
        <w:rPr>
          <w:color w:val="000000" w:themeColor="text1"/>
        </w:rPr>
        <w:t xml:space="preserve"> There is no evidence that sentencing authorities </w:t>
      </w:r>
      <w:proofErr w:type="gramStart"/>
      <w:r w:rsidR="007907AB" w:rsidRPr="00F07878">
        <w:rPr>
          <w:color w:val="000000" w:themeColor="text1"/>
        </w:rPr>
        <w:t>take into account</w:t>
      </w:r>
      <w:proofErr w:type="gramEnd"/>
      <w:r w:rsidR="007907AB" w:rsidRPr="00F07878">
        <w:rPr>
          <w:color w:val="000000" w:themeColor="text1"/>
        </w:rPr>
        <w:t xml:space="preserve"> a woman’s history as a survivor of gender-based violence when determining an appropriate sentence. Moreover, women under sentence of death face degrading conditions of detention.</w:t>
      </w:r>
      <w:r w:rsidR="00C65506" w:rsidRPr="00F07878">
        <w:rPr>
          <w:color w:val="000000" w:themeColor="text1"/>
        </w:rPr>
        <w:t xml:space="preserve"> The only protection for women is Article 9 of the Penal Code, which states that any woman sentenced to death and found to be pregnant shall not be executed until after</w:t>
      </w:r>
      <w:r w:rsidR="00BC6BF9" w:rsidRPr="00F07878">
        <w:rPr>
          <w:color w:val="000000" w:themeColor="text1"/>
        </w:rPr>
        <w:t xml:space="preserve"> she gives birth.</w:t>
      </w:r>
    </w:p>
    <w:p w14:paraId="7E91CF81" w14:textId="66D31366" w:rsidR="00070EA9" w:rsidRPr="00F07878" w:rsidRDefault="00070EA9" w:rsidP="007B46CD">
      <w:pPr>
        <w:numPr>
          <w:ilvl w:val="0"/>
          <w:numId w:val="7"/>
        </w:numPr>
        <w:spacing w:after="120"/>
        <w:ind w:left="360"/>
        <w:jc w:val="both"/>
      </w:pPr>
      <w:r w:rsidRPr="00F07878">
        <w:t xml:space="preserve">This report recommends that Tunisia </w:t>
      </w:r>
      <w:r w:rsidR="00ED27C5" w:rsidRPr="00F07878">
        <w:t xml:space="preserve">abolish the death penalty, </w:t>
      </w:r>
      <w:r w:rsidRPr="00F07878">
        <w:t xml:space="preserve">work to restore the independence of its judiciary, </w:t>
      </w:r>
      <w:r w:rsidR="00B92B61" w:rsidRPr="00F07878">
        <w:t>ensure the fair trial rights of any women at risk of being sentenced to death, and improve conditions of detention for women under sentence of death</w:t>
      </w:r>
      <w:r w:rsidRPr="00F07878">
        <w:t>.</w:t>
      </w:r>
    </w:p>
    <w:p w14:paraId="75B00959" w14:textId="4A9C0F37" w:rsidR="008F2F99" w:rsidRPr="00F07878" w:rsidRDefault="00070EA9" w:rsidP="008F2F99">
      <w:pPr>
        <w:spacing w:after="120"/>
        <w:jc w:val="center"/>
        <w:rPr>
          <w:b/>
        </w:rPr>
      </w:pPr>
      <w:r w:rsidRPr="00F07878">
        <w:rPr>
          <w:b/>
        </w:rPr>
        <w:t xml:space="preserve">Tunisia fails to uphold its obligations under the Convention </w:t>
      </w:r>
      <w:r w:rsidR="001E7AD1" w:rsidRPr="00F07878">
        <w:rPr>
          <w:b/>
        </w:rPr>
        <w:t>on the Elimination of All Forms of Discrimination Against Women</w:t>
      </w:r>
    </w:p>
    <w:p w14:paraId="71FF20C1" w14:textId="60007EAE" w:rsidR="004B1E4E" w:rsidRPr="00F07878" w:rsidRDefault="0027113A" w:rsidP="00DA3A8D">
      <w:pPr>
        <w:keepNext/>
        <w:numPr>
          <w:ilvl w:val="0"/>
          <w:numId w:val="8"/>
        </w:numPr>
        <w:spacing w:before="240" w:after="240"/>
        <w:ind w:left="360" w:hanging="360"/>
        <w:rPr>
          <w:b/>
        </w:rPr>
      </w:pPr>
      <w:r w:rsidRPr="00F07878">
        <w:rPr>
          <w:b/>
        </w:rPr>
        <w:t xml:space="preserve">Tunisia continues to </w:t>
      </w:r>
      <w:r w:rsidR="00CE4F6D" w:rsidRPr="00F07878">
        <w:rPr>
          <w:b/>
        </w:rPr>
        <w:t xml:space="preserve">sentence women to death and has signaled it may resume executions. </w:t>
      </w:r>
      <w:r w:rsidR="002A5A5A" w:rsidRPr="00F07878">
        <w:rPr>
          <w:b/>
        </w:rPr>
        <w:t>(List of Issues para. 1)</w:t>
      </w:r>
      <w:r w:rsidR="00070EA9" w:rsidRPr="00F07878">
        <w:rPr>
          <w:b/>
        </w:rPr>
        <w:t xml:space="preserve"> </w:t>
      </w:r>
      <w:r w:rsidR="006435DC" w:rsidRPr="00F07878">
        <w:rPr>
          <w:b/>
        </w:rPr>
        <w:t xml:space="preserve"> </w:t>
      </w:r>
    </w:p>
    <w:p w14:paraId="7D3B386F" w14:textId="0D626F12" w:rsidR="002A5A5A" w:rsidRPr="00F07878" w:rsidRDefault="002A5A5A" w:rsidP="00AC040C">
      <w:pPr>
        <w:numPr>
          <w:ilvl w:val="0"/>
          <w:numId w:val="7"/>
        </w:numPr>
        <w:spacing w:after="120"/>
        <w:ind w:left="360"/>
        <w:jc w:val="both"/>
        <w:rPr>
          <w:bCs/>
        </w:rPr>
      </w:pPr>
      <w:r w:rsidRPr="00F07878">
        <w:rPr>
          <w:bCs/>
        </w:rPr>
        <w:t>The Committee requested “information and statistics, disaggregated by sex, age, disability, ethnicity, religion, and urban and rural area, on the current situation of women in [Tunisia].”</w:t>
      </w:r>
      <w:r w:rsidRPr="00F07878">
        <w:rPr>
          <w:rStyle w:val="FootnoteReference"/>
          <w:bCs/>
        </w:rPr>
        <w:footnoteReference w:id="3"/>
      </w:r>
      <w:r w:rsidR="005A3150" w:rsidRPr="00F07878">
        <w:rPr>
          <w:bCs/>
        </w:rPr>
        <w:t xml:space="preserve"> The Seventh Periodic Report omits any data regarding women in conflict with the law, women at risk of being sentenced to death, and women under sentence of death.</w:t>
      </w:r>
      <w:r w:rsidR="005A3150" w:rsidRPr="00F07878">
        <w:rPr>
          <w:rStyle w:val="FootnoteReference"/>
          <w:bCs/>
        </w:rPr>
        <w:footnoteReference w:id="4"/>
      </w:r>
      <w:r w:rsidR="0027113A" w:rsidRPr="00F07878">
        <w:rPr>
          <w:bCs/>
        </w:rPr>
        <w:t xml:space="preserve"> Tunisia does not make such disaggregated data available to civil society.</w:t>
      </w:r>
    </w:p>
    <w:p w14:paraId="3F941CAC" w14:textId="4B146CF3" w:rsidR="00DA3A8D" w:rsidRPr="00F07878" w:rsidRDefault="00303D0E" w:rsidP="00AC040C">
      <w:pPr>
        <w:numPr>
          <w:ilvl w:val="0"/>
          <w:numId w:val="7"/>
        </w:numPr>
        <w:spacing w:after="120"/>
        <w:ind w:left="360"/>
        <w:jc w:val="both"/>
        <w:rPr>
          <w:bCs/>
        </w:rPr>
      </w:pPr>
      <w:r w:rsidRPr="00F07878">
        <w:rPr>
          <w:bCs/>
        </w:rPr>
        <w:t>Tunisia</w:t>
      </w:r>
      <w:r w:rsidR="00CF2739" w:rsidRPr="00F07878">
        <w:rPr>
          <w:bCs/>
        </w:rPr>
        <w:t>’</w:t>
      </w:r>
      <w:r w:rsidRPr="00F07878">
        <w:rPr>
          <w:bCs/>
        </w:rPr>
        <w:t xml:space="preserve">s Criminal Code </w:t>
      </w:r>
      <w:r w:rsidR="00CF2739" w:rsidRPr="00F07878">
        <w:rPr>
          <w:bCs/>
        </w:rPr>
        <w:t xml:space="preserve">authorizes </w:t>
      </w:r>
      <w:r w:rsidR="00DA2EEF" w:rsidRPr="00F07878">
        <w:rPr>
          <w:bCs/>
        </w:rPr>
        <w:t>the death penalty for a litany of crimes, including murder and offensive conduct resulting in murder (kidnapping, sequestration, arson), terrorism (comprising a significant portion of recent death sentences pursuant to a 2015 terrorism law</w:t>
      </w:r>
      <w:r w:rsidR="00DA2EEF" w:rsidRPr="00F07878">
        <w:rPr>
          <w:rStyle w:val="FootnoteReference"/>
          <w:bCs/>
        </w:rPr>
        <w:footnoteReference w:id="5"/>
      </w:r>
      <w:r w:rsidR="00DA2EEF" w:rsidRPr="00F07878">
        <w:rPr>
          <w:bCs/>
        </w:rPr>
        <w:t xml:space="preserve">), </w:t>
      </w:r>
      <w:r w:rsidR="008C5EB6" w:rsidRPr="00F07878">
        <w:rPr>
          <w:bCs/>
        </w:rPr>
        <w:t xml:space="preserve">arson or destruction of State-owned goods, treason, espionage, various military offenses </w:t>
      </w:r>
      <w:r w:rsidR="008C5EB6" w:rsidRPr="00F07878">
        <w:rPr>
          <w:bCs/>
        </w:rPr>
        <w:lastRenderedPageBreak/>
        <w:t xml:space="preserve">including desertion and disobedience, </w:t>
      </w:r>
      <w:r w:rsidR="007141B9" w:rsidRPr="00F07878">
        <w:rPr>
          <w:bCs/>
        </w:rPr>
        <w:t xml:space="preserve">attempting to commit </w:t>
      </w:r>
      <w:r w:rsidR="008C5EB6" w:rsidRPr="00F07878">
        <w:rPr>
          <w:bCs/>
        </w:rPr>
        <w:t xml:space="preserve">a death-eligible offense, and the assault </w:t>
      </w:r>
      <w:r w:rsidR="003A493F" w:rsidRPr="00F07878">
        <w:rPr>
          <w:bCs/>
        </w:rPr>
        <w:t>of</w:t>
      </w:r>
      <w:r w:rsidR="008C5EB6" w:rsidRPr="00F07878">
        <w:rPr>
          <w:bCs/>
        </w:rPr>
        <w:t xml:space="preserve"> a judge on duty.</w:t>
      </w:r>
      <w:r w:rsidR="008C5EB6" w:rsidRPr="00F07878">
        <w:rPr>
          <w:rStyle w:val="FootnoteReference"/>
          <w:bCs/>
        </w:rPr>
        <w:footnoteReference w:id="6"/>
      </w:r>
      <w:r w:rsidR="008C5EB6" w:rsidRPr="00F07878">
        <w:rPr>
          <w:bCs/>
        </w:rPr>
        <w:t xml:space="preserve"> </w:t>
      </w:r>
    </w:p>
    <w:p w14:paraId="4D09B391" w14:textId="35B56D56" w:rsidR="008C5EB6" w:rsidRPr="00F07878" w:rsidRDefault="00FA2091" w:rsidP="00AC040C">
      <w:pPr>
        <w:numPr>
          <w:ilvl w:val="0"/>
          <w:numId w:val="7"/>
        </w:numPr>
        <w:spacing w:after="120"/>
        <w:ind w:left="360"/>
        <w:jc w:val="both"/>
        <w:rPr>
          <w:bCs/>
        </w:rPr>
      </w:pPr>
      <w:r w:rsidRPr="00F07878">
        <w:rPr>
          <w:bCs/>
        </w:rPr>
        <w:t>Tunisia has executed 135 people since gaining independence in 1956</w:t>
      </w:r>
      <w:r w:rsidR="007141B9" w:rsidRPr="00F07878">
        <w:rPr>
          <w:bCs/>
        </w:rPr>
        <w:t>,</w:t>
      </w:r>
      <w:r w:rsidRPr="00F07878">
        <w:rPr>
          <w:rStyle w:val="FootnoteReference"/>
          <w:bCs/>
        </w:rPr>
        <w:footnoteReference w:id="7"/>
      </w:r>
      <w:r w:rsidRPr="00F07878">
        <w:rPr>
          <w:bCs/>
        </w:rPr>
        <w:t xml:space="preserve"> most recent</w:t>
      </w:r>
      <w:r w:rsidR="00C138BC" w:rsidRPr="00F07878">
        <w:rPr>
          <w:bCs/>
        </w:rPr>
        <w:t xml:space="preserve">ly </w:t>
      </w:r>
      <w:r w:rsidR="007141B9" w:rsidRPr="00F07878">
        <w:rPr>
          <w:bCs/>
        </w:rPr>
        <w:t xml:space="preserve">in </w:t>
      </w:r>
      <w:r w:rsidRPr="00F07878">
        <w:rPr>
          <w:bCs/>
        </w:rPr>
        <w:t>199</w:t>
      </w:r>
      <w:r w:rsidR="00DE4969" w:rsidRPr="00F07878">
        <w:rPr>
          <w:bCs/>
        </w:rPr>
        <w:t>1</w:t>
      </w:r>
      <w:r w:rsidR="006E019A" w:rsidRPr="00F07878">
        <w:rPr>
          <w:bCs/>
        </w:rPr>
        <w:t>.</w:t>
      </w:r>
      <w:r w:rsidR="0028011A" w:rsidRPr="00F07878">
        <w:rPr>
          <w:rStyle w:val="FootnoteReference"/>
          <w:bCs/>
        </w:rPr>
        <w:footnoteReference w:id="8"/>
      </w:r>
      <w:r w:rsidR="006E019A" w:rsidRPr="00F07878">
        <w:rPr>
          <w:bCs/>
        </w:rPr>
        <w:t xml:space="preserve"> </w:t>
      </w:r>
      <w:r w:rsidR="00AF575C" w:rsidRPr="00F07878">
        <w:rPr>
          <w:bCs/>
        </w:rPr>
        <w:t xml:space="preserve">As of October 2022, 136 </w:t>
      </w:r>
      <w:r w:rsidR="007141B9" w:rsidRPr="00F07878">
        <w:rPr>
          <w:bCs/>
        </w:rPr>
        <w:t xml:space="preserve">people were </w:t>
      </w:r>
      <w:r w:rsidR="00AF575C" w:rsidRPr="00F07878">
        <w:rPr>
          <w:bCs/>
        </w:rPr>
        <w:t xml:space="preserve">living </w:t>
      </w:r>
      <w:r w:rsidR="007141B9" w:rsidRPr="00F07878">
        <w:rPr>
          <w:bCs/>
        </w:rPr>
        <w:t xml:space="preserve">under sentence of </w:t>
      </w:r>
      <w:r w:rsidR="00AF575C" w:rsidRPr="00F07878">
        <w:rPr>
          <w:bCs/>
        </w:rPr>
        <w:t>death, including 3 women.</w:t>
      </w:r>
      <w:r w:rsidR="00AF575C" w:rsidRPr="00F07878">
        <w:rPr>
          <w:rStyle w:val="FootnoteReference"/>
          <w:bCs/>
        </w:rPr>
        <w:footnoteReference w:id="9"/>
      </w:r>
      <w:r w:rsidR="00AF575C" w:rsidRPr="00F07878">
        <w:rPr>
          <w:bCs/>
        </w:rPr>
        <w:t xml:space="preserve"> The number of death </w:t>
      </w:r>
      <w:r w:rsidR="00054080" w:rsidRPr="00F07878">
        <w:rPr>
          <w:bCs/>
        </w:rPr>
        <w:t>sentences handed down continues to rise year-over-year, with 36 sentences handed down in 2021 and 4</w:t>
      </w:r>
      <w:r w:rsidR="00B1598D" w:rsidRPr="00F07878">
        <w:rPr>
          <w:bCs/>
        </w:rPr>
        <w:t>8</w:t>
      </w:r>
      <w:r w:rsidR="00054080" w:rsidRPr="00F07878">
        <w:rPr>
          <w:bCs/>
        </w:rPr>
        <w:t xml:space="preserve"> sentences issued in 2022</w:t>
      </w:r>
      <w:r w:rsidR="007141B9" w:rsidRPr="00F07878">
        <w:rPr>
          <w:bCs/>
        </w:rPr>
        <w:t>,</w:t>
      </w:r>
      <w:r w:rsidR="00054080" w:rsidRPr="00F07878">
        <w:rPr>
          <w:rStyle w:val="FootnoteReference"/>
          <w:bCs/>
        </w:rPr>
        <w:footnoteReference w:id="10"/>
      </w:r>
      <w:r w:rsidR="00C325E3" w:rsidRPr="00F07878">
        <w:rPr>
          <w:bCs/>
        </w:rPr>
        <w:t>including</w:t>
      </w:r>
      <w:r w:rsidR="004F03C1" w:rsidRPr="00F07878">
        <w:rPr>
          <w:bCs/>
        </w:rPr>
        <w:t xml:space="preserve"> 11 death sentences handed down in </w:t>
      </w:r>
      <w:r w:rsidR="000A598B" w:rsidRPr="00F07878">
        <w:rPr>
          <w:bCs/>
        </w:rPr>
        <w:t>the first 15 days of January 2022</w:t>
      </w:r>
      <w:r w:rsidR="007141B9" w:rsidRPr="00F07878">
        <w:rPr>
          <w:bCs/>
        </w:rPr>
        <w:t xml:space="preserve"> alone</w:t>
      </w:r>
      <w:r w:rsidR="000A598B" w:rsidRPr="00F07878">
        <w:rPr>
          <w:bCs/>
        </w:rPr>
        <w:t>.</w:t>
      </w:r>
      <w:r w:rsidR="000A598B" w:rsidRPr="00F07878">
        <w:rPr>
          <w:rStyle w:val="FootnoteReference"/>
          <w:bCs/>
        </w:rPr>
        <w:footnoteReference w:id="11"/>
      </w:r>
      <w:r w:rsidR="00054080" w:rsidRPr="00F07878">
        <w:rPr>
          <w:bCs/>
        </w:rPr>
        <w:t xml:space="preserve"> The majority of death sentences are </w:t>
      </w:r>
      <w:r w:rsidR="003A493F" w:rsidRPr="00F07878">
        <w:rPr>
          <w:bCs/>
        </w:rPr>
        <w:t>issued</w:t>
      </w:r>
      <w:r w:rsidR="00054080" w:rsidRPr="00F07878">
        <w:rPr>
          <w:bCs/>
        </w:rPr>
        <w:t xml:space="preserve"> under a 2015 anti-terrorism law</w:t>
      </w:r>
      <w:r w:rsidR="0091372A" w:rsidRPr="00F07878">
        <w:rPr>
          <w:bCs/>
        </w:rPr>
        <w:t>.</w:t>
      </w:r>
      <w:r w:rsidR="0091372A" w:rsidRPr="00F07878">
        <w:rPr>
          <w:rStyle w:val="FootnoteReference"/>
          <w:bCs/>
        </w:rPr>
        <w:footnoteReference w:id="12"/>
      </w:r>
    </w:p>
    <w:p w14:paraId="57730286" w14:textId="0C304E38" w:rsidR="003F503D" w:rsidRPr="00F07878" w:rsidRDefault="007141B9" w:rsidP="00AC040C">
      <w:pPr>
        <w:numPr>
          <w:ilvl w:val="0"/>
          <w:numId w:val="7"/>
        </w:numPr>
        <w:spacing w:after="120"/>
        <w:ind w:left="360"/>
        <w:jc w:val="both"/>
        <w:rPr>
          <w:bCs/>
        </w:rPr>
      </w:pPr>
      <w:r w:rsidRPr="00F07878">
        <w:rPr>
          <w:bCs/>
        </w:rPr>
        <w:t xml:space="preserve">Despite Tunisia’s consistent support for the </w:t>
      </w:r>
      <w:r w:rsidR="003F503D" w:rsidRPr="00F07878">
        <w:rPr>
          <w:bCs/>
        </w:rPr>
        <w:t xml:space="preserve">UN General Assembly resolution </w:t>
      </w:r>
      <w:r w:rsidR="0029044C" w:rsidRPr="00F07878">
        <w:rPr>
          <w:bCs/>
        </w:rPr>
        <w:t>calling for</w:t>
      </w:r>
      <w:r w:rsidR="003F503D" w:rsidRPr="00F07878">
        <w:rPr>
          <w:bCs/>
        </w:rPr>
        <w:t xml:space="preserve"> a moratorium on the use of the death penalty</w:t>
      </w:r>
      <w:r w:rsidRPr="00F07878">
        <w:rPr>
          <w:bCs/>
        </w:rPr>
        <w:t>,</w:t>
      </w:r>
      <w:r w:rsidR="003F503D" w:rsidRPr="00F07878">
        <w:rPr>
          <w:rStyle w:val="FootnoteReference"/>
          <w:bCs/>
        </w:rPr>
        <w:footnoteReference w:id="13"/>
      </w:r>
      <w:r w:rsidR="00B20454" w:rsidRPr="00F07878">
        <w:rPr>
          <w:bCs/>
        </w:rPr>
        <w:t xml:space="preserve"> </w:t>
      </w:r>
      <w:r w:rsidRPr="00F07878">
        <w:rPr>
          <w:bCs/>
        </w:rPr>
        <w:t xml:space="preserve">in September 2020, </w:t>
      </w:r>
      <w:r w:rsidR="00B45C00" w:rsidRPr="00F07878">
        <w:rPr>
          <w:bCs/>
        </w:rPr>
        <w:t>President Saied</w:t>
      </w:r>
      <w:r w:rsidR="0029044C" w:rsidRPr="00F07878">
        <w:rPr>
          <w:bCs/>
        </w:rPr>
        <w:t xml:space="preserve"> declared his support for the death penalty. He</w:t>
      </w:r>
      <w:r w:rsidR="00B45C00" w:rsidRPr="00F07878">
        <w:rPr>
          <w:bCs/>
        </w:rPr>
        <w:t xml:space="preserve"> issued a statement to Tunisia</w:t>
      </w:r>
      <w:r w:rsidR="00E151D3" w:rsidRPr="00F07878">
        <w:rPr>
          <w:bCs/>
        </w:rPr>
        <w:t>’</w:t>
      </w:r>
      <w:r w:rsidR="00B45C00" w:rsidRPr="00F07878">
        <w:rPr>
          <w:bCs/>
        </w:rPr>
        <w:t>s Security Council in response to the murder of a 29-year</w:t>
      </w:r>
      <w:r w:rsidR="00491359" w:rsidRPr="00F07878">
        <w:rPr>
          <w:bCs/>
        </w:rPr>
        <w:t>-</w:t>
      </w:r>
      <w:r w:rsidR="00B45C00" w:rsidRPr="00F07878">
        <w:rPr>
          <w:bCs/>
        </w:rPr>
        <w:t xml:space="preserve">old woman, referring to the </w:t>
      </w:r>
      <w:r w:rsidRPr="00F07878">
        <w:rPr>
          <w:bCs/>
        </w:rPr>
        <w:t>“</w:t>
      </w:r>
      <w:r w:rsidR="00B45C00" w:rsidRPr="00F07878">
        <w:rPr>
          <w:bCs/>
        </w:rPr>
        <w:t>high crime rate in the country,</w:t>
      </w:r>
      <w:r w:rsidRPr="00F07878">
        <w:rPr>
          <w:bCs/>
        </w:rPr>
        <w:t>”</w:t>
      </w:r>
      <w:r w:rsidR="00B45C00" w:rsidRPr="00F07878">
        <w:rPr>
          <w:bCs/>
        </w:rPr>
        <w:t xml:space="preserve"> and, in calling for </w:t>
      </w:r>
      <w:r w:rsidR="0029044C" w:rsidRPr="00F07878">
        <w:rPr>
          <w:bCs/>
        </w:rPr>
        <w:t>“</w:t>
      </w:r>
      <w:r w:rsidR="00B45C00" w:rsidRPr="00F07878">
        <w:rPr>
          <w:bCs/>
        </w:rPr>
        <w:t>dealing firmly with this phenomenon,</w:t>
      </w:r>
      <w:r w:rsidR="0029044C" w:rsidRPr="00F07878">
        <w:rPr>
          <w:bCs/>
        </w:rPr>
        <w:t>”</w:t>
      </w:r>
      <w:r w:rsidR="00B45C00" w:rsidRPr="00F07878">
        <w:rPr>
          <w:rStyle w:val="FootnoteReference"/>
          <w:bCs/>
        </w:rPr>
        <w:footnoteReference w:id="14"/>
      </w:r>
      <w:r w:rsidR="00B45C00" w:rsidRPr="00F07878">
        <w:rPr>
          <w:bCs/>
        </w:rPr>
        <w:t xml:space="preserve"> declared </w:t>
      </w:r>
      <w:proofErr w:type="gramStart"/>
      <w:r w:rsidR="00B45C00" w:rsidRPr="00F07878">
        <w:rPr>
          <w:bCs/>
        </w:rPr>
        <w:t>that,</w:t>
      </w:r>
      <w:proofErr w:type="gramEnd"/>
      <w:r w:rsidR="00B45C00" w:rsidRPr="00F07878">
        <w:rPr>
          <w:bCs/>
        </w:rPr>
        <w:t xml:space="preserve"> </w:t>
      </w:r>
      <w:r w:rsidR="0029044C" w:rsidRPr="00F07878">
        <w:rPr>
          <w:bCs/>
        </w:rPr>
        <w:t>“</w:t>
      </w:r>
      <w:r w:rsidR="00B45C00" w:rsidRPr="00F07878">
        <w:rPr>
          <w:bCs/>
        </w:rPr>
        <w:t>[a]</w:t>
      </w:r>
      <w:proofErr w:type="spellStart"/>
      <w:r w:rsidR="00B45C00" w:rsidRPr="00F07878">
        <w:rPr>
          <w:bCs/>
        </w:rPr>
        <w:t>nyone</w:t>
      </w:r>
      <w:proofErr w:type="spellEnd"/>
      <w:r w:rsidR="00B45C00" w:rsidRPr="00F07878">
        <w:rPr>
          <w:bCs/>
        </w:rPr>
        <w:t xml:space="preserve"> who kills a person for no reason deserves the death penalty. … Each society has its choices, we have our principles, and the text is there. … If proven that he has killed one or more people, I don't think the solution is … not to apply the death penalty.</w:t>
      </w:r>
      <w:r w:rsidR="0029044C" w:rsidRPr="00F07878">
        <w:rPr>
          <w:bCs/>
        </w:rPr>
        <w:t>”</w:t>
      </w:r>
      <w:r w:rsidR="00B45C00" w:rsidRPr="00F07878">
        <w:rPr>
          <w:rStyle w:val="FootnoteReference"/>
          <w:bCs/>
        </w:rPr>
        <w:footnoteReference w:id="15"/>
      </w:r>
    </w:p>
    <w:p w14:paraId="10DE3D7E" w14:textId="6159C359" w:rsidR="00C21956" w:rsidRPr="00F07878" w:rsidRDefault="00D14F25" w:rsidP="00AC040C">
      <w:pPr>
        <w:numPr>
          <w:ilvl w:val="0"/>
          <w:numId w:val="7"/>
        </w:numPr>
        <w:spacing w:after="120"/>
        <w:ind w:left="360"/>
        <w:jc w:val="both"/>
        <w:rPr>
          <w:bCs/>
        </w:rPr>
      </w:pPr>
      <w:r w:rsidRPr="00F07878">
        <w:rPr>
          <w:bCs/>
        </w:rPr>
        <w:t xml:space="preserve">Approximately ten months </w:t>
      </w:r>
      <w:r w:rsidR="0029044C" w:rsidRPr="00F07878">
        <w:rPr>
          <w:bCs/>
        </w:rPr>
        <w:t xml:space="preserve">later, </w:t>
      </w:r>
      <w:r w:rsidRPr="00F07878">
        <w:rPr>
          <w:bCs/>
        </w:rPr>
        <w:t>President Saied issued Presidential Decree 69-2021</w:t>
      </w:r>
      <w:r w:rsidR="0029044C" w:rsidRPr="00F07878">
        <w:rPr>
          <w:bCs/>
        </w:rPr>
        <w:t xml:space="preserve">, </w:t>
      </w:r>
      <w:r w:rsidRPr="00F07878">
        <w:rPr>
          <w:bCs/>
        </w:rPr>
        <w:t>invoking Article 80 of the 2014 Constitution which permits the president to take exceptional measures to deal</w:t>
      </w:r>
      <w:r w:rsidR="005D70F0" w:rsidRPr="00F07878">
        <w:rPr>
          <w:bCs/>
        </w:rPr>
        <w:t xml:space="preserve"> with an imminent </w:t>
      </w:r>
      <w:r w:rsidR="003A493F" w:rsidRPr="00F07878">
        <w:rPr>
          <w:bCs/>
        </w:rPr>
        <w:t xml:space="preserve">threat </w:t>
      </w:r>
      <w:r w:rsidR="005D70F0" w:rsidRPr="00F07878">
        <w:rPr>
          <w:bCs/>
        </w:rPr>
        <w:t xml:space="preserve">to the State. Through </w:t>
      </w:r>
      <w:r w:rsidR="0029044C" w:rsidRPr="00F07878">
        <w:rPr>
          <w:bCs/>
        </w:rPr>
        <w:t>this decree</w:t>
      </w:r>
      <w:r w:rsidR="005D70F0" w:rsidRPr="00F07878">
        <w:rPr>
          <w:bCs/>
        </w:rPr>
        <w:t xml:space="preserve">, </w:t>
      </w:r>
      <w:r w:rsidR="00C21956" w:rsidRPr="00F07878">
        <w:rPr>
          <w:bCs/>
        </w:rPr>
        <w:t xml:space="preserve">he dismissed </w:t>
      </w:r>
      <w:r w:rsidR="005D70F0" w:rsidRPr="00F07878">
        <w:rPr>
          <w:bCs/>
        </w:rPr>
        <w:t xml:space="preserve">Prime Minister </w:t>
      </w:r>
      <w:proofErr w:type="spellStart"/>
      <w:r w:rsidR="005D70F0" w:rsidRPr="00F07878">
        <w:rPr>
          <w:bCs/>
        </w:rPr>
        <w:t>Hichem</w:t>
      </w:r>
      <w:proofErr w:type="spellEnd"/>
      <w:r w:rsidR="005D70F0" w:rsidRPr="00F07878">
        <w:rPr>
          <w:bCs/>
        </w:rPr>
        <w:t xml:space="preserve"> </w:t>
      </w:r>
      <w:proofErr w:type="spellStart"/>
      <w:r w:rsidR="005D70F0" w:rsidRPr="00F07878">
        <w:rPr>
          <w:bCs/>
        </w:rPr>
        <w:t>Mechichi</w:t>
      </w:r>
      <w:proofErr w:type="spellEnd"/>
      <w:r w:rsidR="005D70F0" w:rsidRPr="00F07878">
        <w:rPr>
          <w:bCs/>
        </w:rPr>
        <w:t xml:space="preserve"> and suspend</w:t>
      </w:r>
      <w:r w:rsidR="00C21956" w:rsidRPr="00F07878">
        <w:rPr>
          <w:bCs/>
        </w:rPr>
        <w:t>ed</w:t>
      </w:r>
      <w:r w:rsidR="005D70F0" w:rsidRPr="00F07878">
        <w:rPr>
          <w:bCs/>
        </w:rPr>
        <w:t xml:space="preserve"> the Assembly of People</w:t>
      </w:r>
      <w:r w:rsidR="00E151D3" w:rsidRPr="00F07878">
        <w:rPr>
          <w:bCs/>
        </w:rPr>
        <w:t>’</w:t>
      </w:r>
      <w:r w:rsidR="005D70F0" w:rsidRPr="00F07878">
        <w:rPr>
          <w:bCs/>
        </w:rPr>
        <w:t>s Representatives for an extendable period of 30 days</w:t>
      </w:r>
      <w:r w:rsidR="001A5C32" w:rsidRPr="00F07878">
        <w:rPr>
          <w:bCs/>
        </w:rPr>
        <w:t xml:space="preserve"> (the suspension </w:t>
      </w:r>
      <w:r w:rsidR="006866CB" w:rsidRPr="00F07878">
        <w:rPr>
          <w:bCs/>
        </w:rPr>
        <w:t>has ultimately been in effect since July 25, 2021</w:t>
      </w:r>
      <w:r w:rsidR="001A5C32" w:rsidRPr="00F07878">
        <w:rPr>
          <w:bCs/>
        </w:rPr>
        <w:t>)</w:t>
      </w:r>
      <w:r w:rsidR="005D70F0" w:rsidRPr="00F07878">
        <w:rPr>
          <w:bCs/>
        </w:rPr>
        <w:t>, effectively dismissing and dissolving the remainder of the government, and assum</w:t>
      </w:r>
      <w:r w:rsidR="003A493F" w:rsidRPr="00F07878">
        <w:rPr>
          <w:bCs/>
        </w:rPr>
        <w:t>ing</w:t>
      </w:r>
      <w:r w:rsidR="005D70F0" w:rsidRPr="00F07878">
        <w:rPr>
          <w:bCs/>
        </w:rPr>
        <w:t xml:space="preserve"> all executive</w:t>
      </w:r>
      <w:r w:rsidR="00910CBC" w:rsidRPr="00F07878">
        <w:rPr>
          <w:bCs/>
        </w:rPr>
        <w:t xml:space="preserve">, </w:t>
      </w:r>
      <w:r w:rsidR="00910CBC" w:rsidRPr="00F07878">
        <w:rPr>
          <w:bCs/>
        </w:rPr>
        <w:lastRenderedPageBreak/>
        <w:t>legislative, and judicial</w:t>
      </w:r>
      <w:r w:rsidR="005D70F0" w:rsidRPr="00F07878">
        <w:rPr>
          <w:bCs/>
        </w:rPr>
        <w:t xml:space="preserve"> power.</w:t>
      </w:r>
      <w:r w:rsidR="005D70F0" w:rsidRPr="00F07878">
        <w:rPr>
          <w:rStyle w:val="FootnoteReference"/>
          <w:bCs/>
        </w:rPr>
        <w:footnoteReference w:id="16"/>
      </w:r>
      <w:r w:rsidR="005D70F0" w:rsidRPr="00F07878">
        <w:rPr>
          <w:bCs/>
        </w:rPr>
        <w:t xml:space="preserve"> </w:t>
      </w:r>
      <w:r w:rsidR="00C21956" w:rsidRPr="00F07878">
        <w:rPr>
          <w:bCs/>
        </w:rPr>
        <w:t>He subsequently issued various other decrees asserting additional authority and consolidating his power.</w:t>
      </w:r>
      <w:r w:rsidR="00C21956" w:rsidRPr="00F07878">
        <w:rPr>
          <w:rStyle w:val="FootnoteReference"/>
          <w:bCs/>
        </w:rPr>
        <w:footnoteReference w:id="17"/>
      </w:r>
      <w:r w:rsidR="0057362F" w:rsidRPr="00F07878">
        <w:rPr>
          <w:bCs/>
        </w:rPr>
        <w:t xml:space="preserve"> One of those decrees resulted in the 2022 Constitution, approved by a referendum in which approximately 30% of Tunisians voted.</w:t>
      </w:r>
      <w:r w:rsidR="0057362F" w:rsidRPr="00F07878">
        <w:rPr>
          <w:rStyle w:val="FootnoteReference"/>
          <w:bCs/>
        </w:rPr>
        <w:footnoteReference w:id="18"/>
      </w:r>
    </w:p>
    <w:p w14:paraId="1B3185CE" w14:textId="0E6DD1A2" w:rsidR="0057362F" w:rsidRPr="00F07878" w:rsidRDefault="00AA5AD9" w:rsidP="00AC040C">
      <w:pPr>
        <w:numPr>
          <w:ilvl w:val="0"/>
          <w:numId w:val="7"/>
        </w:numPr>
        <w:spacing w:after="120"/>
        <w:ind w:left="360"/>
        <w:jc w:val="both"/>
        <w:rPr>
          <w:bCs/>
        </w:rPr>
      </w:pPr>
      <w:r w:rsidRPr="00F07878">
        <w:rPr>
          <w:bCs/>
        </w:rPr>
        <w:t>While Article</w:t>
      </w:r>
      <w:r w:rsidR="007F387E" w:rsidRPr="00F07878">
        <w:rPr>
          <w:bCs/>
        </w:rPr>
        <w:t xml:space="preserve"> 24</w:t>
      </w:r>
      <w:r w:rsidRPr="00F07878">
        <w:rPr>
          <w:bCs/>
        </w:rPr>
        <w:t xml:space="preserve"> </w:t>
      </w:r>
      <w:r w:rsidR="00C21956" w:rsidRPr="00F07878">
        <w:rPr>
          <w:bCs/>
        </w:rPr>
        <w:t xml:space="preserve">of the </w:t>
      </w:r>
      <w:r w:rsidR="0057362F" w:rsidRPr="00F07878">
        <w:rPr>
          <w:bCs/>
        </w:rPr>
        <w:t xml:space="preserve">2022 </w:t>
      </w:r>
      <w:r w:rsidR="00C21956" w:rsidRPr="00F07878">
        <w:rPr>
          <w:bCs/>
        </w:rPr>
        <w:t xml:space="preserve">Constitution </w:t>
      </w:r>
      <w:r w:rsidRPr="00F07878">
        <w:rPr>
          <w:bCs/>
        </w:rPr>
        <w:t xml:space="preserve">acknowledges the general importance of the right to life, the right is vaguely conditioned on </w:t>
      </w:r>
      <w:r w:rsidR="00806BFD" w:rsidRPr="00F07878">
        <w:rPr>
          <w:bCs/>
        </w:rPr>
        <w:t>“</w:t>
      </w:r>
      <w:r w:rsidRPr="00F07878">
        <w:rPr>
          <w:bCs/>
        </w:rPr>
        <w:t>extreme cases provided for by law,</w:t>
      </w:r>
      <w:r w:rsidR="00806BFD" w:rsidRPr="00F07878">
        <w:rPr>
          <w:bCs/>
        </w:rPr>
        <w:t>”</w:t>
      </w:r>
      <w:r w:rsidRPr="00F07878">
        <w:rPr>
          <w:bCs/>
        </w:rPr>
        <w:t xml:space="preserve"> with the 2022 Constitution failing to provide additional guidance as to what an </w:t>
      </w:r>
      <w:r w:rsidR="00806BFD" w:rsidRPr="00F07878">
        <w:rPr>
          <w:bCs/>
        </w:rPr>
        <w:t>“</w:t>
      </w:r>
      <w:r w:rsidRPr="00F07878">
        <w:rPr>
          <w:bCs/>
        </w:rPr>
        <w:t>extreme case</w:t>
      </w:r>
      <w:r w:rsidR="00806BFD" w:rsidRPr="00F07878">
        <w:rPr>
          <w:bCs/>
        </w:rPr>
        <w:t>”</w:t>
      </w:r>
      <w:r w:rsidRPr="00F07878">
        <w:rPr>
          <w:bCs/>
        </w:rPr>
        <w:t xml:space="preserve"> may be. </w:t>
      </w:r>
      <w:r w:rsidR="007F387E" w:rsidRPr="00F07878">
        <w:rPr>
          <w:bCs/>
        </w:rPr>
        <w:t>Working in tandem</w:t>
      </w:r>
      <w:r w:rsidRPr="00F07878">
        <w:rPr>
          <w:bCs/>
        </w:rPr>
        <w:t xml:space="preserve"> is Article 74, which provides </w:t>
      </w:r>
      <w:proofErr w:type="gramStart"/>
      <w:r w:rsidRPr="00F07878">
        <w:rPr>
          <w:bCs/>
        </w:rPr>
        <w:t>that international agreements</w:t>
      </w:r>
      <w:proofErr w:type="gramEnd"/>
      <w:r w:rsidRPr="00F07878">
        <w:rPr>
          <w:bCs/>
        </w:rPr>
        <w:t xml:space="preserve"> </w:t>
      </w:r>
      <w:r w:rsidR="00806BFD" w:rsidRPr="00F07878">
        <w:rPr>
          <w:bCs/>
        </w:rPr>
        <w:t>“</w:t>
      </w:r>
      <w:r w:rsidRPr="00F07878">
        <w:rPr>
          <w:bCs/>
        </w:rPr>
        <w:t>approved by the President and ratified by Parliament</w:t>
      </w:r>
      <w:r w:rsidR="00806BFD" w:rsidRPr="00F07878">
        <w:rPr>
          <w:bCs/>
        </w:rPr>
        <w:t>”</w:t>
      </w:r>
      <w:r w:rsidRPr="00F07878">
        <w:rPr>
          <w:bCs/>
        </w:rPr>
        <w:t xml:space="preserve"> have a status superior to the laws of Tunisia but inferior to the Constitution. </w:t>
      </w:r>
      <w:r w:rsidR="007F387E" w:rsidRPr="00F07878">
        <w:rPr>
          <w:bCs/>
        </w:rPr>
        <w:t>Article 74 unilaterally empowers the President to withdraw from any international agreement again without any oversight. In essence, the 2022 Constitution provides for an unlimited presidential system with an omnipotent President, a powerless Parliamen</w:t>
      </w:r>
      <w:r w:rsidR="003A493F" w:rsidRPr="00F07878">
        <w:rPr>
          <w:bCs/>
        </w:rPr>
        <w:t>t, and an ineffectual and compl</w:t>
      </w:r>
      <w:r w:rsidR="007F387E" w:rsidRPr="00F07878">
        <w:rPr>
          <w:bCs/>
        </w:rPr>
        <w:t>i</w:t>
      </w:r>
      <w:r w:rsidR="003A493F" w:rsidRPr="00F07878">
        <w:rPr>
          <w:bCs/>
        </w:rPr>
        <w:t>a</w:t>
      </w:r>
      <w:r w:rsidR="007F387E" w:rsidRPr="00F07878">
        <w:rPr>
          <w:bCs/>
        </w:rPr>
        <w:t>nt judiciary.</w:t>
      </w:r>
      <w:r w:rsidR="007F387E" w:rsidRPr="00F07878">
        <w:rPr>
          <w:rStyle w:val="FootnoteReference"/>
          <w:bCs/>
        </w:rPr>
        <w:footnoteReference w:id="19"/>
      </w:r>
    </w:p>
    <w:p w14:paraId="5BFC3572" w14:textId="18EC7940" w:rsidR="00EC502B" w:rsidRPr="00F07878" w:rsidRDefault="00806BFD" w:rsidP="0057362F">
      <w:pPr>
        <w:numPr>
          <w:ilvl w:val="0"/>
          <w:numId w:val="7"/>
        </w:numPr>
        <w:spacing w:after="120"/>
        <w:ind w:left="360"/>
        <w:jc w:val="both"/>
        <w:rPr>
          <w:bCs/>
        </w:rPr>
      </w:pPr>
      <w:r w:rsidRPr="00F07878">
        <w:rPr>
          <w:bCs/>
        </w:rPr>
        <w:t>In September 2022, t</w:t>
      </w:r>
      <w:r w:rsidR="0067762A" w:rsidRPr="00F07878">
        <w:rPr>
          <w:bCs/>
        </w:rPr>
        <w:t>he African Court on Human and Peoples</w:t>
      </w:r>
      <w:r w:rsidRPr="00F07878">
        <w:rPr>
          <w:bCs/>
        </w:rPr>
        <w:t>’</w:t>
      </w:r>
      <w:r w:rsidR="0067762A" w:rsidRPr="00F07878">
        <w:rPr>
          <w:bCs/>
        </w:rPr>
        <w:t xml:space="preserve"> Rights entered judgment in a case brought by Tunisian Ibrahim Ben Mohamed Ben Ibrahim </w:t>
      </w:r>
      <w:proofErr w:type="spellStart"/>
      <w:r w:rsidR="0067762A" w:rsidRPr="00F07878">
        <w:rPr>
          <w:bCs/>
        </w:rPr>
        <w:t>Belguith</w:t>
      </w:r>
      <w:proofErr w:type="spellEnd"/>
      <w:r w:rsidR="0067762A" w:rsidRPr="00F07878">
        <w:rPr>
          <w:bCs/>
        </w:rPr>
        <w:t xml:space="preserve"> in which Mr. </w:t>
      </w:r>
      <w:proofErr w:type="spellStart"/>
      <w:r w:rsidR="0067762A" w:rsidRPr="00F07878">
        <w:rPr>
          <w:bCs/>
        </w:rPr>
        <w:t>Belguith</w:t>
      </w:r>
      <w:proofErr w:type="spellEnd"/>
      <w:r w:rsidR="0067762A" w:rsidRPr="00F07878">
        <w:rPr>
          <w:bCs/>
        </w:rPr>
        <w:t xml:space="preserve"> challenged </w:t>
      </w:r>
      <w:r w:rsidR="0057362F" w:rsidRPr="00F07878">
        <w:rPr>
          <w:bCs/>
        </w:rPr>
        <w:t>several p</w:t>
      </w:r>
      <w:r w:rsidR="0001678B" w:rsidRPr="00F07878">
        <w:rPr>
          <w:bCs/>
        </w:rPr>
        <w:t xml:space="preserve">residential </w:t>
      </w:r>
      <w:r w:rsidR="0057362F" w:rsidRPr="00F07878">
        <w:rPr>
          <w:bCs/>
        </w:rPr>
        <w:t>d</w:t>
      </w:r>
      <w:r w:rsidR="0001678B" w:rsidRPr="00F07878">
        <w:rPr>
          <w:bCs/>
        </w:rPr>
        <w:t xml:space="preserve">ecrees </w:t>
      </w:r>
      <w:r w:rsidR="0057362F" w:rsidRPr="00F07878">
        <w:rPr>
          <w:bCs/>
        </w:rPr>
        <w:t xml:space="preserve">that </w:t>
      </w:r>
      <w:r w:rsidR="0001678B" w:rsidRPr="00F07878">
        <w:rPr>
          <w:bCs/>
        </w:rPr>
        <w:t xml:space="preserve">formed the judicial basis for the institution of the 2022 Constitution. Finding in favor of Mr. </w:t>
      </w:r>
      <w:proofErr w:type="spellStart"/>
      <w:r w:rsidR="0001678B" w:rsidRPr="00F07878">
        <w:rPr>
          <w:bCs/>
        </w:rPr>
        <w:t>Belguith</w:t>
      </w:r>
      <w:proofErr w:type="spellEnd"/>
      <w:r w:rsidR="0001678B" w:rsidRPr="00F07878">
        <w:rPr>
          <w:bCs/>
        </w:rPr>
        <w:t xml:space="preserve"> on all counts, the Court found that non-monetary reparations were appropriate and necessary</w:t>
      </w:r>
      <w:r w:rsidR="0057362F" w:rsidRPr="00F07878">
        <w:rPr>
          <w:bCs/>
        </w:rPr>
        <w:t>. The Court directed Tunisia to repeal several presidential decrees</w:t>
      </w:r>
      <w:r w:rsidR="0001678B" w:rsidRPr="00F07878">
        <w:rPr>
          <w:bCs/>
        </w:rPr>
        <w:t>,</w:t>
      </w:r>
      <w:r w:rsidR="0057362F" w:rsidRPr="00F07878">
        <w:rPr>
          <w:bCs/>
        </w:rPr>
        <w:t xml:space="preserve"> establish an independent Constitutional Court, and return to constitutional democracy</w:t>
      </w:r>
      <w:r w:rsidR="001F6FD0" w:rsidRPr="00F07878">
        <w:rPr>
          <w:bCs/>
        </w:rPr>
        <w:t>.</w:t>
      </w:r>
      <w:r w:rsidR="00C12A14" w:rsidRPr="00F07878">
        <w:rPr>
          <w:rStyle w:val="FootnoteReference"/>
          <w:bCs/>
        </w:rPr>
        <w:footnoteReference w:id="20"/>
      </w:r>
    </w:p>
    <w:p w14:paraId="4AEEA3AE" w14:textId="5FA0061D" w:rsidR="00ED27C5" w:rsidRPr="00F07878" w:rsidRDefault="00CE4F6D" w:rsidP="00ED27C5">
      <w:pPr>
        <w:keepNext/>
        <w:numPr>
          <w:ilvl w:val="0"/>
          <w:numId w:val="8"/>
        </w:numPr>
        <w:spacing w:before="240" w:after="240"/>
        <w:ind w:left="360" w:hanging="360"/>
        <w:rPr>
          <w:b/>
        </w:rPr>
      </w:pPr>
      <w:r w:rsidRPr="00F07878">
        <w:rPr>
          <w:b/>
        </w:rPr>
        <w:lastRenderedPageBreak/>
        <w:t xml:space="preserve">Women in conflict with the law face barriers to accessing </w:t>
      </w:r>
      <w:r w:rsidR="00ED27C5" w:rsidRPr="00F07878">
        <w:rPr>
          <w:b/>
        </w:rPr>
        <w:t>justice</w:t>
      </w:r>
      <w:r w:rsidRPr="00F07878">
        <w:rPr>
          <w:b/>
        </w:rPr>
        <w:t xml:space="preserve"> and violations of their fair trial rights.</w:t>
      </w:r>
      <w:r w:rsidR="00ED27C5" w:rsidRPr="00F07878">
        <w:rPr>
          <w:b/>
        </w:rPr>
        <w:t xml:space="preserve"> (List of Issues para. 3)</w:t>
      </w:r>
    </w:p>
    <w:p w14:paraId="400A2074" w14:textId="77777777" w:rsidR="00ED27C5" w:rsidRPr="00F07878" w:rsidRDefault="00ED27C5" w:rsidP="00ED27C5">
      <w:pPr>
        <w:numPr>
          <w:ilvl w:val="0"/>
          <w:numId w:val="7"/>
        </w:numPr>
        <w:spacing w:after="120"/>
        <w:ind w:left="360"/>
        <w:jc w:val="both"/>
        <w:rPr>
          <w:b/>
        </w:rPr>
      </w:pPr>
      <w:r w:rsidRPr="00F07878">
        <w:rPr>
          <w:bCs/>
        </w:rPr>
        <w:t>The Committee requested information about measures taken to ensure that women are empowered to claim their rights, “including through unimpeded access to justice and the provision of legal aid.”</w:t>
      </w:r>
      <w:r w:rsidRPr="00F07878">
        <w:rPr>
          <w:rStyle w:val="FootnoteReference"/>
          <w:bCs/>
        </w:rPr>
        <w:footnoteReference w:id="21"/>
      </w:r>
    </w:p>
    <w:p w14:paraId="08F206C1" w14:textId="5284BBCF" w:rsidR="00ED27C5" w:rsidRPr="00F07878" w:rsidRDefault="00ED27C5" w:rsidP="00806BFD">
      <w:pPr>
        <w:keepNext/>
        <w:numPr>
          <w:ilvl w:val="0"/>
          <w:numId w:val="7"/>
        </w:numPr>
        <w:spacing w:before="240" w:after="240"/>
        <w:ind w:left="360"/>
        <w:jc w:val="both"/>
        <w:rPr>
          <w:b/>
        </w:rPr>
      </w:pPr>
      <w:r w:rsidRPr="00F07878">
        <w:rPr>
          <w:bCs/>
        </w:rPr>
        <w:t>The Seventh Periodic Report notes that “Article 5 of Organic Act No. 58 (2017) . . . enshrines the principle of providing legal guidance to victims of violence. Article 13 grants victims of violence the right to legal guidance on the provisions governing litigation and the services available.”</w:t>
      </w:r>
      <w:r w:rsidRPr="00F07878">
        <w:rPr>
          <w:rStyle w:val="FootnoteReference"/>
          <w:bCs/>
        </w:rPr>
        <w:footnoteReference w:id="22"/>
      </w:r>
      <w:r w:rsidRPr="00F07878">
        <w:rPr>
          <w:bCs/>
        </w:rPr>
        <w:t xml:space="preserve"> The report further notes that in criminal procedures, “Act No. 52 (2002) on legal aid provides that litigants who are unable to afford the costs of litigation may request legal aid.”</w:t>
      </w:r>
      <w:r w:rsidRPr="00F07878">
        <w:rPr>
          <w:rStyle w:val="FootnoteReference"/>
          <w:bCs/>
        </w:rPr>
        <w:footnoteReference w:id="23"/>
      </w:r>
      <w:r w:rsidRPr="00F07878">
        <w:rPr>
          <w:bCs/>
        </w:rPr>
        <w:t xml:space="preserve"> The Seventh Periodic Report also states that the Ministry of Justice has developed training programs on international human rights instruments.</w:t>
      </w:r>
      <w:r w:rsidRPr="00F07878">
        <w:rPr>
          <w:rStyle w:val="FootnoteReference"/>
          <w:bCs/>
        </w:rPr>
        <w:footnoteReference w:id="24"/>
      </w:r>
      <w:r w:rsidRPr="00F07878">
        <w:rPr>
          <w:bCs/>
        </w:rPr>
        <w:t xml:space="preserve"> None of these provisions are specific to gender issues that arise when women are in conflict with the law, particularly in the context of gender-based violence and coercive control relationships that may result in women committing offenses that are eligible for the death penalty.</w:t>
      </w:r>
    </w:p>
    <w:p w14:paraId="4C135E26" w14:textId="7DFC16A9" w:rsidR="00393C54" w:rsidRPr="00F07878" w:rsidRDefault="007A2060" w:rsidP="00DC1402">
      <w:pPr>
        <w:numPr>
          <w:ilvl w:val="0"/>
          <w:numId w:val="7"/>
        </w:numPr>
        <w:spacing w:after="120"/>
        <w:ind w:left="360"/>
        <w:jc w:val="both"/>
      </w:pPr>
      <w:r w:rsidRPr="00F07878">
        <w:t>According to a comprehensive study conducted by the Cornell Center on the Death Penalty Worldwide, data indicate that most women on death row have been sentenced to death for the crime of murder.</w:t>
      </w:r>
      <w:r w:rsidRPr="00F07878">
        <w:rPr>
          <w:rStyle w:val="FootnoteReference"/>
        </w:rPr>
        <w:footnoteReference w:id="25"/>
      </w:r>
      <w:r w:rsidRPr="00F07878">
        <w:t xml:space="preserve"> </w:t>
      </w:r>
      <w:r w:rsidR="00FA7CDA" w:rsidRPr="00F07878">
        <w:t>These women have overwhelmingly experienced prolonged domestic violence at the hands of a partner, spouse, or another family member.</w:t>
      </w:r>
      <w:r w:rsidR="00690907" w:rsidRPr="00F07878">
        <w:rPr>
          <w:vertAlign w:val="superscript"/>
          <w:lang w:eastAsia="zh-CN"/>
        </w:rPr>
        <w:footnoteReference w:id="26"/>
      </w:r>
      <w:r w:rsidR="00FA7CDA" w:rsidRPr="00F07878">
        <w:t xml:space="preserve"> In many cases, the abuse has occurred repeatedly.</w:t>
      </w:r>
      <w:r w:rsidR="002A7E1B" w:rsidRPr="00F07878">
        <w:t xml:space="preserve"> </w:t>
      </w:r>
      <w:r w:rsidR="002A7E1B" w:rsidRPr="00F07878">
        <w:rPr>
          <w:lang w:eastAsia="zh-CN"/>
        </w:rPr>
        <w:t>Many women under sentence of death are survivors of gender-based violence and come from disadvantaged socio-economic backgrounds.</w:t>
      </w:r>
      <w:r w:rsidR="002A7E1B" w:rsidRPr="00F07878">
        <w:rPr>
          <w:vertAlign w:val="superscript"/>
          <w:lang w:eastAsia="zh-CN"/>
        </w:rPr>
        <w:footnoteReference w:id="27"/>
      </w:r>
      <w:r w:rsidR="00FA7CDA" w:rsidRPr="00F07878">
        <w:t xml:space="preserve"> </w:t>
      </w:r>
      <w:r w:rsidR="00393C54" w:rsidRPr="00F07878">
        <w:t xml:space="preserve">At a global level, courts </w:t>
      </w:r>
      <w:r w:rsidR="00C6277D" w:rsidRPr="00F07878">
        <w:t>rarely consider gender-based violence as a mitigating factor during sentencing.</w:t>
      </w:r>
      <w:r w:rsidR="00552D84" w:rsidRPr="00F07878">
        <w:rPr>
          <w:vertAlign w:val="superscript"/>
          <w:lang w:eastAsia="zh-CN"/>
        </w:rPr>
        <w:footnoteReference w:id="28"/>
      </w:r>
      <w:r w:rsidR="00C6277D" w:rsidRPr="00F07878">
        <w:t xml:space="preserve">  Research also indicates that courts also fail to account for power dynamics and tactics of coercive control that may affect a woman’s involvement in and culpability for a crime.</w:t>
      </w:r>
    </w:p>
    <w:p w14:paraId="2FCEB204" w14:textId="314AA50C" w:rsidR="00C65CBE" w:rsidRPr="00F07878" w:rsidRDefault="00C65CBE" w:rsidP="00DC1402">
      <w:pPr>
        <w:numPr>
          <w:ilvl w:val="0"/>
          <w:numId w:val="7"/>
        </w:numPr>
        <w:spacing w:after="120"/>
        <w:ind w:left="360"/>
        <w:jc w:val="both"/>
      </w:pPr>
      <w:r w:rsidRPr="00F07878">
        <w:rPr>
          <w:lang w:eastAsia="zh-CN"/>
        </w:rPr>
        <w:t xml:space="preserve">According to the above-mentioned study by the Cornell Center on the Death Penalty Worldwide, women are more likely to receive a death sentence when the adjudicating authority perceives that they are violating entrenched gender norms, being cast as the “female fatale” or </w:t>
      </w:r>
      <w:r w:rsidRPr="00F07878">
        <w:rPr>
          <w:lang w:eastAsia="zh-CN"/>
        </w:rPr>
        <w:lastRenderedPageBreak/>
        <w:t>the “witch.” Women are often put on trial not only for acts they performed but also for allegedly being “a bad wife, a bad mother, and a bad woman.”</w:t>
      </w:r>
      <w:r w:rsidRPr="00F07878">
        <w:rPr>
          <w:vertAlign w:val="superscript"/>
          <w:lang w:eastAsia="zh-CN"/>
        </w:rPr>
        <w:footnoteReference w:id="29"/>
      </w:r>
    </w:p>
    <w:p w14:paraId="02B3D08F" w14:textId="384A38E8" w:rsidR="003A3608" w:rsidRPr="00F07878" w:rsidRDefault="00D350DB" w:rsidP="00DC1402">
      <w:pPr>
        <w:numPr>
          <w:ilvl w:val="0"/>
          <w:numId w:val="7"/>
        </w:numPr>
        <w:spacing w:after="120"/>
        <w:ind w:left="360"/>
        <w:jc w:val="both"/>
      </w:pPr>
      <w:r w:rsidRPr="00F07878">
        <w:rPr>
          <w:lang w:eastAsia="zh-CN"/>
        </w:rPr>
        <w:t xml:space="preserve">CTCPM has conducted in-depth interviews with </w:t>
      </w:r>
      <w:r w:rsidR="00DA011D" w:rsidRPr="00F07878">
        <w:rPr>
          <w:lang w:eastAsia="zh-CN"/>
        </w:rPr>
        <w:t xml:space="preserve">all three women </w:t>
      </w:r>
      <w:r w:rsidR="003A3608" w:rsidRPr="00F07878">
        <w:rPr>
          <w:lang w:eastAsia="zh-CN"/>
        </w:rPr>
        <w:t>under sentence of death in Tunisia</w:t>
      </w:r>
      <w:r w:rsidRPr="00F07878">
        <w:rPr>
          <w:lang w:eastAsia="zh-CN"/>
        </w:rPr>
        <w:t>, and their cases</w:t>
      </w:r>
      <w:r w:rsidR="003A3608" w:rsidRPr="00F07878">
        <w:rPr>
          <w:lang w:eastAsia="zh-CN"/>
        </w:rPr>
        <w:t xml:space="preserve"> highlight </w:t>
      </w:r>
      <w:r w:rsidR="006F473F" w:rsidRPr="00F07878">
        <w:rPr>
          <w:lang w:eastAsia="zh-CN"/>
        </w:rPr>
        <w:t xml:space="preserve">how women who violate entrenched gender norms face </w:t>
      </w:r>
      <w:r w:rsidR="008651FD" w:rsidRPr="00F07878">
        <w:rPr>
          <w:lang w:eastAsia="zh-CN"/>
        </w:rPr>
        <w:t>discriminatory treatment</w:t>
      </w:r>
      <w:r w:rsidR="003A3608" w:rsidRPr="00F07878">
        <w:rPr>
          <w:lang w:eastAsia="zh-CN"/>
        </w:rPr>
        <w:t xml:space="preserve">. </w:t>
      </w:r>
      <w:r w:rsidR="008651FD" w:rsidRPr="00F07878">
        <w:rPr>
          <w:lang w:eastAsia="zh-CN"/>
        </w:rPr>
        <w:t>Th</w:t>
      </w:r>
      <w:r w:rsidR="00DA011D" w:rsidRPr="00F07878">
        <w:rPr>
          <w:lang w:eastAsia="zh-CN"/>
        </w:rPr>
        <w:t>e first</w:t>
      </w:r>
      <w:r w:rsidR="008651FD" w:rsidRPr="00F07878">
        <w:rPr>
          <w:lang w:eastAsia="zh-CN"/>
        </w:rPr>
        <w:t xml:space="preserve"> woman </w:t>
      </w:r>
      <w:r w:rsidR="00CE5AD6" w:rsidRPr="00F07878">
        <w:rPr>
          <w:lang w:eastAsia="zh-CN"/>
        </w:rPr>
        <w:t xml:space="preserve">had been married to an older man who was </w:t>
      </w:r>
      <w:r w:rsidR="00977E03" w:rsidRPr="00F07878">
        <w:rPr>
          <w:lang w:eastAsia="zh-CN"/>
        </w:rPr>
        <w:t xml:space="preserve">an </w:t>
      </w:r>
      <w:r w:rsidR="00CE5AD6" w:rsidRPr="00F07878">
        <w:rPr>
          <w:lang w:eastAsia="zh-CN"/>
        </w:rPr>
        <w:t xml:space="preserve">alcoholic and who </w:t>
      </w:r>
      <w:r w:rsidR="00977E03" w:rsidRPr="00F07878">
        <w:rPr>
          <w:lang w:eastAsia="zh-CN"/>
        </w:rPr>
        <w:t xml:space="preserve">repeatedly </w:t>
      </w:r>
      <w:r w:rsidR="00CE5AD6" w:rsidRPr="00F07878">
        <w:rPr>
          <w:lang w:eastAsia="zh-CN"/>
        </w:rPr>
        <w:t>subjected her to domestic violence.</w:t>
      </w:r>
      <w:r w:rsidR="0068221F" w:rsidRPr="00F07878">
        <w:rPr>
          <w:rStyle w:val="FootnoteReference"/>
        </w:rPr>
        <w:footnoteReference w:id="30"/>
      </w:r>
      <w:r w:rsidR="0068221F" w:rsidRPr="00F07878">
        <w:rPr>
          <w:lang w:eastAsia="zh-CN"/>
        </w:rPr>
        <w:t xml:space="preserve"> She ultimately had an affair with a man who was her age</w:t>
      </w:r>
      <w:r w:rsidR="003062A1" w:rsidRPr="00F07878">
        <w:rPr>
          <w:lang w:eastAsia="zh-CN"/>
        </w:rPr>
        <w:t>, and when her husband found them together the man and her husband fought, and the man accidentally killed her husband by choking him in an effort to prevent him from screaming and alerting the neighbors.</w:t>
      </w:r>
      <w:r w:rsidR="003062A1" w:rsidRPr="00F07878">
        <w:rPr>
          <w:rStyle w:val="FootnoteReference"/>
        </w:rPr>
        <w:footnoteReference w:id="31"/>
      </w:r>
      <w:r w:rsidR="006D4A5B" w:rsidRPr="00F07878">
        <w:rPr>
          <w:lang w:eastAsia="zh-CN"/>
        </w:rPr>
        <w:t xml:space="preserve"> The woman was in shock but called t</w:t>
      </w:r>
      <w:r w:rsidR="005E3982" w:rsidRPr="00F07878">
        <w:rPr>
          <w:lang w:eastAsia="zh-CN"/>
        </w:rPr>
        <w:t>he police. She was given sedatives and taken by ambulance to the police station, where she was interrogated and</w:t>
      </w:r>
      <w:r w:rsidR="00954AFF" w:rsidRPr="00F07878">
        <w:rPr>
          <w:lang w:eastAsia="zh-CN"/>
        </w:rPr>
        <w:t>, while still under sedation,</w:t>
      </w:r>
      <w:r w:rsidR="005E3982" w:rsidRPr="00F07878">
        <w:rPr>
          <w:lang w:eastAsia="zh-CN"/>
        </w:rPr>
        <w:t xml:space="preserve"> forced to sign a confession</w:t>
      </w:r>
      <w:r w:rsidR="00954AFF" w:rsidRPr="00F07878">
        <w:rPr>
          <w:lang w:eastAsia="zh-CN"/>
        </w:rPr>
        <w:t xml:space="preserve"> stating that she and the younger man had planned to murder her husband.</w:t>
      </w:r>
      <w:r w:rsidR="00954AFF" w:rsidRPr="00F07878">
        <w:rPr>
          <w:rStyle w:val="FootnoteReference"/>
        </w:rPr>
        <w:t xml:space="preserve"> </w:t>
      </w:r>
      <w:r w:rsidR="00954AFF" w:rsidRPr="00F07878">
        <w:rPr>
          <w:rStyle w:val="FootnoteReference"/>
        </w:rPr>
        <w:footnoteReference w:id="32"/>
      </w:r>
      <w:r w:rsidR="00EA17FE" w:rsidRPr="00F07878">
        <w:t xml:space="preserve"> The woman later discovered that her husband’s nephew had orchestrated the husband’s “discovery” of the couple in order to </w:t>
      </w:r>
      <w:r w:rsidR="007303C0" w:rsidRPr="00F07878">
        <w:t>preserve the husband’s “honor” and punish her for her “treason.”</w:t>
      </w:r>
      <w:r w:rsidR="007303C0" w:rsidRPr="00F07878">
        <w:rPr>
          <w:rStyle w:val="FootnoteReference"/>
        </w:rPr>
        <w:footnoteReference w:id="33"/>
      </w:r>
      <w:r w:rsidR="007303C0" w:rsidRPr="00F07878">
        <w:t xml:space="preserve"> During her interrogation, the nephew told the woman </w:t>
      </w:r>
      <w:r w:rsidR="00A45FFE" w:rsidRPr="00F07878">
        <w:t>that he would ensure she would be hanged.</w:t>
      </w:r>
      <w:r w:rsidR="00A45FFE" w:rsidRPr="00F07878">
        <w:rPr>
          <w:rStyle w:val="FootnoteReference"/>
        </w:rPr>
        <w:footnoteReference w:id="34"/>
      </w:r>
      <w:r w:rsidR="00A45FFE" w:rsidRPr="00F07878">
        <w:t xml:space="preserve"> The woman obtained a medical certificate proving that she had been under </w:t>
      </w:r>
      <w:r w:rsidR="00446CFC" w:rsidRPr="00F07878">
        <w:t xml:space="preserve">the influence of sedatives </w:t>
      </w:r>
      <w:r w:rsidR="00A45FFE" w:rsidRPr="00F07878">
        <w:t>during her interrogation and confession, but the justice system ignored that evidence</w:t>
      </w:r>
      <w:r w:rsidR="00437211" w:rsidRPr="00F07878">
        <w:t>.</w:t>
      </w:r>
      <w:r w:rsidR="00437211" w:rsidRPr="00F07878">
        <w:rPr>
          <w:rStyle w:val="FootnoteReference"/>
        </w:rPr>
        <w:footnoteReference w:id="35"/>
      </w:r>
      <w:r w:rsidR="00437211" w:rsidRPr="00F07878">
        <w:t xml:space="preserve"> At trial, the young man denied that she had been involved in her husband’s accidental death and took full responsibility for the killing.</w:t>
      </w:r>
      <w:r w:rsidR="005051A4" w:rsidRPr="00F07878">
        <w:rPr>
          <w:rStyle w:val="FootnoteReference"/>
        </w:rPr>
        <w:footnoteReference w:id="36"/>
      </w:r>
      <w:r w:rsidR="005051A4" w:rsidRPr="00F07878">
        <w:t xml:space="preserve"> Years later, CTCPM met with the young man, who was astonished that the woman was still under sentence of death despite his </w:t>
      </w:r>
      <w:r w:rsidR="00A9660F" w:rsidRPr="00F07878">
        <w:t xml:space="preserve">unwavering </w:t>
      </w:r>
      <w:r w:rsidR="005051A4" w:rsidRPr="00F07878">
        <w:t>acceptance of full responsibility for the accidental killing.</w:t>
      </w:r>
      <w:r w:rsidR="005051A4" w:rsidRPr="00F07878">
        <w:rPr>
          <w:rStyle w:val="FootnoteReference"/>
        </w:rPr>
        <w:footnoteReference w:id="37"/>
      </w:r>
    </w:p>
    <w:p w14:paraId="48303106" w14:textId="65001F0D" w:rsidR="00DA011D" w:rsidRPr="00F07878" w:rsidRDefault="00DA011D" w:rsidP="00DC1402">
      <w:pPr>
        <w:numPr>
          <w:ilvl w:val="0"/>
          <w:numId w:val="7"/>
        </w:numPr>
        <w:spacing w:after="120"/>
        <w:ind w:left="360"/>
        <w:jc w:val="both"/>
      </w:pPr>
      <w:r w:rsidRPr="00F07878">
        <w:t xml:space="preserve">The second and third women </w:t>
      </w:r>
      <w:r w:rsidR="007828DA" w:rsidRPr="00F07878">
        <w:t xml:space="preserve">are sisters and were sentenced to death for allegedly </w:t>
      </w:r>
      <w:r w:rsidR="00592224" w:rsidRPr="00F07878">
        <w:t>engaging in “sorcery” in the form of treasure hunting</w:t>
      </w:r>
      <w:r w:rsidR="00D350DB" w:rsidRPr="00F07878">
        <w:t xml:space="preserve"> involving the kidnapping and murder of their nephew.</w:t>
      </w:r>
      <w:r w:rsidR="00D350DB" w:rsidRPr="00F07878">
        <w:rPr>
          <w:rStyle w:val="FootnoteReference"/>
        </w:rPr>
        <w:footnoteReference w:id="38"/>
      </w:r>
      <w:r w:rsidR="00F60E4B" w:rsidRPr="00F07878">
        <w:t xml:space="preserve"> The case was highly publicized.</w:t>
      </w:r>
      <w:r w:rsidR="00F60E4B" w:rsidRPr="00F07878">
        <w:rPr>
          <w:rStyle w:val="FootnoteReference"/>
        </w:rPr>
        <w:footnoteReference w:id="39"/>
      </w:r>
      <w:r w:rsidR="00B34DE6" w:rsidRPr="00F07878">
        <w:t xml:space="preserve"> </w:t>
      </w:r>
      <w:r w:rsidR="005E0710" w:rsidRPr="00F07878">
        <w:t>At the time of the alleged events, o</w:t>
      </w:r>
      <w:r w:rsidR="00B34DE6" w:rsidRPr="00F07878">
        <w:t xml:space="preserve">ne </w:t>
      </w:r>
      <w:r w:rsidR="005E0710" w:rsidRPr="00F07878">
        <w:t xml:space="preserve">of the </w:t>
      </w:r>
      <w:r w:rsidR="005E0710" w:rsidRPr="00F07878">
        <w:lastRenderedPageBreak/>
        <w:t xml:space="preserve">women </w:t>
      </w:r>
      <w:r w:rsidR="00B34DE6" w:rsidRPr="00F07878">
        <w:t>was single</w:t>
      </w:r>
      <w:r w:rsidR="00A46048" w:rsidRPr="00F07878">
        <w:t xml:space="preserve"> and age 43, and the other was widowed and age 40</w:t>
      </w:r>
      <w:r w:rsidR="00523854" w:rsidRPr="00F07878">
        <w:t xml:space="preserve">, with three </w:t>
      </w:r>
      <w:r w:rsidR="000F10AF" w:rsidRPr="00F07878">
        <w:t>daughters</w:t>
      </w:r>
      <w:r w:rsidR="00A46048" w:rsidRPr="00F07878">
        <w:t>.</w:t>
      </w:r>
      <w:r w:rsidR="005E0710" w:rsidRPr="00F07878">
        <w:rPr>
          <w:rStyle w:val="FootnoteReference"/>
        </w:rPr>
        <w:footnoteReference w:id="40"/>
      </w:r>
      <w:r w:rsidR="005E0710" w:rsidRPr="00F07878">
        <w:t xml:space="preserve"> </w:t>
      </w:r>
      <w:r w:rsidR="004804A6" w:rsidRPr="00F07878">
        <w:t>The younger woman explained that she and her sister were “the ideal scapegoats to put a stop to the media campaign that followed the murder of her nephew.”</w:t>
      </w:r>
      <w:r w:rsidR="004804A6" w:rsidRPr="00F07878">
        <w:rPr>
          <w:rStyle w:val="FootnoteReference"/>
        </w:rPr>
        <w:footnoteReference w:id="41"/>
      </w:r>
      <w:r w:rsidR="000F10AF" w:rsidRPr="00F07878">
        <w:t xml:space="preserve"> </w:t>
      </w:r>
      <w:r w:rsidR="00196038" w:rsidRPr="00F07878">
        <w:t xml:space="preserve">The older woman </w:t>
      </w:r>
      <w:r w:rsidR="000F10AF" w:rsidRPr="00F07878">
        <w:t xml:space="preserve">reported to CTCPM that she </w:t>
      </w:r>
      <w:r w:rsidR="00196038" w:rsidRPr="00F07878">
        <w:t xml:space="preserve">had </w:t>
      </w:r>
      <w:r w:rsidR="000F10AF" w:rsidRPr="00F07878">
        <w:t>spent seven years in preventative detention before being tried and sentenced to death.</w:t>
      </w:r>
      <w:r w:rsidR="000F10AF" w:rsidRPr="00F07878">
        <w:rPr>
          <w:rStyle w:val="FootnoteReference"/>
        </w:rPr>
        <w:footnoteReference w:id="42"/>
      </w:r>
      <w:r w:rsidR="000F10AF" w:rsidRPr="00F07878">
        <w:t xml:space="preserve"> She said she had been interrogated for six days and then forced to sign a confession without knowing its contents.</w:t>
      </w:r>
      <w:r w:rsidR="000F10AF" w:rsidRPr="00F07878">
        <w:rPr>
          <w:rStyle w:val="FootnoteReference"/>
        </w:rPr>
        <w:footnoteReference w:id="43"/>
      </w:r>
      <w:r w:rsidR="00196038" w:rsidRPr="00F07878">
        <w:t xml:space="preserve"> The younger woman told CTCPM that DNA traces found on the nephew’s body exonerated both women</w:t>
      </w:r>
      <w:r w:rsidR="009B1C00" w:rsidRPr="00F07878">
        <w:t>, but the courts have ignored this evidence.</w:t>
      </w:r>
      <w:r w:rsidR="009B1C00" w:rsidRPr="00F07878">
        <w:rPr>
          <w:rStyle w:val="FootnoteReference"/>
        </w:rPr>
        <w:footnoteReference w:id="44"/>
      </w:r>
    </w:p>
    <w:p w14:paraId="4F8BC0AB" w14:textId="690FAAD0" w:rsidR="00DC3143" w:rsidRPr="00F07878" w:rsidRDefault="00DC3143" w:rsidP="00DC1402">
      <w:pPr>
        <w:numPr>
          <w:ilvl w:val="0"/>
          <w:numId w:val="7"/>
        </w:numPr>
        <w:spacing w:after="120"/>
        <w:ind w:left="360"/>
        <w:jc w:val="both"/>
      </w:pPr>
      <w:r w:rsidRPr="00F07878">
        <w:t>C</w:t>
      </w:r>
      <w:r w:rsidR="008A1B09" w:rsidRPr="00F07878">
        <w:t xml:space="preserve">TCPM interviewed two </w:t>
      </w:r>
      <w:r w:rsidR="00AF5711" w:rsidRPr="00F07878">
        <w:t xml:space="preserve">female relatives </w:t>
      </w:r>
      <w:r w:rsidR="008A1B09" w:rsidRPr="00F07878">
        <w:t>who have been sentenced to death in the first instance and are awaiting appeal.</w:t>
      </w:r>
      <w:r w:rsidR="00590111" w:rsidRPr="00F07878">
        <w:rPr>
          <w:rStyle w:val="FootnoteReference"/>
        </w:rPr>
        <w:footnoteReference w:id="45"/>
      </w:r>
      <w:r w:rsidR="008A1B09" w:rsidRPr="00F07878">
        <w:t xml:space="preserve"> Consistent with the Cornell Center’s analysis, </w:t>
      </w:r>
      <w:r w:rsidR="00B25956" w:rsidRPr="00F07878">
        <w:t xml:space="preserve">they were sentenced to death for infanticide of the </w:t>
      </w:r>
      <w:r w:rsidR="00590111" w:rsidRPr="00F07878">
        <w:t xml:space="preserve">younger woman’s </w:t>
      </w:r>
      <w:r w:rsidR="00B25956" w:rsidRPr="00F07878">
        <w:t>child, after she became pregnant out of wedlock</w:t>
      </w:r>
      <w:r w:rsidR="00347165" w:rsidRPr="00F07878">
        <w:t>.</w:t>
      </w:r>
      <w:r w:rsidR="00590111" w:rsidRPr="00F07878">
        <w:rPr>
          <w:rStyle w:val="FootnoteReference"/>
        </w:rPr>
        <w:footnoteReference w:id="46"/>
      </w:r>
      <w:r w:rsidR="00810428" w:rsidRPr="00F07878">
        <w:t xml:space="preserve"> They come from a remote and disadvantaged region of the country and live in very poor, rural areas.</w:t>
      </w:r>
      <w:r w:rsidR="00810428" w:rsidRPr="00F07878">
        <w:rPr>
          <w:rStyle w:val="FootnoteReference"/>
        </w:rPr>
        <w:footnoteReference w:id="47"/>
      </w:r>
      <w:r w:rsidR="00810428" w:rsidRPr="00F07878">
        <w:t xml:space="preserve"> They were accused of infanticide allegedly to “hide” the “dishonorable” conduct of the </w:t>
      </w:r>
      <w:r w:rsidR="00D23691" w:rsidRPr="00F07878">
        <w:t>younger woman.</w:t>
      </w:r>
      <w:r w:rsidR="00D23691" w:rsidRPr="00F07878">
        <w:rPr>
          <w:rStyle w:val="FootnoteReference"/>
        </w:rPr>
        <w:footnoteReference w:id="48"/>
      </w:r>
      <w:r w:rsidR="00A65907" w:rsidRPr="00F07878">
        <w:t xml:space="preserve"> CTCPM has not received any information about the current status of their cases.</w:t>
      </w:r>
      <w:r w:rsidR="00A65907" w:rsidRPr="00F07878">
        <w:rPr>
          <w:rStyle w:val="FootnoteReference"/>
        </w:rPr>
        <w:footnoteReference w:id="49"/>
      </w:r>
    </w:p>
    <w:p w14:paraId="14EDE41D" w14:textId="2FA0EF91" w:rsidR="007A2060" w:rsidRPr="00F07878" w:rsidRDefault="007A2060" w:rsidP="00DC1402">
      <w:pPr>
        <w:numPr>
          <w:ilvl w:val="0"/>
          <w:numId w:val="7"/>
        </w:numPr>
        <w:spacing w:after="120"/>
        <w:ind w:left="360"/>
        <w:jc w:val="both"/>
      </w:pPr>
      <w:r w:rsidRPr="00F07878">
        <w:rPr>
          <w:bCs/>
        </w:rPr>
        <w:t xml:space="preserve">Tunisia’s reply to the List of Issues overlooks the need for comprehensive training programs for prosecutors and judges when women </w:t>
      </w:r>
      <w:proofErr w:type="gramStart"/>
      <w:r w:rsidRPr="00F07878">
        <w:rPr>
          <w:bCs/>
        </w:rPr>
        <w:t>are in conflict with</w:t>
      </w:r>
      <w:proofErr w:type="gramEnd"/>
      <w:r w:rsidRPr="00F07878">
        <w:rPr>
          <w:bCs/>
        </w:rPr>
        <w:t xml:space="preserve"> the law. Specialized training is particularly important when women are defending themselves against gender-based violence (</w:t>
      </w:r>
      <w:r w:rsidRPr="00F07878">
        <w:rPr>
          <w:bCs/>
          <w:i/>
        </w:rPr>
        <w:t>i.e.</w:t>
      </w:r>
      <w:r w:rsidRPr="00F07878">
        <w:rPr>
          <w:bCs/>
        </w:rPr>
        <w:t xml:space="preserve">, defending against an abuser and acting in self-defense). Such training programs are especially important when women are subsequently charged with death-eligible offenses. Self-defense is often not an available defense for women who kill following a </w:t>
      </w:r>
      <w:r w:rsidRPr="00F07878">
        <w:rPr>
          <w:bCs/>
          <w:i/>
        </w:rPr>
        <w:t>history</w:t>
      </w:r>
      <w:r w:rsidRPr="00F07878">
        <w:rPr>
          <w:bCs/>
        </w:rPr>
        <w:t xml:space="preserve"> of abuse, particularly if they cannot show an actual threat at the time the woman used responsive force. Moreover, many women experience non-physical abuse, such as emotional and economic abuse, which courts may disregard as not sufficiently severe to justify physical violence as self-defense.</w:t>
      </w:r>
    </w:p>
    <w:p w14:paraId="6C721D64" w14:textId="77777777" w:rsidR="0076581E" w:rsidRPr="00F07878" w:rsidRDefault="0076581E" w:rsidP="0076581E">
      <w:pPr>
        <w:numPr>
          <w:ilvl w:val="0"/>
          <w:numId w:val="7"/>
        </w:numPr>
        <w:spacing w:after="120"/>
        <w:ind w:left="360"/>
        <w:jc w:val="both"/>
      </w:pPr>
      <w:r w:rsidRPr="00F07878">
        <w:lastRenderedPageBreak/>
        <w:t>In 2016, the Committee against Torture found “consistent reports that torture and ill-treatment continue to be practiced in the security sector.”</w:t>
      </w:r>
      <w:r w:rsidRPr="00F07878">
        <w:rPr>
          <w:rStyle w:val="FootnoteReference"/>
        </w:rPr>
        <w:footnoteReference w:id="50"/>
      </w:r>
      <w:r w:rsidRPr="00F07878">
        <w:t xml:space="preserve"> Those concerns increased following President Saied’s 2021-22 power grab.</w:t>
      </w:r>
      <w:r w:rsidRPr="00F07878">
        <w:rPr>
          <w:rStyle w:val="FootnoteReference"/>
        </w:rPr>
        <w:footnoteReference w:id="51"/>
      </w:r>
      <w:r w:rsidRPr="00F07878">
        <w:t xml:space="preserve"> Human Rights Watch reports that “the lack of a constitutional court with a mandate to repeal laws that are found unconstitutional deprives Tunisians of a key safeguard against criminal prosecutions on charges that violate their human rights.”</w:t>
      </w:r>
      <w:r w:rsidRPr="00F07878">
        <w:rPr>
          <w:rStyle w:val="FootnoteReference"/>
        </w:rPr>
        <w:footnoteReference w:id="52"/>
      </w:r>
      <w:r w:rsidRPr="00F07878">
        <w:t xml:space="preserve">  Amnesty International reports that detainees are often subjected to electric shocks, slapped, deprived of sleep, forced to undress, or have their family members threatened.</w:t>
      </w:r>
      <w:r w:rsidRPr="00F07878">
        <w:rPr>
          <w:rStyle w:val="FootnoteReference"/>
        </w:rPr>
        <w:footnoteReference w:id="53"/>
      </w:r>
    </w:p>
    <w:p w14:paraId="3B48EAAA" w14:textId="343562E2" w:rsidR="0076581E" w:rsidRPr="00F07878" w:rsidRDefault="0076581E" w:rsidP="0076581E">
      <w:pPr>
        <w:numPr>
          <w:ilvl w:val="0"/>
          <w:numId w:val="7"/>
        </w:numPr>
        <w:spacing w:after="120"/>
        <w:ind w:left="360"/>
        <w:jc w:val="both"/>
      </w:pPr>
      <w:r w:rsidRPr="00F07878">
        <w:t>Observers have documented civilians being prosecuted in both military and civilian courts for public criticism of President Saied.</w:t>
      </w:r>
      <w:r w:rsidRPr="00F07878">
        <w:rPr>
          <w:rStyle w:val="FootnoteReference"/>
        </w:rPr>
        <w:footnoteReference w:id="54"/>
      </w:r>
      <w:r w:rsidRPr="00F07878">
        <w:t xml:space="preserve"> The practice of charging civilians before a military tribunal violates the right to a fair trial and due process guarantees under The Princip</w:t>
      </w:r>
      <w:r w:rsidR="00724E4B" w:rsidRPr="00F07878">
        <w:t>le</w:t>
      </w:r>
      <w:r w:rsidRPr="00F07878">
        <w:t>s on the Right to a Fair Trial and Legal Aid in Africa.</w:t>
      </w:r>
      <w:r w:rsidRPr="00F07878">
        <w:rPr>
          <w:rStyle w:val="FootnoteReference"/>
        </w:rPr>
        <w:footnoteReference w:id="55"/>
      </w:r>
      <w:r w:rsidRPr="00F07878">
        <w:t xml:space="preserve"> Charges for criticizing the president have been filed in military courts as “defaming the army” under article 91 of Tunisia’s military justice code because the president is the commander-in-chief of the armed forces under the constitution.</w:t>
      </w:r>
      <w:r w:rsidRPr="00F07878">
        <w:rPr>
          <w:rStyle w:val="FootnoteReference"/>
        </w:rPr>
        <w:footnoteReference w:id="56"/>
      </w:r>
      <w:r w:rsidRPr="00F07878">
        <w:t xml:space="preserve"> </w:t>
      </w:r>
      <w:r w:rsidR="00263C2D" w:rsidRPr="00F07878">
        <w:t>In a similar vein, Decree-Law No. 2022-54 of September 13, 2022 includes prison sentences of up to 10 years</w:t>
      </w:r>
      <w:r w:rsidR="00F57CD8" w:rsidRPr="00F07878">
        <w:t xml:space="preserve"> for alleged offenses relating to information and communication systems, and </w:t>
      </w:r>
      <w:r w:rsidR="0075192A" w:rsidRPr="00F07878">
        <w:t>have the effect of intimidating journalists and stifling critics of the President.</w:t>
      </w:r>
      <w:r w:rsidR="005016D3" w:rsidRPr="00F07878">
        <w:rPr>
          <w:rStyle w:val="FootnoteReference"/>
        </w:rPr>
        <w:footnoteReference w:id="57"/>
      </w:r>
    </w:p>
    <w:p w14:paraId="0D2CDA89" w14:textId="74C41249" w:rsidR="000F20E2" w:rsidRPr="00F07878" w:rsidRDefault="000F20E2" w:rsidP="0076581E">
      <w:pPr>
        <w:numPr>
          <w:ilvl w:val="0"/>
          <w:numId w:val="7"/>
        </w:numPr>
        <w:spacing w:after="120"/>
        <w:ind w:left="360"/>
        <w:jc w:val="both"/>
      </w:pPr>
      <w:r w:rsidRPr="00F07878">
        <w:t>CTCPM</w:t>
      </w:r>
      <w:r w:rsidR="00C649DC" w:rsidRPr="00F07878">
        <w:t xml:space="preserve"> reports that in many cases involving women charged with capital offenses, “the discriminatory nature of the arrest, the investigation of the cases, the trials, and the incarceration </w:t>
      </w:r>
      <w:r w:rsidR="00883C7C" w:rsidRPr="00F07878">
        <w:t>is blatant.”</w:t>
      </w:r>
      <w:r w:rsidR="00883C7C" w:rsidRPr="00F07878">
        <w:rPr>
          <w:rStyle w:val="FootnoteReference"/>
        </w:rPr>
        <w:footnoteReference w:id="58"/>
      </w:r>
      <w:r w:rsidR="00883C7C" w:rsidRPr="00F07878">
        <w:t xml:space="preserve"> These women do not have access to justice because they lack knowledge of the criminal legal system and they lack the means to hire an attorney.</w:t>
      </w:r>
      <w:r w:rsidR="00883C7C" w:rsidRPr="00F07878">
        <w:rPr>
          <w:rStyle w:val="FootnoteReference"/>
        </w:rPr>
        <w:footnoteReference w:id="59"/>
      </w:r>
      <w:r w:rsidR="001653F9" w:rsidRPr="00F07878">
        <w:t xml:space="preserve"> Moreover, according to CTCPM, “[m]</w:t>
      </w:r>
      <w:proofErr w:type="spellStart"/>
      <w:r w:rsidR="001653F9" w:rsidRPr="00F07878">
        <w:t>ost</w:t>
      </w:r>
      <w:proofErr w:type="spellEnd"/>
      <w:r w:rsidR="001653F9" w:rsidRPr="00F07878">
        <w:t xml:space="preserve"> of the women sentenced to death are abandoned by their families either because of economic necessity or to ‘escape’ the ‘dishonor’ and stigma.”</w:t>
      </w:r>
      <w:r w:rsidR="001653F9" w:rsidRPr="00F07878">
        <w:rPr>
          <w:rStyle w:val="FootnoteReference"/>
        </w:rPr>
        <w:footnoteReference w:id="60"/>
      </w:r>
      <w:r w:rsidR="00C7583E" w:rsidRPr="00F07878">
        <w:t xml:space="preserve"> CTCPM reports that according to direct observations, many of these women at risk of being </w:t>
      </w:r>
      <w:r w:rsidR="00C7583E" w:rsidRPr="00F07878">
        <w:lastRenderedPageBreak/>
        <w:t>sentenced to death and under sentence of death “are in very fragile psychological situations, depressed and suicidal.”</w:t>
      </w:r>
      <w:r w:rsidR="00C7583E" w:rsidRPr="00F07878">
        <w:rPr>
          <w:rStyle w:val="FootnoteReference"/>
        </w:rPr>
        <w:footnoteReference w:id="61"/>
      </w:r>
    </w:p>
    <w:p w14:paraId="16E5225B" w14:textId="32F0CDA3" w:rsidR="007043F9" w:rsidRPr="00F07878" w:rsidRDefault="007043F9" w:rsidP="001B15BD">
      <w:pPr>
        <w:keepNext/>
        <w:numPr>
          <w:ilvl w:val="0"/>
          <w:numId w:val="8"/>
        </w:numPr>
        <w:spacing w:before="240" w:after="240"/>
        <w:ind w:left="360" w:hanging="360"/>
        <w:rPr>
          <w:b/>
        </w:rPr>
      </w:pPr>
      <w:r w:rsidRPr="00F07878">
        <w:rPr>
          <w:b/>
        </w:rPr>
        <w:t xml:space="preserve">Women under sentence of death </w:t>
      </w:r>
      <w:r w:rsidR="00CE4F6D" w:rsidRPr="00F07878">
        <w:rPr>
          <w:b/>
        </w:rPr>
        <w:t>experience</w:t>
      </w:r>
      <w:r w:rsidRPr="00F07878">
        <w:rPr>
          <w:b/>
        </w:rPr>
        <w:t xml:space="preserve"> degrading detention conditions. </w:t>
      </w:r>
    </w:p>
    <w:p w14:paraId="2BBD33B7" w14:textId="6532866E" w:rsidR="00FA0FB7" w:rsidRPr="00F07878" w:rsidRDefault="00857C07" w:rsidP="00DC1402">
      <w:pPr>
        <w:numPr>
          <w:ilvl w:val="0"/>
          <w:numId w:val="7"/>
        </w:numPr>
        <w:spacing w:after="120"/>
        <w:ind w:left="360"/>
        <w:jc w:val="both"/>
      </w:pPr>
      <w:r w:rsidRPr="00F07878">
        <w:t xml:space="preserve">Women under sentence of death are held at the </w:t>
      </w:r>
      <w:proofErr w:type="spellStart"/>
      <w:r w:rsidRPr="00F07878">
        <w:t>Manouba</w:t>
      </w:r>
      <w:proofErr w:type="spellEnd"/>
      <w:r w:rsidRPr="00F07878">
        <w:t xml:space="preserve"> prison.</w:t>
      </w:r>
      <w:r w:rsidRPr="00F07878">
        <w:rPr>
          <w:rStyle w:val="FootnoteReference"/>
        </w:rPr>
        <w:footnoteReference w:id="62"/>
      </w:r>
      <w:r w:rsidR="002376BA" w:rsidRPr="00F07878">
        <w:t xml:space="preserve"> They live alongside </w:t>
      </w:r>
      <w:r w:rsidR="00027B09" w:rsidRPr="00F07878">
        <w:t xml:space="preserve">people in </w:t>
      </w:r>
      <w:r w:rsidR="002376BA" w:rsidRPr="00F07878">
        <w:t xml:space="preserve">the general </w:t>
      </w:r>
      <w:r w:rsidR="00027B09" w:rsidRPr="00F07878">
        <w:t xml:space="preserve">women’s </w:t>
      </w:r>
      <w:r w:rsidR="002376BA" w:rsidRPr="00F07878">
        <w:t>prison population</w:t>
      </w:r>
      <w:r w:rsidR="00027B09" w:rsidRPr="00F07878">
        <w:t>.</w:t>
      </w:r>
      <w:r w:rsidR="00027B09" w:rsidRPr="00F07878">
        <w:rPr>
          <w:rStyle w:val="FootnoteReference"/>
        </w:rPr>
        <w:footnoteReference w:id="63"/>
      </w:r>
      <w:r w:rsidR="008E7DC0" w:rsidRPr="00F07878">
        <w:t xml:space="preserve"> According to </w:t>
      </w:r>
      <w:r w:rsidR="006A1042" w:rsidRPr="00F07878">
        <w:t>the Tunisian Coalition Against the Death Penalty</w:t>
      </w:r>
      <w:r w:rsidR="00916F2C" w:rsidRPr="00F07878">
        <w:t xml:space="preserve"> (CTCPM)</w:t>
      </w:r>
      <w:r w:rsidR="006A1042" w:rsidRPr="00F07878">
        <w:t xml:space="preserve"> and </w:t>
      </w:r>
      <w:r w:rsidR="008E7DC0" w:rsidRPr="00F07878">
        <w:t xml:space="preserve">Ensemble </w:t>
      </w:r>
      <w:proofErr w:type="spellStart"/>
      <w:r w:rsidR="008E7DC0" w:rsidRPr="00F07878">
        <w:t>Contre</w:t>
      </w:r>
      <w:proofErr w:type="spellEnd"/>
      <w:r w:rsidR="008E7DC0" w:rsidRPr="00F07878">
        <w:t xml:space="preserve"> la </w:t>
      </w:r>
      <w:proofErr w:type="spellStart"/>
      <w:r w:rsidR="008E7DC0" w:rsidRPr="00F07878">
        <w:t>Peine</w:t>
      </w:r>
      <w:proofErr w:type="spellEnd"/>
      <w:r w:rsidR="008E7DC0" w:rsidRPr="00F07878">
        <w:t xml:space="preserve"> de Mort</w:t>
      </w:r>
      <w:r w:rsidR="00916F2C" w:rsidRPr="00F07878">
        <w:t xml:space="preserve"> (ECPM)</w:t>
      </w:r>
      <w:r w:rsidR="008E7DC0" w:rsidRPr="00F07878">
        <w:t xml:space="preserve">, people on death row do not have “access to educational, vocational and technical training </w:t>
      </w:r>
      <w:proofErr w:type="spellStart"/>
      <w:r w:rsidR="008E7DC0" w:rsidRPr="00F07878">
        <w:t>programmes</w:t>
      </w:r>
      <w:proofErr w:type="spellEnd"/>
      <w:r w:rsidR="008E7DC0" w:rsidRPr="00F07878">
        <w:t xml:space="preserve"> and have not been given the opportunity to work.”</w:t>
      </w:r>
      <w:r w:rsidR="00916F2C" w:rsidRPr="00F07878">
        <w:rPr>
          <w:rStyle w:val="FootnoteReference"/>
        </w:rPr>
        <w:t xml:space="preserve"> </w:t>
      </w:r>
      <w:r w:rsidR="00916F2C" w:rsidRPr="00F07878">
        <w:rPr>
          <w:rStyle w:val="FootnoteReference"/>
        </w:rPr>
        <w:footnoteReference w:id="64"/>
      </w:r>
      <w:r w:rsidR="008E7DC0" w:rsidRPr="00F07878">
        <w:t xml:space="preserve"> Moreover,</w:t>
      </w:r>
      <w:r w:rsidR="00704588" w:rsidRPr="00F07878">
        <w:t xml:space="preserve"> </w:t>
      </w:r>
      <w:r w:rsidR="00916F2C" w:rsidRPr="00F07878">
        <w:t xml:space="preserve">CTCPM and </w:t>
      </w:r>
      <w:r w:rsidR="00704588" w:rsidRPr="00F07878">
        <w:t>ECPM report,</w:t>
      </w:r>
      <w:r w:rsidR="008E7DC0" w:rsidRPr="00F07878">
        <w:t xml:space="preserve"> “the medical and psychological care of prisoners on death row is generally inadequate.”</w:t>
      </w:r>
      <w:r w:rsidR="00192AC3" w:rsidRPr="00F07878">
        <w:rPr>
          <w:rStyle w:val="FootnoteReference"/>
        </w:rPr>
        <w:footnoteReference w:id="65"/>
      </w:r>
      <w:r w:rsidR="00704588" w:rsidRPr="00F07878">
        <w:t xml:space="preserve"> In October 2022, the Minister of Justice paid an unexpected visit to the </w:t>
      </w:r>
      <w:proofErr w:type="spellStart"/>
      <w:r w:rsidR="00704588" w:rsidRPr="00F07878">
        <w:t>Manouba</w:t>
      </w:r>
      <w:proofErr w:type="spellEnd"/>
      <w:r w:rsidR="00704588" w:rsidRPr="00F07878">
        <w:t xml:space="preserve"> prison, where she reportedly “became concerned with the conditions of accommodation . . . as well a</w:t>
      </w:r>
      <w:r w:rsidR="00D309E1" w:rsidRPr="00F07878">
        <w:t>s</w:t>
      </w:r>
      <w:r w:rsidR="00704588" w:rsidRPr="00F07878">
        <w:t xml:space="preserve"> the quality of the means offered to [the women], the availability of food products in the prison unit, and the conditions of their storage.”</w:t>
      </w:r>
      <w:r w:rsidR="00704588" w:rsidRPr="00F07878">
        <w:rPr>
          <w:rStyle w:val="FootnoteReference"/>
        </w:rPr>
        <w:footnoteReference w:id="66"/>
      </w:r>
      <w:r w:rsidR="00D309E1" w:rsidRPr="00F07878">
        <w:t xml:space="preserve"> </w:t>
      </w:r>
      <w:r w:rsidR="0065251A" w:rsidRPr="00F07878">
        <w:t xml:space="preserve">The three women </w:t>
      </w:r>
      <w:r w:rsidR="00D309E1" w:rsidRPr="00F07878">
        <w:t xml:space="preserve">under sentence of death told CTCPM that </w:t>
      </w:r>
      <w:r w:rsidR="0065251A" w:rsidRPr="00F07878">
        <w:t xml:space="preserve">they </w:t>
      </w:r>
      <w:r w:rsidR="00DA0201" w:rsidRPr="00F07878">
        <w:t xml:space="preserve">had to purchase </w:t>
      </w:r>
      <w:r w:rsidR="0065251A" w:rsidRPr="00F07878">
        <w:t xml:space="preserve">their </w:t>
      </w:r>
      <w:r w:rsidR="00DA0201" w:rsidRPr="00F07878">
        <w:t xml:space="preserve">own hygiene products, </w:t>
      </w:r>
      <w:r w:rsidR="0065251A" w:rsidRPr="00F07878">
        <w:t xml:space="preserve">that </w:t>
      </w:r>
      <w:r w:rsidR="00DA0201" w:rsidRPr="00F07878">
        <w:t xml:space="preserve">women were allowed to shower just once per week, and </w:t>
      </w:r>
      <w:r w:rsidR="0065251A" w:rsidRPr="00F07878">
        <w:t xml:space="preserve">that </w:t>
      </w:r>
      <w:r w:rsidR="00DA0201" w:rsidRPr="00F07878">
        <w:t xml:space="preserve">the water was not </w:t>
      </w:r>
      <w:r w:rsidR="0070617F" w:rsidRPr="00F07878">
        <w:t>of drinking quality.</w:t>
      </w:r>
      <w:r w:rsidR="0070617F" w:rsidRPr="00F07878">
        <w:rPr>
          <w:rStyle w:val="FootnoteReference"/>
        </w:rPr>
        <w:footnoteReference w:id="67"/>
      </w:r>
      <w:r w:rsidR="004276A9" w:rsidRPr="00F07878">
        <w:t xml:space="preserve"> </w:t>
      </w:r>
      <w:r w:rsidR="0068110C" w:rsidRPr="00F07878">
        <w:t>One woman told CTCPM that her elderly parents could provide her with only 10 dinars (6-7 Euros)</w:t>
      </w:r>
      <w:r w:rsidR="00D06128" w:rsidRPr="00F07878">
        <w:t xml:space="preserve"> to purchase basic hygiene products in prison.</w:t>
      </w:r>
      <w:r w:rsidR="00D06128" w:rsidRPr="00F07878">
        <w:rPr>
          <w:rStyle w:val="FootnoteReference"/>
        </w:rPr>
        <w:footnoteReference w:id="68"/>
      </w:r>
      <w:r w:rsidR="00D06128" w:rsidRPr="00F07878">
        <w:t xml:space="preserve"> Her parents could no longer visit her in prison because of the cost of travel.</w:t>
      </w:r>
      <w:r w:rsidR="00D06128" w:rsidRPr="00F07878">
        <w:rPr>
          <w:rStyle w:val="FootnoteReference"/>
        </w:rPr>
        <w:footnoteReference w:id="69"/>
      </w:r>
    </w:p>
    <w:p w14:paraId="02902FAA" w14:textId="765D9DEC" w:rsidR="00FD2FD5" w:rsidRPr="00F07878" w:rsidRDefault="00FD2FD5" w:rsidP="00DC1402">
      <w:pPr>
        <w:numPr>
          <w:ilvl w:val="0"/>
          <w:numId w:val="7"/>
        </w:numPr>
        <w:spacing w:after="120"/>
        <w:ind w:left="360"/>
        <w:jc w:val="both"/>
      </w:pPr>
      <w:r w:rsidRPr="00F07878">
        <w:t>One woman under sentence of death told CTCPM that while in detention, she had developed diabetes, hypertension, anemia, and cataracts, noting that medical follow-up is “insufficient.”</w:t>
      </w:r>
      <w:r w:rsidRPr="00F07878">
        <w:rPr>
          <w:rStyle w:val="FootnoteReference"/>
        </w:rPr>
        <w:footnoteReference w:id="70"/>
      </w:r>
      <w:r w:rsidR="00F87F92" w:rsidRPr="00F07878">
        <w:t xml:space="preserve"> She also told CTCPM that prison officials rejected her request to have direct access to her </w:t>
      </w:r>
      <w:r w:rsidR="00F87F92" w:rsidRPr="00F07878">
        <w:lastRenderedPageBreak/>
        <w:t>daughters and 83-year-old mother</w:t>
      </w:r>
      <w:r w:rsidR="0068110C" w:rsidRPr="00F07878">
        <w:t xml:space="preserve"> for prison visits.</w:t>
      </w:r>
      <w:r w:rsidR="0068110C" w:rsidRPr="00F07878">
        <w:rPr>
          <w:rStyle w:val="FootnoteReference"/>
        </w:rPr>
        <w:footnoteReference w:id="71"/>
      </w:r>
      <w:r w:rsidR="0068110C" w:rsidRPr="00F07878">
        <w:t xml:space="preserve"> Due to this decision to bar her from contact with her family, she considers herself to be “executed.”</w:t>
      </w:r>
      <w:r w:rsidR="0068110C" w:rsidRPr="00F07878">
        <w:rPr>
          <w:rStyle w:val="FootnoteReference"/>
        </w:rPr>
        <w:footnoteReference w:id="72"/>
      </w:r>
    </w:p>
    <w:p w14:paraId="5C21D7A4" w14:textId="06DB7251" w:rsidR="00857C07" w:rsidRPr="00F07878" w:rsidRDefault="004276A9" w:rsidP="00DC1402">
      <w:pPr>
        <w:numPr>
          <w:ilvl w:val="0"/>
          <w:numId w:val="7"/>
        </w:numPr>
        <w:spacing w:after="120"/>
        <w:ind w:left="360"/>
        <w:jc w:val="both"/>
      </w:pPr>
      <w:r w:rsidRPr="00F07878">
        <w:t xml:space="preserve">A recent report in </w:t>
      </w:r>
      <w:proofErr w:type="spellStart"/>
      <w:r w:rsidRPr="00F07878">
        <w:t>Nawaat</w:t>
      </w:r>
      <w:proofErr w:type="spellEnd"/>
      <w:r w:rsidRPr="00F07878">
        <w:t xml:space="preserve"> magazine included details of an interview with a woman who had recently been released from the </w:t>
      </w:r>
      <w:proofErr w:type="spellStart"/>
      <w:r w:rsidRPr="00F07878">
        <w:t>Manouba</w:t>
      </w:r>
      <w:proofErr w:type="spellEnd"/>
      <w:r w:rsidRPr="00F07878">
        <w:t xml:space="preserve"> prison.</w:t>
      </w:r>
      <w:r w:rsidRPr="00F07878">
        <w:rPr>
          <w:rStyle w:val="FootnoteReference"/>
        </w:rPr>
        <w:footnoteReference w:id="73"/>
      </w:r>
      <w:r w:rsidRPr="00F07878">
        <w:t xml:space="preserve"> The woman reported that she had been subjected frequent and humiliating strip searches at the prison, including upon admission to the prison and each time she left her cell to take care of administrative paperwork.</w:t>
      </w:r>
      <w:r w:rsidRPr="00F07878">
        <w:rPr>
          <w:rStyle w:val="FootnoteReference"/>
        </w:rPr>
        <w:footnoteReference w:id="74"/>
      </w:r>
      <w:r w:rsidRPr="00F07878">
        <w:t xml:space="preserve"> She explained that women are forced to share beds, and she recounted an occasion in which the shared toilets in her cell malfunctioned.</w:t>
      </w:r>
      <w:r w:rsidRPr="00F07878">
        <w:rPr>
          <w:rStyle w:val="FootnoteReference"/>
        </w:rPr>
        <w:footnoteReference w:id="75"/>
      </w:r>
      <w:r w:rsidRPr="00F07878">
        <w:t xml:space="preserve"> The guards then assigned one person each day to collect the human waste and pour it into the prison courtyard.</w:t>
      </w:r>
      <w:r w:rsidRPr="00F07878">
        <w:rPr>
          <w:rStyle w:val="FootnoteReference"/>
        </w:rPr>
        <w:footnoteReference w:id="76"/>
      </w:r>
      <w:r w:rsidRPr="00F07878">
        <w:t xml:space="preserve"> She also reported that suicide attempts were frequent.</w:t>
      </w:r>
      <w:r w:rsidRPr="00F07878">
        <w:rPr>
          <w:rStyle w:val="FootnoteReference"/>
        </w:rPr>
        <w:footnoteReference w:id="77"/>
      </w:r>
    </w:p>
    <w:p w14:paraId="5BA5FD26" w14:textId="53A03651" w:rsidR="00085935" w:rsidRPr="00F07878" w:rsidRDefault="00111994" w:rsidP="00F138DE">
      <w:pPr>
        <w:keepNext/>
        <w:numPr>
          <w:ilvl w:val="0"/>
          <w:numId w:val="8"/>
        </w:numPr>
        <w:spacing w:before="240" w:after="240"/>
        <w:ind w:left="360" w:hanging="360"/>
        <w:jc w:val="both"/>
        <w:rPr>
          <w:b/>
        </w:rPr>
      </w:pPr>
      <w:r w:rsidRPr="00F07878">
        <w:rPr>
          <w:b/>
        </w:rPr>
        <w:t>Suggested recommendations</w:t>
      </w:r>
      <w:r w:rsidR="00255789" w:rsidRPr="00F07878">
        <w:rPr>
          <w:b/>
        </w:rPr>
        <w:t xml:space="preserve"> for</w:t>
      </w:r>
      <w:r w:rsidR="000A66B8" w:rsidRPr="00F07878">
        <w:rPr>
          <w:b/>
        </w:rPr>
        <w:t xml:space="preserve"> the Government of </w:t>
      </w:r>
      <w:r w:rsidR="00C12A14" w:rsidRPr="00F07878">
        <w:rPr>
          <w:b/>
        </w:rPr>
        <w:t>Tunisia</w:t>
      </w:r>
      <w:r w:rsidR="00EA0EEB" w:rsidRPr="00F07878">
        <w:rPr>
          <w:b/>
        </w:rPr>
        <w:t xml:space="preserve"> </w:t>
      </w:r>
    </w:p>
    <w:p w14:paraId="09ED740C" w14:textId="4450AB99" w:rsidR="00111994" w:rsidRPr="00F07878" w:rsidRDefault="00857D47" w:rsidP="007B46CD">
      <w:pPr>
        <w:numPr>
          <w:ilvl w:val="0"/>
          <w:numId w:val="7"/>
        </w:numPr>
        <w:spacing w:after="120"/>
        <w:ind w:left="360"/>
        <w:jc w:val="both"/>
      </w:pPr>
      <w:r w:rsidRPr="00F07878">
        <w:t>The coauthors suggest the following recommendations</w:t>
      </w:r>
      <w:r w:rsidR="00CA17AE" w:rsidRPr="00F82F0B">
        <w:rPr>
          <w:vertAlign w:val="superscript"/>
          <w:lang w:eastAsia="zh-CN"/>
        </w:rPr>
        <w:footnoteReference w:id="78"/>
      </w:r>
      <w:r w:rsidRPr="00F07878">
        <w:t xml:space="preserve"> for </w:t>
      </w:r>
      <w:r w:rsidR="00181B2A" w:rsidRPr="00F07878">
        <w:t xml:space="preserve">the Government of </w:t>
      </w:r>
      <w:r w:rsidR="001E7AD1" w:rsidRPr="00F07878">
        <w:t>Tunisia</w:t>
      </w:r>
      <w:r w:rsidR="00255789" w:rsidRPr="00F07878">
        <w:t>:</w:t>
      </w:r>
    </w:p>
    <w:p w14:paraId="194934A1" w14:textId="65D3F52E" w:rsidR="00871394"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Abolish the death penalty and replace it with penalties that are fair, proportionate, and </w:t>
      </w:r>
      <w:r w:rsidR="00313E4F" w:rsidRPr="00F07878">
        <w:rPr>
          <w:rFonts w:ascii="Times New Roman" w:hAnsi="Times New Roman"/>
          <w:sz w:val="24"/>
          <w:szCs w:val="24"/>
        </w:rPr>
        <w:t>consistent</w:t>
      </w:r>
      <w:r w:rsidRPr="00F07878">
        <w:rPr>
          <w:rFonts w:ascii="Times New Roman" w:hAnsi="Times New Roman"/>
          <w:sz w:val="24"/>
          <w:szCs w:val="24"/>
        </w:rPr>
        <w:t xml:space="preserve"> with international </w:t>
      </w:r>
      <w:r w:rsidRPr="00F07878">
        <w:rPr>
          <w:rFonts w:ascii="Times New Roman" w:eastAsia="Times New Roman" w:hAnsi="Times New Roman"/>
          <w:color w:val="000000" w:themeColor="text1"/>
          <w:sz w:val="24"/>
          <w:szCs w:val="24"/>
          <w:lang w:eastAsia="en-US"/>
        </w:rPr>
        <w:t>human</w:t>
      </w:r>
      <w:r w:rsidRPr="00F07878">
        <w:rPr>
          <w:rFonts w:ascii="Times New Roman" w:hAnsi="Times New Roman"/>
          <w:sz w:val="24"/>
          <w:szCs w:val="24"/>
        </w:rPr>
        <w:t xml:space="preserve"> rights standards.</w:t>
      </w:r>
    </w:p>
    <w:p w14:paraId="3E8714AD" w14:textId="1410A6F7" w:rsidR="00871394"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Ratify the Second Optional Protocol to the International Covenant on Civil and Political Rights.</w:t>
      </w:r>
    </w:p>
    <w:p w14:paraId="01A22217" w14:textId="18489DD7" w:rsidR="005B337A" w:rsidRPr="00F07878" w:rsidRDefault="005B337A"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Support the </w:t>
      </w:r>
      <w:r w:rsidR="002D4CE4" w:rsidRPr="00F07878">
        <w:rPr>
          <w:rFonts w:ascii="Times New Roman" w:hAnsi="Times New Roman"/>
          <w:sz w:val="24"/>
          <w:szCs w:val="24"/>
        </w:rPr>
        <w:t>draft protocol to the African Charter on Human and Peoples’ Rights on the abolition of the death penalty.</w:t>
      </w:r>
    </w:p>
    <w:p w14:paraId="7364B6FB" w14:textId="0F71D56F" w:rsidR="00871394"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In the </w:t>
      </w:r>
      <w:r w:rsidR="00313E4F" w:rsidRPr="00F07878">
        <w:rPr>
          <w:rFonts w:ascii="Times New Roman" w:hAnsi="Times New Roman"/>
          <w:sz w:val="24"/>
          <w:szCs w:val="24"/>
        </w:rPr>
        <w:t>interim</w:t>
      </w:r>
      <w:r w:rsidRPr="00F07878">
        <w:rPr>
          <w:rFonts w:ascii="Times New Roman" w:hAnsi="Times New Roman"/>
          <w:sz w:val="24"/>
          <w:szCs w:val="24"/>
        </w:rPr>
        <w:t>, establish a de jure moratorium on executions and ensure that the death penalty is an available penalty only for an intentional killing committed by the person to be sentenced to death.</w:t>
      </w:r>
    </w:p>
    <w:p w14:paraId="5695C0FB" w14:textId="31C86443" w:rsidR="00C12A14"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lastRenderedPageBreak/>
        <w:t>Take urgent steps to comply</w:t>
      </w:r>
      <w:r w:rsidR="00C12A14" w:rsidRPr="00F07878">
        <w:rPr>
          <w:rFonts w:ascii="Times New Roman" w:hAnsi="Times New Roman"/>
          <w:sz w:val="24"/>
          <w:szCs w:val="24"/>
        </w:rPr>
        <w:t xml:space="preserve"> with the </w:t>
      </w:r>
      <w:r w:rsidR="00ED29E5" w:rsidRPr="00F07878">
        <w:rPr>
          <w:rFonts w:ascii="Times New Roman" w:hAnsi="Times New Roman"/>
          <w:sz w:val="24"/>
          <w:szCs w:val="24"/>
        </w:rPr>
        <w:t>African Court on Human and Peoples</w:t>
      </w:r>
      <w:r w:rsidR="00D41ED4" w:rsidRPr="00F07878">
        <w:rPr>
          <w:rFonts w:ascii="Times New Roman" w:hAnsi="Times New Roman"/>
          <w:sz w:val="24"/>
          <w:szCs w:val="24"/>
        </w:rPr>
        <w:t>’</w:t>
      </w:r>
      <w:r w:rsidR="00ED29E5" w:rsidRPr="00F07878">
        <w:rPr>
          <w:rFonts w:ascii="Times New Roman" w:hAnsi="Times New Roman"/>
          <w:sz w:val="24"/>
          <w:szCs w:val="24"/>
        </w:rPr>
        <w:t xml:space="preserve"> Rights</w:t>
      </w:r>
      <w:r w:rsidR="00D41ED4" w:rsidRPr="00F07878">
        <w:rPr>
          <w:rFonts w:ascii="Times New Roman" w:hAnsi="Times New Roman"/>
          <w:sz w:val="24"/>
          <w:szCs w:val="24"/>
        </w:rPr>
        <w:t>’</w:t>
      </w:r>
      <w:r w:rsidR="00ED29E5" w:rsidRPr="00F07878">
        <w:rPr>
          <w:rFonts w:ascii="Times New Roman" w:hAnsi="Times New Roman"/>
          <w:sz w:val="24"/>
          <w:szCs w:val="24"/>
        </w:rPr>
        <w:t xml:space="preserve"> </w:t>
      </w:r>
      <w:r w:rsidR="00D41ED4" w:rsidRPr="00F07878">
        <w:rPr>
          <w:rFonts w:ascii="Times New Roman" w:hAnsi="Times New Roman"/>
          <w:sz w:val="24"/>
          <w:szCs w:val="24"/>
        </w:rPr>
        <w:t>j</w:t>
      </w:r>
      <w:r w:rsidR="00ED29E5" w:rsidRPr="00F07878">
        <w:rPr>
          <w:rFonts w:ascii="Times New Roman" w:hAnsi="Times New Roman"/>
          <w:sz w:val="24"/>
          <w:szCs w:val="24"/>
        </w:rPr>
        <w:t xml:space="preserve">udgment issued in </w:t>
      </w:r>
      <w:proofErr w:type="spellStart"/>
      <w:r w:rsidR="00ED29E5" w:rsidRPr="00F07878">
        <w:rPr>
          <w:rFonts w:ascii="Times New Roman" w:hAnsi="Times New Roman"/>
          <w:i/>
          <w:iCs/>
          <w:sz w:val="24"/>
          <w:szCs w:val="24"/>
        </w:rPr>
        <w:t>Belguith</w:t>
      </w:r>
      <w:proofErr w:type="spellEnd"/>
      <w:r w:rsidR="00ED29E5" w:rsidRPr="00F07878">
        <w:rPr>
          <w:rFonts w:ascii="Times New Roman" w:hAnsi="Times New Roman"/>
          <w:sz w:val="24"/>
          <w:szCs w:val="24"/>
        </w:rPr>
        <w:t xml:space="preserve"> v. </w:t>
      </w:r>
      <w:r w:rsidR="00ED29E5" w:rsidRPr="00F07878">
        <w:rPr>
          <w:rFonts w:ascii="Times New Roman" w:hAnsi="Times New Roman"/>
          <w:i/>
          <w:iCs/>
          <w:sz w:val="24"/>
          <w:szCs w:val="24"/>
        </w:rPr>
        <w:t>Republic of Tunisia</w:t>
      </w:r>
      <w:r w:rsidR="004B3875" w:rsidRPr="00F07878">
        <w:rPr>
          <w:rFonts w:ascii="Times New Roman" w:hAnsi="Times New Roman"/>
          <w:sz w:val="24"/>
          <w:szCs w:val="24"/>
        </w:rPr>
        <w:t>,</w:t>
      </w:r>
      <w:r w:rsidR="00ED29E5" w:rsidRPr="00F07878">
        <w:rPr>
          <w:rFonts w:ascii="Times New Roman" w:hAnsi="Times New Roman"/>
          <w:sz w:val="24"/>
          <w:szCs w:val="24"/>
        </w:rPr>
        <w:t xml:space="preserve"> both with respect to repealing Presidential Decrees Nos. 69, 80, 109, 117, 137, and 138 as well as establishing a judiciary existing truly independently from the President</w:t>
      </w:r>
      <w:r w:rsidRPr="00F07878">
        <w:rPr>
          <w:rFonts w:ascii="Times New Roman" w:hAnsi="Times New Roman"/>
          <w:sz w:val="24"/>
          <w:szCs w:val="24"/>
        </w:rPr>
        <w:t>.</w:t>
      </w:r>
    </w:p>
    <w:p w14:paraId="06E8F585" w14:textId="787F1F48" w:rsidR="00ED29E5"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Ensure that </w:t>
      </w:r>
      <w:r w:rsidR="003D219D" w:rsidRPr="00F07878">
        <w:rPr>
          <w:rFonts w:ascii="Times New Roman" w:hAnsi="Times New Roman"/>
          <w:sz w:val="24"/>
          <w:szCs w:val="24"/>
        </w:rPr>
        <w:t xml:space="preserve">an </w:t>
      </w:r>
      <w:r w:rsidR="00D41ED4" w:rsidRPr="00F07878">
        <w:rPr>
          <w:rFonts w:ascii="Times New Roman" w:hAnsi="Times New Roman"/>
          <w:sz w:val="24"/>
          <w:szCs w:val="24"/>
        </w:rPr>
        <w:t>“</w:t>
      </w:r>
      <w:r w:rsidR="003D219D" w:rsidRPr="00F07878">
        <w:rPr>
          <w:rFonts w:ascii="Times New Roman" w:hAnsi="Times New Roman"/>
          <w:sz w:val="24"/>
          <w:szCs w:val="24"/>
        </w:rPr>
        <w:t>extreme case</w:t>
      </w:r>
      <w:r w:rsidR="00D41ED4" w:rsidRPr="00F07878">
        <w:rPr>
          <w:rFonts w:ascii="Times New Roman" w:hAnsi="Times New Roman"/>
          <w:sz w:val="24"/>
          <w:szCs w:val="24"/>
        </w:rPr>
        <w:t>”</w:t>
      </w:r>
      <w:r w:rsidR="003D219D" w:rsidRPr="00F07878">
        <w:rPr>
          <w:rFonts w:ascii="Times New Roman" w:hAnsi="Times New Roman"/>
          <w:sz w:val="24"/>
          <w:szCs w:val="24"/>
        </w:rPr>
        <w:t xml:space="preserve"> </w:t>
      </w:r>
      <w:r w:rsidR="00D41ED4" w:rsidRPr="00F07878">
        <w:rPr>
          <w:rFonts w:ascii="Times New Roman" w:hAnsi="Times New Roman"/>
          <w:sz w:val="24"/>
          <w:szCs w:val="24"/>
        </w:rPr>
        <w:t xml:space="preserve">under </w:t>
      </w:r>
      <w:r w:rsidR="003D219D" w:rsidRPr="00F07878">
        <w:rPr>
          <w:rFonts w:ascii="Times New Roman" w:hAnsi="Times New Roman"/>
          <w:sz w:val="24"/>
          <w:szCs w:val="24"/>
        </w:rPr>
        <w:t xml:space="preserve">Article 24 of the 2022 Constitution </w:t>
      </w:r>
      <w:r w:rsidRPr="00F07878">
        <w:rPr>
          <w:rFonts w:ascii="Times New Roman" w:hAnsi="Times New Roman"/>
          <w:sz w:val="24"/>
          <w:szCs w:val="24"/>
        </w:rPr>
        <w:t xml:space="preserve">authorizes </w:t>
      </w:r>
      <w:r w:rsidR="003D219D" w:rsidRPr="00F07878">
        <w:rPr>
          <w:rFonts w:ascii="Times New Roman" w:hAnsi="Times New Roman"/>
          <w:sz w:val="24"/>
          <w:szCs w:val="24"/>
        </w:rPr>
        <w:t>the death penalty</w:t>
      </w:r>
      <w:r w:rsidRPr="00F07878">
        <w:rPr>
          <w:rFonts w:ascii="Times New Roman" w:hAnsi="Times New Roman"/>
          <w:sz w:val="24"/>
          <w:szCs w:val="24"/>
        </w:rPr>
        <w:t xml:space="preserve"> consistent with international standards, limited to cases of intentional killing committed by the person to be sentenced to death.</w:t>
      </w:r>
    </w:p>
    <w:p w14:paraId="138A5C53" w14:textId="403F1E3E" w:rsidR="001F5060"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On at least an annual basis, publish disaggregated </w:t>
      </w:r>
      <w:r w:rsidR="001F5060" w:rsidRPr="00F07878">
        <w:rPr>
          <w:rFonts w:ascii="Times New Roman" w:hAnsi="Times New Roman"/>
          <w:sz w:val="24"/>
          <w:szCs w:val="24"/>
        </w:rPr>
        <w:t xml:space="preserve">data on all </w:t>
      </w:r>
      <w:r w:rsidRPr="00F07878">
        <w:rPr>
          <w:rFonts w:ascii="Times New Roman" w:hAnsi="Times New Roman"/>
          <w:sz w:val="24"/>
          <w:szCs w:val="24"/>
        </w:rPr>
        <w:t xml:space="preserve">women, transgender persons, and nonbinary persons charged with capital offenses and </w:t>
      </w:r>
      <w:r w:rsidR="001F5060" w:rsidRPr="00F07878">
        <w:rPr>
          <w:rFonts w:ascii="Times New Roman" w:hAnsi="Times New Roman"/>
          <w:sz w:val="24"/>
          <w:szCs w:val="24"/>
        </w:rPr>
        <w:t xml:space="preserve">under sentence of death, disaggregated by sex, age, </w:t>
      </w:r>
      <w:r w:rsidR="00A115CC" w:rsidRPr="00F07878">
        <w:rPr>
          <w:rFonts w:ascii="Times New Roman" w:hAnsi="Times New Roman"/>
          <w:sz w:val="24"/>
          <w:szCs w:val="24"/>
        </w:rPr>
        <w:t xml:space="preserve">age of dependent children (if any), </w:t>
      </w:r>
      <w:r w:rsidR="001F5060" w:rsidRPr="00F07878">
        <w:rPr>
          <w:rFonts w:ascii="Times New Roman" w:hAnsi="Times New Roman"/>
          <w:sz w:val="24"/>
          <w:szCs w:val="24"/>
        </w:rPr>
        <w:t>race</w:t>
      </w:r>
      <w:r w:rsidR="00A115CC" w:rsidRPr="00F07878">
        <w:rPr>
          <w:rFonts w:ascii="Times New Roman" w:hAnsi="Times New Roman"/>
          <w:sz w:val="24"/>
          <w:szCs w:val="24"/>
        </w:rPr>
        <w:t xml:space="preserve"> / ethnicity</w:t>
      </w:r>
      <w:r w:rsidR="001F5060" w:rsidRPr="00F07878">
        <w:rPr>
          <w:rFonts w:ascii="Times New Roman" w:hAnsi="Times New Roman"/>
          <w:sz w:val="24"/>
          <w:szCs w:val="24"/>
        </w:rPr>
        <w:t>, nationality, crime of conviction,</w:t>
      </w:r>
      <w:r w:rsidR="00CD6928" w:rsidRPr="00F07878">
        <w:rPr>
          <w:rFonts w:ascii="Times New Roman" w:hAnsi="Times New Roman"/>
          <w:sz w:val="24"/>
          <w:szCs w:val="24"/>
        </w:rPr>
        <w:t xml:space="preserve"> date of conviction,</w:t>
      </w:r>
      <w:r w:rsidR="001F5060" w:rsidRPr="00F07878">
        <w:rPr>
          <w:rFonts w:ascii="Times New Roman" w:hAnsi="Times New Roman"/>
          <w:sz w:val="24"/>
          <w:szCs w:val="24"/>
        </w:rPr>
        <w:t xml:space="preserve"> </w:t>
      </w:r>
      <w:r w:rsidRPr="00F07878">
        <w:rPr>
          <w:rFonts w:ascii="Times New Roman" w:hAnsi="Times New Roman"/>
          <w:sz w:val="24"/>
          <w:szCs w:val="24"/>
        </w:rPr>
        <w:t xml:space="preserve">relationship to the victim, </w:t>
      </w:r>
      <w:r w:rsidR="001F5060" w:rsidRPr="00F07878">
        <w:rPr>
          <w:rFonts w:ascii="Times New Roman" w:hAnsi="Times New Roman"/>
          <w:sz w:val="24"/>
          <w:szCs w:val="24"/>
        </w:rPr>
        <w:t>entity issuing the death sentence, and current location</w:t>
      </w:r>
      <w:r w:rsidR="00CD6928" w:rsidRPr="00F07878">
        <w:rPr>
          <w:rFonts w:ascii="Times New Roman" w:hAnsi="Times New Roman"/>
          <w:sz w:val="24"/>
          <w:szCs w:val="24"/>
        </w:rPr>
        <w:t>, to facilitate analysis of the demographics of women on death row</w:t>
      </w:r>
      <w:r w:rsidR="001F5060" w:rsidRPr="00F07878">
        <w:rPr>
          <w:rFonts w:ascii="Times New Roman" w:hAnsi="Times New Roman"/>
          <w:sz w:val="24"/>
          <w:szCs w:val="24"/>
        </w:rPr>
        <w:t xml:space="preserve">. </w:t>
      </w:r>
    </w:p>
    <w:p w14:paraId="03A9635E" w14:textId="5768FDD8" w:rsidR="00323693" w:rsidRPr="00F07878" w:rsidRDefault="00323693"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In collaboration with civil society organizations, provide all judges who have sentencing authority with comprehensive gender-sensitization training, including with respect to women and girls in conflict with the law who have experienced gender-based violence, focusing on gender-based discrimination, domestic violence,</w:t>
      </w:r>
      <w:r w:rsidR="007E6F3B" w:rsidRPr="00F07878">
        <w:rPr>
          <w:rFonts w:ascii="Times New Roman" w:hAnsi="Times New Roman"/>
          <w:sz w:val="24"/>
          <w:szCs w:val="24"/>
        </w:rPr>
        <w:t xml:space="preserve"> and tactics of coercive control that may lead women to commit death-eligible offenses.</w:t>
      </w:r>
    </w:p>
    <w:p w14:paraId="0033D9AE" w14:textId="2A6E69B9" w:rsidR="001F5060"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Prohibit military courts from trying civilians in cases involving the potential for the death penalty. </w:t>
      </w:r>
    </w:p>
    <w:p w14:paraId="75971AA5" w14:textId="789FCD83" w:rsidR="00871394"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E</w:t>
      </w:r>
      <w:r w:rsidR="00F0069F" w:rsidRPr="00F07878">
        <w:rPr>
          <w:rFonts w:ascii="Times New Roman" w:hAnsi="Times New Roman"/>
          <w:sz w:val="24"/>
          <w:szCs w:val="24"/>
        </w:rPr>
        <w:t xml:space="preserve">nsure that </w:t>
      </w:r>
      <w:r w:rsidRPr="00F07878">
        <w:rPr>
          <w:rFonts w:ascii="Times New Roman" w:hAnsi="Times New Roman"/>
          <w:sz w:val="24"/>
          <w:szCs w:val="24"/>
        </w:rPr>
        <w:t xml:space="preserve">any woman </w:t>
      </w:r>
      <w:r w:rsidR="00F0069F" w:rsidRPr="00F07878">
        <w:rPr>
          <w:rFonts w:ascii="Times New Roman" w:hAnsi="Times New Roman"/>
          <w:sz w:val="24"/>
          <w:szCs w:val="24"/>
        </w:rPr>
        <w:t xml:space="preserve">suspected of committing </w:t>
      </w:r>
      <w:r w:rsidRPr="00F07878">
        <w:rPr>
          <w:rFonts w:ascii="Times New Roman" w:hAnsi="Times New Roman"/>
          <w:sz w:val="24"/>
          <w:szCs w:val="24"/>
        </w:rPr>
        <w:t xml:space="preserve">a </w:t>
      </w:r>
      <w:r w:rsidR="00F0069F" w:rsidRPr="00F07878">
        <w:rPr>
          <w:rFonts w:ascii="Times New Roman" w:hAnsi="Times New Roman"/>
          <w:sz w:val="24"/>
          <w:szCs w:val="24"/>
        </w:rPr>
        <w:t xml:space="preserve">death-eligible offense </w:t>
      </w:r>
      <w:r w:rsidRPr="00F07878">
        <w:rPr>
          <w:rFonts w:ascii="Times New Roman" w:hAnsi="Times New Roman"/>
          <w:sz w:val="24"/>
          <w:szCs w:val="24"/>
        </w:rPr>
        <w:t xml:space="preserve">has </w:t>
      </w:r>
      <w:r w:rsidR="00F0069F" w:rsidRPr="00F07878">
        <w:rPr>
          <w:rFonts w:ascii="Times New Roman" w:hAnsi="Times New Roman"/>
          <w:sz w:val="24"/>
          <w:szCs w:val="24"/>
        </w:rPr>
        <w:t xml:space="preserve">access to free and </w:t>
      </w:r>
      <w:r w:rsidR="007E6F3B" w:rsidRPr="00F07878">
        <w:rPr>
          <w:rFonts w:ascii="Times New Roman" w:hAnsi="Times New Roman"/>
          <w:sz w:val="24"/>
          <w:szCs w:val="24"/>
        </w:rPr>
        <w:t xml:space="preserve">effective </w:t>
      </w:r>
      <w:r w:rsidR="00F0069F" w:rsidRPr="00F07878">
        <w:rPr>
          <w:rFonts w:ascii="Times New Roman" w:hAnsi="Times New Roman"/>
          <w:sz w:val="24"/>
          <w:szCs w:val="24"/>
        </w:rPr>
        <w:t xml:space="preserve">legal representation </w:t>
      </w:r>
      <w:r w:rsidR="00677B76" w:rsidRPr="00F07878">
        <w:rPr>
          <w:rFonts w:ascii="Times New Roman" w:hAnsi="Times New Roman"/>
          <w:sz w:val="24"/>
          <w:szCs w:val="24"/>
        </w:rPr>
        <w:t>by attorneys who specialize in capital representation</w:t>
      </w:r>
      <w:r w:rsidR="009F074E" w:rsidRPr="00F07878">
        <w:rPr>
          <w:rFonts w:ascii="Times New Roman" w:hAnsi="Times New Roman"/>
          <w:sz w:val="24"/>
          <w:szCs w:val="24"/>
        </w:rPr>
        <w:t xml:space="preserve"> during all stages of the investigation and trial</w:t>
      </w:r>
      <w:r w:rsidR="00677B76" w:rsidRPr="00F07878">
        <w:rPr>
          <w:rFonts w:ascii="Times New Roman" w:hAnsi="Times New Roman"/>
          <w:sz w:val="24"/>
          <w:szCs w:val="24"/>
        </w:rPr>
        <w:t xml:space="preserve"> and ensure that the defense has sufficient funding to condu</w:t>
      </w:r>
      <w:r w:rsidR="009F074E" w:rsidRPr="00F07878">
        <w:rPr>
          <w:rFonts w:ascii="Times New Roman" w:hAnsi="Times New Roman"/>
          <w:sz w:val="24"/>
          <w:szCs w:val="24"/>
        </w:rPr>
        <w:t>c</w:t>
      </w:r>
      <w:r w:rsidR="00677B76" w:rsidRPr="00F07878">
        <w:rPr>
          <w:rFonts w:ascii="Times New Roman" w:hAnsi="Times New Roman"/>
          <w:sz w:val="24"/>
          <w:szCs w:val="24"/>
        </w:rPr>
        <w:t xml:space="preserve">t a thorough investigation and secure relevant expert witnesses. </w:t>
      </w:r>
    </w:p>
    <w:p w14:paraId="0E055788" w14:textId="269CFAE1" w:rsidR="00F0069F" w:rsidRPr="00F07878" w:rsidRDefault="0087139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Ensure that all attorneys representing women in capital cases have </w:t>
      </w:r>
      <w:r w:rsidR="00367732" w:rsidRPr="00F07878">
        <w:rPr>
          <w:rFonts w:ascii="Times New Roman" w:hAnsi="Times New Roman"/>
          <w:sz w:val="24"/>
          <w:szCs w:val="24"/>
        </w:rPr>
        <w:t xml:space="preserve">training </w:t>
      </w:r>
      <w:r w:rsidR="00F0069F" w:rsidRPr="00F07878">
        <w:rPr>
          <w:rFonts w:ascii="Times New Roman" w:hAnsi="Times New Roman"/>
          <w:sz w:val="24"/>
          <w:szCs w:val="24"/>
        </w:rPr>
        <w:t xml:space="preserve">on gender-based discrimination, </w:t>
      </w:r>
      <w:r w:rsidR="00367732" w:rsidRPr="00F07878">
        <w:rPr>
          <w:rFonts w:ascii="Times New Roman" w:hAnsi="Times New Roman"/>
          <w:sz w:val="24"/>
          <w:szCs w:val="24"/>
        </w:rPr>
        <w:t xml:space="preserve">gender-based </w:t>
      </w:r>
      <w:r w:rsidR="00F0069F" w:rsidRPr="00F07878">
        <w:rPr>
          <w:rFonts w:ascii="Times New Roman" w:hAnsi="Times New Roman"/>
          <w:sz w:val="24"/>
          <w:szCs w:val="24"/>
        </w:rPr>
        <w:t>violence, and tactics of coercive control that may lead women to commit death-eligible offenses</w:t>
      </w:r>
      <w:r w:rsidR="00367732" w:rsidRPr="00F07878">
        <w:rPr>
          <w:rFonts w:ascii="Times New Roman" w:hAnsi="Times New Roman"/>
          <w:sz w:val="24"/>
          <w:szCs w:val="24"/>
        </w:rPr>
        <w:t>, and on introducing gender-specific mitigation evidence</w:t>
      </w:r>
    </w:p>
    <w:p w14:paraId="709AADBA" w14:textId="0EC98CD9" w:rsidR="006B0909" w:rsidRPr="00F07878" w:rsidRDefault="006B0909" w:rsidP="00AC306A">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Codify gender-specific defenses and mitigation in capital cases, encompassing women’s experiences of trauma, poverty, and gender-based violence.</w:t>
      </w:r>
    </w:p>
    <w:p w14:paraId="1B416259" w14:textId="34A57A80" w:rsidR="008C7940" w:rsidRPr="00F07878" w:rsidRDefault="00367732"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Ensure that women in custody, particularly women under sentence of death, </w:t>
      </w:r>
      <w:r w:rsidR="00F0069F" w:rsidRPr="00F07878">
        <w:rPr>
          <w:rFonts w:ascii="Times New Roman" w:hAnsi="Times New Roman"/>
          <w:sz w:val="24"/>
          <w:szCs w:val="24"/>
        </w:rPr>
        <w:t>have timely and free access to general and female-specific healthcare and counseling, including mental health care and menstrual health (e.g., access to sanitary products, soap, etc.)</w:t>
      </w:r>
      <w:r w:rsidRPr="00F07878">
        <w:rPr>
          <w:rFonts w:ascii="Times New Roman" w:hAnsi="Times New Roman"/>
          <w:sz w:val="24"/>
          <w:szCs w:val="24"/>
        </w:rPr>
        <w:t>.</w:t>
      </w:r>
    </w:p>
    <w:p w14:paraId="41875247" w14:textId="1994D30E" w:rsidR="00313A8C" w:rsidRPr="00F07878" w:rsidRDefault="008C7940"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Improve detention conditions for women, particularly with respect to food, health care, sanitation, and personal hygiene, and ensure that all </w:t>
      </w:r>
      <w:r w:rsidR="001B62CC" w:rsidRPr="00F07878">
        <w:rPr>
          <w:rFonts w:ascii="Times New Roman" w:hAnsi="Times New Roman"/>
          <w:sz w:val="24"/>
          <w:szCs w:val="24"/>
        </w:rPr>
        <w:t>people have sufficient access to free menstrual hygiene products.</w:t>
      </w:r>
    </w:p>
    <w:p w14:paraId="7BC652FA" w14:textId="16D30F4A" w:rsidR="001B62CC" w:rsidRPr="00F07878" w:rsidRDefault="001B62CC"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w:t>
      </w:r>
      <w:r w:rsidR="00665416" w:rsidRPr="00F07878">
        <w:rPr>
          <w:rFonts w:ascii="Times New Roman" w:hAnsi="Times New Roman"/>
          <w:sz w:val="24"/>
          <w:szCs w:val="24"/>
        </w:rPr>
        <w:t>.</w:t>
      </w:r>
    </w:p>
    <w:p w14:paraId="7194D90A" w14:textId="77777777" w:rsidR="00E578E5" w:rsidRPr="00F07878" w:rsidRDefault="00E578E5"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 xml:space="preserve">Implement legislative reforms to prevent the application of the death penalty against women and girls when they have experienced gender-based violence, including early and forced marriage as well as rape and sexual assault, and subsequently engage in criminal </w:t>
      </w:r>
      <w:r w:rsidRPr="00F07878">
        <w:rPr>
          <w:rFonts w:ascii="Times New Roman" w:hAnsi="Times New Roman"/>
          <w:sz w:val="24"/>
          <w:szCs w:val="24"/>
        </w:rPr>
        <w:lastRenderedPageBreak/>
        <w:t>conduct against their abusers. Collaborate with civil society organizations to conduct trauma-informed gender-sensitization training for all judges handling serious criminal cases.</w:t>
      </w:r>
    </w:p>
    <w:p w14:paraId="39AF1EB9" w14:textId="77777777" w:rsidR="00A36374" w:rsidRPr="00F07878" w:rsidRDefault="00A36374" w:rsidP="001B15BD">
      <w:pPr>
        <w:pStyle w:val="ListParagraph"/>
        <w:numPr>
          <w:ilvl w:val="1"/>
          <w:numId w:val="7"/>
        </w:numPr>
        <w:spacing w:before="5" w:after="5" w:line="259" w:lineRule="auto"/>
        <w:ind w:left="720"/>
        <w:jc w:val="both"/>
        <w:rPr>
          <w:rFonts w:ascii="Times New Roman" w:hAnsi="Times New Roman"/>
          <w:sz w:val="24"/>
          <w:szCs w:val="24"/>
        </w:rPr>
      </w:pPr>
      <w:r w:rsidRPr="00F07878">
        <w:rPr>
          <w:rFonts w:ascii="Times New Roman" w:hAnsi="Times New Roman"/>
          <w:sz w:val="24"/>
          <w:szCs w:val="24"/>
        </w:rPr>
        <w:t>Guarantee that each woman receives an individualized judicial process and is not charged through association with a male spouse, partner, or family member.</w:t>
      </w:r>
    </w:p>
    <w:p w14:paraId="0E3A723B" w14:textId="4567FA79" w:rsidR="00A36374" w:rsidRPr="00F07878" w:rsidRDefault="00A36374" w:rsidP="001B15BD">
      <w:pPr>
        <w:pStyle w:val="ListParagraph"/>
        <w:numPr>
          <w:ilvl w:val="1"/>
          <w:numId w:val="7"/>
        </w:numPr>
        <w:spacing w:before="5" w:after="5" w:line="259" w:lineRule="auto"/>
        <w:ind w:left="720"/>
        <w:jc w:val="both"/>
        <w:rPr>
          <w:rFonts w:ascii="Times New Roman" w:eastAsia="Times New Roman" w:hAnsi="Times New Roman"/>
          <w:color w:val="000000" w:themeColor="text1"/>
          <w:sz w:val="24"/>
          <w:szCs w:val="24"/>
        </w:rPr>
      </w:pPr>
      <w:r w:rsidRPr="00F07878">
        <w:rPr>
          <w:rFonts w:ascii="Times New Roman" w:hAnsi="Times New Roman"/>
          <w:sz w:val="24"/>
          <w:szCs w:val="24"/>
        </w:rPr>
        <w:t xml:space="preserve">Commute the sentences of any woman sentenced to death for killing a person in </w:t>
      </w:r>
      <w:r w:rsidR="00C22869" w:rsidRPr="00F07878">
        <w:rPr>
          <w:rFonts w:ascii="Times New Roman" w:hAnsi="Times New Roman"/>
          <w:sz w:val="24"/>
          <w:szCs w:val="24"/>
        </w:rPr>
        <w:t xml:space="preserve">her </w:t>
      </w:r>
      <w:r w:rsidRPr="00F07878">
        <w:rPr>
          <w:rFonts w:ascii="Times New Roman" w:hAnsi="Times New Roman"/>
          <w:sz w:val="24"/>
          <w:szCs w:val="24"/>
        </w:rPr>
        <w:t xml:space="preserve">family or household who perpetrated </w:t>
      </w:r>
      <w:r w:rsidRPr="00F07878">
        <w:rPr>
          <w:rFonts w:ascii="Times New Roman" w:eastAsia="Times New Roman" w:hAnsi="Times New Roman"/>
          <w:color w:val="000000" w:themeColor="text1"/>
          <w:sz w:val="24"/>
          <w:szCs w:val="24"/>
        </w:rPr>
        <w:t>gender</w:t>
      </w:r>
      <w:r w:rsidRPr="00F07878">
        <w:rPr>
          <w:rFonts w:ascii="Times New Roman" w:hAnsi="Times New Roman"/>
          <w:sz w:val="24"/>
          <w:szCs w:val="24"/>
        </w:rPr>
        <w:t xml:space="preserve">-based violence against </w:t>
      </w:r>
      <w:r w:rsidR="00C22869" w:rsidRPr="00F07878">
        <w:rPr>
          <w:rFonts w:ascii="Times New Roman" w:hAnsi="Times New Roman"/>
          <w:sz w:val="24"/>
          <w:szCs w:val="24"/>
        </w:rPr>
        <w:t>her</w:t>
      </w:r>
      <w:r w:rsidRPr="00F07878">
        <w:rPr>
          <w:rFonts w:ascii="Times New Roman" w:hAnsi="Times New Roman"/>
          <w:sz w:val="24"/>
          <w:szCs w:val="24"/>
        </w:rPr>
        <w:t>.</w:t>
      </w:r>
    </w:p>
    <w:p w14:paraId="77CFC326" w14:textId="473DD27F" w:rsidR="00F0069F" w:rsidRPr="00F07878" w:rsidRDefault="00F0069F" w:rsidP="001B15BD">
      <w:pPr>
        <w:spacing w:after="120"/>
        <w:jc w:val="both"/>
        <w:rPr>
          <w:highlight w:val="yellow"/>
        </w:rPr>
      </w:pPr>
    </w:p>
    <w:sectPr w:rsidR="00F0069F" w:rsidRPr="00F07878" w:rsidSect="004B1E4E">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39B86" w14:textId="77777777" w:rsidR="009C3B60" w:rsidRDefault="009C3B60">
      <w:r>
        <w:separator/>
      </w:r>
    </w:p>
  </w:endnote>
  <w:endnote w:type="continuationSeparator" w:id="0">
    <w:p w14:paraId="5821EE37" w14:textId="77777777" w:rsidR="009C3B60" w:rsidRDefault="009C3B60">
      <w:r>
        <w:continuationSeparator/>
      </w:r>
    </w:p>
  </w:endnote>
  <w:endnote w:type="continuationNotice" w:id="1">
    <w:p w14:paraId="68EC312B" w14:textId="77777777" w:rsidR="009C3B60" w:rsidRDefault="009C3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54529" w14:textId="77777777" w:rsidR="0098032A" w:rsidRDefault="009803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6FBAAAD9" w:rsidR="00824B3F" w:rsidRDefault="00824B3F">
    <w:pPr>
      <w:pStyle w:val="Footer"/>
      <w:jc w:val="center"/>
    </w:pPr>
    <w:r>
      <w:fldChar w:fldCharType="begin"/>
    </w:r>
    <w:r>
      <w:instrText xml:space="preserve"> PAGE   \* MERGEFORMAT </w:instrText>
    </w:r>
    <w:r>
      <w:fldChar w:fldCharType="separate"/>
    </w:r>
    <w:r w:rsidR="00F138DE">
      <w:rPr>
        <w:noProof/>
      </w:rPr>
      <w:t>10</w:t>
    </w:r>
    <w:r>
      <w:rPr>
        <w:noProof/>
      </w:rPr>
      <w:fldChar w:fldCharType="end"/>
    </w:r>
  </w:p>
  <w:p w14:paraId="36B5F958" w14:textId="77777777" w:rsidR="00824B3F" w:rsidRPr="00C26130" w:rsidRDefault="00824B3F"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24B3F" w:rsidRDefault="00824B3F" w:rsidP="00C26130">
    <w:pPr>
      <w:widowControl w:val="0"/>
      <w:jc w:val="center"/>
      <w:rPr>
        <w:rFonts w:ascii="Gill Sans MT" w:hAnsi="Gill Sans MT"/>
        <w:color w:val="333333"/>
        <w:lang w:val="en"/>
      </w:rPr>
    </w:pPr>
    <w:r>
      <w:rPr>
        <w:rFonts w:ascii="Calisto MT" w:hAnsi="Calisto MT"/>
        <w:noProof/>
        <w:color w:val="800080"/>
        <w:sz w:val="26"/>
        <w:szCs w:val="26"/>
        <w:lang w:eastAsia="en-US"/>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6FCCF"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523ABE9F" w:rsidR="00824B3F" w:rsidRPr="00345B90" w:rsidRDefault="00824B3F"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24B3F" w:rsidRPr="008856D7" w:rsidRDefault="00824B3F"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39531B9" w14:textId="77777777" w:rsidR="00824B3F" w:rsidRDefault="00824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BE197" w14:textId="77777777" w:rsidR="009C3B60" w:rsidRDefault="009C3B60">
      <w:r>
        <w:separator/>
      </w:r>
    </w:p>
  </w:footnote>
  <w:footnote w:type="continuationSeparator" w:id="0">
    <w:p w14:paraId="6B12109D" w14:textId="77777777" w:rsidR="009C3B60" w:rsidRDefault="009C3B60">
      <w:r>
        <w:continuationSeparator/>
      </w:r>
    </w:p>
  </w:footnote>
  <w:footnote w:type="continuationNotice" w:id="1">
    <w:p w14:paraId="3680FDA8" w14:textId="77777777" w:rsidR="009C3B60" w:rsidRDefault="009C3B60"/>
  </w:footnote>
  <w:footnote w:id="2">
    <w:p w14:paraId="73A79D85" w14:textId="61902AA0" w:rsidR="0023382F" w:rsidRPr="00F82F0B" w:rsidRDefault="0023382F">
      <w:pPr>
        <w:pStyle w:val="FootnoteText"/>
        <w:rPr>
          <w:sz w:val="20"/>
          <w:szCs w:val="20"/>
        </w:rPr>
      </w:pPr>
      <w:r w:rsidRPr="00F82F0B">
        <w:rPr>
          <w:rStyle w:val="FootnoteReference"/>
          <w:sz w:val="20"/>
          <w:szCs w:val="20"/>
        </w:rPr>
        <w:footnoteRef/>
      </w:r>
      <w:r w:rsidRPr="00F82F0B">
        <w:rPr>
          <w:sz w:val="20"/>
          <w:szCs w:val="20"/>
        </w:rPr>
        <w:t xml:space="preserve"> </w:t>
      </w:r>
      <w:r w:rsidR="006A1042" w:rsidRPr="00F07878">
        <w:rPr>
          <w:sz w:val="20"/>
          <w:szCs w:val="20"/>
        </w:rPr>
        <w:t>ECPM, CTCPM, WCADP, Tunisia, 41st session, Alternative report in view of the Examination of the periodic report, Death penalty, 2022, available online at https://www.ecpm.org/app/uploads/2022/08/Seminaire-EPU-tunisie-12p-120422-MD-page-1.pdf.</w:t>
      </w:r>
    </w:p>
  </w:footnote>
  <w:footnote w:id="3">
    <w:p w14:paraId="60A80572" w14:textId="1012BBB6" w:rsidR="002A5A5A" w:rsidRPr="00F07878" w:rsidRDefault="002A5A5A">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iCs/>
          <w:sz w:val="20"/>
          <w:szCs w:val="20"/>
        </w:rPr>
        <w:t>List of issues and questions prior to the submission of the seventh periodic report of Tunisia</w:t>
      </w:r>
      <w:r w:rsidRPr="00F07878">
        <w:rPr>
          <w:sz w:val="20"/>
          <w:szCs w:val="20"/>
        </w:rPr>
        <w:t>, (Aug. 19, 2019), U.N. Doc. CEDAW/C/TUN/QPR/7, ¶ 1.</w:t>
      </w:r>
    </w:p>
  </w:footnote>
  <w:footnote w:id="4">
    <w:p w14:paraId="02682A90" w14:textId="49C3CD75" w:rsidR="005A3150" w:rsidRPr="00F07878" w:rsidRDefault="005A3150">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sz w:val="20"/>
          <w:szCs w:val="20"/>
        </w:rPr>
        <w:t>Seventh periodic report submitted by Tunisia under article 18 of the Convention</w:t>
      </w:r>
      <w:r w:rsidRPr="00F07878">
        <w:rPr>
          <w:sz w:val="20"/>
          <w:szCs w:val="20"/>
        </w:rPr>
        <w:t>,</w:t>
      </w:r>
      <w:r w:rsidRPr="00F07878">
        <w:rPr>
          <w:i/>
          <w:sz w:val="20"/>
          <w:szCs w:val="20"/>
        </w:rPr>
        <w:t xml:space="preserve"> due in 2020</w:t>
      </w:r>
      <w:r w:rsidRPr="00F07878">
        <w:rPr>
          <w:sz w:val="20"/>
          <w:szCs w:val="20"/>
        </w:rPr>
        <w:t>, (Dec. 29, 2021), U.N. Doc. CEDAW/C/TUN/7, ¶¶ 10-29.</w:t>
      </w:r>
    </w:p>
  </w:footnote>
  <w:footnote w:id="5">
    <w:p w14:paraId="2845D557" w14:textId="5E5C1149" w:rsidR="00824B3F" w:rsidRPr="00F07878" w:rsidRDefault="00824B3F" w:rsidP="00C12A14">
      <w:pPr>
        <w:pStyle w:val="FootnoteText"/>
        <w:jc w:val="both"/>
        <w:rPr>
          <w:i/>
          <w:sz w:val="20"/>
          <w:szCs w:val="20"/>
        </w:rPr>
      </w:pPr>
      <w:r w:rsidRPr="00F07878">
        <w:rPr>
          <w:rStyle w:val="FootnoteReference"/>
          <w:sz w:val="20"/>
          <w:szCs w:val="20"/>
        </w:rPr>
        <w:footnoteRef/>
      </w:r>
      <w:r w:rsidRPr="00F07878">
        <w:rPr>
          <w:sz w:val="20"/>
          <w:szCs w:val="20"/>
        </w:rPr>
        <w:t xml:space="preserve"> Arab News, </w:t>
      </w:r>
      <w:r w:rsidRPr="00F07878">
        <w:rPr>
          <w:i/>
          <w:sz w:val="20"/>
          <w:szCs w:val="20"/>
        </w:rPr>
        <w:t>Tunisia sentences nine militants to death over soldier's murder</w:t>
      </w:r>
      <w:r w:rsidRPr="00F07878">
        <w:rPr>
          <w:sz w:val="20"/>
          <w:szCs w:val="20"/>
        </w:rPr>
        <w:t>,</w:t>
      </w:r>
      <w:r w:rsidRPr="00F07878">
        <w:rPr>
          <w:i/>
          <w:sz w:val="20"/>
          <w:szCs w:val="20"/>
        </w:rPr>
        <w:t xml:space="preserve"> </w:t>
      </w:r>
      <w:r w:rsidR="003456AF" w:rsidRPr="00F82F0B">
        <w:t>https://www.arabnews.com/node/2004916/middle-east</w:t>
      </w:r>
    </w:p>
  </w:footnote>
  <w:footnote w:id="6">
    <w:p w14:paraId="16813E58" w14:textId="6E3B218A"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w:t>
      </w:r>
      <w:r w:rsidRPr="00F07878">
        <w:rPr>
          <w:smallCaps/>
          <w:sz w:val="20"/>
          <w:szCs w:val="20"/>
        </w:rPr>
        <w:t>Penal Code</w:t>
      </w:r>
      <w:r w:rsidRPr="00F07878">
        <w:rPr>
          <w:sz w:val="20"/>
          <w:szCs w:val="20"/>
        </w:rPr>
        <w:t xml:space="preserve"> art. 59, 60, 60bis, 60ter, 61bis, 63, 72, 74, 126, 201, 203, 204, 207, 227, 237, 251; Code of Military Justice art. 69, 70, 79, 81, 99, 104, 111, 113, 115-119, 121-123, </w:t>
      </w:r>
    </w:p>
  </w:footnote>
  <w:footnote w:id="7">
    <w:p w14:paraId="23C5E9C4" w14:textId="0D1009DF"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Yahoo, </w:t>
      </w:r>
      <w:r w:rsidRPr="00F07878">
        <w:rPr>
          <w:i/>
          <w:sz w:val="20"/>
          <w:szCs w:val="20"/>
        </w:rPr>
        <w:t>Tunisia president backs hanging amid uproar over woman's murder</w:t>
      </w:r>
      <w:r w:rsidRPr="00F07878">
        <w:rPr>
          <w:sz w:val="20"/>
          <w:szCs w:val="20"/>
        </w:rPr>
        <w:t xml:space="preserve">, </w:t>
      </w:r>
      <w:r w:rsidR="003456AF" w:rsidRPr="00F82F0B">
        <w:t>https://www.yahoo.com/now/tunisia-president-backs-hanging-amid-164333885.html</w:t>
      </w:r>
    </w:p>
  </w:footnote>
  <w:footnote w:id="8">
    <w:p w14:paraId="30582387" w14:textId="3B575627"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Tunisie.fr, </w:t>
      </w:r>
      <w:r w:rsidRPr="00F07878">
        <w:rPr>
          <w:i/>
          <w:sz w:val="20"/>
          <w:szCs w:val="20"/>
        </w:rPr>
        <w:t>Here are the 3 most famous Tunisian serial killers</w:t>
      </w:r>
      <w:r w:rsidRPr="00F07878">
        <w:rPr>
          <w:sz w:val="20"/>
          <w:szCs w:val="20"/>
        </w:rPr>
        <w:t xml:space="preserve">, </w:t>
      </w:r>
      <w:r w:rsidR="003456AF" w:rsidRPr="00F82F0B">
        <w:t>https://www.tunisie.fr/les-plus-celebres-tueurs-en-serie-tunisiens/</w:t>
      </w:r>
    </w:p>
  </w:footnote>
  <w:footnote w:id="9">
    <w:p w14:paraId="33546819" w14:textId="2090DB1B"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A24 News Agency, </w:t>
      </w:r>
      <w:r w:rsidRPr="00F07878">
        <w:rPr>
          <w:i/>
          <w:sz w:val="20"/>
          <w:szCs w:val="20"/>
        </w:rPr>
        <w:t>Tunisia – Tunisian coalition calls for abolition of death penalty</w:t>
      </w:r>
      <w:r w:rsidRPr="00F07878">
        <w:rPr>
          <w:sz w:val="20"/>
          <w:szCs w:val="20"/>
        </w:rPr>
        <w:t xml:space="preserve">, </w:t>
      </w:r>
      <w:r w:rsidR="003456AF" w:rsidRPr="00F82F0B">
        <w:t>https://a24now.com/2022/10/tunisian-coalition-calls-for-abolition-of-death-penalty/</w:t>
      </w:r>
    </w:p>
  </w:footnote>
  <w:footnote w:id="10">
    <w:p w14:paraId="0357C796" w14:textId="7032527A"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24 News Agency, </w:t>
      </w:r>
      <w:r w:rsidRPr="00F07878">
        <w:rPr>
          <w:i/>
          <w:sz w:val="20"/>
          <w:szCs w:val="20"/>
        </w:rPr>
        <w:t>Tunisia – Tunisian coalition calls for abolition of death penalty</w:t>
      </w:r>
      <w:r w:rsidRPr="00F07878">
        <w:rPr>
          <w:sz w:val="20"/>
          <w:szCs w:val="20"/>
        </w:rPr>
        <w:t xml:space="preserve">, </w:t>
      </w:r>
      <w:r w:rsidR="003456AF" w:rsidRPr="00F82F0B">
        <w:t>https://a24now.com/2022/10/tunisian-coalition-calls-for-abolition-of-death-penalty/</w:t>
      </w:r>
    </w:p>
  </w:footnote>
  <w:footnote w:id="11">
    <w:p w14:paraId="325517FB" w14:textId="559310F3"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Middle East Monitor, </w:t>
      </w:r>
      <w:r w:rsidRPr="00F07878">
        <w:rPr>
          <w:i/>
          <w:sz w:val="20"/>
          <w:szCs w:val="20"/>
        </w:rPr>
        <w:t>Tunisia: courts issue 11 death sentences in 15 days</w:t>
      </w:r>
      <w:r w:rsidRPr="00F07878">
        <w:rPr>
          <w:sz w:val="20"/>
          <w:szCs w:val="20"/>
        </w:rPr>
        <w:t xml:space="preserve">, </w:t>
      </w:r>
      <w:r w:rsidR="003456AF" w:rsidRPr="00F82F0B">
        <w:t>https://www.middleeastmonitor.com/20220118-tunisia-courts-issue-11-death-sentences-in-15-days/</w:t>
      </w:r>
    </w:p>
  </w:footnote>
  <w:footnote w:id="12">
    <w:p w14:paraId="1F4FDC8E" w14:textId="05FE1339"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Human Rights Watch, </w:t>
      </w:r>
      <w:r w:rsidRPr="00F07878">
        <w:rPr>
          <w:i/>
          <w:sz w:val="20"/>
          <w:szCs w:val="20"/>
        </w:rPr>
        <w:t>Tunisia: counterterror law endangers rights</w:t>
      </w:r>
      <w:r w:rsidRPr="00F07878">
        <w:rPr>
          <w:sz w:val="20"/>
          <w:szCs w:val="20"/>
        </w:rPr>
        <w:t xml:space="preserve">, </w:t>
      </w:r>
      <w:r w:rsidR="003456AF" w:rsidRPr="00F82F0B">
        <w:t>https://www.hrw.org/news/2015/07/31/tunisia-counterterror-law-endangers-rights</w:t>
      </w:r>
    </w:p>
  </w:footnote>
  <w:footnote w:id="13">
    <w:p w14:paraId="54B9A529" w14:textId="0C4187BE"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Amnesty International, </w:t>
      </w:r>
      <w:r w:rsidRPr="00F07878">
        <w:rPr>
          <w:i/>
          <w:sz w:val="20"/>
          <w:szCs w:val="20"/>
        </w:rPr>
        <w:t>Tunisia:  Presidential statement in favour of death penalty is shocking</w:t>
      </w:r>
      <w:r w:rsidRPr="00F07878">
        <w:rPr>
          <w:sz w:val="20"/>
          <w:szCs w:val="20"/>
        </w:rPr>
        <w:t xml:space="preserve">, </w:t>
      </w:r>
      <w:r w:rsidR="003456AF" w:rsidRPr="00F82F0B">
        <w:t>https://www.amnesty.org/en/latest/press-release/2020/09/tunisia-presidential-statement-in-favour-of-death-penalty-is-shocking/</w:t>
      </w:r>
      <w:r w:rsidR="007141B9" w:rsidRPr="00F07878">
        <w:rPr>
          <w:rStyle w:val="Hyperlink"/>
          <w:sz w:val="20"/>
          <w:szCs w:val="20"/>
        </w:rPr>
        <w:t xml:space="preserve">; </w:t>
      </w:r>
      <w:r w:rsidR="007141B9" w:rsidRPr="00F07878">
        <w:rPr>
          <w:sz w:val="20"/>
          <w:szCs w:val="20"/>
        </w:rPr>
        <w:t xml:space="preserve">United Nations General Assembly, </w:t>
      </w:r>
      <w:r w:rsidR="007141B9" w:rsidRPr="00F07878">
        <w:rPr>
          <w:i/>
          <w:sz w:val="20"/>
          <w:szCs w:val="20"/>
        </w:rPr>
        <w:t>Moratorium on the use of the death penalty: resolution / adopted by the General Assembly</w:t>
      </w:r>
      <w:r w:rsidR="007141B9" w:rsidRPr="00F07878">
        <w:rPr>
          <w:sz w:val="20"/>
          <w:szCs w:val="20"/>
        </w:rPr>
        <w:t xml:space="preserve">, </w:t>
      </w:r>
      <w:r w:rsidR="003456AF" w:rsidRPr="00F82F0B">
        <w:t>https://digitallibrary.un.org/record/3997726?ln=en</w:t>
      </w:r>
      <w:r w:rsidR="007141B9" w:rsidRPr="00F07878">
        <w:rPr>
          <w:rStyle w:val="Hyperlink"/>
          <w:sz w:val="20"/>
          <w:szCs w:val="20"/>
        </w:rPr>
        <w:t>.</w:t>
      </w:r>
    </w:p>
  </w:footnote>
  <w:footnote w:id="14">
    <w:p w14:paraId="1E62DFDF" w14:textId="49014DD4"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Middle East Monitor, </w:t>
      </w:r>
      <w:r w:rsidRPr="00F07878">
        <w:rPr>
          <w:i/>
          <w:sz w:val="20"/>
          <w:szCs w:val="20"/>
        </w:rPr>
        <w:t>Tunisia's president discusses reactivating death penalty</w:t>
      </w:r>
      <w:r w:rsidRPr="00F07878">
        <w:rPr>
          <w:sz w:val="20"/>
          <w:szCs w:val="20"/>
        </w:rPr>
        <w:t xml:space="preserve">, </w:t>
      </w:r>
      <w:r w:rsidR="003456AF" w:rsidRPr="00F82F0B">
        <w:t>https://www.middleeastmonitor.com/20200930-tunisias-president-discusses-reactivating-death-penalty/</w:t>
      </w:r>
    </w:p>
  </w:footnote>
  <w:footnote w:id="15">
    <w:p w14:paraId="2C0A5E2F" w14:textId="521394A2"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Yahoo, </w:t>
      </w:r>
      <w:r w:rsidRPr="00F07878">
        <w:rPr>
          <w:i/>
          <w:sz w:val="20"/>
          <w:szCs w:val="20"/>
        </w:rPr>
        <w:t>Tunisia president backs hanging amid uproar over woman's murder</w:t>
      </w:r>
      <w:r w:rsidRPr="00F07878">
        <w:rPr>
          <w:sz w:val="20"/>
          <w:szCs w:val="20"/>
        </w:rPr>
        <w:t xml:space="preserve">, </w:t>
      </w:r>
      <w:r w:rsidR="003456AF" w:rsidRPr="00F82F0B">
        <w:t>https://www.yahoo.com/now/tunisia-president-backs-hanging-amid-164333885.html</w:t>
      </w:r>
    </w:p>
  </w:footnote>
  <w:footnote w:id="16">
    <w:p w14:paraId="3A460BDB" w14:textId="4BE4AD86" w:rsidR="00824B3F" w:rsidRPr="00F07878" w:rsidRDefault="00824B3F" w:rsidP="00C12A14">
      <w:pPr>
        <w:pStyle w:val="FootnoteText"/>
        <w:jc w:val="both"/>
        <w:rPr>
          <w:sz w:val="20"/>
          <w:szCs w:val="20"/>
        </w:rPr>
      </w:pPr>
      <w:r w:rsidRPr="00F07878">
        <w:rPr>
          <w:rStyle w:val="FootnoteReference"/>
          <w:sz w:val="20"/>
          <w:szCs w:val="20"/>
        </w:rPr>
        <w:footnoteRef/>
      </w:r>
      <w:r w:rsidRPr="00F07878">
        <w:rPr>
          <w:sz w:val="20"/>
          <w:szCs w:val="20"/>
        </w:rPr>
        <w:t xml:space="preserve"> Tunisia Presidential Decree No. 69-2021; Carnegie Endowment for International Peace, </w:t>
      </w:r>
      <w:r w:rsidRPr="00F07878">
        <w:rPr>
          <w:i/>
          <w:sz w:val="20"/>
          <w:szCs w:val="20"/>
        </w:rPr>
        <w:t>One year later, Tunisia's president has reversed nearly a decade of democratic gains</w:t>
      </w:r>
      <w:r w:rsidRPr="00F07878">
        <w:rPr>
          <w:sz w:val="20"/>
          <w:szCs w:val="20"/>
        </w:rPr>
        <w:t xml:space="preserve">, </w:t>
      </w:r>
      <w:r w:rsidR="003456AF" w:rsidRPr="00F82F0B">
        <w:t>https://carnegieendowment.org/2022/07/22/one-year-later-tunisia-s-president-has-reversed-nearly-decade-of-democratic-gains-pub-87555</w:t>
      </w:r>
      <w:r w:rsidRPr="00F07878">
        <w:rPr>
          <w:sz w:val="20"/>
          <w:szCs w:val="20"/>
        </w:rPr>
        <w:t xml:space="preserve">; Amnesty International, </w:t>
      </w:r>
      <w:r w:rsidRPr="00F07878">
        <w:rPr>
          <w:i/>
          <w:sz w:val="20"/>
          <w:szCs w:val="20"/>
        </w:rPr>
        <w:t>Tunisia: adoption of new constitution marks a setback for human rights</w:t>
      </w:r>
      <w:r w:rsidRPr="00F07878">
        <w:rPr>
          <w:sz w:val="20"/>
          <w:szCs w:val="20"/>
        </w:rPr>
        <w:t xml:space="preserve">, </w:t>
      </w:r>
      <w:r w:rsidR="003456AF" w:rsidRPr="00F82F0B">
        <w:t>https://www.amnesty.org/en/latest/news/2022/07/tunisia-adoption-of-new-constitution-marks-a-setback-for-human-rights/</w:t>
      </w:r>
    </w:p>
  </w:footnote>
  <w:footnote w:id="17">
    <w:p w14:paraId="2D176E84" w14:textId="1EE1D229" w:rsidR="00C21956" w:rsidRPr="00F07878" w:rsidRDefault="00C21956">
      <w:pPr>
        <w:pStyle w:val="FootnoteText"/>
        <w:rPr>
          <w:sz w:val="20"/>
          <w:szCs w:val="20"/>
        </w:rPr>
      </w:pPr>
      <w:r w:rsidRPr="00F07878">
        <w:rPr>
          <w:rStyle w:val="FootnoteReference"/>
          <w:sz w:val="20"/>
          <w:szCs w:val="20"/>
        </w:rPr>
        <w:footnoteRef/>
      </w:r>
      <w:r w:rsidRPr="00F07878">
        <w:rPr>
          <w:sz w:val="20"/>
          <w:szCs w:val="20"/>
        </w:rPr>
        <w:t xml:space="preserve"> Tunisia Presidential Decree No. 80-2021; African Court on Human and Peoples' Rights, </w:t>
      </w:r>
      <w:r w:rsidRPr="00F07878">
        <w:rPr>
          <w:i/>
          <w:sz w:val="20"/>
          <w:szCs w:val="20"/>
        </w:rPr>
        <w:t>Belguith v. Republic of Tunisia</w:t>
      </w:r>
      <w:r w:rsidRPr="00F07878">
        <w:rPr>
          <w:sz w:val="20"/>
          <w:szCs w:val="20"/>
        </w:rPr>
        <w:t xml:space="preserve">, 017/2021, </w:t>
      </w:r>
      <w:r w:rsidRPr="00F07878">
        <w:rPr>
          <w:i/>
          <w:sz w:val="20"/>
          <w:szCs w:val="20"/>
        </w:rPr>
        <w:t>Judgment</w:t>
      </w:r>
      <w:r w:rsidRPr="00F07878">
        <w:rPr>
          <w:sz w:val="20"/>
          <w:szCs w:val="20"/>
        </w:rPr>
        <w:t xml:space="preserve">, ¶3, </w:t>
      </w:r>
      <w:r w:rsidR="003456AF" w:rsidRPr="00F82F0B">
        <w:t>https://www.african-court.org/cpmt/storage/app/uploads/public/633/48f/dcc/63348fdcc9449943680203.pdf;</w:t>
      </w:r>
      <w:r w:rsidRPr="00F07878">
        <w:rPr>
          <w:sz w:val="20"/>
          <w:szCs w:val="20"/>
        </w:rPr>
        <w:t xml:space="preserve"> Tunisia Presidential Decree No. 109-2021; </w:t>
      </w:r>
      <w:r w:rsidRPr="00F07878">
        <w:rPr>
          <w:i/>
          <w:sz w:val="20"/>
          <w:szCs w:val="20"/>
        </w:rPr>
        <w:t>Belguith v. Republic of Tunisia</w:t>
      </w:r>
      <w:r w:rsidRPr="00F07878">
        <w:rPr>
          <w:sz w:val="20"/>
          <w:szCs w:val="20"/>
        </w:rPr>
        <w:t xml:space="preserve">, 017/2021, </w:t>
      </w:r>
      <w:r w:rsidRPr="00F07878">
        <w:rPr>
          <w:i/>
          <w:sz w:val="20"/>
          <w:szCs w:val="20"/>
        </w:rPr>
        <w:t>Judgment</w:t>
      </w:r>
      <w:r w:rsidRPr="00F07878">
        <w:rPr>
          <w:sz w:val="20"/>
          <w:szCs w:val="20"/>
        </w:rPr>
        <w:t xml:space="preserve">, ¶3; Tunisia Presidential Decree No. 117; African Court on Human and Peoples' Rights, </w:t>
      </w:r>
      <w:r w:rsidRPr="00F07878">
        <w:rPr>
          <w:i/>
          <w:sz w:val="20"/>
          <w:szCs w:val="20"/>
        </w:rPr>
        <w:t>Belguith v. Republic of Tunisia</w:t>
      </w:r>
      <w:r w:rsidRPr="00F07878">
        <w:rPr>
          <w:sz w:val="20"/>
          <w:szCs w:val="20"/>
        </w:rPr>
        <w:t xml:space="preserve">, 017/2021, </w:t>
      </w:r>
      <w:r w:rsidRPr="00F07878">
        <w:rPr>
          <w:i/>
          <w:sz w:val="20"/>
          <w:szCs w:val="20"/>
        </w:rPr>
        <w:t>Judgment</w:t>
      </w:r>
      <w:r w:rsidRPr="00F07878">
        <w:rPr>
          <w:sz w:val="20"/>
          <w:szCs w:val="20"/>
        </w:rPr>
        <w:t xml:space="preserve">, ¶3; Carnegie Endowment for International Peace, </w:t>
      </w:r>
      <w:r w:rsidRPr="00F07878">
        <w:rPr>
          <w:i/>
          <w:sz w:val="20"/>
          <w:szCs w:val="20"/>
        </w:rPr>
        <w:t>One year later, Tunisia's president has reversed nearly a decade of democratic gains</w:t>
      </w:r>
      <w:r w:rsidRPr="00F07878">
        <w:rPr>
          <w:iCs/>
          <w:sz w:val="20"/>
          <w:szCs w:val="20"/>
        </w:rPr>
        <w:t xml:space="preserve">; </w:t>
      </w:r>
      <w:r w:rsidRPr="00F07878">
        <w:rPr>
          <w:sz w:val="20"/>
          <w:szCs w:val="20"/>
        </w:rPr>
        <w:t xml:space="preserve">Tunisia Presidential Decree No. 117; African Court on Human and Peoples' Rights, </w:t>
      </w:r>
      <w:r w:rsidRPr="00F07878">
        <w:rPr>
          <w:i/>
          <w:sz w:val="20"/>
          <w:szCs w:val="20"/>
        </w:rPr>
        <w:t>Belguith v. Republic of Tunisia</w:t>
      </w:r>
      <w:r w:rsidRPr="00F07878">
        <w:rPr>
          <w:sz w:val="20"/>
          <w:szCs w:val="20"/>
        </w:rPr>
        <w:t xml:space="preserve">, 017/2021, </w:t>
      </w:r>
      <w:r w:rsidRPr="00F07878">
        <w:rPr>
          <w:i/>
          <w:sz w:val="20"/>
          <w:szCs w:val="20"/>
        </w:rPr>
        <w:t>Judgment</w:t>
      </w:r>
      <w:r w:rsidRPr="00F07878">
        <w:rPr>
          <w:sz w:val="20"/>
          <w:szCs w:val="20"/>
        </w:rPr>
        <w:t>, ¶3.</w:t>
      </w:r>
      <w:r w:rsidRPr="00F07878">
        <w:rPr>
          <w:iCs/>
          <w:sz w:val="20"/>
          <w:szCs w:val="20"/>
        </w:rPr>
        <w:t xml:space="preserve"> </w:t>
      </w:r>
    </w:p>
  </w:footnote>
  <w:footnote w:id="18">
    <w:p w14:paraId="7106FD1E" w14:textId="65B121C6" w:rsidR="0057362F" w:rsidRPr="00F07878" w:rsidRDefault="0057362F" w:rsidP="0057362F">
      <w:pPr>
        <w:pStyle w:val="FootnoteText"/>
        <w:jc w:val="both"/>
        <w:rPr>
          <w:sz w:val="20"/>
          <w:szCs w:val="20"/>
        </w:rPr>
      </w:pPr>
      <w:r w:rsidRPr="00F07878">
        <w:rPr>
          <w:rStyle w:val="FootnoteReference"/>
          <w:sz w:val="20"/>
          <w:szCs w:val="20"/>
        </w:rPr>
        <w:footnoteRef/>
      </w:r>
      <w:r w:rsidRPr="00F07878">
        <w:rPr>
          <w:sz w:val="20"/>
          <w:szCs w:val="20"/>
        </w:rPr>
        <w:t xml:space="preserve"> Amnesty International, </w:t>
      </w:r>
      <w:r w:rsidRPr="00F07878">
        <w:rPr>
          <w:i/>
          <w:sz w:val="20"/>
          <w:szCs w:val="20"/>
        </w:rPr>
        <w:t>Tunisia: adoption of a new constitution marks a setback for human rights</w:t>
      </w:r>
      <w:r w:rsidRPr="00F07878">
        <w:rPr>
          <w:sz w:val="20"/>
          <w:szCs w:val="20"/>
        </w:rPr>
        <w:t xml:space="preserve">, </w:t>
      </w:r>
      <w:r w:rsidR="003456AF" w:rsidRPr="00F82F0B">
        <w:t>https://www.amnesty.org/en/latest/news/2022/07/tunisia-adoption-of-new-constitution-marks-a-setback-for-human-rights/</w:t>
      </w:r>
      <w:r w:rsidRPr="00F07878">
        <w:rPr>
          <w:rStyle w:val="Hyperlink"/>
          <w:sz w:val="20"/>
          <w:szCs w:val="20"/>
        </w:rPr>
        <w:t xml:space="preserve">; </w:t>
      </w:r>
      <w:r w:rsidRPr="00F07878">
        <w:rPr>
          <w:sz w:val="20"/>
          <w:szCs w:val="20"/>
        </w:rPr>
        <w:t xml:space="preserve">Reuters, </w:t>
      </w:r>
      <w:r w:rsidRPr="00F07878">
        <w:rPr>
          <w:i/>
          <w:sz w:val="20"/>
          <w:szCs w:val="20"/>
        </w:rPr>
        <w:t>Tunisia constitution giving president wider powers comes into effect</w:t>
      </w:r>
      <w:r w:rsidRPr="00F07878">
        <w:rPr>
          <w:sz w:val="20"/>
          <w:szCs w:val="20"/>
        </w:rPr>
        <w:t xml:space="preserve">, </w:t>
      </w:r>
      <w:r w:rsidR="003456AF" w:rsidRPr="00F82F0B">
        <w:t>https://www.reuters.com/world/africa/tunisia-constitution-giving-president-wider-powers-comes-into-effect-2022-08-16/</w:t>
      </w:r>
    </w:p>
  </w:footnote>
  <w:footnote w:id="19">
    <w:p w14:paraId="0B31F56A" w14:textId="576985FD" w:rsidR="007F387E" w:rsidRPr="00F07878" w:rsidRDefault="007F387E" w:rsidP="00C12A14">
      <w:pPr>
        <w:pStyle w:val="FootnoteText"/>
        <w:jc w:val="both"/>
        <w:rPr>
          <w:sz w:val="20"/>
          <w:szCs w:val="20"/>
        </w:rPr>
      </w:pPr>
      <w:r w:rsidRPr="00F07878">
        <w:rPr>
          <w:rStyle w:val="FootnoteReference"/>
          <w:sz w:val="20"/>
          <w:szCs w:val="20"/>
        </w:rPr>
        <w:footnoteRef/>
      </w:r>
      <w:r w:rsidRPr="00F07878">
        <w:rPr>
          <w:sz w:val="20"/>
          <w:szCs w:val="20"/>
        </w:rPr>
        <w:t xml:space="preserve"> Brookings Institute, </w:t>
      </w:r>
      <w:r w:rsidRPr="00F07878">
        <w:rPr>
          <w:i/>
          <w:sz w:val="20"/>
          <w:szCs w:val="20"/>
        </w:rPr>
        <w:t>Tunisia's new constitution will only worsen its political crisis</w:t>
      </w:r>
      <w:r w:rsidRPr="00F07878">
        <w:rPr>
          <w:sz w:val="20"/>
          <w:szCs w:val="20"/>
        </w:rPr>
        <w:t xml:space="preserve">, </w:t>
      </w:r>
      <w:r w:rsidR="003456AF" w:rsidRPr="00F82F0B">
        <w:t>https://www.brookings.edu/blog/order-from-chaos/2022/07/06/tunisias-new-constitution-will-only-worsen-its-political-crisis/</w:t>
      </w:r>
    </w:p>
  </w:footnote>
  <w:footnote w:id="20">
    <w:p w14:paraId="7144B43F" w14:textId="06462BAE" w:rsidR="00C12A14" w:rsidRPr="00F07878" w:rsidRDefault="00C12A14" w:rsidP="00C12A14">
      <w:pPr>
        <w:pStyle w:val="FootnoteText"/>
        <w:jc w:val="both"/>
        <w:rPr>
          <w:sz w:val="20"/>
          <w:szCs w:val="20"/>
        </w:rPr>
      </w:pPr>
      <w:r w:rsidRPr="00F07878">
        <w:rPr>
          <w:rStyle w:val="FootnoteReference"/>
          <w:sz w:val="20"/>
          <w:szCs w:val="20"/>
        </w:rPr>
        <w:footnoteRef/>
      </w:r>
      <w:r w:rsidRPr="00F07878">
        <w:rPr>
          <w:sz w:val="20"/>
          <w:szCs w:val="20"/>
        </w:rPr>
        <w:t xml:space="preserve"> African Court on Human and Peoples' Rights, </w:t>
      </w:r>
      <w:r w:rsidRPr="00F07878">
        <w:rPr>
          <w:i/>
          <w:sz w:val="20"/>
          <w:szCs w:val="20"/>
        </w:rPr>
        <w:t>Belguith v. Republic of Tunisia</w:t>
      </w:r>
      <w:r w:rsidRPr="00F07878">
        <w:rPr>
          <w:sz w:val="20"/>
          <w:szCs w:val="20"/>
        </w:rPr>
        <w:t xml:space="preserve">, 017/2021, </w:t>
      </w:r>
      <w:r w:rsidRPr="00F07878">
        <w:rPr>
          <w:i/>
          <w:sz w:val="20"/>
          <w:szCs w:val="20"/>
        </w:rPr>
        <w:t>Judgment</w:t>
      </w:r>
      <w:r w:rsidRPr="00F07878">
        <w:rPr>
          <w:sz w:val="20"/>
          <w:szCs w:val="20"/>
        </w:rPr>
        <w:t xml:space="preserve">, ¶3, </w:t>
      </w:r>
      <w:r w:rsidR="003456AF" w:rsidRPr="00F82F0B">
        <w:t>https://www.african-court.org/cpmt/storage/app/uploads/public/633/48f/dcc/63348fdcc9449943680203.pdf</w:t>
      </w:r>
    </w:p>
  </w:footnote>
  <w:footnote w:id="21">
    <w:p w14:paraId="13E79955" w14:textId="77777777" w:rsidR="00ED27C5" w:rsidRPr="00F07878" w:rsidRDefault="00ED27C5" w:rsidP="00ED27C5">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iCs/>
          <w:sz w:val="20"/>
          <w:szCs w:val="20"/>
        </w:rPr>
        <w:t>List of issues and questions prior to the submission of the seventh periodic report of Tunisia</w:t>
      </w:r>
      <w:r w:rsidRPr="00F07878">
        <w:rPr>
          <w:sz w:val="20"/>
          <w:szCs w:val="20"/>
        </w:rPr>
        <w:t>, (Aug. 19, 2019), U.N. Doc. CEDAW/C/TUN/QPR/7, ¶ 3.</w:t>
      </w:r>
    </w:p>
  </w:footnote>
  <w:footnote w:id="22">
    <w:p w14:paraId="36F20E1F" w14:textId="77777777" w:rsidR="00ED27C5" w:rsidRPr="00F07878" w:rsidRDefault="00ED27C5" w:rsidP="00ED27C5">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sz w:val="20"/>
          <w:szCs w:val="20"/>
        </w:rPr>
        <w:t>Seventh periodic report submitted by Tunisia under article 18 of the Convention</w:t>
      </w:r>
      <w:r w:rsidRPr="00F07878">
        <w:rPr>
          <w:sz w:val="20"/>
          <w:szCs w:val="20"/>
        </w:rPr>
        <w:t>,</w:t>
      </w:r>
      <w:r w:rsidRPr="00F07878">
        <w:rPr>
          <w:i/>
          <w:sz w:val="20"/>
          <w:szCs w:val="20"/>
        </w:rPr>
        <w:t xml:space="preserve"> due in 2020</w:t>
      </w:r>
      <w:r w:rsidRPr="00F07878">
        <w:rPr>
          <w:sz w:val="20"/>
          <w:szCs w:val="20"/>
        </w:rPr>
        <w:t>, (Dec. 29, 2021), U.N. Doc. CEDAW/C/TUN/7, ¶ 68.</w:t>
      </w:r>
    </w:p>
  </w:footnote>
  <w:footnote w:id="23">
    <w:p w14:paraId="7F149699" w14:textId="77777777" w:rsidR="00ED27C5" w:rsidRPr="00F07878" w:rsidRDefault="00ED27C5" w:rsidP="00ED27C5">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sz w:val="20"/>
          <w:szCs w:val="20"/>
        </w:rPr>
        <w:t>Seventh periodic report submitted by Tunisia under article 18 of the Convention</w:t>
      </w:r>
      <w:r w:rsidRPr="00F07878">
        <w:rPr>
          <w:sz w:val="20"/>
          <w:szCs w:val="20"/>
        </w:rPr>
        <w:t>,</w:t>
      </w:r>
      <w:r w:rsidRPr="00F07878">
        <w:rPr>
          <w:i/>
          <w:sz w:val="20"/>
          <w:szCs w:val="20"/>
        </w:rPr>
        <w:t xml:space="preserve"> due in 2020</w:t>
      </w:r>
      <w:r w:rsidRPr="00F07878">
        <w:rPr>
          <w:sz w:val="20"/>
          <w:szCs w:val="20"/>
        </w:rPr>
        <w:t>, (Dec. 29, 2021), U.N. Doc. CEDAW/C/TUN/7, ¶ 76.</w:t>
      </w:r>
    </w:p>
  </w:footnote>
  <w:footnote w:id="24">
    <w:p w14:paraId="53E25588" w14:textId="77777777" w:rsidR="00ED27C5" w:rsidRPr="00F07878" w:rsidRDefault="00ED27C5" w:rsidP="00ED27C5">
      <w:pPr>
        <w:pStyle w:val="FootnoteText"/>
        <w:rPr>
          <w:sz w:val="20"/>
          <w:szCs w:val="20"/>
        </w:rPr>
      </w:pPr>
      <w:r w:rsidRPr="00F07878">
        <w:rPr>
          <w:rStyle w:val="FootnoteReference"/>
          <w:sz w:val="20"/>
          <w:szCs w:val="20"/>
        </w:rPr>
        <w:footnoteRef/>
      </w:r>
      <w:r w:rsidRPr="00F07878">
        <w:rPr>
          <w:sz w:val="20"/>
          <w:szCs w:val="20"/>
        </w:rPr>
        <w:t xml:space="preserve"> Committee on the Elimination of Discrimination against Women, </w:t>
      </w:r>
      <w:r w:rsidRPr="00F07878">
        <w:rPr>
          <w:i/>
          <w:sz w:val="20"/>
          <w:szCs w:val="20"/>
        </w:rPr>
        <w:t>Seventh periodic report submitted by Tunisia under article 18 of the Convention</w:t>
      </w:r>
      <w:r w:rsidRPr="00F07878">
        <w:rPr>
          <w:sz w:val="20"/>
          <w:szCs w:val="20"/>
        </w:rPr>
        <w:t>,</w:t>
      </w:r>
      <w:r w:rsidRPr="00F07878">
        <w:rPr>
          <w:i/>
          <w:sz w:val="20"/>
          <w:szCs w:val="20"/>
        </w:rPr>
        <w:t xml:space="preserve"> due in 2020</w:t>
      </w:r>
      <w:r w:rsidRPr="00F07878">
        <w:rPr>
          <w:sz w:val="20"/>
          <w:szCs w:val="20"/>
        </w:rPr>
        <w:t>, (Dec. 29, 2021), U.N. Doc. CEDAW/C/TUN/7, ¶ 31.</w:t>
      </w:r>
    </w:p>
  </w:footnote>
  <w:footnote w:id="25">
    <w:p w14:paraId="0DBECFDB" w14:textId="77777777" w:rsidR="007A2060" w:rsidRPr="00F82F0B" w:rsidRDefault="007A2060" w:rsidP="007A2060">
      <w:pPr>
        <w:pStyle w:val="FootnoteText"/>
        <w:rPr>
          <w:color w:val="000000" w:themeColor="text1"/>
          <w:sz w:val="20"/>
          <w:szCs w:val="20"/>
        </w:rPr>
      </w:pPr>
      <w:r w:rsidRPr="00F82F0B">
        <w:rPr>
          <w:rStyle w:val="FootnoteReference"/>
          <w:color w:val="000000" w:themeColor="text1"/>
          <w:sz w:val="20"/>
          <w:szCs w:val="20"/>
        </w:rPr>
        <w:footnoteRef/>
      </w:r>
      <w:r w:rsidRPr="00F82F0B">
        <w:rPr>
          <w:color w:val="000000" w:themeColor="text1"/>
          <w:sz w:val="20"/>
          <w:szCs w:val="20"/>
        </w:rPr>
        <w:t xml:space="preserve"> </w:t>
      </w:r>
      <w:r w:rsidRPr="00F82F0B">
        <w:rPr>
          <w:i/>
          <w:iCs/>
          <w:color w:val="000000" w:themeColor="text1"/>
          <w:sz w:val="20"/>
          <w:szCs w:val="20"/>
        </w:rPr>
        <w:t>Id.</w:t>
      </w:r>
      <w:r w:rsidRPr="00F82F0B">
        <w:rPr>
          <w:color w:val="000000" w:themeColor="text1"/>
          <w:sz w:val="20"/>
          <w:szCs w:val="20"/>
        </w:rPr>
        <w:t xml:space="preserve"> at 11. </w:t>
      </w:r>
    </w:p>
  </w:footnote>
  <w:footnote w:id="26">
    <w:p w14:paraId="460F76F7" w14:textId="77777777" w:rsidR="00690907" w:rsidRPr="00F82F0B" w:rsidRDefault="00690907" w:rsidP="00690907">
      <w:pPr>
        <w:pStyle w:val="NormalWeb"/>
        <w:spacing w:before="0" w:beforeAutospacing="0" w:after="0" w:afterAutospacing="0"/>
        <w:rPr>
          <w:sz w:val="20"/>
          <w:szCs w:val="20"/>
          <w:lang w:eastAsia="zh-CN"/>
        </w:rPr>
      </w:pPr>
      <w:r w:rsidRPr="00F82F0B">
        <w:rPr>
          <w:rStyle w:val="FootnoteReference"/>
          <w:sz w:val="20"/>
          <w:szCs w:val="20"/>
        </w:rPr>
        <w:footnoteRef/>
      </w:r>
      <w:r w:rsidRPr="00F82F0B">
        <w:rPr>
          <w:i/>
          <w:iCs/>
          <w:sz w:val="20"/>
          <w:szCs w:val="20"/>
        </w:rPr>
        <w:t xml:space="preserve"> Judged for More Than Her Crime: A Global Overview of Women Facing the Death Penalty</w:t>
      </w:r>
      <w:r w:rsidRPr="00F82F0B">
        <w:rPr>
          <w:sz w:val="20"/>
          <w:szCs w:val="20"/>
        </w:rPr>
        <w:t xml:space="preserve">, Cornell Center on the Death Penalty Worldwide, Sept. 2018, at 4, https://www.deathpenaltyworldwide.org/wp- content/uploads/2019/12/Judged-More-Than-Her-Crime.pdf. </w:t>
      </w:r>
    </w:p>
  </w:footnote>
  <w:footnote w:id="27">
    <w:p w14:paraId="7CC80D90" w14:textId="77777777" w:rsidR="002A7E1B" w:rsidRPr="00F82F0B" w:rsidRDefault="002A7E1B" w:rsidP="002A7E1B">
      <w:pPr>
        <w:pStyle w:val="NormalWeb"/>
        <w:spacing w:before="0" w:beforeAutospacing="0" w:after="0" w:afterAutospacing="0"/>
        <w:rPr>
          <w:sz w:val="20"/>
          <w:szCs w:val="20"/>
          <w:lang w:eastAsia="zh-CN"/>
        </w:rPr>
      </w:pPr>
      <w:r w:rsidRPr="00F82F0B">
        <w:rPr>
          <w:rStyle w:val="FootnoteReference"/>
          <w:sz w:val="20"/>
          <w:szCs w:val="20"/>
        </w:rPr>
        <w:footnoteRef/>
      </w:r>
      <w:r w:rsidRPr="00F82F0B">
        <w:rPr>
          <w:sz w:val="20"/>
          <w:szCs w:val="20"/>
        </w:rPr>
        <w:t xml:space="preserve"> Ibid. </w:t>
      </w:r>
    </w:p>
  </w:footnote>
  <w:footnote w:id="28">
    <w:p w14:paraId="6B365D5A" w14:textId="77777777" w:rsidR="00552D84" w:rsidRPr="00F82F0B" w:rsidRDefault="00552D84" w:rsidP="00552D84">
      <w:pPr>
        <w:pStyle w:val="NormalWeb"/>
        <w:spacing w:before="0" w:beforeAutospacing="0" w:after="0" w:afterAutospacing="0"/>
        <w:rPr>
          <w:sz w:val="20"/>
          <w:szCs w:val="20"/>
          <w:lang w:eastAsia="zh-CN"/>
        </w:rPr>
      </w:pPr>
      <w:r w:rsidRPr="00F82F0B">
        <w:rPr>
          <w:rStyle w:val="FootnoteReference"/>
          <w:sz w:val="20"/>
          <w:szCs w:val="20"/>
        </w:rPr>
        <w:footnoteRef/>
      </w:r>
      <w:r w:rsidRPr="00F82F0B">
        <w:rPr>
          <w:i/>
          <w:iCs/>
          <w:sz w:val="20"/>
          <w:szCs w:val="20"/>
        </w:rPr>
        <w:t xml:space="preserve"> </w:t>
      </w:r>
      <w:r w:rsidRPr="00F82F0B">
        <w:rPr>
          <w:sz w:val="20"/>
          <w:szCs w:val="20"/>
        </w:rPr>
        <w:t xml:space="preserve">Ibid. </w:t>
      </w:r>
    </w:p>
  </w:footnote>
  <w:footnote w:id="29">
    <w:p w14:paraId="4A2EDF47" w14:textId="77777777" w:rsidR="00C65CBE" w:rsidRPr="00F82F0B" w:rsidRDefault="00C65CBE" w:rsidP="00C65CBE">
      <w:pPr>
        <w:pStyle w:val="NormalWeb"/>
        <w:spacing w:before="0" w:beforeAutospacing="0" w:after="0" w:afterAutospacing="0"/>
        <w:rPr>
          <w:sz w:val="20"/>
          <w:szCs w:val="20"/>
          <w:lang w:eastAsia="zh-CN"/>
        </w:rPr>
      </w:pPr>
      <w:r w:rsidRPr="00F82F0B">
        <w:rPr>
          <w:rStyle w:val="FootnoteReference"/>
          <w:sz w:val="20"/>
          <w:szCs w:val="20"/>
        </w:rPr>
        <w:footnoteRef/>
      </w:r>
      <w:r w:rsidRPr="00F82F0B">
        <w:rPr>
          <w:sz w:val="20"/>
          <w:szCs w:val="20"/>
        </w:rPr>
        <w:t xml:space="preserve"> </w:t>
      </w:r>
      <w:r w:rsidRPr="00F82F0B">
        <w:rPr>
          <w:i/>
          <w:iCs/>
          <w:sz w:val="20"/>
          <w:szCs w:val="20"/>
        </w:rPr>
        <w:t>Judged for More Than Her Crime: A Global Overview of Women Facing the Death Penalty</w:t>
      </w:r>
      <w:r w:rsidRPr="00F82F0B">
        <w:rPr>
          <w:sz w:val="20"/>
          <w:szCs w:val="20"/>
        </w:rPr>
        <w:t xml:space="preserve">, Cornell Center on the Death Penalty Worldwide, Sept. 2018, at 4, https://www.deathpenaltyworldwide.org/wp- content/uploads/2019/12/Judged-More-Than-Her-Crime.pdf. </w:t>
      </w:r>
    </w:p>
  </w:footnote>
  <w:footnote w:id="30">
    <w:p w14:paraId="553BF3EF" w14:textId="77777777" w:rsidR="0068221F" w:rsidRPr="00F07878" w:rsidRDefault="0068221F" w:rsidP="0068221F">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1">
    <w:p w14:paraId="7244A6AB" w14:textId="77777777" w:rsidR="003062A1" w:rsidRPr="00F07878" w:rsidRDefault="003062A1" w:rsidP="003062A1">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2">
    <w:p w14:paraId="75237EF8" w14:textId="77777777" w:rsidR="00954AFF" w:rsidRPr="00F07878" w:rsidRDefault="00954AFF" w:rsidP="00954AFF">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3">
    <w:p w14:paraId="4485AFB4" w14:textId="77777777" w:rsidR="007303C0" w:rsidRPr="00F07878" w:rsidRDefault="007303C0" w:rsidP="007303C0">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4">
    <w:p w14:paraId="687F0C56" w14:textId="77777777" w:rsidR="00A45FFE" w:rsidRPr="00F07878" w:rsidRDefault="00A45FFE" w:rsidP="00A45FFE">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5">
    <w:p w14:paraId="42A39C47" w14:textId="77777777" w:rsidR="00437211" w:rsidRPr="00F07878" w:rsidRDefault="00437211" w:rsidP="00437211">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6">
    <w:p w14:paraId="78C68D36" w14:textId="77777777" w:rsidR="005051A4" w:rsidRPr="00F07878" w:rsidRDefault="005051A4" w:rsidP="005051A4">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7">
    <w:p w14:paraId="62E6D76D" w14:textId="77777777" w:rsidR="005051A4" w:rsidRPr="00F07878" w:rsidRDefault="005051A4" w:rsidP="005051A4">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8">
    <w:p w14:paraId="0777F75A" w14:textId="77777777" w:rsidR="00D350DB" w:rsidRPr="00F07878" w:rsidRDefault="00D350DB" w:rsidP="00D350DB">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39">
    <w:p w14:paraId="7A4BCF96" w14:textId="77777777" w:rsidR="00F60E4B" w:rsidRPr="00F07878" w:rsidRDefault="00F60E4B" w:rsidP="00F60E4B">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0">
    <w:p w14:paraId="754476F6" w14:textId="77777777" w:rsidR="005E0710" w:rsidRPr="00F07878" w:rsidRDefault="005E0710" w:rsidP="005E0710">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1">
    <w:p w14:paraId="10C03F73" w14:textId="77777777" w:rsidR="004804A6" w:rsidRPr="00F07878" w:rsidRDefault="004804A6" w:rsidP="004804A6">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2">
    <w:p w14:paraId="2EE6CFC1" w14:textId="77777777" w:rsidR="000F10AF" w:rsidRPr="00F07878" w:rsidRDefault="000F10AF" w:rsidP="000F10AF">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3">
    <w:p w14:paraId="18C28953" w14:textId="77777777" w:rsidR="000F10AF" w:rsidRPr="00F07878" w:rsidRDefault="000F10AF" w:rsidP="000F10AF">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4">
    <w:p w14:paraId="23E7D98C" w14:textId="77777777" w:rsidR="009B1C00" w:rsidRPr="00F07878" w:rsidRDefault="009B1C00" w:rsidP="009B1C00">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5">
    <w:p w14:paraId="0B36944F" w14:textId="77777777" w:rsidR="00590111" w:rsidRPr="00F07878" w:rsidRDefault="00590111" w:rsidP="00590111">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6">
    <w:p w14:paraId="424BAEED" w14:textId="77777777" w:rsidR="00590111" w:rsidRPr="00F07878" w:rsidRDefault="00590111" w:rsidP="00590111">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7">
    <w:p w14:paraId="625243D8" w14:textId="77777777" w:rsidR="00810428" w:rsidRPr="00F07878" w:rsidRDefault="00810428" w:rsidP="00810428">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8">
    <w:p w14:paraId="2C01FFCF" w14:textId="77777777" w:rsidR="00D23691" w:rsidRPr="00F07878" w:rsidRDefault="00D23691" w:rsidP="00D23691">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49">
    <w:p w14:paraId="2E1FE1A7" w14:textId="77777777" w:rsidR="00A65907" w:rsidRPr="00F07878" w:rsidRDefault="00A65907" w:rsidP="00A65907">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50">
    <w:p w14:paraId="219EDC36"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Committee Against Torture, </w:t>
      </w:r>
      <w:r w:rsidRPr="00F07878">
        <w:rPr>
          <w:i/>
          <w:sz w:val="20"/>
          <w:szCs w:val="20"/>
        </w:rPr>
        <w:t>Concluding observation son the third periodic report of Tunisia</w:t>
      </w:r>
      <w:r w:rsidRPr="00F07878">
        <w:rPr>
          <w:sz w:val="20"/>
          <w:szCs w:val="20"/>
        </w:rPr>
        <w:t xml:space="preserve"> (June 10, 2016) U.N. Doc. CAT/C/TUN/CO/3, ¶ 15. </w:t>
      </w:r>
    </w:p>
  </w:footnote>
  <w:footnote w:id="51">
    <w:p w14:paraId="6672BCEF"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Human Rights Watch, Tunisia: Courts Ramp up Speech Prosecutions (December 23, 2021). Available online at https://www.hrw.org/news/2021/12/23/tunisia-courts-ramp-speech-prosecutions. </w:t>
      </w:r>
    </w:p>
  </w:footnote>
  <w:footnote w:id="52">
    <w:p w14:paraId="5AC71B4D"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Human Rights Watch, Tunisia: Courts Ramp up Speech Prosecutions (December 23, 2021). Available online at https://www.hrw.org/news/2021/12/23/tunisia-courts-ramp-speech-prosecutions.</w:t>
      </w:r>
    </w:p>
  </w:footnote>
  <w:footnote w:id="53">
    <w:p w14:paraId="236F4A31"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w:t>
      </w:r>
      <w:r w:rsidRPr="00F07878">
        <w:rPr>
          <w:i/>
          <w:iCs/>
          <w:sz w:val="20"/>
          <w:szCs w:val="20"/>
        </w:rPr>
        <w:t>We Want an End to the Fear: Abuses Under Tunisia’s State of Emergency</w:t>
      </w:r>
      <w:r w:rsidRPr="00F07878">
        <w:rPr>
          <w:sz w:val="20"/>
          <w:szCs w:val="20"/>
        </w:rPr>
        <w:t>, Amnesty International, 2017, https://www.amnesty.org/en/wp-content/uploads/2021/05/MDE3049112017ENGLISH.pdf</w:t>
      </w:r>
    </w:p>
  </w:footnote>
  <w:footnote w:id="54">
    <w:p w14:paraId="7F7DFEE2"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Human Rights Watch, Tunisia: Courts Ramp up Speech Prosecutions (December 23, 2021). Available online at https://www.hrw.org/news/2021/12/23/tunisia-courts-ramp-speech-prosecutions. </w:t>
      </w:r>
    </w:p>
  </w:footnote>
  <w:footnote w:id="55">
    <w:p w14:paraId="1FA81013"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African Commission on Human and People's Rights, </w:t>
      </w:r>
      <w:r w:rsidRPr="00F07878">
        <w:rPr>
          <w:i/>
          <w:sz w:val="20"/>
          <w:szCs w:val="20"/>
        </w:rPr>
        <w:t>Principals and Guidelines on the Right to a Fair Trial and Legal Assistance in Africa</w:t>
      </w:r>
      <w:r w:rsidRPr="00F07878">
        <w:rPr>
          <w:sz w:val="20"/>
          <w:szCs w:val="20"/>
        </w:rPr>
        <w:t xml:space="preserve"> (2003). Available online at https://eipss-eg.org/wp-content/uploads/2015/07/principles-guidelines-right-fair-trial#:~:text=Solemnly%20proclaims%20these%20Principles%20and%20Guidelines%20on%20the,parties%20to%20the%20Charter%20and%20respected%20by%20them%3A</w:t>
      </w:r>
    </w:p>
  </w:footnote>
  <w:footnote w:id="56">
    <w:p w14:paraId="0D7D7901" w14:textId="77777777" w:rsidR="0076581E" w:rsidRPr="00F07878" w:rsidRDefault="0076581E" w:rsidP="0076581E">
      <w:pPr>
        <w:pStyle w:val="FootnoteText"/>
        <w:rPr>
          <w:sz w:val="20"/>
          <w:szCs w:val="20"/>
        </w:rPr>
      </w:pPr>
      <w:r w:rsidRPr="00F07878">
        <w:rPr>
          <w:rStyle w:val="FootnoteReference"/>
          <w:sz w:val="20"/>
          <w:szCs w:val="20"/>
        </w:rPr>
        <w:footnoteRef/>
      </w:r>
      <w:r w:rsidRPr="00F07878">
        <w:rPr>
          <w:sz w:val="20"/>
          <w:szCs w:val="20"/>
        </w:rPr>
        <w:t xml:space="preserve"> Human Rights Watch, Tunisia: Courts Ramp up Speech Prosecutions (December 23, 2021). Available online at https://www.hrw.org/news/2021/12/23/tunisia-courts-ramp-speech-prosecutions. </w:t>
      </w:r>
    </w:p>
  </w:footnote>
  <w:footnote w:id="57">
    <w:p w14:paraId="37EB2026" w14:textId="1DF05101" w:rsidR="005016D3" w:rsidRPr="00F82F0B" w:rsidRDefault="005016D3">
      <w:pPr>
        <w:pStyle w:val="FootnoteText"/>
        <w:rPr>
          <w:sz w:val="20"/>
          <w:szCs w:val="20"/>
        </w:rPr>
      </w:pPr>
      <w:r w:rsidRPr="00F82F0B">
        <w:rPr>
          <w:rStyle w:val="FootnoteReference"/>
          <w:sz w:val="20"/>
          <w:szCs w:val="20"/>
        </w:rPr>
        <w:footnoteRef/>
      </w:r>
      <w:r w:rsidRPr="00F82F0B">
        <w:rPr>
          <w:sz w:val="20"/>
          <w:szCs w:val="20"/>
        </w:rPr>
        <w:t xml:space="preserve"> Email correspondence with Tunisian Coalition Against the Death Penalty, </w:t>
      </w:r>
      <w:r w:rsidR="001F1255" w:rsidRPr="00F82F0B">
        <w:rPr>
          <w:sz w:val="20"/>
          <w:szCs w:val="20"/>
        </w:rPr>
        <w:t>Jan. 7, 2023, on file with The Advocates for Human Rights.</w:t>
      </w:r>
    </w:p>
  </w:footnote>
  <w:footnote w:id="58">
    <w:p w14:paraId="23625F1E" w14:textId="77777777" w:rsidR="00883C7C" w:rsidRPr="00F07878" w:rsidRDefault="00883C7C" w:rsidP="00883C7C">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59">
    <w:p w14:paraId="57625AB4" w14:textId="77777777" w:rsidR="00883C7C" w:rsidRPr="00F07878" w:rsidRDefault="00883C7C" w:rsidP="00883C7C">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0">
    <w:p w14:paraId="7C4806D2" w14:textId="77777777" w:rsidR="001653F9" w:rsidRPr="00F07878" w:rsidRDefault="001653F9" w:rsidP="001653F9">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1">
    <w:p w14:paraId="08D66330" w14:textId="77777777" w:rsidR="00C7583E" w:rsidRPr="00F07878" w:rsidRDefault="00C7583E" w:rsidP="00C7583E">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2">
    <w:p w14:paraId="4010376F" w14:textId="5625EE5C" w:rsidR="00857C07" w:rsidRPr="00F07878" w:rsidRDefault="00857C07">
      <w:pPr>
        <w:pStyle w:val="FootnoteText"/>
        <w:rPr>
          <w:sz w:val="20"/>
          <w:szCs w:val="20"/>
        </w:rPr>
      </w:pPr>
      <w:r w:rsidRPr="00F07878">
        <w:rPr>
          <w:rStyle w:val="FootnoteReference"/>
          <w:sz w:val="20"/>
          <w:szCs w:val="20"/>
        </w:rPr>
        <w:footnoteRef/>
      </w:r>
      <w:r w:rsidRPr="00F07878">
        <w:rPr>
          <w:sz w:val="20"/>
          <w:szCs w:val="20"/>
        </w:rPr>
        <w:t xml:space="preserve"> </w:t>
      </w:r>
      <w:r w:rsidR="00763CB7" w:rsidRPr="00F07878">
        <w:rPr>
          <w:sz w:val="20"/>
          <w:szCs w:val="20"/>
          <w:lang w:val="en-GB"/>
        </w:rPr>
        <w:t xml:space="preserve">CTCPM, ECPM, The death penalty in law and practice, Tunisia, 2022, Available online </w:t>
      </w:r>
      <w:proofErr w:type="gramStart"/>
      <w:r w:rsidR="00763CB7" w:rsidRPr="00F07878">
        <w:rPr>
          <w:sz w:val="20"/>
          <w:szCs w:val="20"/>
          <w:lang w:val="en-GB"/>
        </w:rPr>
        <w:t>at :</w:t>
      </w:r>
      <w:proofErr w:type="gramEnd"/>
      <w:r w:rsidR="00763CB7" w:rsidRPr="00F07878">
        <w:rPr>
          <w:sz w:val="20"/>
          <w:szCs w:val="20"/>
          <w:lang w:val="en-GB"/>
        </w:rPr>
        <w:t xml:space="preserve"> </w:t>
      </w:r>
      <w:r w:rsidR="00763CB7" w:rsidRPr="00F82F0B">
        <w:t>https://www.ecpm.org/app/uploads/2023/01/flyer-tunisie-gb-311022-MD.pdf</w:t>
      </w:r>
      <w:r w:rsidR="008E7DC0" w:rsidRPr="00F07878">
        <w:rPr>
          <w:sz w:val="20"/>
          <w:szCs w:val="20"/>
        </w:rPr>
        <w:t xml:space="preserve">. </w:t>
      </w:r>
    </w:p>
  </w:footnote>
  <w:footnote w:id="63">
    <w:p w14:paraId="56BB4A00" w14:textId="77777777" w:rsidR="00027B09" w:rsidRPr="00F07878" w:rsidRDefault="00027B09" w:rsidP="00027B09">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4">
    <w:p w14:paraId="4857AFFF" w14:textId="77777777" w:rsidR="00916F2C" w:rsidRPr="00F07878" w:rsidRDefault="00916F2C" w:rsidP="00916F2C">
      <w:pPr>
        <w:pStyle w:val="FootnoteText"/>
        <w:rPr>
          <w:sz w:val="20"/>
          <w:szCs w:val="20"/>
        </w:rPr>
      </w:pPr>
      <w:r w:rsidRPr="00F07878">
        <w:rPr>
          <w:rStyle w:val="FootnoteReference"/>
          <w:sz w:val="20"/>
          <w:szCs w:val="20"/>
        </w:rPr>
        <w:footnoteRef/>
      </w:r>
      <w:r w:rsidRPr="00F07878">
        <w:rPr>
          <w:sz w:val="20"/>
          <w:szCs w:val="20"/>
        </w:rPr>
        <w:t xml:space="preserve"> </w:t>
      </w:r>
      <w:r w:rsidRPr="00F07878">
        <w:rPr>
          <w:sz w:val="20"/>
          <w:szCs w:val="20"/>
          <w:lang w:val="en-GB"/>
        </w:rPr>
        <w:t xml:space="preserve">CTCPM, ECPM, The death penalty in law and practice, Tunisia, 2022, Available online at : </w:t>
      </w:r>
      <w:r w:rsidRPr="00F07878">
        <w:rPr>
          <w:sz w:val="20"/>
          <w:szCs w:val="20"/>
          <w:shd w:val="clear" w:color="auto" w:fill="F8F8F8"/>
        </w:rPr>
        <w:t>https://www.ecpm.org/app/uploads/2023/01/flyer-tunisie-gb-311022-MD.pdf</w:t>
      </w:r>
      <w:r w:rsidRPr="00F07878">
        <w:rPr>
          <w:sz w:val="20"/>
          <w:szCs w:val="20"/>
        </w:rPr>
        <w:t xml:space="preserve">. </w:t>
      </w:r>
    </w:p>
  </w:footnote>
  <w:footnote w:id="65">
    <w:p w14:paraId="5215FC17" w14:textId="77777777" w:rsidR="00192AC3" w:rsidRPr="00F07878" w:rsidRDefault="00192AC3" w:rsidP="00192AC3">
      <w:pPr>
        <w:pStyle w:val="FootnoteText"/>
        <w:rPr>
          <w:sz w:val="20"/>
          <w:szCs w:val="20"/>
        </w:rPr>
      </w:pPr>
      <w:r w:rsidRPr="00F07878">
        <w:rPr>
          <w:rStyle w:val="FootnoteReference"/>
          <w:sz w:val="20"/>
          <w:szCs w:val="20"/>
        </w:rPr>
        <w:footnoteRef/>
      </w:r>
      <w:r w:rsidRPr="00F07878">
        <w:rPr>
          <w:sz w:val="20"/>
          <w:szCs w:val="20"/>
        </w:rPr>
        <w:t xml:space="preserve"> </w:t>
      </w:r>
      <w:r w:rsidRPr="00F07878">
        <w:rPr>
          <w:sz w:val="20"/>
          <w:szCs w:val="20"/>
          <w:lang w:val="en-GB"/>
        </w:rPr>
        <w:t xml:space="preserve">CTCPM, ECPM, The death penalty in law and practice, Tunisia, 2022, Available online </w:t>
      </w:r>
      <w:proofErr w:type="gramStart"/>
      <w:r w:rsidRPr="00F07878">
        <w:rPr>
          <w:sz w:val="20"/>
          <w:szCs w:val="20"/>
          <w:lang w:val="en-GB"/>
        </w:rPr>
        <w:t>at :</w:t>
      </w:r>
      <w:proofErr w:type="gramEnd"/>
      <w:r w:rsidRPr="00F07878">
        <w:rPr>
          <w:sz w:val="20"/>
          <w:szCs w:val="20"/>
          <w:lang w:val="en-GB"/>
        </w:rPr>
        <w:t xml:space="preserve"> </w:t>
      </w:r>
      <w:r w:rsidRPr="00F07878">
        <w:rPr>
          <w:sz w:val="20"/>
          <w:szCs w:val="20"/>
          <w:shd w:val="clear" w:color="auto" w:fill="F8F8F8"/>
        </w:rPr>
        <w:t>https://www.ecpm.org/app/uploads/2023/01/flyer-tunisie-gb-311022-MD.pdf</w:t>
      </w:r>
      <w:r w:rsidRPr="00F07878">
        <w:rPr>
          <w:sz w:val="20"/>
          <w:szCs w:val="20"/>
        </w:rPr>
        <w:t xml:space="preserve">. </w:t>
      </w:r>
    </w:p>
  </w:footnote>
  <w:footnote w:id="66">
    <w:p w14:paraId="05B2957F" w14:textId="6B6B4A4A" w:rsidR="00704588" w:rsidRPr="00F07878" w:rsidRDefault="00704588">
      <w:pPr>
        <w:pStyle w:val="FootnoteText"/>
        <w:rPr>
          <w:sz w:val="20"/>
          <w:szCs w:val="20"/>
        </w:rPr>
      </w:pPr>
      <w:r w:rsidRPr="00F07878">
        <w:rPr>
          <w:rStyle w:val="FootnoteReference"/>
          <w:sz w:val="20"/>
          <w:szCs w:val="20"/>
        </w:rPr>
        <w:footnoteRef/>
      </w:r>
      <w:r w:rsidRPr="00F07878">
        <w:rPr>
          <w:sz w:val="20"/>
          <w:szCs w:val="20"/>
        </w:rPr>
        <w:t xml:space="preserve"> </w:t>
      </w:r>
      <w:proofErr w:type="spellStart"/>
      <w:r w:rsidRPr="00F07878">
        <w:rPr>
          <w:sz w:val="20"/>
          <w:szCs w:val="20"/>
        </w:rPr>
        <w:t>Tunisie</w:t>
      </w:r>
      <w:proofErr w:type="spellEnd"/>
      <w:r w:rsidRPr="00F07878">
        <w:rPr>
          <w:sz w:val="20"/>
          <w:szCs w:val="20"/>
        </w:rPr>
        <w:t xml:space="preserve"> </w:t>
      </w:r>
      <w:proofErr w:type="spellStart"/>
      <w:r w:rsidRPr="00F07878">
        <w:rPr>
          <w:sz w:val="20"/>
          <w:szCs w:val="20"/>
        </w:rPr>
        <w:t>Numerique</w:t>
      </w:r>
      <w:proofErr w:type="spellEnd"/>
      <w:r w:rsidRPr="00F07878">
        <w:rPr>
          <w:sz w:val="20"/>
          <w:szCs w:val="20"/>
        </w:rPr>
        <w:t xml:space="preserve">, </w:t>
      </w:r>
      <w:r w:rsidRPr="00F07878">
        <w:rPr>
          <w:i/>
          <w:iCs/>
          <w:sz w:val="20"/>
          <w:szCs w:val="20"/>
        </w:rPr>
        <w:t>Tunisia—Minister of Justice on an unexpected visit to women’s prison in Manouba</w:t>
      </w:r>
      <w:r w:rsidRPr="00F07878">
        <w:rPr>
          <w:sz w:val="20"/>
          <w:szCs w:val="20"/>
        </w:rPr>
        <w:t>, Oct. 4, 2022, https://news-tunisia.tunisienumerique.com/tunisia-minister-of-justice-on-an-unexpected-visit-to-womens-prison-in-manouba/ (last visited Jan. 2, 2023).</w:t>
      </w:r>
    </w:p>
  </w:footnote>
  <w:footnote w:id="67">
    <w:p w14:paraId="6FF6652F" w14:textId="77777777" w:rsidR="0070617F" w:rsidRPr="00F07878" w:rsidRDefault="0070617F" w:rsidP="0070617F">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8">
    <w:p w14:paraId="678CDE41" w14:textId="77777777" w:rsidR="00D06128" w:rsidRPr="00F07878" w:rsidRDefault="00D06128" w:rsidP="00D06128">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69">
    <w:p w14:paraId="7373D024" w14:textId="77777777" w:rsidR="00D06128" w:rsidRPr="00F07878" w:rsidRDefault="00D06128" w:rsidP="00D06128">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70">
    <w:p w14:paraId="3FB472F9" w14:textId="77777777" w:rsidR="00FD2FD5" w:rsidRPr="00F07878" w:rsidRDefault="00FD2FD5" w:rsidP="00FD2FD5">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71">
    <w:p w14:paraId="686AA1D8" w14:textId="77777777" w:rsidR="0068110C" w:rsidRPr="00F07878" w:rsidRDefault="0068110C" w:rsidP="0068110C">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72">
    <w:p w14:paraId="1DA17EEB" w14:textId="77777777" w:rsidR="0068110C" w:rsidRPr="00F07878" w:rsidRDefault="0068110C" w:rsidP="0068110C">
      <w:pPr>
        <w:pStyle w:val="FootnoteText"/>
        <w:rPr>
          <w:sz w:val="20"/>
          <w:szCs w:val="20"/>
        </w:rPr>
      </w:pPr>
      <w:r w:rsidRPr="00F07878">
        <w:rPr>
          <w:rStyle w:val="FootnoteReference"/>
          <w:sz w:val="20"/>
          <w:szCs w:val="20"/>
        </w:rPr>
        <w:footnoteRef/>
      </w:r>
      <w:r w:rsidRPr="00F07878">
        <w:rPr>
          <w:sz w:val="20"/>
          <w:szCs w:val="20"/>
        </w:rPr>
        <w:t xml:space="preserve"> Email correspondence with Tunisian Coalition Against the Death Penalty, Jan. 7, 2023, on file with The Advocates for Human Rights.</w:t>
      </w:r>
    </w:p>
  </w:footnote>
  <w:footnote w:id="73">
    <w:p w14:paraId="3B211CD1" w14:textId="230DD4C8" w:rsidR="004276A9" w:rsidRPr="00F07878" w:rsidRDefault="004276A9">
      <w:pPr>
        <w:pStyle w:val="FootnoteText"/>
        <w:rPr>
          <w:sz w:val="20"/>
          <w:szCs w:val="20"/>
        </w:rPr>
      </w:pPr>
      <w:r w:rsidRPr="00F07878">
        <w:rPr>
          <w:rStyle w:val="FootnoteReference"/>
          <w:sz w:val="20"/>
          <w:szCs w:val="20"/>
        </w:rPr>
        <w:footnoteRef/>
      </w:r>
      <w:r w:rsidRPr="00F07878">
        <w:rPr>
          <w:sz w:val="20"/>
          <w:szCs w:val="20"/>
        </w:rPr>
        <w:t xml:space="preserve"> Rihab Boukhayatia, </w:t>
      </w:r>
      <w:r w:rsidRPr="00F07878">
        <w:rPr>
          <w:i/>
          <w:iCs/>
          <w:sz w:val="20"/>
          <w:szCs w:val="20"/>
        </w:rPr>
        <w:t>Women’s prisons in Tunisia: punishment without rehabilitation</w:t>
      </w:r>
      <w:r w:rsidRPr="00F07878">
        <w:rPr>
          <w:sz w:val="20"/>
          <w:szCs w:val="20"/>
        </w:rPr>
        <w:t>, Nawaat magazine, June 3, 2022, https://nawaat.org/2022/06/03/womens-prisons-in-tunisia-punishment-without-rehabilitation/ (last visited Jan. 2, 2023).</w:t>
      </w:r>
    </w:p>
  </w:footnote>
  <w:footnote w:id="74">
    <w:p w14:paraId="4BF85C2F" w14:textId="77777777" w:rsidR="004276A9" w:rsidRPr="00F07878" w:rsidRDefault="004276A9" w:rsidP="004276A9">
      <w:pPr>
        <w:pStyle w:val="FootnoteText"/>
        <w:rPr>
          <w:sz w:val="20"/>
          <w:szCs w:val="20"/>
        </w:rPr>
      </w:pPr>
      <w:r w:rsidRPr="00F07878">
        <w:rPr>
          <w:rStyle w:val="FootnoteReference"/>
          <w:sz w:val="20"/>
          <w:szCs w:val="20"/>
        </w:rPr>
        <w:footnoteRef/>
      </w:r>
      <w:r w:rsidRPr="00F07878">
        <w:rPr>
          <w:sz w:val="20"/>
          <w:szCs w:val="20"/>
        </w:rPr>
        <w:t xml:space="preserve"> Rihab Boukhayatia, </w:t>
      </w:r>
      <w:r w:rsidRPr="00F07878">
        <w:rPr>
          <w:i/>
          <w:iCs/>
          <w:sz w:val="20"/>
          <w:szCs w:val="20"/>
        </w:rPr>
        <w:t>Women’s prisons in Tunisia: punishment without rehabilitation</w:t>
      </w:r>
      <w:r w:rsidRPr="00F07878">
        <w:rPr>
          <w:sz w:val="20"/>
          <w:szCs w:val="20"/>
        </w:rPr>
        <w:t>, Nawaat magazine, June 3, 2022, https://nawaat.org/2022/06/03/womens-prisons-in-tunisia-punishment-without-rehabilitation/ (last visited Jan. 2, 2023).</w:t>
      </w:r>
    </w:p>
  </w:footnote>
  <w:footnote w:id="75">
    <w:p w14:paraId="71B64879" w14:textId="77777777" w:rsidR="004276A9" w:rsidRPr="00F07878" w:rsidRDefault="004276A9" w:rsidP="004276A9">
      <w:pPr>
        <w:pStyle w:val="FootnoteText"/>
        <w:rPr>
          <w:sz w:val="20"/>
          <w:szCs w:val="20"/>
        </w:rPr>
      </w:pPr>
      <w:r w:rsidRPr="00F07878">
        <w:rPr>
          <w:rStyle w:val="FootnoteReference"/>
          <w:sz w:val="20"/>
          <w:szCs w:val="20"/>
        </w:rPr>
        <w:footnoteRef/>
      </w:r>
      <w:r w:rsidRPr="00F07878">
        <w:rPr>
          <w:sz w:val="20"/>
          <w:szCs w:val="20"/>
        </w:rPr>
        <w:t xml:space="preserve"> Rihab Boukhayatia, </w:t>
      </w:r>
      <w:r w:rsidRPr="00F07878">
        <w:rPr>
          <w:i/>
          <w:iCs/>
          <w:sz w:val="20"/>
          <w:szCs w:val="20"/>
        </w:rPr>
        <w:t>Women’s prisons in Tunisia: punishment without rehabilitation</w:t>
      </w:r>
      <w:r w:rsidRPr="00F07878">
        <w:rPr>
          <w:sz w:val="20"/>
          <w:szCs w:val="20"/>
        </w:rPr>
        <w:t>, Nawaat magazine, June 3, 2022, https://nawaat.org/2022/06/03/womens-prisons-in-tunisia-punishment-without-rehabilitation/ (last visited Jan. 2, 2023).</w:t>
      </w:r>
    </w:p>
  </w:footnote>
  <w:footnote w:id="76">
    <w:p w14:paraId="500EE081" w14:textId="77777777" w:rsidR="004276A9" w:rsidRPr="00F07878" w:rsidRDefault="004276A9" w:rsidP="004276A9">
      <w:pPr>
        <w:pStyle w:val="FootnoteText"/>
        <w:rPr>
          <w:sz w:val="20"/>
          <w:szCs w:val="20"/>
        </w:rPr>
      </w:pPr>
      <w:r w:rsidRPr="00F07878">
        <w:rPr>
          <w:rStyle w:val="FootnoteReference"/>
          <w:sz w:val="20"/>
          <w:szCs w:val="20"/>
        </w:rPr>
        <w:footnoteRef/>
      </w:r>
      <w:r w:rsidRPr="00F07878">
        <w:rPr>
          <w:sz w:val="20"/>
          <w:szCs w:val="20"/>
        </w:rPr>
        <w:t xml:space="preserve"> Rihab Boukhayatia, </w:t>
      </w:r>
      <w:r w:rsidRPr="00F07878">
        <w:rPr>
          <w:i/>
          <w:iCs/>
          <w:sz w:val="20"/>
          <w:szCs w:val="20"/>
        </w:rPr>
        <w:t>Women’s prisons in Tunisia: punishment without rehabilitation</w:t>
      </w:r>
      <w:r w:rsidRPr="00F07878">
        <w:rPr>
          <w:sz w:val="20"/>
          <w:szCs w:val="20"/>
        </w:rPr>
        <w:t>, Nawaat magazine, June 3, 2022, https://nawaat.org/2022/06/03/womens-prisons-in-tunisia-punishment-without-rehabilitation/ (last visited Jan. 2, 2023).</w:t>
      </w:r>
    </w:p>
  </w:footnote>
  <w:footnote w:id="77">
    <w:p w14:paraId="779F75EB" w14:textId="77777777" w:rsidR="004276A9" w:rsidRPr="00F07878" w:rsidRDefault="004276A9" w:rsidP="004276A9">
      <w:pPr>
        <w:pStyle w:val="FootnoteText"/>
        <w:rPr>
          <w:sz w:val="20"/>
          <w:szCs w:val="20"/>
        </w:rPr>
      </w:pPr>
      <w:r w:rsidRPr="00F07878">
        <w:rPr>
          <w:rStyle w:val="FootnoteReference"/>
          <w:sz w:val="20"/>
          <w:szCs w:val="20"/>
        </w:rPr>
        <w:footnoteRef/>
      </w:r>
      <w:r w:rsidRPr="00F07878">
        <w:rPr>
          <w:sz w:val="20"/>
          <w:szCs w:val="20"/>
        </w:rPr>
        <w:t xml:space="preserve"> Rihab Boukhayatia, </w:t>
      </w:r>
      <w:r w:rsidRPr="00F07878">
        <w:rPr>
          <w:i/>
          <w:iCs/>
          <w:sz w:val="20"/>
          <w:szCs w:val="20"/>
        </w:rPr>
        <w:t>Women’s prisons in Tunisia: punishment without rehabilitation</w:t>
      </w:r>
      <w:r w:rsidRPr="00F07878">
        <w:rPr>
          <w:sz w:val="20"/>
          <w:szCs w:val="20"/>
        </w:rPr>
        <w:t>, Nawaat magazine, June 3, 2022, https://nawaat.org/2022/06/03/womens-prisons-in-tunisia-punishment-without-rehabilitation/ (last visited Jan. 2, 2023).</w:t>
      </w:r>
    </w:p>
  </w:footnote>
  <w:footnote w:id="78">
    <w:p w14:paraId="6C2FF772" w14:textId="77777777" w:rsidR="00CA17AE" w:rsidRPr="00F82F0B" w:rsidRDefault="00CA17AE" w:rsidP="00CA17AE">
      <w:pPr>
        <w:pStyle w:val="NormalWeb"/>
        <w:spacing w:before="0" w:beforeAutospacing="0"/>
        <w:rPr>
          <w:sz w:val="20"/>
          <w:szCs w:val="20"/>
          <w:lang w:eastAsia="zh-CN"/>
        </w:rPr>
      </w:pPr>
      <w:r w:rsidRPr="00F82F0B">
        <w:rPr>
          <w:rStyle w:val="FootnoteReference"/>
          <w:sz w:val="20"/>
          <w:szCs w:val="20"/>
        </w:rPr>
        <w:footnoteRef/>
      </w:r>
      <w:r w:rsidRPr="00F82F0B">
        <w:rPr>
          <w:sz w:val="20"/>
          <w:szCs w:val="20"/>
        </w:rPr>
        <w:t xml:space="preserve"> </w:t>
      </w:r>
      <w:r w:rsidRPr="00F82F0B">
        <w:rPr>
          <w:sz w:val="20"/>
          <w:szCs w:val="20"/>
          <w:lang w:eastAsia="zh-CN"/>
        </w:rPr>
        <w:t xml:space="preserve">Some of these recommendations are borrowed or adapted from </w:t>
      </w:r>
      <w:r w:rsidRPr="00F82F0B">
        <w:rPr>
          <w:i/>
          <w:iCs/>
          <w:sz w:val="20"/>
          <w:szCs w:val="20"/>
          <w:lang w:eastAsia="zh-CN"/>
        </w:rPr>
        <w:t>Judged for More Than Her Crime: A Global Overview of Women Facing the Death Penalty</w:t>
      </w:r>
      <w:r w:rsidRPr="00F82F0B">
        <w:rPr>
          <w:sz w:val="20"/>
          <w:szCs w:val="20"/>
          <w:lang w:eastAsia="zh-CN"/>
        </w:rPr>
        <w:t xml:space="preserve">, Cornell Center on the Death Penalty Worldwide, Sept. 2018, at 35-36, https://www.deathpenaltyworldwide.org/wp-content/uploads/2019/12/Judged-More-Than-Her-Crime.pdf. </w:t>
      </w:r>
    </w:p>
    <w:p w14:paraId="0734AF21" w14:textId="77777777" w:rsidR="00CA17AE" w:rsidRPr="00F82F0B" w:rsidRDefault="00CA17AE" w:rsidP="00CA17AE">
      <w:pPr>
        <w:pStyle w:val="NormalWeb"/>
        <w:spacing w:before="0" w:beforeAutospacing="0" w:after="0" w:afterAutospacing="0"/>
        <w:rPr>
          <w:sz w:val="20"/>
          <w:szCs w:val="20"/>
          <w:lang w:eastAsia="zh-CN"/>
        </w:rPr>
      </w:pPr>
    </w:p>
    <w:p w14:paraId="0B2F28E2" w14:textId="77777777" w:rsidR="00CA17AE" w:rsidRPr="00F82F0B" w:rsidRDefault="00CA17AE" w:rsidP="00CA17AE">
      <w:pPr>
        <w:pStyle w:val="FootnoteText"/>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D3A7" w14:textId="77777777" w:rsidR="0098032A" w:rsidRDefault="009803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24B3F" w:rsidRDefault="00824B3F"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AC358FF" w:rsidR="00824B3F" w:rsidRDefault="0098032A">
    <w:pPr>
      <w:pStyle w:val="Header"/>
    </w:pPr>
    <w:r>
      <w:rPr>
        <w:noProof/>
      </w:rPr>
      <w:drawing>
        <wp:anchor distT="0" distB="0" distL="114300" distR="114300" simplePos="0" relativeHeight="251660289" behindDoc="0" locked="0" layoutInCell="1" allowOverlap="1" wp14:anchorId="3E7B8EEC" wp14:editId="3F9BA603">
          <wp:simplePos x="0" y="0"/>
          <wp:positionH relativeFrom="column">
            <wp:posOffset>-647700</wp:posOffset>
          </wp:positionH>
          <wp:positionV relativeFrom="paragraph">
            <wp:posOffset>-228600</wp:posOffset>
          </wp:positionV>
          <wp:extent cx="1470454" cy="781257"/>
          <wp:effectExtent l="0" t="0" r="3175" b="0"/>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70454" cy="78125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7" behindDoc="0" locked="0" layoutInCell="1" allowOverlap="1" wp14:anchorId="7B5D90B7" wp14:editId="07C0DED4">
          <wp:simplePos x="0" y="0"/>
          <wp:positionH relativeFrom="margin">
            <wp:posOffset>942975</wp:posOffset>
          </wp:positionH>
          <wp:positionV relativeFrom="topMargin">
            <wp:posOffset>270510</wp:posOffset>
          </wp:positionV>
          <wp:extent cx="1314450" cy="657225"/>
          <wp:effectExtent l="0" t="0" r="0" b="9525"/>
          <wp:wrapSquare wrapText="bothSides"/>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2">
                    <a:extLst>
                      <a:ext uri="{28A0092B-C50C-407E-A947-70E740481C1C}">
                        <a14:useLocalDpi xmlns:a14="http://schemas.microsoft.com/office/drawing/2010/main" val="0"/>
                      </a:ext>
                    </a:extLst>
                  </a:blip>
                  <a:stretch>
                    <a:fillRect/>
                  </a:stretch>
                </pic:blipFill>
                <pic:spPr>
                  <a:xfrm>
                    <a:off x="0" y="0"/>
                    <a:ext cx="1314450" cy="657225"/>
                  </a:xfrm>
                  <a:prstGeom prst="rect">
                    <a:avLst/>
                  </a:prstGeom>
                </pic:spPr>
              </pic:pic>
            </a:graphicData>
          </a:graphic>
          <wp14:sizeRelH relativeFrom="margin">
            <wp14:pctWidth>0</wp14:pctWidth>
          </wp14:sizeRelH>
          <wp14:sizeRelV relativeFrom="margin">
            <wp14:pctHeight>0</wp14:pctHeight>
          </wp14:sizeRelV>
        </wp:anchor>
      </w:drawing>
    </w:r>
    <w:r w:rsidRPr="00B075AD">
      <w:rPr>
        <w:rFonts w:ascii="Palatino Linotype" w:hAnsi="Palatino Linotype"/>
        <w:noProof/>
        <w:sz w:val="22"/>
        <w:szCs w:val="22"/>
        <w:shd w:val="clear" w:color="auto" w:fill="FFFFFF"/>
      </w:rPr>
      <w:drawing>
        <wp:anchor distT="0" distB="0" distL="114300" distR="114300" simplePos="0" relativeHeight="251667457" behindDoc="0" locked="0" layoutInCell="1" allowOverlap="1" wp14:anchorId="7E6C8B79" wp14:editId="3C5601FA">
          <wp:simplePos x="0" y="0"/>
          <wp:positionH relativeFrom="column">
            <wp:posOffset>2152650</wp:posOffset>
          </wp:positionH>
          <wp:positionV relativeFrom="paragraph">
            <wp:posOffset>-285750</wp:posOffset>
          </wp:positionV>
          <wp:extent cx="2076450" cy="771525"/>
          <wp:effectExtent l="0" t="0" r="0" b="0"/>
          <wp:wrapTopAndBottom/>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lose up of a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7645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5" behindDoc="0" locked="0" layoutInCell="1" allowOverlap="1" wp14:anchorId="33E36446" wp14:editId="1B22F7DD">
          <wp:simplePos x="0" y="0"/>
          <wp:positionH relativeFrom="margin">
            <wp:posOffset>4170680</wp:posOffset>
          </wp:positionH>
          <wp:positionV relativeFrom="margin">
            <wp:posOffset>-952500</wp:posOffset>
          </wp:positionV>
          <wp:extent cx="631190" cy="1140460"/>
          <wp:effectExtent l="0" t="0" r="0" b="2540"/>
          <wp:wrapSquare wrapText="bothSides"/>
          <wp:docPr id="3" name="Picture 3"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d and white sign&#10;&#10;Description automatically generated with low confidence"/>
                  <pic:cNvPicPr/>
                </pic:nvPicPr>
                <pic:blipFill>
                  <a:blip r:embed="rId4">
                    <a:extLst>
                      <a:ext uri="{28A0092B-C50C-407E-A947-70E740481C1C}">
                        <a14:useLocalDpi xmlns:a14="http://schemas.microsoft.com/office/drawing/2010/main" val="0"/>
                      </a:ext>
                    </a:extLst>
                  </a:blip>
                  <a:stretch>
                    <a:fillRect/>
                  </a:stretch>
                </pic:blipFill>
                <pic:spPr>
                  <a:xfrm>
                    <a:off x="0" y="0"/>
                    <a:ext cx="631190" cy="11404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3" behindDoc="1" locked="0" layoutInCell="1" allowOverlap="1" wp14:anchorId="26BCBB59" wp14:editId="0CC4FC81">
          <wp:simplePos x="0" y="0"/>
          <wp:positionH relativeFrom="column">
            <wp:posOffset>4848225</wp:posOffset>
          </wp:positionH>
          <wp:positionV relativeFrom="paragraph">
            <wp:posOffset>-294005</wp:posOffset>
          </wp:positionV>
          <wp:extent cx="1960245" cy="751205"/>
          <wp:effectExtent l="0" t="0" r="1905" b="0"/>
          <wp:wrapTight wrapText="bothSides">
            <wp:wrapPolygon edited="0">
              <wp:start x="0" y="0"/>
              <wp:lineTo x="0" y="20815"/>
              <wp:lineTo x="21411" y="20815"/>
              <wp:lineTo x="21411" y="0"/>
              <wp:lineTo x="0" y="0"/>
            </wp:wrapPolygon>
          </wp:wrapTight>
          <wp:docPr id="19" name="Picture 19"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ompany name&#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0245" cy="751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441B2"/>
    <w:multiLevelType w:val="hybridMultilevel"/>
    <w:tmpl w:val="1E922B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150AF1"/>
    <w:multiLevelType w:val="hybridMultilevel"/>
    <w:tmpl w:val="CD2E0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96301CFE"/>
    <w:lvl w:ilvl="0" w:tplc="A086C798">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C859E3"/>
    <w:multiLevelType w:val="hybridMultilevel"/>
    <w:tmpl w:val="458C66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567DFB"/>
    <w:multiLevelType w:val="hybridMultilevel"/>
    <w:tmpl w:val="F1222776"/>
    <w:lvl w:ilvl="0" w:tplc="04090001">
      <w:start w:val="1"/>
      <w:numFmt w:val="bullet"/>
      <w:lvlText w:val=""/>
      <w:lvlJc w:val="left"/>
      <w:pPr>
        <w:ind w:left="720" w:hanging="360"/>
      </w:pPr>
      <w:rPr>
        <w:rFonts w:ascii="Symbol" w:hAnsi="Symbol" w:hint="default"/>
      </w:rPr>
    </w:lvl>
    <w:lvl w:ilvl="1" w:tplc="58BC8C38">
      <w:start w:val="1"/>
      <w:numFmt w:val="lowerLetter"/>
      <w:lvlText w:val="%2."/>
      <w:lvlJc w:val="left"/>
      <w:pPr>
        <w:ind w:left="1440" w:hanging="360"/>
      </w:pPr>
    </w:lvl>
    <w:lvl w:ilvl="2" w:tplc="E1505C74">
      <w:start w:val="1"/>
      <w:numFmt w:val="lowerRoman"/>
      <w:lvlText w:val="%3."/>
      <w:lvlJc w:val="right"/>
      <w:pPr>
        <w:ind w:left="2160" w:hanging="180"/>
      </w:pPr>
    </w:lvl>
    <w:lvl w:ilvl="3" w:tplc="66F66DEC">
      <w:start w:val="1"/>
      <w:numFmt w:val="decimal"/>
      <w:lvlText w:val="%4."/>
      <w:lvlJc w:val="left"/>
      <w:pPr>
        <w:ind w:left="2880" w:hanging="360"/>
      </w:pPr>
    </w:lvl>
    <w:lvl w:ilvl="4" w:tplc="63C61EFA">
      <w:start w:val="1"/>
      <w:numFmt w:val="lowerLetter"/>
      <w:lvlText w:val="%5."/>
      <w:lvlJc w:val="left"/>
      <w:pPr>
        <w:ind w:left="3600" w:hanging="360"/>
      </w:pPr>
    </w:lvl>
    <w:lvl w:ilvl="5" w:tplc="E68E9380">
      <w:start w:val="1"/>
      <w:numFmt w:val="lowerRoman"/>
      <w:lvlText w:val="%6."/>
      <w:lvlJc w:val="right"/>
      <w:pPr>
        <w:ind w:left="4320" w:hanging="180"/>
      </w:pPr>
    </w:lvl>
    <w:lvl w:ilvl="6" w:tplc="07464D60">
      <w:start w:val="1"/>
      <w:numFmt w:val="decimal"/>
      <w:lvlText w:val="%7."/>
      <w:lvlJc w:val="left"/>
      <w:pPr>
        <w:ind w:left="5040" w:hanging="360"/>
      </w:pPr>
    </w:lvl>
    <w:lvl w:ilvl="7" w:tplc="C20CDD86">
      <w:start w:val="1"/>
      <w:numFmt w:val="lowerLetter"/>
      <w:lvlText w:val="%8."/>
      <w:lvlJc w:val="left"/>
      <w:pPr>
        <w:ind w:left="5760" w:hanging="360"/>
      </w:pPr>
    </w:lvl>
    <w:lvl w:ilvl="8" w:tplc="10D65D90">
      <w:start w:val="1"/>
      <w:numFmt w:val="lowerRoman"/>
      <w:lvlText w:val="%9."/>
      <w:lvlJc w:val="right"/>
      <w:pPr>
        <w:ind w:left="6480" w:hanging="180"/>
      </w:p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67D1B3D"/>
    <w:multiLevelType w:val="hybridMultilevel"/>
    <w:tmpl w:val="73DE869C"/>
    <w:lvl w:ilvl="0" w:tplc="D8CEEDE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7F56E15"/>
    <w:multiLevelType w:val="hybridMultilevel"/>
    <w:tmpl w:val="E9089C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92359071">
    <w:abstractNumId w:val="7"/>
  </w:num>
  <w:num w:numId="2" w16cid:durableId="811096970">
    <w:abstractNumId w:val="6"/>
  </w:num>
  <w:num w:numId="3" w16cid:durableId="588661681">
    <w:abstractNumId w:val="11"/>
  </w:num>
  <w:num w:numId="4" w16cid:durableId="4932307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6263418">
    <w:abstractNumId w:val="8"/>
  </w:num>
  <w:num w:numId="6" w16cid:durableId="1202547456">
    <w:abstractNumId w:val="1"/>
  </w:num>
  <w:num w:numId="7" w16cid:durableId="1990404761">
    <w:abstractNumId w:val="5"/>
  </w:num>
  <w:num w:numId="8" w16cid:durableId="1003438461">
    <w:abstractNumId w:val="12"/>
  </w:num>
  <w:num w:numId="9" w16cid:durableId="85542874">
    <w:abstractNumId w:val="3"/>
  </w:num>
  <w:num w:numId="10" w16cid:durableId="1790514828">
    <w:abstractNumId w:val="9"/>
  </w:num>
  <w:num w:numId="11" w16cid:durableId="188951995">
    <w:abstractNumId w:val="13"/>
  </w:num>
  <w:num w:numId="12" w16cid:durableId="811026517">
    <w:abstractNumId w:val="2"/>
  </w:num>
  <w:num w:numId="13" w16cid:durableId="640815217">
    <w:abstractNumId w:val="0"/>
  </w:num>
  <w:num w:numId="14" w16cid:durableId="18346875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1678B"/>
    <w:rsid w:val="00027B09"/>
    <w:rsid w:val="00030F59"/>
    <w:rsid w:val="000342B6"/>
    <w:rsid w:val="000407E3"/>
    <w:rsid w:val="00046377"/>
    <w:rsid w:val="00054080"/>
    <w:rsid w:val="00056CF5"/>
    <w:rsid w:val="00065E8D"/>
    <w:rsid w:val="00070EA9"/>
    <w:rsid w:val="000734A4"/>
    <w:rsid w:val="0008238F"/>
    <w:rsid w:val="00085935"/>
    <w:rsid w:val="000910FC"/>
    <w:rsid w:val="0009644E"/>
    <w:rsid w:val="000A13F2"/>
    <w:rsid w:val="000A1F17"/>
    <w:rsid w:val="000A598B"/>
    <w:rsid w:val="000A66B8"/>
    <w:rsid w:val="000B042D"/>
    <w:rsid w:val="000B4DB3"/>
    <w:rsid w:val="000C6340"/>
    <w:rsid w:val="000D0680"/>
    <w:rsid w:val="000D61BD"/>
    <w:rsid w:val="000E1DDC"/>
    <w:rsid w:val="000F10AF"/>
    <w:rsid w:val="000F1E67"/>
    <w:rsid w:val="000F20E2"/>
    <w:rsid w:val="000F56E0"/>
    <w:rsid w:val="000F6CC9"/>
    <w:rsid w:val="001008D1"/>
    <w:rsid w:val="00111994"/>
    <w:rsid w:val="00116914"/>
    <w:rsid w:val="001215B4"/>
    <w:rsid w:val="00123564"/>
    <w:rsid w:val="001267AF"/>
    <w:rsid w:val="00136514"/>
    <w:rsid w:val="00143423"/>
    <w:rsid w:val="00145AD2"/>
    <w:rsid w:val="00147EA4"/>
    <w:rsid w:val="00154DAE"/>
    <w:rsid w:val="001565F9"/>
    <w:rsid w:val="00160BDA"/>
    <w:rsid w:val="001653F9"/>
    <w:rsid w:val="00181B2A"/>
    <w:rsid w:val="00181EF5"/>
    <w:rsid w:val="0018642B"/>
    <w:rsid w:val="00192AC3"/>
    <w:rsid w:val="00196038"/>
    <w:rsid w:val="001A59C1"/>
    <w:rsid w:val="001A5C32"/>
    <w:rsid w:val="001A5ED5"/>
    <w:rsid w:val="001A7AF4"/>
    <w:rsid w:val="001B15BD"/>
    <w:rsid w:val="001B1AC4"/>
    <w:rsid w:val="001B27D7"/>
    <w:rsid w:val="001B39AB"/>
    <w:rsid w:val="001B46C2"/>
    <w:rsid w:val="001B62CC"/>
    <w:rsid w:val="001B799A"/>
    <w:rsid w:val="001C173C"/>
    <w:rsid w:val="001C360D"/>
    <w:rsid w:val="001C42EB"/>
    <w:rsid w:val="001D074D"/>
    <w:rsid w:val="001E7AD1"/>
    <w:rsid w:val="001F1255"/>
    <w:rsid w:val="001F5060"/>
    <w:rsid w:val="001F6FD0"/>
    <w:rsid w:val="00220D48"/>
    <w:rsid w:val="002233F1"/>
    <w:rsid w:val="0023382F"/>
    <w:rsid w:val="002376BA"/>
    <w:rsid w:val="00237C8C"/>
    <w:rsid w:val="00242F64"/>
    <w:rsid w:val="002439A3"/>
    <w:rsid w:val="00243E14"/>
    <w:rsid w:val="00255789"/>
    <w:rsid w:val="00263C2D"/>
    <w:rsid w:val="0027113A"/>
    <w:rsid w:val="00272519"/>
    <w:rsid w:val="002734D9"/>
    <w:rsid w:val="00273933"/>
    <w:rsid w:val="0028011A"/>
    <w:rsid w:val="00282223"/>
    <w:rsid w:val="0029044C"/>
    <w:rsid w:val="00291BE8"/>
    <w:rsid w:val="0029216F"/>
    <w:rsid w:val="002A0797"/>
    <w:rsid w:val="002A4838"/>
    <w:rsid w:val="002A5A5A"/>
    <w:rsid w:val="002A7E1B"/>
    <w:rsid w:val="002C57BC"/>
    <w:rsid w:val="002D36C6"/>
    <w:rsid w:val="002D4CE4"/>
    <w:rsid w:val="002E34EA"/>
    <w:rsid w:val="002E46A1"/>
    <w:rsid w:val="002F7A11"/>
    <w:rsid w:val="00303D0E"/>
    <w:rsid w:val="003062A1"/>
    <w:rsid w:val="00313A8C"/>
    <w:rsid w:val="00313E4F"/>
    <w:rsid w:val="00315C53"/>
    <w:rsid w:val="00317C9C"/>
    <w:rsid w:val="00322CB1"/>
    <w:rsid w:val="00323693"/>
    <w:rsid w:val="003369A6"/>
    <w:rsid w:val="00340484"/>
    <w:rsid w:val="00344140"/>
    <w:rsid w:val="00344556"/>
    <w:rsid w:val="003456AF"/>
    <w:rsid w:val="00345B90"/>
    <w:rsid w:val="00347165"/>
    <w:rsid w:val="0035378E"/>
    <w:rsid w:val="0035424D"/>
    <w:rsid w:val="00356D06"/>
    <w:rsid w:val="00367732"/>
    <w:rsid w:val="00374FD8"/>
    <w:rsid w:val="00390AC3"/>
    <w:rsid w:val="003937C6"/>
    <w:rsid w:val="00393C54"/>
    <w:rsid w:val="00397001"/>
    <w:rsid w:val="003A0BC2"/>
    <w:rsid w:val="003A1D3E"/>
    <w:rsid w:val="003A3608"/>
    <w:rsid w:val="003A493F"/>
    <w:rsid w:val="003A6F6D"/>
    <w:rsid w:val="003C1E49"/>
    <w:rsid w:val="003C60FE"/>
    <w:rsid w:val="003D219D"/>
    <w:rsid w:val="003D608F"/>
    <w:rsid w:val="003E6A6D"/>
    <w:rsid w:val="003F503D"/>
    <w:rsid w:val="004076CD"/>
    <w:rsid w:val="00416297"/>
    <w:rsid w:val="00416C05"/>
    <w:rsid w:val="00417CE5"/>
    <w:rsid w:val="004276A9"/>
    <w:rsid w:val="00430A63"/>
    <w:rsid w:val="00437211"/>
    <w:rsid w:val="00446CFC"/>
    <w:rsid w:val="00450118"/>
    <w:rsid w:val="00450405"/>
    <w:rsid w:val="00453314"/>
    <w:rsid w:val="00465B06"/>
    <w:rsid w:val="00465BE5"/>
    <w:rsid w:val="0046757C"/>
    <w:rsid w:val="00476CC4"/>
    <w:rsid w:val="004804A6"/>
    <w:rsid w:val="00484804"/>
    <w:rsid w:val="004866AE"/>
    <w:rsid w:val="00491359"/>
    <w:rsid w:val="004A17D9"/>
    <w:rsid w:val="004A5B01"/>
    <w:rsid w:val="004A7D93"/>
    <w:rsid w:val="004A7FF9"/>
    <w:rsid w:val="004B1E4E"/>
    <w:rsid w:val="004B3875"/>
    <w:rsid w:val="004B4CAF"/>
    <w:rsid w:val="004B73AF"/>
    <w:rsid w:val="004D2568"/>
    <w:rsid w:val="004D3EE9"/>
    <w:rsid w:val="004D51DD"/>
    <w:rsid w:val="004E150B"/>
    <w:rsid w:val="004E25BB"/>
    <w:rsid w:val="004E7176"/>
    <w:rsid w:val="004E783D"/>
    <w:rsid w:val="004F03C1"/>
    <w:rsid w:val="004F2465"/>
    <w:rsid w:val="004F34E5"/>
    <w:rsid w:val="005016D3"/>
    <w:rsid w:val="005051A4"/>
    <w:rsid w:val="005132BB"/>
    <w:rsid w:val="0051494C"/>
    <w:rsid w:val="00523854"/>
    <w:rsid w:val="00524166"/>
    <w:rsid w:val="00524C18"/>
    <w:rsid w:val="005336C2"/>
    <w:rsid w:val="005403E3"/>
    <w:rsid w:val="00552D84"/>
    <w:rsid w:val="0055461C"/>
    <w:rsid w:val="00567FD1"/>
    <w:rsid w:val="00571EF6"/>
    <w:rsid w:val="0057362F"/>
    <w:rsid w:val="005849EF"/>
    <w:rsid w:val="00590111"/>
    <w:rsid w:val="00592224"/>
    <w:rsid w:val="0059754B"/>
    <w:rsid w:val="005A3150"/>
    <w:rsid w:val="005A7328"/>
    <w:rsid w:val="005B0C1B"/>
    <w:rsid w:val="005B337A"/>
    <w:rsid w:val="005C183B"/>
    <w:rsid w:val="005C58B6"/>
    <w:rsid w:val="005C5BF7"/>
    <w:rsid w:val="005C6AEE"/>
    <w:rsid w:val="005D0621"/>
    <w:rsid w:val="005D4EE6"/>
    <w:rsid w:val="005D5F82"/>
    <w:rsid w:val="005D70F0"/>
    <w:rsid w:val="005E0710"/>
    <w:rsid w:val="005E3982"/>
    <w:rsid w:val="005F2A19"/>
    <w:rsid w:val="00600E49"/>
    <w:rsid w:val="0060568A"/>
    <w:rsid w:val="0060622C"/>
    <w:rsid w:val="006174D4"/>
    <w:rsid w:val="0061778F"/>
    <w:rsid w:val="00624A10"/>
    <w:rsid w:val="00626C39"/>
    <w:rsid w:val="00631DED"/>
    <w:rsid w:val="0064306B"/>
    <w:rsid w:val="006435DC"/>
    <w:rsid w:val="00643D7A"/>
    <w:rsid w:val="00646D29"/>
    <w:rsid w:val="00651813"/>
    <w:rsid w:val="0065251A"/>
    <w:rsid w:val="0066318F"/>
    <w:rsid w:val="00665416"/>
    <w:rsid w:val="0067762A"/>
    <w:rsid w:val="00677B76"/>
    <w:rsid w:val="0068110C"/>
    <w:rsid w:val="0068221F"/>
    <w:rsid w:val="006866CB"/>
    <w:rsid w:val="0068786F"/>
    <w:rsid w:val="00690907"/>
    <w:rsid w:val="006927DD"/>
    <w:rsid w:val="006A1042"/>
    <w:rsid w:val="006B0909"/>
    <w:rsid w:val="006B2403"/>
    <w:rsid w:val="006B7B89"/>
    <w:rsid w:val="006D39C4"/>
    <w:rsid w:val="006D4A5B"/>
    <w:rsid w:val="006D641A"/>
    <w:rsid w:val="006E019A"/>
    <w:rsid w:val="006E7D5B"/>
    <w:rsid w:val="006F473F"/>
    <w:rsid w:val="006F582F"/>
    <w:rsid w:val="007043F9"/>
    <w:rsid w:val="00704588"/>
    <w:rsid w:val="0070617F"/>
    <w:rsid w:val="007064C2"/>
    <w:rsid w:val="007131A9"/>
    <w:rsid w:val="007141B9"/>
    <w:rsid w:val="007143B8"/>
    <w:rsid w:val="00724E4B"/>
    <w:rsid w:val="007303C0"/>
    <w:rsid w:val="007316AA"/>
    <w:rsid w:val="00741B9C"/>
    <w:rsid w:val="0075192A"/>
    <w:rsid w:val="00757A1C"/>
    <w:rsid w:val="0076147E"/>
    <w:rsid w:val="007637D8"/>
    <w:rsid w:val="00763CB7"/>
    <w:rsid w:val="0076581E"/>
    <w:rsid w:val="00765EBC"/>
    <w:rsid w:val="0077231B"/>
    <w:rsid w:val="00774643"/>
    <w:rsid w:val="007828DA"/>
    <w:rsid w:val="007838DE"/>
    <w:rsid w:val="007907AB"/>
    <w:rsid w:val="00795711"/>
    <w:rsid w:val="007A2060"/>
    <w:rsid w:val="007B46CD"/>
    <w:rsid w:val="007C4387"/>
    <w:rsid w:val="007C7CCE"/>
    <w:rsid w:val="007D2FB7"/>
    <w:rsid w:val="007E6F3B"/>
    <w:rsid w:val="007E79C4"/>
    <w:rsid w:val="007F23A8"/>
    <w:rsid w:val="007F387E"/>
    <w:rsid w:val="00804604"/>
    <w:rsid w:val="00806BFD"/>
    <w:rsid w:val="00810428"/>
    <w:rsid w:val="0081221D"/>
    <w:rsid w:val="00824B3F"/>
    <w:rsid w:val="008256E7"/>
    <w:rsid w:val="00826961"/>
    <w:rsid w:val="00836428"/>
    <w:rsid w:val="00847C78"/>
    <w:rsid w:val="00852B97"/>
    <w:rsid w:val="00857C07"/>
    <w:rsid w:val="00857D47"/>
    <w:rsid w:val="008651FD"/>
    <w:rsid w:val="00870521"/>
    <w:rsid w:val="00871394"/>
    <w:rsid w:val="0087642D"/>
    <w:rsid w:val="008806CE"/>
    <w:rsid w:val="00883C7C"/>
    <w:rsid w:val="008856D7"/>
    <w:rsid w:val="00890056"/>
    <w:rsid w:val="0089523C"/>
    <w:rsid w:val="00895886"/>
    <w:rsid w:val="008A1B09"/>
    <w:rsid w:val="008A4ABE"/>
    <w:rsid w:val="008A696F"/>
    <w:rsid w:val="008C3B9B"/>
    <w:rsid w:val="008C5EB6"/>
    <w:rsid w:val="008C7940"/>
    <w:rsid w:val="008C7B1F"/>
    <w:rsid w:val="008C7B63"/>
    <w:rsid w:val="008D6CFE"/>
    <w:rsid w:val="008E0859"/>
    <w:rsid w:val="008E7DC0"/>
    <w:rsid w:val="008F0BDD"/>
    <w:rsid w:val="008F2F99"/>
    <w:rsid w:val="008F6084"/>
    <w:rsid w:val="009057C8"/>
    <w:rsid w:val="00910CBC"/>
    <w:rsid w:val="0091372A"/>
    <w:rsid w:val="00916F2C"/>
    <w:rsid w:val="0093193B"/>
    <w:rsid w:val="009440E9"/>
    <w:rsid w:val="00947170"/>
    <w:rsid w:val="00947B3D"/>
    <w:rsid w:val="00954AFF"/>
    <w:rsid w:val="00956E94"/>
    <w:rsid w:val="00962312"/>
    <w:rsid w:val="009627A1"/>
    <w:rsid w:val="0096582D"/>
    <w:rsid w:val="009712FE"/>
    <w:rsid w:val="00977E03"/>
    <w:rsid w:val="0098032A"/>
    <w:rsid w:val="009829CB"/>
    <w:rsid w:val="009875AD"/>
    <w:rsid w:val="009924AF"/>
    <w:rsid w:val="009A7F71"/>
    <w:rsid w:val="009B0BD0"/>
    <w:rsid w:val="009B1C00"/>
    <w:rsid w:val="009B51D7"/>
    <w:rsid w:val="009C3B60"/>
    <w:rsid w:val="009D3BEA"/>
    <w:rsid w:val="009D5161"/>
    <w:rsid w:val="009D65E9"/>
    <w:rsid w:val="009E1825"/>
    <w:rsid w:val="009E4D16"/>
    <w:rsid w:val="009F074E"/>
    <w:rsid w:val="009F12E2"/>
    <w:rsid w:val="009F3358"/>
    <w:rsid w:val="009F478B"/>
    <w:rsid w:val="009F69C1"/>
    <w:rsid w:val="00A115CC"/>
    <w:rsid w:val="00A153BF"/>
    <w:rsid w:val="00A22100"/>
    <w:rsid w:val="00A3002E"/>
    <w:rsid w:val="00A36374"/>
    <w:rsid w:val="00A40EE1"/>
    <w:rsid w:val="00A423ED"/>
    <w:rsid w:val="00A42840"/>
    <w:rsid w:val="00A45FFE"/>
    <w:rsid w:val="00A46048"/>
    <w:rsid w:val="00A536F3"/>
    <w:rsid w:val="00A65907"/>
    <w:rsid w:val="00A72103"/>
    <w:rsid w:val="00A75C67"/>
    <w:rsid w:val="00A76FE3"/>
    <w:rsid w:val="00A91D08"/>
    <w:rsid w:val="00A9660F"/>
    <w:rsid w:val="00AA5AD9"/>
    <w:rsid w:val="00AA6318"/>
    <w:rsid w:val="00AA7FCB"/>
    <w:rsid w:val="00AB59AE"/>
    <w:rsid w:val="00AB5BD9"/>
    <w:rsid w:val="00AC040C"/>
    <w:rsid w:val="00AC306A"/>
    <w:rsid w:val="00AC3BAA"/>
    <w:rsid w:val="00AD0AA1"/>
    <w:rsid w:val="00AD0D86"/>
    <w:rsid w:val="00AE07A3"/>
    <w:rsid w:val="00AE372A"/>
    <w:rsid w:val="00AF5711"/>
    <w:rsid w:val="00AF575C"/>
    <w:rsid w:val="00B1598D"/>
    <w:rsid w:val="00B17FCE"/>
    <w:rsid w:val="00B20454"/>
    <w:rsid w:val="00B25956"/>
    <w:rsid w:val="00B25CAC"/>
    <w:rsid w:val="00B275A9"/>
    <w:rsid w:val="00B314EE"/>
    <w:rsid w:val="00B34DE6"/>
    <w:rsid w:val="00B35B9D"/>
    <w:rsid w:val="00B40D08"/>
    <w:rsid w:val="00B40DBF"/>
    <w:rsid w:val="00B429F0"/>
    <w:rsid w:val="00B44231"/>
    <w:rsid w:val="00B457C4"/>
    <w:rsid w:val="00B45C00"/>
    <w:rsid w:val="00B54060"/>
    <w:rsid w:val="00B6411C"/>
    <w:rsid w:val="00B71178"/>
    <w:rsid w:val="00B914A2"/>
    <w:rsid w:val="00B92B61"/>
    <w:rsid w:val="00B9541E"/>
    <w:rsid w:val="00BA4C3B"/>
    <w:rsid w:val="00BA4CDE"/>
    <w:rsid w:val="00BB0488"/>
    <w:rsid w:val="00BB3ED5"/>
    <w:rsid w:val="00BB4AB9"/>
    <w:rsid w:val="00BC07C0"/>
    <w:rsid w:val="00BC6BF9"/>
    <w:rsid w:val="00BD3CFF"/>
    <w:rsid w:val="00BE59BD"/>
    <w:rsid w:val="00C0174A"/>
    <w:rsid w:val="00C04D77"/>
    <w:rsid w:val="00C05D9B"/>
    <w:rsid w:val="00C12A14"/>
    <w:rsid w:val="00C138BC"/>
    <w:rsid w:val="00C214BA"/>
    <w:rsid w:val="00C21956"/>
    <w:rsid w:val="00C22869"/>
    <w:rsid w:val="00C26130"/>
    <w:rsid w:val="00C315B6"/>
    <w:rsid w:val="00C325E3"/>
    <w:rsid w:val="00C376F3"/>
    <w:rsid w:val="00C4132F"/>
    <w:rsid w:val="00C45ED8"/>
    <w:rsid w:val="00C463D2"/>
    <w:rsid w:val="00C5179E"/>
    <w:rsid w:val="00C53C1A"/>
    <w:rsid w:val="00C6277D"/>
    <w:rsid w:val="00C62A44"/>
    <w:rsid w:val="00C649DC"/>
    <w:rsid w:val="00C65506"/>
    <w:rsid w:val="00C65CBE"/>
    <w:rsid w:val="00C7583E"/>
    <w:rsid w:val="00C80A39"/>
    <w:rsid w:val="00C81936"/>
    <w:rsid w:val="00C84C4C"/>
    <w:rsid w:val="00C972AF"/>
    <w:rsid w:val="00CA1702"/>
    <w:rsid w:val="00CA17AE"/>
    <w:rsid w:val="00CA43EC"/>
    <w:rsid w:val="00CA5CC2"/>
    <w:rsid w:val="00CA7D78"/>
    <w:rsid w:val="00CB551C"/>
    <w:rsid w:val="00CB631F"/>
    <w:rsid w:val="00CC5314"/>
    <w:rsid w:val="00CD0EEB"/>
    <w:rsid w:val="00CD6928"/>
    <w:rsid w:val="00CE1D0C"/>
    <w:rsid w:val="00CE4F6D"/>
    <w:rsid w:val="00CE5498"/>
    <w:rsid w:val="00CE5AD6"/>
    <w:rsid w:val="00CF2739"/>
    <w:rsid w:val="00CF5003"/>
    <w:rsid w:val="00CF5731"/>
    <w:rsid w:val="00D0019C"/>
    <w:rsid w:val="00D02184"/>
    <w:rsid w:val="00D06128"/>
    <w:rsid w:val="00D134B7"/>
    <w:rsid w:val="00D14F25"/>
    <w:rsid w:val="00D17F80"/>
    <w:rsid w:val="00D20254"/>
    <w:rsid w:val="00D23691"/>
    <w:rsid w:val="00D309E1"/>
    <w:rsid w:val="00D3182B"/>
    <w:rsid w:val="00D350DB"/>
    <w:rsid w:val="00D41ED4"/>
    <w:rsid w:val="00D52AD6"/>
    <w:rsid w:val="00D75D00"/>
    <w:rsid w:val="00D861C1"/>
    <w:rsid w:val="00D86901"/>
    <w:rsid w:val="00D92835"/>
    <w:rsid w:val="00D94424"/>
    <w:rsid w:val="00DA011D"/>
    <w:rsid w:val="00DA0201"/>
    <w:rsid w:val="00DA2EEF"/>
    <w:rsid w:val="00DA3A8D"/>
    <w:rsid w:val="00DA6DB6"/>
    <w:rsid w:val="00DB0FFA"/>
    <w:rsid w:val="00DB6B00"/>
    <w:rsid w:val="00DC1402"/>
    <w:rsid w:val="00DC3143"/>
    <w:rsid w:val="00DC41C9"/>
    <w:rsid w:val="00DC5473"/>
    <w:rsid w:val="00DC6A3F"/>
    <w:rsid w:val="00DD2F76"/>
    <w:rsid w:val="00DD3996"/>
    <w:rsid w:val="00DE0F19"/>
    <w:rsid w:val="00DE4969"/>
    <w:rsid w:val="00DE6FE8"/>
    <w:rsid w:val="00DF151D"/>
    <w:rsid w:val="00E114C5"/>
    <w:rsid w:val="00E13D93"/>
    <w:rsid w:val="00E151D3"/>
    <w:rsid w:val="00E162F5"/>
    <w:rsid w:val="00E208B7"/>
    <w:rsid w:val="00E307F3"/>
    <w:rsid w:val="00E3230E"/>
    <w:rsid w:val="00E35775"/>
    <w:rsid w:val="00E578E5"/>
    <w:rsid w:val="00E72199"/>
    <w:rsid w:val="00E826D1"/>
    <w:rsid w:val="00E8701F"/>
    <w:rsid w:val="00E95CF7"/>
    <w:rsid w:val="00EA0EEB"/>
    <w:rsid w:val="00EA17FE"/>
    <w:rsid w:val="00EB623D"/>
    <w:rsid w:val="00EC502B"/>
    <w:rsid w:val="00EC57AB"/>
    <w:rsid w:val="00ED25C7"/>
    <w:rsid w:val="00ED27C5"/>
    <w:rsid w:val="00ED2912"/>
    <w:rsid w:val="00ED29E5"/>
    <w:rsid w:val="00ED2DCC"/>
    <w:rsid w:val="00ED5B38"/>
    <w:rsid w:val="00EF2BE5"/>
    <w:rsid w:val="00EF4220"/>
    <w:rsid w:val="00F0069F"/>
    <w:rsid w:val="00F042FA"/>
    <w:rsid w:val="00F0600A"/>
    <w:rsid w:val="00F0682F"/>
    <w:rsid w:val="00F07878"/>
    <w:rsid w:val="00F138DE"/>
    <w:rsid w:val="00F16374"/>
    <w:rsid w:val="00F22813"/>
    <w:rsid w:val="00F23CD7"/>
    <w:rsid w:val="00F2442A"/>
    <w:rsid w:val="00F4107A"/>
    <w:rsid w:val="00F51AFD"/>
    <w:rsid w:val="00F535BD"/>
    <w:rsid w:val="00F57CD8"/>
    <w:rsid w:val="00F60E4B"/>
    <w:rsid w:val="00F612FF"/>
    <w:rsid w:val="00F6493F"/>
    <w:rsid w:val="00F75663"/>
    <w:rsid w:val="00F811E7"/>
    <w:rsid w:val="00F82F0B"/>
    <w:rsid w:val="00F87F92"/>
    <w:rsid w:val="00F9056C"/>
    <w:rsid w:val="00F92EF4"/>
    <w:rsid w:val="00FA0FB7"/>
    <w:rsid w:val="00FA2091"/>
    <w:rsid w:val="00FA7CDA"/>
    <w:rsid w:val="00FB4891"/>
    <w:rsid w:val="00FC2312"/>
    <w:rsid w:val="00FC42F8"/>
    <w:rsid w:val="00FC686F"/>
    <w:rsid w:val="00FC6CF4"/>
    <w:rsid w:val="00FC7FBE"/>
    <w:rsid w:val="00FD2FD5"/>
    <w:rsid w:val="00FD43D5"/>
    <w:rsid w:val="00FE0378"/>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CE5498"/>
  </w:style>
  <w:style w:type="character" w:customStyle="1" w:styleId="eop">
    <w:name w:val="eop"/>
    <w:basedOn w:val="DefaultParagraphFont"/>
    <w:rsid w:val="00CE5498"/>
  </w:style>
  <w:style w:type="character" w:styleId="FollowedHyperlink">
    <w:name w:val="FollowedHyperlink"/>
    <w:basedOn w:val="DefaultParagraphFont"/>
    <w:rsid w:val="00DA2EEF"/>
    <w:rPr>
      <w:color w:val="954F72" w:themeColor="followedHyperlink"/>
      <w:u w:val="single"/>
    </w:rPr>
  </w:style>
  <w:style w:type="character" w:styleId="HTMLCite">
    <w:name w:val="HTML Cite"/>
    <w:basedOn w:val="DefaultParagraphFont"/>
    <w:uiPriority w:val="99"/>
    <w:unhideWhenUsed/>
    <w:rsid w:val="00FC6CF4"/>
    <w:rPr>
      <w:i/>
      <w:iCs/>
    </w:rPr>
  </w:style>
  <w:style w:type="paragraph" w:styleId="Revision">
    <w:name w:val="Revision"/>
    <w:hidden/>
    <w:uiPriority w:val="99"/>
    <w:semiHidden/>
    <w:rsid w:val="001E7AD1"/>
  </w:style>
  <w:style w:type="character" w:styleId="UnresolvedMention">
    <w:name w:val="Unresolved Mention"/>
    <w:basedOn w:val="DefaultParagraphFont"/>
    <w:uiPriority w:val="99"/>
    <w:semiHidden/>
    <w:unhideWhenUsed/>
    <w:rsid w:val="008E7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212114222">
      <w:bodyDiv w:val="1"/>
      <w:marLeft w:val="0"/>
      <w:marRight w:val="0"/>
      <w:marTop w:val="0"/>
      <w:marBottom w:val="0"/>
      <w:divBdr>
        <w:top w:val="none" w:sz="0" w:space="0" w:color="auto"/>
        <w:left w:val="none" w:sz="0" w:space="0" w:color="auto"/>
        <w:bottom w:val="none" w:sz="0" w:space="0" w:color="auto"/>
        <w:right w:val="none" w:sz="0" w:space="0" w:color="auto"/>
      </w:divBdr>
      <w:divsChild>
        <w:div w:id="24911427">
          <w:marLeft w:val="0"/>
          <w:marRight w:val="0"/>
          <w:marTop w:val="0"/>
          <w:marBottom w:val="0"/>
          <w:divBdr>
            <w:top w:val="none" w:sz="0" w:space="0" w:color="auto"/>
            <w:left w:val="none" w:sz="0" w:space="0" w:color="auto"/>
            <w:bottom w:val="none" w:sz="0" w:space="0" w:color="auto"/>
            <w:right w:val="none" w:sz="0" w:space="0" w:color="auto"/>
          </w:divBdr>
          <w:divsChild>
            <w:div w:id="1880437950">
              <w:marLeft w:val="0"/>
              <w:marRight w:val="0"/>
              <w:marTop w:val="0"/>
              <w:marBottom w:val="0"/>
              <w:divBdr>
                <w:top w:val="none" w:sz="0" w:space="0" w:color="auto"/>
                <w:left w:val="none" w:sz="0" w:space="0" w:color="auto"/>
                <w:bottom w:val="none" w:sz="0" w:space="0" w:color="auto"/>
                <w:right w:val="none" w:sz="0" w:space="0" w:color="auto"/>
              </w:divBdr>
            </w:div>
          </w:divsChild>
        </w:div>
        <w:div w:id="1963924850">
          <w:marLeft w:val="0"/>
          <w:marRight w:val="0"/>
          <w:marTop w:val="0"/>
          <w:marBottom w:val="0"/>
          <w:divBdr>
            <w:top w:val="none" w:sz="0" w:space="0" w:color="auto"/>
            <w:left w:val="none" w:sz="0" w:space="0" w:color="auto"/>
            <w:bottom w:val="none" w:sz="0" w:space="0" w:color="auto"/>
            <w:right w:val="none" w:sz="0" w:space="0" w:color="auto"/>
          </w:divBdr>
        </w:div>
        <w:div w:id="614094246">
          <w:marLeft w:val="0"/>
          <w:marRight w:val="0"/>
          <w:marTop w:val="0"/>
          <w:marBottom w:val="0"/>
          <w:divBdr>
            <w:top w:val="none" w:sz="0" w:space="0" w:color="auto"/>
            <w:left w:val="none" w:sz="0" w:space="0" w:color="auto"/>
            <w:bottom w:val="none" w:sz="0" w:space="0" w:color="auto"/>
            <w:right w:val="none" w:sz="0" w:space="0" w:color="auto"/>
          </w:divBdr>
        </w:div>
        <w:div w:id="1430158703">
          <w:marLeft w:val="0"/>
          <w:marRight w:val="0"/>
          <w:marTop w:val="0"/>
          <w:marBottom w:val="0"/>
          <w:divBdr>
            <w:top w:val="none" w:sz="0" w:space="0" w:color="auto"/>
            <w:left w:val="none" w:sz="0" w:space="0" w:color="auto"/>
            <w:bottom w:val="none" w:sz="0" w:space="0" w:color="auto"/>
            <w:right w:val="none" w:sz="0" w:space="0" w:color="auto"/>
          </w:divBdr>
        </w:div>
        <w:div w:id="921912440">
          <w:marLeft w:val="0"/>
          <w:marRight w:val="0"/>
          <w:marTop w:val="0"/>
          <w:marBottom w:val="0"/>
          <w:divBdr>
            <w:top w:val="none" w:sz="0" w:space="0" w:color="auto"/>
            <w:left w:val="none" w:sz="0" w:space="0" w:color="auto"/>
            <w:bottom w:val="none" w:sz="0" w:space="0" w:color="auto"/>
            <w:right w:val="none" w:sz="0" w:space="0" w:color="auto"/>
          </w:divBdr>
        </w:div>
        <w:div w:id="1074668517">
          <w:marLeft w:val="0"/>
          <w:marRight w:val="0"/>
          <w:marTop w:val="0"/>
          <w:marBottom w:val="0"/>
          <w:divBdr>
            <w:top w:val="none" w:sz="0" w:space="0" w:color="auto"/>
            <w:left w:val="none" w:sz="0" w:space="0" w:color="auto"/>
            <w:bottom w:val="none" w:sz="0" w:space="0" w:color="auto"/>
            <w:right w:val="none" w:sz="0" w:space="0" w:color="auto"/>
          </w:divBdr>
        </w:div>
        <w:div w:id="438447909">
          <w:marLeft w:val="0"/>
          <w:marRight w:val="0"/>
          <w:marTop w:val="0"/>
          <w:marBottom w:val="0"/>
          <w:divBdr>
            <w:top w:val="none" w:sz="0" w:space="0" w:color="auto"/>
            <w:left w:val="none" w:sz="0" w:space="0" w:color="auto"/>
            <w:bottom w:val="none" w:sz="0" w:space="0" w:color="auto"/>
            <w:right w:val="none" w:sz="0" w:space="0" w:color="auto"/>
          </w:divBdr>
        </w:div>
        <w:div w:id="1009986693">
          <w:marLeft w:val="0"/>
          <w:marRight w:val="0"/>
          <w:marTop w:val="0"/>
          <w:marBottom w:val="0"/>
          <w:divBdr>
            <w:top w:val="none" w:sz="0" w:space="0" w:color="auto"/>
            <w:left w:val="none" w:sz="0" w:space="0" w:color="auto"/>
            <w:bottom w:val="none" w:sz="0" w:space="0" w:color="auto"/>
            <w:right w:val="none" w:sz="0" w:space="0" w:color="auto"/>
          </w:divBdr>
        </w:div>
        <w:div w:id="2006474009">
          <w:marLeft w:val="0"/>
          <w:marRight w:val="0"/>
          <w:marTop w:val="0"/>
          <w:marBottom w:val="0"/>
          <w:divBdr>
            <w:top w:val="none" w:sz="0" w:space="0" w:color="auto"/>
            <w:left w:val="none" w:sz="0" w:space="0" w:color="auto"/>
            <w:bottom w:val="none" w:sz="0" w:space="0" w:color="auto"/>
            <w:right w:val="none" w:sz="0" w:space="0" w:color="auto"/>
          </w:divBdr>
        </w:div>
        <w:div w:id="573778075">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9970961">
      <w:bodyDiv w:val="1"/>
      <w:marLeft w:val="0"/>
      <w:marRight w:val="0"/>
      <w:marTop w:val="0"/>
      <w:marBottom w:val="0"/>
      <w:divBdr>
        <w:top w:val="none" w:sz="0" w:space="0" w:color="auto"/>
        <w:left w:val="none" w:sz="0" w:space="0" w:color="auto"/>
        <w:bottom w:val="none" w:sz="0" w:space="0" w:color="auto"/>
        <w:right w:val="none" w:sz="0" w:space="0" w:color="auto"/>
      </w:divBdr>
    </w:div>
    <w:div w:id="1654603700">
      <w:bodyDiv w:val="1"/>
      <w:marLeft w:val="0"/>
      <w:marRight w:val="0"/>
      <w:marTop w:val="0"/>
      <w:marBottom w:val="0"/>
      <w:divBdr>
        <w:top w:val="none" w:sz="0" w:space="0" w:color="auto"/>
        <w:left w:val="none" w:sz="0" w:space="0" w:color="auto"/>
        <w:bottom w:val="none" w:sz="0" w:space="0" w:color="auto"/>
        <w:right w:val="none" w:sz="0" w:space="0" w:color="auto"/>
      </w:divBdr>
    </w:div>
    <w:div w:id="174610607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 Id="rId5" Type="http://schemas.openxmlformats.org/officeDocument/2006/relationships/image" Target="media/image5.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EE9549-3288-47B2-B64C-4A7C1D1F5F4B}">
  <ds:schemaRefs>
    <ds:schemaRef ds:uri="http://schemas.openxmlformats.org/officeDocument/2006/bibliography"/>
  </ds:schemaRefs>
</ds:datastoreItem>
</file>

<file path=customXml/itemProps2.xml><?xml version="1.0" encoding="utf-8"?>
<ds:datastoreItem xmlns:ds="http://schemas.openxmlformats.org/officeDocument/2006/customXml" ds:itemID="{A9D1EE71-62F7-4810-963F-D998591DB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4E46F7-7BD5-4111-88FC-641DD58482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3826</Words>
  <Characters>21811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5</cp:revision>
  <cp:lastPrinted>2023-01-02T00:24:00Z</cp:lastPrinted>
  <dcterms:created xsi:type="dcterms:W3CDTF">2023-01-09T23:07:00Z</dcterms:created>
  <dcterms:modified xsi:type="dcterms:W3CDTF">2023-01-09T23:09:00Z</dcterms:modified>
</cp:coreProperties>
</file>