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26B6" w:rsidRDefault="00DA1413">
      <w:pPr>
        <w:jc w:val="center"/>
        <w:rPr>
          <w:rFonts w:ascii="Arial" w:eastAsia="Arial" w:hAnsi="Arial" w:cs="Arial"/>
        </w:rPr>
      </w:pPr>
      <w:r>
        <w:rPr>
          <w:rFonts w:ascii="Arial" w:eastAsia="Arial" w:hAnsi="Arial" w:cs="Arial"/>
          <w:noProof/>
        </w:rPr>
        <w:drawing>
          <wp:inline distT="0" distB="0" distL="0" distR="0">
            <wp:extent cx="1813743" cy="90084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13743" cy="900842"/>
                    </a:xfrm>
                    <a:prstGeom prst="rect">
                      <a:avLst/>
                    </a:prstGeom>
                    <a:ln/>
                  </pic:spPr>
                </pic:pic>
              </a:graphicData>
            </a:graphic>
          </wp:inline>
        </w:drawing>
      </w:r>
    </w:p>
    <w:p w:rsidR="008726B6" w:rsidRDefault="008726B6">
      <w:pPr>
        <w:spacing w:after="0" w:line="240" w:lineRule="auto"/>
        <w:jc w:val="center"/>
        <w:rPr>
          <w:rFonts w:ascii="Arial" w:eastAsia="Arial" w:hAnsi="Arial" w:cs="Arial"/>
        </w:rPr>
      </w:pPr>
    </w:p>
    <w:p w:rsidR="008726B6" w:rsidRDefault="00DA1413">
      <w:pPr>
        <w:spacing w:after="0" w:line="240" w:lineRule="auto"/>
        <w:rPr>
          <w:rFonts w:ascii="Arial" w:eastAsia="Arial" w:hAnsi="Arial" w:cs="Arial"/>
          <w:b/>
        </w:rPr>
      </w:pPr>
      <w:r>
        <w:rPr>
          <w:rFonts w:ascii="Arial" w:eastAsia="Arial" w:hAnsi="Arial" w:cs="Arial"/>
          <w:b/>
        </w:rPr>
        <w:t>GABRIELA WOMEN’S PARTY</w:t>
      </w:r>
    </w:p>
    <w:p w:rsidR="008726B6" w:rsidRDefault="00DA1413">
      <w:pPr>
        <w:tabs>
          <w:tab w:val="left" w:pos="4770"/>
        </w:tabs>
        <w:spacing w:after="0" w:line="240" w:lineRule="auto"/>
        <w:rPr>
          <w:rFonts w:ascii="Arial" w:eastAsia="Arial" w:hAnsi="Arial" w:cs="Arial"/>
          <w:b/>
        </w:rPr>
      </w:pPr>
      <w:r>
        <w:rPr>
          <w:rFonts w:ascii="Arial" w:eastAsia="Arial" w:hAnsi="Arial" w:cs="Arial"/>
          <w:b/>
        </w:rPr>
        <w:t>SUBMISSION FOR THE REVIEW OF THE GOVERNMENT OF THE PHILIPPINES’ COMPLIANCE WITH THE CONVENTION FOR THE ELIMINATION OF ALL FORMS OF DISCRIMINATION AGAINST WOMEN TO THE CEDAW COMMITTEE ON ITS 86</w:t>
      </w:r>
      <w:r>
        <w:rPr>
          <w:rFonts w:ascii="Arial" w:eastAsia="Arial" w:hAnsi="Arial" w:cs="Arial"/>
          <w:b/>
          <w:vertAlign w:val="superscript"/>
        </w:rPr>
        <w:t>TH</w:t>
      </w:r>
      <w:r>
        <w:rPr>
          <w:rFonts w:ascii="Arial" w:eastAsia="Arial" w:hAnsi="Arial" w:cs="Arial"/>
          <w:b/>
        </w:rPr>
        <w:t xml:space="preserve"> SESSION </w:t>
      </w:r>
    </w:p>
    <w:p w:rsidR="003D1A03" w:rsidRDefault="003D1A03">
      <w:pPr>
        <w:tabs>
          <w:tab w:val="left" w:pos="4770"/>
        </w:tabs>
        <w:spacing w:after="0" w:line="240" w:lineRule="auto"/>
        <w:rPr>
          <w:rFonts w:ascii="Arial" w:eastAsia="Arial" w:hAnsi="Arial" w:cs="Arial"/>
          <w:b/>
        </w:rPr>
      </w:pPr>
    </w:p>
    <w:p w:rsidR="008726B6" w:rsidRPr="003D1A03" w:rsidRDefault="003D1A03" w:rsidP="003D1A03">
      <w:pPr>
        <w:pBdr>
          <w:bottom w:val="single" w:sz="12" w:space="1" w:color="auto"/>
        </w:pBdr>
        <w:spacing w:after="0" w:line="240" w:lineRule="auto"/>
        <w:rPr>
          <w:rFonts w:ascii="Arial" w:eastAsia="Arial" w:hAnsi="Arial" w:cs="Arial"/>
          <w:b/>
          <w:color w:val="000000"/>
          <w:sz w:val="18"/>
        </w:rPr>
      </w:pPr>
      <w:r w:rsidRPr="003D1A03">
        <w:rPr>
          <w:rFonts w:ascii="Arial" w:eastAsia="Arial" w:hAnsi="Arial" w:cs="Arial"/>
          <w:b/>
          <w:color w:val="000000"/>
          <w:sz w:val="18"/>
        </w:rPr>
        <w:t>This submission can be published on the OHCHR website for CEDAW for public information purposes.</w:t>
      </w:r>
    </w:p>
    <w:p w:rsidR="003D1A03" w:rsidRDefault="003D1A03" w:rsidP="003D1A03">
      <w:pPr>
        <w:spacing w:after="0" w:line="240" w:lineRule="auto"/>
        <w:rPr>
          <w:rFonts w:ascii="Arial" w:eastAsia="Arial" w:hAnsi="Arial" w:cs="Arial"/>
          <w:color w:val="000000"/>
        </w:rPr>
      </w:pPr>
    </w:p>
    <w:p w:rsidR="00D03B7F" w:rsidRPr="003D1A03" w:rsidRDefault="00D03B7F" w:rsidP="003D1A03">
      <w:pPr>
        <w:spacing w:after="0" w:line="240" w:lineRule="auto"/>
        <w:rPr>
          <w:rFonts w:ascii="Arial" w:eastAsia="Arial" w:hAnsi="Arial" w:cs="Arial"/>
          <w:color w:val="000000"/>
        </w:rPr>
      </w:pPr>
    </w:p>
    <w:p w:rsidR="003D1A03" w:rsidRDefault="003D1A03">
      <w:pPr>
        <w:spacing w:after="0" w:line="240" w:lineRule="auto"/>
        <w:rPr>
          <w:rFonts w:ascii="Arial" w:eastAsia="Arial" w:hAnsi="Arial" w:cs="Arial"/>
          <w:b/>
        </w:rPr>
      </w:pPr>
    </w:p>
    <w:p w:rsidR="008726B6" w:rsidRDefault="00DA1413">
      <w:pPr>
        <w:spacing w:after="0" w:line="240" w:lineRule="auto"/>
        <w:rPr>
          <w:rFonts w:ascii="Arial" w:eastAsia="Arial" w:hAnsi="Arial" w:cs="Arial"/>
          <w:b/>
        </w:rPr>
      </w:pPr>
      <w:r>
        <w:rPr>
          <w:rFonts w:ascii="Arial" w:eastAsia="Arial" w:hAnsi="Arial" w:cs="Arial"/>
          <w:b/>
        </w:rPr>
        <w:t>Introduction</w:t>
      </w:r>
    </w:p>
    <w:p w:rsidR="008726B6" w:rsidRDefault="008726B6">
      <w:pPr>
        <w:spacing w:after="0" w:line="240" w:lineRule="auto"/>
        <w:rPr>
          <w:rFonts w:ascii="Arial" w:eastAsia="Arial" w:hAnsi="Arial" w:cs="Arial"/>
        </w:rPr>
      </w:pPr>
    </w:p>
    <w:p w:rsidR="008726B6" w:rsidRDefault="00DA1413">
      <w:pPr>
        <w:pBdr>
          <w:top w:val="nil"/>
          <w:left w:val="nil"/>
          <w:bottom w:val="nil"/>
          <w:right w:val="nil"/>
          <w:between w:val="nil"/>
        </w:pBdr>
        <w:spacing w:after="0" w:line="240" w:lineRule="auto"/>
        <w:jc w:val="both"/>
        <w:rPr>
          <w:rFonts w:ascii="Arial" w:eastAsia="Arial" w:hAnsi="Arial" w:cs="Arial"/>
        </w:rPr>
      </w:pPr>
      <w:bookmarkStart w:id="0" w:name="_heading=h.gjdgxs" w:colFirst="0" w:colLast="0"/>
      <w:bookmarkEnd w:id="0"/>
      <w:r>
        <w:rPr>
          <w:rFonts w:ascii="Arial" w:eastAsia="Arial" w:hAnsi="Arial" w:cs="Arial"/>
          <w:color w:val="000000"/>
        </w:rPr>
        <w:t>Gabriela Women’s Party (GWP), a sectoral party</w:t>
      </w:r>
      <w:r>
        <w:rPr>
          <w:rFonts w:ascii="Arial" w:eastAsia="Arial" w:hAnsi="Arial" w:cs="Arial"/>
          <w:color w:val="000000"/>
          <w:vertAlign w:val="superscript"/>
        </w:rPr>
        <w:footnoteReference w:id="1"/>
      </w:r>
      <w:r>
        <w:rPr>
          <w:rFonts w:ascii="Arial" w:eastAsia="Arial" w:hAnsi="Arial" w:cs="Arial"/>
          <w:vertAlign w:val="superscript"/>
        </w:rPr>
        <w:t xml:space="preserve"> </w:t>
      </w:r>
      <w:r>
        <w:rPr>
          <w:rFonts w:ascii="Arial" w:eastAsia="Arial" w:hAnsi="Arial" w:cs="Arial"/>
          <w:color w:val="000000"/>
        </w:rPr>
        <w:t>of Filipino women, submits its report to the Committee on the Elimination of All Forms of Discrimination Against Women to provide additional information on the legislative framework and definition of discrimi</w:t>
      </w:r>
      <w:r>
        <w:rPr>
          <w:rFonts w:ascii="Arial" w:eastAsia="Arial" w:hAnsi="Arial" w:cs="Arial"/>
          <w:color w:val="000000"/>
        </w:rPr>
        <w:t>nation, women human rights defenders and civil society, and participation in political and public life of Filipino women</w:t>
      </w:r>
      <w:r>
        <w:rPr>
          <w:rFonts w:ascii="Arial" w:eastAsia="Arial" w:hAnsi="Arial" w:cs="Arial"/>
        </w:rPr>
        <w:t xml:space="preserve"> on the period covered from 2016 to 2022. </w:t>
      </w:r>
    </w:p>
    <w:p w:rsidR="008726B6" w:rsidRDefault="008726B6">
      <w:pPr>
        <w:pBdr>
          <w:top w:val="nil"/>
          <w:left w:val="nil"/>
          <w:bottom w:val="nil"/>
          <w:right w:val="nil"/>
          <w:between w:val="nil"/>
        </w:pBdr>
        <w:spacing w:after="0" w:line="240" w:lineRule="auto"/>
        <w:jc w:val="both"/>
        <w:rPr>
          <w:rFonts w:ascii="Arial" w:eastAsia="Arial" w:hAnsi="Arial" w:cs="Arial"/>
        </w:rPr>
      </w:pPr>
      <w:bookmarkStart w:id="1" w:name="_heading=h.5g0grkquu3gp" w:colFirst="0" w:colLast="0"/>
      <w:bookmarkEnd w:id="1"/>
    </w:p>
    <w:p w:rsidR="00D03B7F" w:rsidRDefault="00D03B7F">
      <w:pPr>
        <w:pBdr>
          <w:top w:val="nil"/>
          <w:left w:val="nil"/>
          <w:bottom w:val="nil"/>
          <w:right w:val="nil"/>
          <w:between w:val="nil"/>
        </w:pBdr>
        <w:spacing w:after="0" w:line="240" w:lineRule="auto"/>
        <w:jc w:val="both"/>
        <w:rPr>
          <w:rFonts w:ascii="Arial" w:eastAsia="Arial" w:hAnsi="Arial" w:cs="Arial"/>
          <w:b/>
        </w:rPr>
      </w:pPr>
      <w:bookmarkStart w:id="2" w:name="_heading=h.gnd925omo4z5" w:colFirst="0" w:colLast="0"/>
      <w:bookmarkEnd w:id="2"/>
    </w:p>
    <w:p w:rsidR="008726B6" w:rsidRDefault="00DA1413">
      <w:pPr>
        <w:pBdr>
          <w:top w:val="nil"/>
          <w:left w:val="nil"/>
          <w:bottom w:val="nil"/>
          <w:right w:val="nil"/>
          <w:between w:val="nil"/>
        </w:pBdr>
        <w:spacing w:after="0" w:line="240" w:lineRule="auto"/>
        <w:jc w:val="both"/>
        <w:rPr>
          <w:rFonts w:ascii="Arial" w:eastAsia="Arial" w:hAnsi="Arial" w:cs="Arial"/>
          <w:b/>
        </w:rPr>
      </w:pPr>
      <w:bookmarkStart w:id="3" w:name="_heading=h.oiq7ntjytesk" w:colFirst="0" w:colLast="0"/>
      <w:bookmarkEnd w:id="3"/>
      <w:r>
        <w:rPr>
          <w:rFonts w:ascii="Arial" w:eastAsia="Arial" w:hAnsi="Arial" w:cs="Arial"/>
          <w:b/>
        </w:rPr>
        <w:t>Observations and Additional Information</w:t>
      </w:r>
    </w:p>
    <w:p w:rsidR="008726B6" w:rsidRDefault="008726B6">
      <w:pPr>
        <w:pBdr>
          <w:top w:val="nil"/>
          <w:left w:val="nil"/>
          <w:bottom w:val="nil"/>
          <w:right w:val="nil"/>
          <w:between w:val="nil"/>
        </w:pBdr>
        <w:spacing w:after="120" w:line="240" w:lineRule="auto"/>
        <w:ind w:right="95"/>
        <w:jc w:val="both"/>
        <w:rPr>
          <w:rFonts w:ascii="Arial" w:eastAsia="Arial" w:hAnsi="Arial" w:cs="Arial"/>
          <w:color w:val="000000"/>
          <w:sz w:val="24"/>
          <w:szCs w:val="24"/>
        </w:rPr>
      </w:pPr>
    </w:p>
    <w:p w:rsidR="008726B6" w:rsidRDefault="00DA1413">
      <w:pPr>
        <w:numPr>
          <w:ilvl w:val="0"/>
          <w:numId w:val="1"/>
        </w:numPr>
        <w:pBdr>
          <w:top w:val="nil"/>
          <w:left w:val="nil"/>
          <w:bottom w:val="nil"/>
          <w:right w:val="nil"/>
          <w:between w:val="nil"/>
        </w:pBdr>
        <w:spacing w:after="120" w:line="240" w:lineRule="auto"/>
        <w:ind w:right="95"/>
        <w:rPr>
          <w:rFonts w:ascii="Arial" w:eastAsia="Arial" w:hAnsi="Arial" w:cs="Arial"/>
          <w:b/>
          <w:color w:val="000000"/>
        </w:rPr>
      </w:pPr>
      <w:r>
        <w:rPr>
          <w:rFonts w:ascii="Arial" w:eastAsia="Arial" w:hAnsi="Arial" w:cs="Arial"/>
          <w:b/>
          <w:color w:val="000000"/>
        </w:rPr>
        <w:t xml:space="preserve">Legislative </w:t>
      </w:r>
      <w:r>
        <w:rPr>
          <w:rFonts w:ascii="Arial" w:eastAsia="Arial" w:hAnsi="Arial" w:cs="Arial"/>
          <w:b/>
        </w:rPr>
        <w:t>F</w:t>
      </w:r>
      <w:r>
        <w:rPr>
          <w:rFonts w:ascii="Arial" w:eastAsia="Arial" w:hAnsi="Arial" w:cs="Arial"/>
          <w:b/>
          <w:color w:val="000000"/>
        </w:rPr>
        <w:t xml:space="preserve">ramework and </w:t>
      </w:r>
      <w:r>
        <w:rPr>
          <w:rFonts w:ascii="Arial" w:eastAsia="Arial" w:hAnsi="Arial" w:cs="Arial"/>
          <w:b/>
        </w:rPr>
        <w:t>D</w:t>
      </w:r>
      <w:r>
        <w:rPr>
          <w:rFonts w:ascii="Arial" w:eastAsia="Arial" w:hAnsi="Arial" w:cs="Arial"/>
          <w:b/>
          <w:color w:val="000000"/>
        </w:rPr>
        <w:t xml:space="preserve">efinition of </w:t>
      </w:r>
      <w:r>
        <w:rPr>
          <w:rFonts w:ascii="Arial" w:eastAsia="Arial" w:hAnsi="Arial" w:cs="Arial"/>
          <w:b/>
        </w:rPr>
        <w:t>D</w:t>
      </w:r>
      <w:r>
        <w:rPr>
          <w:rFonts w:ascii="Arial" w:eastAsia="Arial" w:hAnsi="Arial" w:cs="Arial"/>
          <w:b/>
          <w:color w:val="000000"/>
        </w:rPr>
        <w:t>iscrimination</w:t>
      </w:r>
    </w:p>
    <w:p w:rsidR="008726B6" w:rsidRDefault="008726B6">
      <w:pPr>
        <w:pBdr>
          <w:top w:val="nil"/>
          <w:left w:val="nil"/>
          <w:bottom w:val="nil"/>
          <w:right w:val="nil"/>
          <w:between w:val="nil"/>
        </w:pBdr>
        <w:spacing w:after="120" w:line="240" w:lineRule="auto"/>
        <w:ind w:right="95"/>
        <w:rPr>
          <w:rFonts w:ascii="Arial" w:eastAsia="Arial" w:hAnsi="Arial" w:cs="Arial"/>
        </w:rPr>
      </w:pPr>
    </w:p>
    <w:p w:rsidR="008726B6" w:rsidRDefault="00DA1413">
      <w:pPr>
        <w:pBdr>
          <w:top w:val="nil"/>
          <w:left w:val="nil"/>
          <w:bottom w:val="nil"/>
          <w:right w:val="nil"/>
          <w:between w:val="nil"/>
        </w:pBdr>
        <w:spacing w:after="120" w:line="240" w:lineRule="auto"/>
        <w:ind w:right="95" w:firstLine="720"/>
        <w:jc w:val="both"/>
        <w:rPr>
          <w:rFonts w:ascii="Arial" w:eastAsia="Arial" w:hAnsi="Arial" w:cs="Arial"/>
        </w:rPr>
      </w:pPr>
      <w:r>
        <w:rPr>
          <w:rFonts w:ascii="Arial" w:eastAsia="Arial" w:hAnsi="Arial" w:cs="Arial"/>
        </w:rPr>
        <w:t xml:space="preserve">1.1 </w:t>
      </w:r>
      <w:r>
        <w:rPr>
          <w:rFonts w:ascii="Arial" w:eastAsia="Arial" w:hAnsi="Arial" w:cs="Arial"/>
        </w:rPr>
        <w:tab/>
        <w:t>Key legislative measures aimed at addressing discrimination against women have been signed into law in the period covered such as the Safe Spaces Act</w:t>
      </w:r>
      <w:r>
        <w:rPr>
          <w:rFonts w:ascii="Arial" w:eastAsia="Arial" w:hAnsi="Arial" w:cs="Arial"/>
          <w:vertAlign w:val="superscript"/>
        </w:rPr>
        <w:footnoteReference w:id="2"/>
      </w:r>
      <w:r>
        <w:rPr>
          <w:rFonts w:ascii="Arial" w:eastAsia="Arial" w:hAnsi="Arial" w:cs="Arial"/>
        </w:rPr>
        <w:t>, Expanded Maternity Leave Act</w:t>
      </w:r>
      <w:r>
        <w:rPr>
          <w:rFonts w:ascii="Arial" w:eastAsia="Arial" w:hAnsi="Arial" w:cs="Arial"/>
          <w:vertAlign w:val="superscript"/>
        </w:rPr>
        <w:footnoteReference w:id="3"/>
      </w:r>
      <w:r>
        <w:rPr>
          <w:rFonts w:ascii="Arial" w:eastAsia="Arial" w:hAnsi="Arial" w:cs="Arial"/>
        </w:rPr>
        <w:t>, An Act Prohibiting the Practice of Child Marriage</w:t>
      </w:r>
      <w:r>
        <w:rPr>
          <w:rFonts w:ascii="Arial" w:eastAsia="Arial" w:hAnsi="Arial" w:cs="Arial"/>
          <w:vertAlign w:val="superscript"/>
        </w:rPr>
        <w:footnoteReference w:id="4"/>
      </w:r>
      <w:r>
        <w:rPr>
          <w:rFonts w:ascii="Arial" w:eastAsia="Arial" w:hAnsi="Arial" w:cs="Arial"/>
        </w:rPr>
        <w:t>, and the End Child Rape Act</w:t>
      </w:r>
      <w:r>
        <w:rPr>
          <w:rFonts w:ascii="Arial" w:eastAsia="Arial" w:hAnsi="Arial" w:cs="Arial"/>
          <w:vertAlign w:val="superscript"/>
        </w:rPr>
        <w:footnoteReference w:id="5"/>
      </w:r>
      <w:r>
        <w:rPr>
          <w:rFonts w:ascii="Arial" w:eastAsia="Arial" w:hAnsi="Arial" w:cs="Arial"/>
        </w:rPr>
        <w:t xml:space="preserve">. </w:t>
      </w:r>
    </w:p>
    <w:p w:rsidR="008726B6" w:rsidRDefault="008726B6">
      <w:pPr>
        <w:pBdr>
          <w:top w:val="nil"/>
          <w:left w:val="nil"/>
          <w:bottom w:val="nil"/>
          <w:right w:val="nil"/>
          <w:between w:val="nil"/>
        </w:pBdr>
        <w:spacing w:after="120" w:line="240" w:lineRule="auto"/>
        <w:ind w:right="95" w:firstLine="720"/>
        <w:jc w:val="both"/>
        <w:rPr>
          <w:rFonts w:ascii="Arial" w:eastAsia="Arial" w:hAnsi="Arial" w:cs="Arial"/>
        </w:rPr>
      </w:pPr>
    </w:p>
    <w:p w:rsidR="008726B6" w:rsidRDefault="00DA1413">
      <w:pPr>
        <w:pBdr>
          <w:top w:val="nil"/>
          <w:left w:val="nil"/>
          <w:bottom w:val="nil"/>
          <w:right w:val="nil"/>
          <w:between w:val="nil"/>
        </w:pBdr>
        <w:spacing w:after="120" w:line="240" w:lineRule="auto"/>
        <w:ind w:right="95" w:firstLine="720"/>
        <w:jc w:val="both"/>
        <w:rPr>
          <w:rFonts w:ascii="Arial" w:eastAsia="Arial" w:hAnsi="Arial" w:cs="Arial"/>
        </w:rPr>
      </w:pPr>
      <w:r>
        <w:rPr>
          <w:rFonts w:ascii="Arial" w:eastAsia="Arial" w:hAnsi="Arial" w:cs="Arial"/>
        </w:rPr>
        <w:t xml:space="preserve">1.2 </w:t>
      </w:r>
      <w:r>
        <w:rPr>
          <w:rFonts w:ascii="Arial" w:eastAsia="Arial" w:hAnsi="Arial" w:cs="Arial"/>
        </w:rPr>
        <w:tab/>
        <w:t>However, issues regarding the implementation and oversight of these key measures remain a concern. For instance, the implementation of the Safe Spaces Act, which expands the offenses listed under sexual harassment to c</w:t>
      </w:r>
      <w:r>
        <w:rPr>
          <w:rFonts w:ascii="Arial" w:eastAsia="Arial" w:hAnsi="Arial" w:cs="Arial"/>
        </w:rPr>
        <w:t>over street-based offenses and acts committed via digital platforms, remains patchy. No report has been publicly made by the oversight body composed of several national government agencies on the implementation of the law, as provided under Section 34 of t</w:t>
      </w:r>
      <w:r>
        <w:rPr>
          <w:rFonts w:ascii="Arial" w:eastAsia="Arial" w:hAnsi="Arial" w:cs="Arial"/>
        </w:rPr>
        <w:t xml:space="preserve">he Implementing Rules and Regulations (IRR) of the Safe Spaces Act. </w:t>
      </w:r>
    </w:p>
    <w:p w:rsidR="008726B6" w:rsidRDefault="008726B6">
      <w:pPr>
        <w:pBdr>
          <w:top w:val="nil"/>
          <w:left w:val="nil"/>
          <w:bottom w:val="nil"/>
          <w:right w:val="nil"/>
          <w:between w:val="nil"/>
        </w:pBdr>
        <w:spacing w:after="120" w:line="240" w:lineRule="auto"/>
        <w:ind w:right="95" w:firstLine="720"/>
        <w:jc w:val="both"/>
        <w:rPr>
          <w:rFonts w:ascii="Arial" w:eastAsia="Arial" w:hAnsi="Arial" w:cs="Arial"/>
        </w:rPr>
      </w:pPr>
    </w:p>
    <w:p w:rsidR="008726B6" w:rsidRDefault="00DA1413">
      <w:pPr>
        <w:pBdr>
          <w:top w:val="nil"/>
          <w:left w:val="nil"/>
          <w:bottom w:val="nil"/>
          <w:right w:val="nil"/>
          <w:between w:val="nil"/>
        </w:pBdr>
        <w:spacing w:after="120" w:line="240" w:lineRule="auto"/>
        <w:ind w:right="95" w:firstLine="720"/>
        <w:jc w:val="both"/>
        <w:rPr>
          <w:rFonts w:ascii="Arial" w:eastAsia="Arial" w:hAnsi="Arial" w:cs="Arial"/>
        </w:rPr>
      </w:pPr>
      <w:r>
        <w:rPr>
          <w:rFonts w:ascii="Arial" w:eastAsia="Arial" w:hAnsi="Arial" w:cs="Arial"/>
        </w:rPr>
        <w:t xml:space="preserve">1.3 </w:t>
      </w:r>
      <w:r>
        <w:rPr>
          <w:rFonts w:ascii="Arial" w:eastAsia="Arial" w:hAnsi="Arial" w:cs="Arial"/>
        </w:rPr>
        <w:tab/>
        <w:t>The localization of laws addressing anti-discrimination and laws penalizing gender-based violence has been very minimal, despite the inclusion of provisions that make it mandatory a</w:t>
      </w:r>
      <w:r>
        <w:rPr>
          <w:rFonts w:ascii="Arial" w:eastAsia="Arial" w:hAnsi="Arial" w:cs="Arial"/>
        </w:rPr>
        <w:t>t the local level.</w:t>
      </w:r>
      <w:r>
        <w:rPr>
          <w:rFonts w:ascii="Arial" w:eastAsia="Arial" w:hAnsi="Arial" w:cs="Arial"/>
          <w:vertAlign w:val="superscript"/>
        </w:rPr>
        <w:footnoteReference w:id="6"/>
      </w:r>
      <w:r>
        <w:rPr>
          <w:rFonts w:ascii="Arial" w:eastAsia="Arial" w:hAnsi="Arial" w:cs="Arial"/>
        </w:rPr>
        <w:t xml:space="preserve"> Although there are fifty-one (51) local ordinances related to anti-discrimination, only three (3) have IRRs.</w:t>
      </w:r>
    </w:p>
    <w:p w:rsidR="008726B6" w:rsidRDefault="008726B6">
      <w:pPr>
        <w:pBdr>
          <w:top w:val="nil"/>
          <w:left w:val="nil"/>
          <w:bottom w:val="nil"/>
          <w:right w:val="nil"/>
          <w:between w:val="nil"/>
        </w:pBdr>
        <w:spacing w:after="120" w:line="240" w:lineRule="auto"/>
        <w:ind w:right="95" w:firstLine="720"/>
        <w:jc w:val="both"/>
        <w:rPr>
          <w:rFonts w:ascii="Arial" w:eastAsia="Arial" w:hAnsi="Arial" w:cs="Arial"/>
        </w:rPr>
      </w:pPr>
    </w:p>
    <w:p w:rsidR="008726B6" w:rsidRDefault="00DA1413">
      <w:pPr>
        <w:pBdr>
          <w:top w:val="nil"/>
          <w:left w:val="nil"/>
          <w:bottom w:val="nil"/>
          <w:right w:val="nil"/>
          <w:between w:val="nil"/>
        </w:pBdr>
        <w:spacing w:after="120" w:line="240" w:lineRule="auto"/>
        <w:ind w:right="95" w:firstLine="720"/>
        <w:jc w:val="both"/>
        <w:rPr>
          <w:rFonts w:ascii="Arial" w:eastAsia="Arial" w:hAnsi="Arial" w:cs="Arial"/>
        </w:rPr>
      </w:pPr>
      <w:r>
        <w:rPr>
          <w:rFonts w:ascii="Arial" w:eastAsia="Arial" w:hAnsi="Arial" w:cs="Arial"/>
        </w:rPr>
        <w:t>1.4</w:t>
      </w:r>
      <w:r>
        <w:rPr>
          <w:rFonts w:ascii="Arial" w:eastAsia="Arial" w:hAnsi="Arial" w:cs="Arial"/>
        </w:rPr>
        <w:tab/>
        <w:t xml:space="preserve">Important legislative measures seeking to expand the prohibition on discrimination against women </w:t>
      </w:r>
      <w:proofErr w:type="gramStart"/>
      <w:r>
        <w:rPr>
          <w:rFonts w:ascii="Arial" w:eastAsia="Arial" w:hAnsi="Arial" w:cs="Arial"/>
        </w:rPr>
        <w:t>on account of</w:t>
      </w:r>
      <w:proofErr w:type="gramEnd"/>
      <w:r>
        <w:rPr>
          <w:rFonts w:ascii="Arial" w:eastAsia="Arial" w:hAnsi="Arial" w:cs="Arial"/>
        </w:rPr>
        <w:t xml:space="preserve"> sex have ye</w:t>
      </w:r>
      <w:r>
        <w:rPr>
          <w:rFonts w:ascii="Arial" w:eastAsia="Arial" w:hAnsi="Arial" w:cs="Arial"/>
        </w:rPr>
        <w:t>t to be signed into law. For instance, a bill seeking to prohibit and penalize additional forms of workplace discrimination against women, such as implementation of retrenchment policy that is biased against women and the granting of benefits in favor of m</w:t>
      </w:r>
      <w:r>
        <w:rPr>
          <w:rFonts w:ascii="Arial" w:eastAsia="Arial" w:hAnsi="Arial" w:cs="Arial"/>
        </w:rPr>
        <w:t xml:space="preserve">en, remain pending at the Senate despite being approved by the House of Representatives (HOR) twice since 2016. </w:t>
      </w:r>
      <w:r>
        <w:rPr>
          <w:rFonts w:ascii="Arial" w:eastAsia="Arial" w:hAnsi="Arial" w:cs="Arial"/>
          <w:highlight w:val="yellow"/>
        </w:rPr>
        <w:t xml:space="preserve"> </w:t>
      </w:r>
      <w:r>
        <w:rPr>
          <w:rFonts w:ascii="Arial" w:eastAsia="Arial" w:hAnsi="Arial" w:cs="Arial"/>
        </w:rPr>
        <w:t xml:space="preserve"> </w:t>
      </w:r>
    </w:p>
    <w:p w:rsidR="008726B6" w:rsidRDefault="008726B6">
      <w:pPr>
        <w:pBdr>
          <w:top w:val="nil"/>
          <w:left w:val="nil"/>
          <w:bottom w:val="nil"/>
          <w:right w:val="nil"/>
          <w:between w:val="nil"/>
        </w:pBdr>
        <w:spacing w:after="120" w:line="240" w:lineRule="auto"/>
        <w:ind w:right="95" w:firstLine="720"/>
        <w:jc w:val="both"/>
        <w:rPr>
          <w:rFonts w:ascii="Arial" w:eastAsia="Arial" w:hAnsi="Arial" w:cs="Arial"/>
        </w:rPr>
      </w:pPr>
    </w:p>
    <w:p w:rsidR="008726B6" w:rsidRDefault="00DA1413">
      <w:pPr>
        <w:pBdr>
          <w:top w:val="nil"/>
          <w:left w:val="nil"/>
          <w:bottom w:val="nil"/>
          <w:right w:val="nil"/>
          <w:between w:val="nil"/>
        </w:pBdr>
        <w:spacing w:after="120" w:line="240" w:lineRule="auto"/>
        <w:ind w:right="95" w:firstLine="720"/>
        <w:jc w:val="both"/>
        <w:rPr>
          <w:rFonts w:ascii="Arial" w:eastAsia="Arial" w:hAnsi="Arial" w:cs="Arial"/>
        </w:rPr>
      </w:pPr>
      <w:r>
        <w:rPr>
          <w:rFonts w:ascii="Arial" w:eastAsia="Arial" w:hAnsi="Arial" w:cs="Arial"/>
        </w:rPr>
        <w:t xml:space="preserve">1.5 </w:t>
      </w:r>
      <w:r>
        <w:rPr>
          <w:rFonts w:ascii="Arial" w:eastAsia="Arial" w:hAnsi="Arial" w:cs="Arial"/>
        </w:rPr>
        <w:tab/>
        <w:t>The Philippine government has yet to enact a bill to expand the definition of violence against women and their children to include elec</w:t>
      </w:r>
      <w:r>
        <w:rPr>
          <w:rFonts w:ascii="Arial" w:eastAsia="Arial" w:hAnsi="Arial" w:cs="Arial"/>
        </w:rPr>
        <w:t>tronic violence.</w:t>
      </w:r>
      <w:r>
        <w:rPr>
          <w:rFonts w:ascii="Arial" w:eastAsia="Arial" w:hAnsi="Arial" w:cs="Arial"/>
          <w:vertAlign w:val="superscript"/>
        </w:rPr>
        <w:footnoteReference w:id="7"/>
      </w:r>
      <w:r>
        <w:rPr>
          <w:rFonts w:ascii="Arial" w:eastAsia="Arial" w:hAnsi="Arial" w:cs="Arial"/>
        </w:rPr>
        <w:t xml:space="preserve"> Various forms of violence against women and their children committed through digital platforms such as the spread of explicit videos, remain outside of the ambit of Republic Act (RA) No. 9262</w:t>
      </w:r>
      <w:r>
        <w:rPr>
          <w:rFonts w:ascii="Arial" w:eastAsia="Arial" w:hAnsi="Arial" w:cs="Arial"/>
          <w:vertAlign w:val="superscript"/>
        </w:rPr>
        <w:footnoteReference w:id="8"/>
      </w:r>
      <w:r>
        <w:rPr>
          <w:rFonts w:ascii="Arial" w:eastAsia="Arial" w:hAnsi="Arial" w:cs="Arial"/>
        </w:rPr>
        <w:t>, which was signed into law nineteen (19) year</w:t>
      </w:r>
      <w:r>
        <w:rPr>
          <w:rFonts w:ascii="Arial" w:eastAsia="Arial" w:hAnsi="Arial" w:cs="Arial"/>
        </w:rPr>
        <w:t>s ago and which has to keep up with the significant strides made in information and communication technology (ICT)-</w:t>
      </w:r>
      <w:r>
        <w:rPr>
          <w:rFonts w:ascii="Arial" w:eastAsia="Arial" w:hAnsi="Arial" w:cs="Arial"/>
        </w:rPr>
        <w:t xml:space="preserve">enabled platforms. </w:t>
      </w:r>
    </w:p>
    <w:p w:rsidR="008726B6" w:rsidRDefault="008726B6">
      <w:pPr>
        <w:pBdr>
          <w:top w:val="nil"/>
          <w:left w:val="nil"/>
          <w:bottom w:val="nil"/>
          <w:right w:val="nil"/>
          <w:between w:val="nil"/>
        </w:pBdr>
        <w:spacing w:after="120" w:line="240" w:lineRule="auto"/>
        <w:ind w:right="95" w:firstLine="720"/>
        <w:jc w:val="both"/>
        <w:rPr>
          <w:rFonts w:ascii="Arial" w:eastAsia="Arial" w:hAnsi="Arial" w:cs="Arial"/>
        </w:rPr>
      </w:pPr>
    </w:p>
    <w:p w:rsidR="008726B6" w:rsidRDefault="00DA1413">
      <w:pPr>
        <w:pBdr>
          <w:top w:val="nil"/>
          <w:left w:val="nil"/>
          <w:bottom w:val="nil"/>
          <w:right w:val="nil"/>
          <w:between w:val="nil"/>
        </w:pBdr>
        <w:spacing w:after="120" w:line="240" w:lineRule="auto"/>
        <w:ind w:right="95" w:firstLine="720"/>
        <w:jc w:val="both"/>
        <w:rPr>
          <w:rFonts w:ascii="Arial" w:eastAsia="Arial" w:hAnsi="Arial" w:cs="Arial"/>
        </w:rPr>
      </w:pPr>
      <w:r>
        <w:rPr>
          <w:rFonts w:ascii="Arial" w:eastAsia="Arial" w:hAnsi="Arial" w:cs="Arial"/>
        </w:rPr>
        <w:t>1.6</w:t>
      </w:r>
      <w:r>
        <w:rPr>
          <w:rFonts w:ascii="Arial" w:eastAsia="Arial" w:hAnsi="Arial" w:cs="Arial"/>
        </w:rPr>
        <w:tab/>
        <w:t>A law on anti-discrimination based on Sexual Orientation, Gender Identity, Gender Expression, or Sex Characteristic</w:t>
      </w:r>
      <w:r>
        <w:rPr>
          <w:rFonts w:ascii="Arial" w:eastAsia="Arial" w:hAnsi="Arial" w:cs="Arial"/>
        </w:rPr>
        <w:t>s (SOGIESC) has yet to be passed on a national level.</w:t>
      </w:r>
      <w:r>
        <w:rPr>
          <w:rFonts w:ascii="Arial" w:eastAsia="Arial" w:hAnsi="Arial" w:cs="Arial"/>
          <w:vertAlign w:val="superscript"/>
        </w:rPr>
        <w:footnoteReference w:id="9"/>
      </w:r>
      <w:r>
        <w:rPr>
          <w:rFonts w:ascii="Arial" w:eastAsia="Arial" w:hAnsi="Arial" w:cs="Arial"/>
        </w:rPr>
        <w:t xml:space="preserve"> Instead, there are ordinances being enacted by local government units (LGUs) to </w:t>
      </w:r>
      <w:r>
        <w:rPr>
          <w:rFonts w:ascii="Arial" w:eastAsia="Arial" w:hAnsi="Arial" w:cs="Arial"/>
        </w:rPr>
        <w:lastRenderedPageBreak/>
        <w:t>address such discrimination. Some of the cities which have enacted or amended their anti-discrimination ordinances for th</w:t>
      </w:r>
      <w:r>
        <w:rPr>
          <w:rFonts w:ascii="Arial" w:eastAsia="Arial" w:hAnsi="Arial" w:cs="Arial"/>
        </w:rPr>
        <w:t>e period of this report include Iloilo City (2018), Manila and Zamboanga City (2020), Bataan (2021), and Cebu (2022).</w:t>
      </w:r>
      <w:r>
        <w:rPr>
          <w:rFonts w:ascii="Arial" w:eastAsia="Arial" w:hAnsi="Arial" w:cs="Arial"/>
          <w:vertAlign w:val="superscript"/>
        </w:rPr>
        <w:footnoteReference w:id="10"/>
      </w:r>
    </w:p>
    <w:p w:rsidR="008726B6" w:rsidRDefault="008726B6">
      <w:pPr>
        <w:pBdr>
          <w:top w:val="nil"/>
          <w:left w:val="nil"/>
          <w:bottom w:val="nil"/>
          <w:right w:val="nil"/>
          <w:between w:val="nil"/>
        </w:pBdr>
        <w:spacing w:after="120" w:line="240" w:lineRule="auto"/>
        <w:ind w:right="95"/>
        <w:jc w:val="both"/>
        <w:rPr>
          <w:rFonts w:ascii="Arial" w:eastAsia="Arial" w:hAnsi="Arial" w:cs="Arial"/>
        </w:rPr>
      </w:pPr>
    </w:p>
    <w:p w:rsidR="008726B6" w:rsidRDefault="00DA1413">
      <w:pPr>
        <w:pBdr>
          <w:top w:val="nil"/>
          <w:left w:val="nil"/>
          <w:bottom w:val="nil"/>
          <w:right w:val="nil"/>
          <w:between w:val="nil"/>
        </w:pBdr>
        <w:spacing w:after="120" w:line="240" w:lineRule="auto"/>
        <w:ind w:right="95" w:firstLine="720"/>
        <w:jc w:val="both"/>
        <w:rPr>
          <w:rFonts w:ascii="Arial" w:eastAsia="Arial" w:hAnsi="Arial" w:cs="Arial"/>
        </w:rPr>
      </w:pPr>
      <w:r>
        <w:rPr>
          <w:rFonts w:ascii="Arial" w:eastAsia="Arial" w:hAnsi="Arial" w:cs="Arial"/>
        </w:rPr>
        <w:t>1.7</w:t>
      </w:r>
      <w:r>
        <w:rPr>
          <w:rFonts w:ascii="Arial" w:eastAsia="Arial" w:hAnsi="Arial" w:cs="Arial"/>
        </w:rPr>
        <w:tab/>
        <w:t xml:space="preserve">Several House Resolutions (HRs) which were filed from 2016 to 2022 by GWP and the </w:t>
      </w:r>
      <w:proofErr w:type="spellStart"/>
      <w:r>
        <w:rPr>
          <w:rFonts w:ascii="Arial" w:eastAsia="Arial" w:hAnsi="Arial" w:cs="Arial"/>
        </w:rPr>
        <w:t>Makabayan</w:t>
      </w:r>
      <w:proofErr w:type="spellEnd"/>
      <w:r>
        <w:rPr>
          <w:rFonts w:ascii="Arial" w:eastAsia="Arial" w:hAnsi="Arial" w:cs="Arial"/>
        </w:rPr>
        <w:t xml:space="preserve"> bloc</w:t>
      </w:r>
      <w:r>
        <w:rPr>
          <w:rFonts w:ascii="Arial" w:eastAsia="Arial" w:hAnsi="Arial" w:cs="Arial"/>
          <w:vertAlign w:val="superscript"/>
        </w:rPr>
        <w:footnoteReference w:id="11"/>
      </w:r>
      <w:r>
        <w:rPr>
          <w:rFonts w:ascii="Arial" w:eastAsia="Arial" w:hAnsi="Arial" w:cs="Arial"/>
        </w:rPr>
        <w:t xml:space="preserve"> seeking an investigation, in aid o</w:t>
      </w:r>
      <w:r>
        <w:rPr>
          <w:rFonts w:ascii="Arial" w:eastAsia="Arial" w:hAnsi="Arial" w:cs="Arial"/>
        </w:rPr>
        <w:t xml:space="preserve">f legislation, on alleged rape and sexual harassment committed against Filipino women and girls were not acted upon by the HOR and were left pending at different House Committees. Most of these resolutions pertain to alleged offenses committed by military </w:t>
      </w:r>
      <w:r>
        <w:rPr>
          <w:rFonts w:ascii="Arial" w:eastAsia="Arial" w:hAnsi="Arial" w:cs="Arial"/>
        </w:rPr>
        <w:t>personnel and police officers, such as in the case of slain teenager F</w:t>
      </w:r>
      <w:r w:rsidR="00346DF5">
        <w:rPr>
          <w:rFonts w:ascii="Arial" w:eastAsia="Arial" w:hAnsi="Arial" w:cs="Arial"/>
        </w:rPr>
        <w:t xml:space="preserve">. </w:t>
      </w:r>
      <w:r>
        <w:rPr>
          <w:rFonts w:ascii="Arial" w:eastAsia="Arial" w:hAnsi="Arial" w:cs="Arial"/>
        </w:rPr>
        <w:t>P</w:t>
      </w:r>
      <w:r w:rsidR="00346DF5">
        <w:rPr>
          <w:rFonts w:ascii="Arial" w:eastAsia="Arial" w:hAnsi="Arial" w:cs="Arial"/>
        </w:rPr>
        <w:t>.</w:t>
      </w:r>
      <w:r>
        <w:rPr>
          <w:rFonts w:ascii="Arial" w:eastAsia="Arial" w:hAnsi="Arial" w:cs="Arial"/>
        </w:rPr>
        <w:t xml:space="preserve"> in </w:t>
      </w:r>
      <w:proofErr w:type="spellStart"/>
      <w:r>
        <w:rPr>
          <w:rFonts w:ascii="Arial" w:eastAsia="Arial" w:hAnsi="Arial" w:cs="Arial"/>
        </w:rPr>
        <w:t>Ilocos</w:t>
      </w:r>
      <w:proofErr w:type="spellEnd"/>
      <w:r>
        <w:rPr>
          <w:rFonts w:ascii="Arial" w:eastAsia="Arial" w:hAnsi="Arial" w:cs="Arial"/>
        </w:rPr>
        <w:t xml:space="preserve"> Sur.</w:t>
      </w:r>
      <w:r>
        <w:rPr>
          <w:rFonts w:ascii="Arial" w:eastAsia="Arial" w:hAnsi="Arial" w:cs="Arial"/>
          <w:vertAlign w:val="superscript"/>
        </w:rPr>
        <w:footnoteReference w:id="12"/>
      </w:r>
      <w:r>
        <w:rPr>
          <w:rFonts w:ascii="Arial" w:eastAsia="Arial" w:hAnsi="Arial" w:cs="Arial"/>
        </w:rPr>
        <w:t xml:space="preserve">    </w:t>
      </w:r>
    </w:p>
    <w:p w:rsidR="008726B6" w:rsidRDefault="008726B6">
      <w:pPr>
        <w:pBdr>
          <w:top w:val="nil"/>
          <w:left w:val="nil"/>
          <w:bottom w:val="nil"/>
          <w:right w:val="nil"/>
          <w:between w:val="nil"/>
        </w:pBdr>
        <w:spacing w:after="120" w:line="240" w:lineRule="auto"/>
        <w:ind w:right="95"/>
        <w:jc w:val="both"/>
        <w:rPr>
          <w:rFonts w:ascii="Arial" w:eastAsia="Arial" w:hAnsi="Arial" w:cs="Arial"/>
        </w:rPr>
      </w:pPr>
    </w:p>
    <w:p w:rsidR="00D03B7F" w:rsidRDefault="00D03B7F">
      <w:pPr>
        <w:pBdr>
          <w:top w:val="nil"/>
          <w:left w:val="nil"/>
          <w:bottom w:val="nil"/>
          <w:right w:val="nil"/>
          <w:between w:val="nil"/>
        </w:pBdr>
        <w:spacing w:after="120" w:line="240" w:lineRule="auto"/>
        <w:ind w:right="95"/>
        <w:jc w:val="both"/>
        <w:rPr>
          <w:rFonts w:ascii="Arial" w:eastAsia="Arial" w:hAnsi="Arial" w:cs="Arial"/>
        </w:rPr>
      </w:pPr>
    </w:p>
    <w:p w:rsidR="008726B6" w:rsidRDefault="00DA1413">
      <w:pPr>
        <w:pBdr>
          <w:top w:val="nil"/>
          <w:left w:val="nil"/>
          <w:bottom w:val="nil"/>
          <w:right w:val="nil"/>
          <w:between w:val="nil"/>
        </w:pBdr>
        <w:spacing w:after="120" w:line="240" w:lineRule="auto"/>
        <w:ind w:right="95"/>
        <w:jc w:val="center"/>
        <w:rPr>
          <w:rFonts w:ascii="Arial" w:eastAsia="Arial" w:hAnsi="Arial" w:cs="Arial"/>
        </w:rPr>
      </w:pPr>
      <w:r>
        <w:rPr>
          <w:rFonts w:ascii="Arial" w:eastAsia="Arial" w:hAnsi="Arial" w:cs="Arial"/>
          <w:b/>
        </w:rPr>
        <w:t>List of House Resolutions Filed in Relation to Alleged Rape and Sexual Harassment of Women, 2016-2022</w:t>
      </w:r>
      <w:r>
        <w:rPr>
          <w:rFonts w:ascii="Arial" w:eastAsia="Arial" w:hAnsi="Arial" w:cs="Arial"/>
        </w:rPr>
        <w:t xml:space="preserve">  </w:t>
      </w:r>
    </w:p>
    <w:tbl>
      <w:tblPr>
        <w:tblStyle w:val="a"/>
        <w:tblW w:w="9030" w:type="dxa"/>
        <w:tblBorders>
          <w:top w:val="nil"/>
          <w:left w:val="nil"/>
          <w:bottom w:val="nil"/>
          <w:right w:val="nil"/>
          <w:insideH w:val="nil"/>
          <w:insideV w:val="nil"/>
        </w:tblBorders>
        <w:tblLayout w:type="fixed"/>
        <w:tblLook w:val="0600" w:firstRow="0" w:lastRow="0" w:firstColumn="0" w:lastColumn="0" w:noHBand="1" w:noVBand="1"/>
      </w:tblPr>
      <w:tblGrid>
        <w:gridCol w:w="1425"/>
        <w:gridCol w:w="2955"/>
        <w:gridCol w:w="1320"/>
        <w:gridCol w:w="1755"/>
        <w:gridCol w:w="1575"/>
      </w:tblGrid>
      <w:tr w:rsidR="008726B6">
        <w:trPr>
          <w:trHeight w:val="945"/>
        </w:trPr>
        <w:tc>
          <w:tcPr>
            <w:tcW w:w="142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8726B6" w:rsidRDefault="00DA1413">
            <w:pPr>
              <w:spacing w:before="240" w:after="0" w:line="276" w:lineRule="auto"/>
              <w:jc w:val="center"/>
              <w:rPr>
                <w:rFonts w:ascii="Arial Narrow" w:eastAsia="Arial Narrow" w:hAnsi="Arial Narrow" w:cs="Arial Narrow"/>
                <w:b/>
              </w:rPr>
            </w:pPr>
            <w:r>
              <w:rPr>
                <w:rFonts w:ascii="Arial Narrow" w:eastAsia="Arial Narrow" w:hAnsi="Arial Narrow" w:cs="Arial Narrow"/>
                <w:b/>
              </w:rPr>
              <w:t>HR Number</w:t>
            </w:r>
          </w:p>
        </w:tc>
        <w:tc>
          <w:tcPr>
            <w:tcW w:w="295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rsidR="008726B6" w:rsidRDefault="00DA1413">
            <w:pPr>
              <w:spacing w:before="240" w:after="0" w:line="276" w:lineRule="auto"/>
              <w:jc w:val="center"/>
              <w:rPr>
                <w:rFonts w:ascii="Arial Narrow" w:eastAsia="Arial Narrow" w:hAnsi="Arial Narrow" w:cs="Arial Narrow"/>
                <w:b/>
              </w:rPr>
            </w:pPr>
            <w:r>
              <w:rPr>
                <w:rFonts w:ascii="Arial Narrow" w:eastAsia="Arial Narrow" w:hAnsi="Arial Narrow" w:cs="Arial Narrow"/>
                <w:b/>
              </w:rPr>
              <w:t>Topic/ Title</w:t>
            </w:r>
          </w:p>
        </w:tc>
        <w:tc>
          <w:tcPr>
            <w:tcW w:w="13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rsidR="008726B6" w:rsidRDefault="00DA1413">
            <w:pPr>
              <w:spacing w:before="240" w:after="0" w:line="276" w:lineRule="auto"/>
              <w:jc w:val="center"/>
              <w:rPr>
                <w:rFonts w:ascii="Arial Narrow" w:eastAsia="Arial Narrow" w:hAnsi="Arial Narrow" w:cs="Arial Narrow"/>
                <w:b/>
              </w:rPr>
            </w:pPr>
            <w:r>
              <w:rPr>
                <w:rFonts w:ascii="Arial Narrow" w:eastAsia="Arial Narrow" w:hAnsi="Arial Narrow" w:cs="Arial Narrow"/>
                <w:b/>
              </w:rPr>
              <w:t>Date filed</w:t>
            </w:r>
          </w:p>
        </w:tc>
        <w:tc>
          <w:tcPr>
            <w:tcW w:w="175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rsidR="008726B6" w:rsidRDefault="00DA1413">
            <w:pPr>
              <w:spacing w:before="240" w:after="0" w:line="276" w:lineRule="auto"/>
              <w:jc w:val="center"/>
              <w:rPr>
                <w:rFonts w:ascii="Arial Narrow" w:eastAsia="Arial Narrow" w:hAnsi="Arial Narrow" w:cs="Arial Narrow"/>
                <w:b/>
              </w:rPr>
            </w:pPr>
            <w:r>
              <w:rPr>
                <w:rFonts w:ascii="Arial Narrow" w:eastAsia="Arial Narrow" w:hAnsi="Arial Narrow" w:cs="Arial Narrow"/>
                <w:b/>
              </w:rPr>
              <w:t>Status</w:t>
            </w:r>
          </w:p>
        </w:tc>
        <w:tc>
          <w:tcPr>
            <w:tcW w:w="157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rsidR="008726B6" w:rsidRDefault="00DA1413">
            <w:pPr>
              <w:spacing w:before="240" w:after="0" w:line="276" w:lineRule="auto"/>
              <w:jc w:val="center"/>
              <w:rPr>
                <w:rFonts w:ascii="Arial Narrow" w:eastAsia="Arial Narrow" w:hAnsi="Arial Narrow" w:cs="Arial Narrow"/>
                <w:b/>
              </w:rPr>
            </w:pPr>
            <w:r>
              <w:rPr>
                <w:rFonts w:ascii="Arial Narrow" w:eastAsia="Arial Narrow" w:hAnsi="Arial Narrow" w:cs="Arial Narrow"/>
                <w:b/>
              </w:rPr>
              <w:t>Authors</w:t>
            </w:r>
          </w:p>
        </w:tc>
      </w:tr>
      <w:tr w:rsidR="008726B6">
        <w:trPr>
          <w:trHeight w:val="625"/>
        </w:trPr>
        <w:tc>
          <w:tcPr>
            <w:tcW w:w="9030" w:type="dxa"/>
            <w:gridSpan w:val="5"/>
            <w:tcBorders>
              <w:top w:val="nil"/>
              <w:left w:val="single" w:sz="8" w:space="0" w:color="000000"/>
              <w:bottom w:val="single" w:sz="8" w:space="0" w:color="000000"/>
              <w:right w:val="single" w:sz="8" w:space="0" w:color="000000"/>
            </w:tcBorders>
            <w:tcMar>
              <w:top w:w="0" w:type="dxa"/>
              <w:left w:w="100" w:type="dxa"/>
              <w:bottom w:w="0" w:type="dxa"/>
              <w:right w:w="100" w:type="dxa"/>
            </w:tcMar>
          </w:tcPr>
          <w:p w:rsidR="008726B6" w:rsidRDefault="00DA1413">
            <w:pPr>
              <w:spacing w:before="240" w:after="0" w:line="276" w:lineRule="auto"/>
              <w:jc w:val="center"/>
              <w:rPr>
                <w:rFonts w:ascii="Arial Narrow" w:eastAsia="Arial Narrow" w:hAnsi="Arial Narrow" w:cs="Arial Narrow"/>
                <w:color w:val="333333"/>
                <w:shd w:val="clear" w:color="auto" w:fill="F5F5F5"/>
              </w:rPr>
            </w:pPr>
            <w:r>
              <w:rPr>
                <w:rFonts w:ascii="Arial Narrow" w:eastAsia="Arial Narrow" w:hAnsi="Arial Narrow" w:cs="Arial Narrow"/>
                <w:b/>
                <w:color w:val="333333"/>
                <w:shd w:val="clear" w:color="auto" w:fill="F5F5F5"/>
              </w:rPr>
              <w:t>17</w:t>
            </w:r>
            <w:r>
              <w:rPr>
                <w:rFonts w:ascii="Arial Narrow" w:eastAsia="Arial Narrow" w:hAnsi="Arial Narrow" w:cs="Arial Narrow"/>
                <w:b/>
                <w:color w:val="333333"/>
                <w:shd w:val="clear" w:color="auto" w:fill="F5F5F5"/>
                <w:vertAlign w:val="superscript"/>
              </w:rPr>
              <w:t>th</w:t>
            </w:r>
            <w:r>
              <w:rPr>
                <w:rFonts w:ascii="Arial Narrow" w:eastAsia="Arial Narrow" w:hAnsi="Arial Narrow" w:cs="Arial Narrow"/>
                <w:b/>
                <w:color w:val="333333"/>
                <w:shd w:val="clear" w:color="auto" w:fill="F5F5F5"/>
              </w:rPr>
              <w:t xml:space="preserve"> Congress</w:t>
            </w:r>
          </w:p>
          <w:p w:rsidR="008726B6" w:rsidRDefault="008726B6">
            <w:pPr>
              <w:spacing w:before="240" w:after="0" w:line="276" w:lineRule="auto"/>
              <w:jc w:val="both"/>
              <w:rPr>
                <w:rFonts w:ascii="Arial Narrow" w:eastAsia="Arial Narrow" w:hAnsi="Arial Narrow" w:cs="Arial Narrow"/>
                <w:color w:val="333333"/>
                <w:highlight w:val="white"/>
              </w:rPr>
            </w:pPr>
          </w:p>
        </w:tc>
      </w:tr>
      <w:tr w:rsidR="008726B6">
        <w:trPr>
          <w:trHeight w:val="2745"/>
        </w:trPr>
        <w:tc>
          <w:tcPr>
            <w:tcW w:w="1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shd w:val="clear" w:color="auto" w:fill="F5F5F5"/>
              </w:rPr>
            </w:pPr>
            <w:r>
              <w:rPr>
                <w:rFonts w:ascii="Arial Narrow" w:eastAsia="Arial Narrow" w:hAnsi="Arial Narrow" w:cs="Arial Narrow"/>
                <w:color w:val="333333"/>
                <w:shd w:val="clear" w:color="auto" w:fill="F5F5F5"/>
              </w:rPr>
              <w:t>HR00452</w:t>
            </w:r>
          </w:p>
        </w:tc>
        <w:tc>
          <w:tcPr>
            <w:tcW w:w="29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A Resolution urging the House Committee on Human Rights to conduct an onsite investigation, in aid of legislation, regarding the multiple human rights violations and </w:t>
            </w:r>
            <w:r>
              <w:rPr>
                <w:rFonts w:ascii="Arial Narrow" w:eastAsia="Arial Narrow" w:hAnsi="Arial Narrow" w:cs="Arial Narrow"/>
                <w:color w:val="333333"/>
              </w:rPr>
              <w:t>sexual harassment</w:t>
            </w:r>
            <w:r>
              <w:rPr>
                <w:rFonts w:ascii="Arial Narrow" w:eastAsia="Arial Narrow" w:hAnsi="Arial Narrow" w:cs="Arial Narrow"/>
                <w:color w:val="333333"/>
                <w:highlight w:val="white"/>
              </w:rPr>
              <w:t xml:space="preserve"> resulting from the encampment of the elements of 50th Infantry </w:t>
            </w:r>
            <w:proofErr w:type="spellStart"/>
            <w:r>
              <w:rPr>
                <w:rFonts w:ascii="Arial Narrow" w:eastAsia="Arial Narrow" w:hAnsi="Arial Narrow" w:cs="Arial Narrow"/>
                <w:color w:val="333333"/>
                <w:highlight w:val="white"/>
              </w:rPr>
              <w:t>Batallion</w:t>
            </w:r>
            <w:proofErr w:type="spellEnd"/>
            <w:r>
              <w:rPr>
                <w:rFonts w:ascii="Arial Narrow" w:eastAsia="Arial Narrow" w:hAnsi="Arial Narrow" w:cs="Arial Narrow"/>
                <w:color w:val="333333"/>
                <w:highlight w:val="white"/>
              </w:rPr>
              <w:t xml:space="preserve"> - Philippine Army in the ancestral domain of the indigenous community in Ag-Agama, Western </w:t>
            </w:r>
            <w:proofErr w:type="spellStart"/>
            <w:r>
              <w:rPr>
                <w:rFonts w:ascii="Arial Narrow" w:eastAsia="Arial Narrow" w:hAnsi="Arial Narrow" w:cs="Arial Narrow"/>
                <w:color w:val="333333"/>
                <w:highlight w:val="white"/>
              </w:rPr>
              <w:t>Lubuagan</w:t>
            </w:r>
            <w:proofErr w:type="spellEnd"/>
            <w:r>
              <w:rPr>
                <w:rFonts w:ascii="Arial Narrow" w:eastAsia="Arial Narrow" w:hAnsi="Arial Narrow" w:cs="Arial Narrow"/>
                <w:color w:val="333333"/>
                <w:highlight w:val="white"/>
              </w:rPr>
              <w:t>, Kalinga</w:t>
            </w:r>
          </w:p>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 </w:t>
            </w:r>
          </w:p>
        </w:tc>
        <w:tc>
          <w:tcPr>
            <w:tcW w:w="13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2016-10-06</w:t>
            </w:r>
          </w:p>
        </w:tc>
        <w:tc>
          <w:tcPr>
            <w:tcW w:w="17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Pending with the Committee on HUMAN RIGHTS since 2016-10-19</w:t>
            </w:r>
          </w:p>
        </w:tc>
        <w:tc>
          <w:tcPr>
            <w:tcW w:w="157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Reps.</w:t>
            </w:r>
            <w:r w:rsidR="003D1A03">
              <w:rPr>
                <w:rFonts w:ascii="Arial Narrow" w:eastAsia="Arial Narrow" w:hAnsi="Arial Narrow" w:cs="Arial Narrow"/>
                <w:color w:val="333333"/>
                <w:highlight w:val="white"/>
              </w:rPr>
              <w:t xml:space="preserve"> Brosas</w:t>
            </w:r>
            <w:r>
              <w:rPr>
                <w:rFonts w:ascii="Arial Narrow" w:eastAsia="Arial Narrow" w:hAnsi="Arial Narrow" w:cs="Arial Narrow"/>
                <w:color w:val="333333"/>
                <w:highlight w:val="white"/>
              </w:rPr>
              <w:t xml:space="preserve"> et. al.</w:t>
            </w:r>
          </w:p>
        </w:tc>
      </w:tr>
      <w:tr w:rsidR="008726B6">
        <w:trPr>
          <w:trHeight w:val="2745"/>
        </w:trPr>
        <w:tc>
          <w:tcPr>
            <w:tcW w:w="1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shd w:val="clear" w:color="auto" w:fill="F5F5F5"/>
              </w:rPr>
            </w:pPr>
            <w:r>
              <w:rPr>
                <w:rFonts w:ascii="Arial Narrow" w:eastAsia="Arial Narrow" w:hAnsi="Arial Narrow" w:cs="Arial Narrow"/>
                <w:color w:val="333333"/>
                <w:shd w:val="clear" w:color="auto" w:fill="F5F5F5"/>
              </w:rPr>
              <w:lastRenderedPageBreak/>
              <w:t>HR 540</w:t>
            </w:r>
          </w:p>
        </w:tc>
        <w:tc>
          <w:tcPr>
            <w:tcW w:w="29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Resolution calling the House Committee on Overseas Workers' Affairs to conduct an immediate inquiry on the illegal recruitment of and </w:t>
            </w:r>
            <w:r>
              <w:rPr>
                <w:rFonts w:ascii="Arial Narrow" w:eastAsia="Arial Narrow" w:hAnsi="Arial Narrow" w:cs="Arial Narrow"/>
                <w:color w:val="333333"/>
              </w:rPr>
              <w:t>sexual harassment</w:t>
            </w:r>
            <w:r>
              <w:rPr>
                <w:rFonts w:ascii="Arial Narrow" w:eastAsia="Arial Narrow" w:hAnsi="Arial Narrow" w:cs="Arial Narrow"/>
                <w:color w:val="333333"/>
                <w:highlight w:val="white"/>
              </w:rPr>
              <w:t xml:space="preserve"> experienced by Filipino women workers in Qatar, and the possible involvement and alleged inaction of relevant government agencies to respond to the calls for help of said workers, in view of strengthening the laws related to the protection and promotion o</w:t>
            </w:r>
            <w:r>
              <w:rPr>
                <w:rFonts w:ascii="Arial Narrow" w:eastAsia="Arial Narrow" w:hAnsi="Arial Narrow" w:cs="Arial Narrow"/>
                <w:color w:val="333333"/>
                <w:highlight w:val="white"/>
              </w:rPr>
              <w:t>f migrant workers' rights and welfare</w:t>
            </w:r>
          </w:p>
        </w:tc>
        <w:tc>
          <w:tcPr>
            <w:tcW w:w="13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2016-11-10</w:t>
            </w:r>
          </w:p>
        </w:tc>
        <w:tc>
          <w:tcPr>
            <w:tcW w:w="17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Pending with the Committee on OVERSEAS WORKERS AFFAIRS since 2016-11-23</w:t>
            </w:r>
          </w:p>
        </w:tc>
        <w:tc>
          <w:tcPr>
            <w:tcW w:w="157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Reps. </w:t>
            </w:r>
            <w:r w:rsidR="003D1A03">
              <w:rPr>
                <w:rFonts w:ascii="Arial Narrow" w:eastAsia="Arial Narrow" w:hAnsi="Arial Narrow" w:cs="Arial Narrow"/>
                <w:color w:val="333333"/>
                <w:highlight w:val="white"/>
              </w:rPr>
              <w:t>De Jesus</w:t>
            </w:r>
            <w:r>
              <w:rPr>
                <w:rFonts w:ascii="Arial Narrow" w:eastAsia="Arial Narrow" w:hAnsi="Arial Narrow" w:cs="Arial Narrow"/>
                <w:color w:val="333333"/>
                <w:highlight w:val="white"/>
              </w:rPr>
              <w:t xml:space="preserve"> et. al.</w:t>
            </w:r>
          </w:p>
        </w:tc>
      </w:tr>
      <w:tr w:rsidR="008726B6">
        <w:trPr>
          <w:trHeight w:val="765"/>
        </w:trPr>
        <w:tc>
          <w:tcPr>
            <w:tcW w:w="1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shd w:val="clear" w:color="auto" w:fill="F5F5F5"/>
              </w:rPr>
            </w:pPr>
            <w:r>
              <w:rPr>
                <w:rFonts w:ascii="Arial Narrow" w:eastAsia="Arial Narrow" w:hAnsi="Arial Narrow" w:cs="Arial Narrow"/>
                <w:color w:val="333333"/>
                <w:shd w:val="clear" w:color="auto" w:fill="F5F5F5"/>
              </w:rPr>
              <w:t>HR 2525</w:t>
            </w:r>
          </w:p>
        </w:tc>
        <w:tc>
          <w:tcPr>
            <w:tcW w:w="29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Resolution urging the immediate investigation and call for justice on the </w:t>
            </w:r>
            <w:r>
              <w:rPr>
                <w:rFonts w:ascii="Arial Narrow" w:eastAsia="Arial Narrow" w:hAnsi="Arial Narrow" w:cs="Arial Narrow"/>
                <w:color w:val="333333"/>
              </w:rPr>
              <w:t xml:space="preserve">rape </w:t>
            </w:r>
            <w:r>
              <w:rPr>
                <w:rFonts w:ascii="Arial Narrow" w:eastAsia="Arial Narrow" w:hAnsi="Arial Narrow" w:cs="Arial Narrow"/>
                <w:color w:val="333333"/>
                <w:highlight w:val="white"/>
              </w:rPr>
              <w:t>and brutal murder of C</w:t>
            </w:r>
            <w:r w:rsidR="00346DF5">
              <w:rPr>
                <w:rFonts w:ascii="Arial Narrow" w:eastAsia="Arial Narrow" w:hAnsi="Arial Narrow" w:cs="Arial Narrow"/>
                <w:color w:val="333333"/>
                <w:highlight w:val="white"/>
              </w:rPr>
              <w:t>. L. S.</w:t>
            </w:r>
          </w:p>
        </w:tc>
        <w:tc>
          <w:tcPr>
            <w:tcW w:w="13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2019-03-14</w:t>
            </w:r>
          </w:p>
        </w:tc>
        <w:tc>
          <w:tcPr>
            <w:tcW w:w="17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Pending with the Committee on RULES since 2019-05-20</w:t>
            </w:r>
          </w:p>
        </w:tc>
        <w:tc>
          <w:tcPr>
            <w:tcW w:w="157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Rep. S</w:t>
            </w:r>
            <w:r w:rsidR="009B0F84">
              <w:rPr>
                <w:rFonts w:ascii="Arial Narrow" w:eastAsia="Arial Narrow" w:hAnsi="Arial Narrow" w:cs="Arial Narrow"/>
                <w:color w:val="333333"/>
                <w:highlight w:val="white"/>
              </w:rPr>
              <w:t>. E.</w:t>
            </w:r>
          </w:p>
        </w:tc>
      </w:tr>
      <w:tr w:rsidR="008726B6">
        <w:trPr>
          <w:trHeight w:val="300"/>
        </w:trPr>
        <w:tc>
          <w:tcPr>
            <w:tcW w:w="1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shd w:val="clear" w:color="auto" w:fill="F5F5F5"/>
              </w:rPr>
            </w:pPr>
            <w:r>
              <w:rPr>
                <w:rFonts w:ascii="Arial Narrow" w:eastAsia="Arial Narrow" w:hAnsi="Arial Narrow" w:cs="Arial Narrow"/>
                <w:color w:val="333333"/>
                <w:shd w:val="clear" w:color="auto" w:fill="F5F5F5"/>
              </w:rPr>
              <w:t xml:space="preserve"> </w:t>
            </w:r>
          </w:p>
        </w:tc>
        <w:tc>
          <w:tcPr>
            <w:tcW w:w="29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 </w:t>
            </w:r>
          </w:p>
        </w:tc>
        <w:tc>
          <w:tcPr>
            <w:tcW w:w="13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 </w:t>
            </w:r>
          </w:p>
        </w:tc>
        <w:tc>
          <w:tcPr>
            <w:tcW w:w="17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 </w:t>
            </w:r>
          </w:p>
        </w:tc>
        <w:tc>
          <w:tcPr>
            <w:tcW w:w="157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 </w:t>
            </w:r>
          </w:p>
        </w:tc>
      </w:tr>
      <w:tr w:rsidR="008726B6">
        <w:trPr>
          <w:trHeight w:val="915"/>
        </w:trPr>
        <w:tc>
          <w:tcPr>
            <w:tcW w:w="9030" w:type="dxa"/>
            <w:gridSpan w:val="5"/>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center"/>
              <w:rPr>
                <w:rFonts w:ascii="Arial Narrow" w:eastAsia="Arial Narrow" w:hAnsi="Arial Narrow" w:cs="Arial Narrow"/>
                <w:color w:val="333333"/>
                <w:highlight w:val="white"/>
              </w:rPr>
            </w:pPr>
            <w:r>
              <w:rPr>
                <w:rFonts w:ascii="Arial Narrow" w:eastAsia="Arial Narrow" w:hAnsi="Arial Narrow" w:cs="Arial Narrow"/>
                <w:b/>
                <w:color w:val="333333"/>
                <w:highlight w:val="white"/>
              </w:rPr>
              <w:t>18</w:t>
            </w:r>
            <w:r>
              <w:rPr>
                <w:rFonts w:ascii="Arial Narrow" w:eastAsia="Arial Narrow" w:hAnsi="Arial Narrow" w:cs="Arial Narrow"/>
                <w:b/>
                <w:color w:val="333333"/>
                <w:highlight w:val="white"/>
                <w:vertAlign w:val="superscript"/>
              </w:rPr>
              <w:t>th</w:t>
            </w:r>
            <w:r>
              <w:rPr>
                <w:rFonts w:ascii="Arial Narrow" w:eastAsia="Arial Narrow" w:hAnsi="Arial Narrow" w:cs="Arial Narrow"/>
                <w:b/>
                <w:color w:val="333333"/>
                <w:highlight w:val="white"/>
              </w:rPr>
              <w:t xml:space="preserve"> Congress (2019-2022)</w:t>
            </w:r>
            <w:r>
              <w:rPr>
                <w:rFonts w:ascii="Arial Narrow" w:eastAsia="Arial Narrow" w:hAnsi="Arial Narrow" w:cs="Arial Narrow"/>
                <w:color w:val="333333"/>
                <w:highlight w:val="white"/>
              </w:rPr>
              <w:t xml:space="preserve"> </w:t>
            </w:r>
          </w:p>
        </w:tc>
      </w:tr>
      <w:tr w:rsidR="008726B6">
        <w:trPr>
          <w:trHeight w:val="2250"/>
        </w:trPr>
        <w:tc>
          <w:tcPr>
            <w:tcW w:w="1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shd w:val="clear" w:color="auto" w:fill="F5F5F5"/>
              </w:rPr>
            </w:pPr>
            <w:r>
              <w:rPr>
                <w:rFonts w:ascii="Arial Narrow" w:eastAsia="Arial Narrow" w:hAnsi="Arial Narrow" w:cs="Arial Narrow"/>
                <w:color w:val="333333"/>
                <w:shd w:val="clear" w:color="auto" w:fill="F5F5F5"/>
              </w:rPr>
              <w:t>HR 1028</w:t>
            </w:r>
          </w:p>
        </w:tc>
        <w:tc>
          <w:tcPr>
            <w:tcW w:w="29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Resolution directing the House Committee on Women and Gender Equality to conduct an urgent investigation, in aid of legislation, on the </w:t>
            </w:r>
            <w:r>
              <w:rPr>
                <w:rFonts w:ascii="Arial Narrow" w:eastAsia="Arial Narrow" w:hAnsi="Arial Narrow" w:cs="Arial Narrow"/>
                <w:color w:val="333333"/>
              </w:rPr>
              <w:t>rape and killing of 15-year-old F</w:t>
            </w:r>
            <w:r w:rsidR="003D1A03">
              <w:rPr>
                <w:rFonts w:ascii="Arial Narrow" w:eastAsia="Arial Narrow" w:hAnsi="Arial Narrow" w:cs="Arial Narrow"/>
                <w:color w:val="333333"/>
              </w:rPr>
              <w:t>.P.</w:t>
            </w:r>
            <w:r>
              <w:rPr>
                <w:rFonts w:ascii="Arial Narrow" w:eastAsia="Arial Narrow" w:hAnsi="Arial Narrow" w:cs="Arial Narrow"/>
                <w:color w:val="333333"/>
                <w:highlight w:val="white"/>
              </w:rPr>
              <w:t xml:space="preserve"> by a riding-in-tandem after filing a molestation complaint against two poli</w:t>
            </w:r>
            <w:r>
              <w:rPr>
                <w:rFonts w:ascii="Arial Narrow" w:eastAsia="Arial Narrow" w:hAnsi="Arial Narrow" w:cs="Arial Narrow"/>
                <w:color w:val="333333"/>
                <w:highlight w:val="white"/>
              </w:rPr>
              <w:t xml:space="preserve">cemen in </w:t>
            </w:r>
            <w:proofErr w:type="spellStart"/>
            <w:r>
              <w:rPr>
                <w:rFonts w:ascii="Arial Narrow" w:eastAsia="Arial Narrow" w:hAnsi="Arial Narrow" w:cs="Arial Narrow"/>
                <w:color w:val="333333"/>
                <w:highlight w:val="white"/>
              </w:rPr>
              <w:t>Cabugao</w:t>
            </w:r>
            <w:proofErr w:type="spellEnd"/>
            <w:r>
              <w:rPr>
                <w:rFonts w:ascii="Arial Narrow" w:eastAsia="Arial Narrow" w:hAnsi="Arial Narrow" w:cs="Arial Narrow"/>
                <w:color w:val="333333"/>
                <w:highlight w:val="white"/>
              </w:rPr>
              <w:t xml:space="preserve">, </w:t>
            </w:r>
            <w:proofErr w:type="spellStart"/>
            <w:r>
              <w:rPr>
                <w:rFonts w:ascii="Arial Narrow" w:eastAsia="Arial Narrow" w:hAnsi="Arial Narrow" w:cs="Arial Narrow"/>
                <w:color w:val="333333"/>
                <w:highlight w:val="white"/>
              </w:rPr>
              <w:t>Ilocos</w:t>
            </w:r>
            <w:proofErr w:type="spellEnd"/>
            <w:r>
              <w:rPr>
                <w:rFonts w:ascii="Arial Narrow" w:eastAsia="Arial Narrow" w:hAnsi="Arial Narrow" w:cs="Arial Narrow"/>
                <w:color w:val="333333"/>
                <w:highlight w:val="white"/>
              </w:rPr>
              <w:t xml:space="preserve"> Sur, and recommend measures to strengthen existing laws to protect women and give justice to victims of men in uniform</w:t>
            </w:r>
          </w:p>
        </w:tc>
        <w:tc>
          <w:tcPr>
            <w:tcW w:w="13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2020-07-06</w:t>
            </w:r>
          </w:p>
        </w:tc>
        <w:tc>
          <w:tcPr>
            <w:tcW w:w="17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Pending with the Committee on PUBLIC ORDER AND SAFETY since 2020-08-11</w:t>
            </w:r>
          </w:p>
        </w:tc>
        <w:tc>
          <w:tcPr>
            <w:tcW w:w="157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Reps. </w:t>
            </w:r>
            <w:r w:rsidR="00346DF5">
              <w:rPr>
                <w:rFonts w:ascii="Arial Narrow" w:eastAsia="Arial Narrow" w:hAnsi="Arial Narrow" w:cs="Arial Narrow"/>
                <w:color w:val="333333"/>
                <w:highlight w:val="white"/>
              </w:rPr>
              <w:t>Brosas</w:t>
            </w:r>
            <w:r>
              <w:rPr>
                <w:rFonts w:ascii="Arial Narrow" w:eastAsia="Arial Narrow" w:hAnsi="Arial Narrow" w:cs="Arial Narrow"/>
                <w:color w:val="333333"/>
                <w:highlight w:val="white"/>
              </w:rPr>
              <w:t xml:space="preserve"> et. al.</w:t>
            </w:r>
          </w:p>
        </w:tc>
      </w:tr>
      <w:tr w:rsidR="008726B6">
        <w:trPr>
          <w:trHeight w:val="1260"/>
        </w:trPr>
        <w:tc>
          <w:tcPr>
            <w:tcW w:w="1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shd w:val="clear" w:color="auto" w:fill="F5F5F5"/>
              </w:rPr>
            </w:pPr>
            <w:r>
              <w:rPr>
                <w:rFonts w:ascii="Arial Narrow" w:eastAsia="Arial Narrow" w:hAnsi="Arial Narrow" w:cs="Arial Narrow"/>
                <w:color w:val="333333"/>
                <w:shd w:val="clear" w:color="auto" w:fill="F5F5F5"/>
              </w:rPr>
              <w:t>HR 2305</w:t>
            </w:r>
          </w:p>
        </w:tc>
        <w:tc>
          <w:tcPr>
            <w:tcW w:w="29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rPr>
            </w:pPr>
            <w:r>
              <w:rPr>
                <w:rFonts w:ascii="Arial Narrow" w:eastAsia="Arial Narrow" w:hAnsi="Arial Narrow" w:cs="Arial Narrow"/>
                <w:color w:val="333333"/>
                <w:highlight w:val="white"/>
              </w:rPr>
              <w:t xml:space="preserve">Resolution strongly urging the House Committee on Women and Gender Equality to immediately </w:t>
            </w:r>
            <w:proofErr w:type="gramStart"/>
            <w:r>
              <w:rPr>
                <w:rFonts w:ascii="Arial Narrow" w:eastAsia="Arial Narrow" w:hAnsi="Arial Narrow" w:cs="Arial Narrow"/>
                <w:color w:val="333333"/>
                <w:highlight w:val="white"/>
              </w:rPr>
              <w:t>conduct an investigation</w:t>
            </w:r>
            <w:proofErr w:type="gramEnd"/>
            <w:r>
              <w:rPr>
                <w:rFonts w:ascii="Arial Narrow" w:eastAsia="Arial Narrow" w:hAnsi="Arial Narrow" w:cs="Arial Narrow"/>
                <w:color w:val="333333"/>
                <w:highlight w:val="white"/>
              </w:rPr>
              <w:t xml:space="preserve">, in aid of legislation, on the rising </w:t>
            </w:r>
            <w:r>
              <w:rPr>
                <w:rFonts w:ascii="Arial Narrow" w:eastAsia="Arial Narrow" w:hAnsi="Arial Narrow" w:cs="Arial Narrow"/>
                <w:color w:val="333333"/>
              </w:rPr>
              <w:t>cases of rape and sexual abuse perpetrated by police officers</w:t>
            </w:r>
          </w:p>
        </w:tc>
        <w:tc>
          <w:tcPr>
            <w:tcW w:w="13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2021-10-18</w:t>
            </w:r>
          </w:p>
        </w:tc>
        <w:tc>
          <w:tcPr>
            <w:tcW w:w="17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Pending with the Committee on</w:t>
            </w:r>
            <w:r>
              <w:rPr>
                <w:rFonts w:ascii="Arial Narrow" w:eastAsia="Arial Narrow" w:hAnsi="Arial Narrow" w:cs="Arial Narrow"/>
                <w:color w:val="333333"/>
                <w:highlight w:val="white"/>
              </w:rPr>
              <w:t xml:space="preserve"> PUBLIC ORDER AND SAFETY since 2021-11-17</w:t>
            </w:r>
          </w:p>
        </w:tc>
        <w:tc>
          <w:tcPr>
            <w:tcW w:w="157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Reps. Brosas et. al.</w:t>
            </w:r>
          </w:p>
        </w:tc>
      </w:tr>
      <w:tr w:rsidR="008726B6">
        <w:trPr>
          <w:trHeight w:val="2010"/>
        </w:trPr>
        <w:tc>
          <w:tcPr>
            <w:tcW w:w="1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shd w:val="clear" w:color="auto" w:fill="F5F5F5"/>
              </w:rPr>
            </w:pPr>
            <w:r>
              <w:rPr>
                <w:rFonts w:ascii="Arial Narrow" w:eastAsia="Arial Narrow" w:hAnsi="Arial Narrow" w:cs="Arial Narrow"/>
                <w:color w:val="333333"/>
                <w:shd w:val="clear" w:color="auto" w:fill="F5F5F5"/>
              </w:rPr>
              <w:lastRenderedPageBreak/>
              <w:t>HR 2469</w:t>
            </w:r>
          </w:p>
        </w:tc>
        <w:tc>
          <w:tcPr>
            <w:tcW w:w="29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Resolution urging the House Committee on the Welfare of Children and Committee on Women and Gender Equality to </w:t>
            </w:r>
            <w:proofErr w:type="gramStart"/>
            <w:r>
              <w:rPr>
                <w:rFonts w:ascii="Arial Narrow" w:eastAsia="Arial Narrow" w:hAnsi="Arial Narrow" w:cs="Arial Narrow"/>
                <w:color w:val="333333"/>
                <w:highlight w:val="white"/>
              </w:rPr>
              <w:t>conduct an investigation</w:t>
            </w:r>
            <w:proofErr w:type="gramEnd"/>
            <w:r>
              <w:rPr>
                <w:rFonts w:ascii="Arial Narrow" w:eastAsia="Arial Narrow" w:hAnsi="Arial Narrow" w:cs="Arial Narrow"/>
                <w:color w:val="333333"/>
                <w:highlight w:val="white"/>
              </w:rPr>
              <w:t xml:space="preserve">, in aid </w:t>
            </w:r>
            <w:r>
              <w:rPr>
                <w:rFonts w:ascii="Arial Narrow" w:eastAsia="Arial Narrow" w:hAnsi="Arial Narrow" w:cs="Arial Narrow"/>
                <w:color w:val="333333"/>
              </w:rPr>
              <w:t>of legislation, on the alleged rape, illegal detention and torture of a 15</w:t>
            </w:r>
            <w:r>
              <w:rPr>
                <w:rFonts w:ascii="Arial Narrow" w:eastAsia="Arial Narrow" w:hAnsi="Arial Narrow" w:cs="Arial Narrow"/>
                <w:color w:val="333333"/>
                <w:highlight w:val="white"/>
              </w:rPr>
              <w:t>-year-old girl in Quezon province in the hands of the Philippine Army and Citizen Armed Force Geographical Unit (CAFGU)</w:t>
            </w:r>
          </w:p>
        </w:tc>
        <w:tc>
          <w:tcPr>
            <w:tcW w:w="13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2022-01-25</w:t>
            </w:r>
          </w:p>
        </w:tc>
        <w:tc>
          <w:tcPr>
            <w:tcW w:w="17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Pending with the Committee on RULES since 2022-01-3</w:t>
            </w:r>
            <w:r>
              <w:rPr>
                <w:rFonts w:ascii="Arial Narrow" w:eastAsia="Arial Narrow" w:hAnsi="Arial Narrow" w:cs="Arial Narrow"/>
                <w:color w:val="333333"/>
                <w:highlight w:val="white"/>
              </w:rPr>
              <w:t>1</w:t>
            </w:r>
          </w:p>
        </w:tc>
        <w:tc>
          <w:tcPr>
            <w:tcW w:w="157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rPr>
            </w:pPr>
            <w:r>
              <w:rPr>
                <w:rFonts w:ascii="Arial Narrow" w:eastAsia="Arial Narrow" w:hAnsi="Arial Narrow" w:cs="Arial Narrow"/>
              </w:rPr>
              <w:t>Rep. Brosas</w:t>
            </w:r>
          </w:p>
        </w:tc>
      </w:tr>
      <w:tr w:rsidR="008726B6">
        <w:trPr>
          <w:trHeight w:val="2010"/>
        </w:trPr>
        <w:tc>
          <w:tcPr>
            <w:tcW w:w="1425" w:type="dxa"/>
            <w:tcBorders>
              <w:top w:val="nil"/>
              <w:left w:val="single" w:sz="8" w:space="0" w:color="000000"/>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shd w:val="clear" w:color="auto" w:fill="F5F5F5"/>
              </w:rPr>
            </w:pPr>
            <w:r>
              <w:rPr>
                <w:rFonts w:ascii="Arial Narrow" w:eastAsia="Arial Narrow" w:hAnsi="Arial Narrow" w:cs="Arial Narrow"/>
                <w:color w:val="333333"/>
                <w:shd w:val="clear" w:color="auto" w:fill="F5F5F5"/>
              </w:rPr>
              <w:t>HR 1155</w:t>
            </w:r>
          </w:p>
        </w:tc>
        <w:tc>
          <w:tcPr>
            <w:tcW w:w="29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 xml:space="preserve">Resolution directing the House Committee on Women and Gender Equality and the House Committee on the Welfare of Children to </w:t>
            </w:r>
            <w:proofErr w:type="gramStart"/>
            <w:r>
              <w:rPr>
                <w:rFonts w:ascii="Arial Narrow" w:eastAsia="Arial Narrow" w:hAnsi="Arial Narrow" w:cs="Arial Narrow"/>
                <w:color w:val="333333"/>
                <w:highlight w:val="white"/>
              </w:rPr>
              <w:t>conduct an investigation</w:t>
            </w:r>
            <w:proofErr w:type="gramEnd"/>
            <w:r>
              <w:rPr>
                <w:rFonts w:ascii="Arial Narrow" w:eastAsia="Arial Narrow" w:hAnsi="Arial Narrow" w:cs="Arial Narrow"/>
                <w:color w:val="333333"/>
                <w:highlight w:val="white"/>
              </w:rPr>
              <w:t xml:space="preserve">, in aid of legislation, on the prevalent reports of </w:t>
            </w:r>
            <w:r>
              <w:rPr>
                <w:rFonts w:ascii="Arial Narrow" w:eastAsia="Arial Narrow" w:hAnsi="Arial Narrow" w:cs="Arial Narrow"/>
                <w:color w:val="333333"/>
              </w:rPr>
              <w:t>sexual harassment</w:t>
            </w:r>
            <w:r>
              <w:rPr>
                <w:rFonts w:ascii="Arial Narrow" w:eastAsia="Arial Narrow" w:hAnsi="Arial Narrow" w:cs="Arial Narrow"/>
                <w:color w:val="333333"/>
                <w:highlight w:val="white"/>
              </w:rPr>
              <w:t>, misconduct, and other forms of violence against female students in public and private academic institutions</w:t>
            </w:r>
          </w:p>
        </w:tc>
        <w:tc>
          <w:tcPr>
            <w:tcW w:w="1320"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2020-08-24</w:t>
            </w:r>
          </w:p>
        </w:tc>
        <w:tc>
          <w:tcPr>
            <w:tcW w:w="175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color w:val="333333"/>
                <w:highlight w:val="white"/>
              </w:rPr>
            </w:pPr>
            <w:r>
              <w:rPr>
                <w:rFonts w:ascii="Arial Narrow" w:eastAsia="Arial Narrow" w:hAnsi="Arial Narrow" w:cs="Arial Narrow"/>
                <w:color w:val="333333"/>
                <w:highlight w:val="white"/>
              </w:rPr>
              <w:t>Pending with the Committee on WOMEN AND GENDER EQUALITY since 2020-09-15</w:t>
            </w:r>
          </w:p>
        </w:tc>
        <w:tc>
          <w:tcPr>
            <w:tcW w:w="1575" w:type="dxa"/>
            <w:tcBorders>
              <w:top w:val="nil"/>
              <w:left w:val="nil"/>
              <w:bottom w:val="single" w:sz="8" w:space="0" w:color="000000"/>
              <w:right w:val="single" w:sz="8" w:space="0" w:color="000000"/>
            </w:tcBorders>
            <w:shd w:val="clear" w:color="auto" w:fill="auto"/>
            <w:tcMar>
              <w:top w:w="0" w:type="dxa"/>
              <w:left w:w="100" w:type="dxa"/>
              <w:bottom w:w="0" w:type="dxa"/>
              <w:right w:w="100" w:type="dxa"/>
            </w:tcMar>
          </w:tcPr>
          <w:p w:rsidR="008726B6" w:rsidRDefault="00DA1413">
            <w:pPr>
              <w:spacing w:before="240" w:after="0" w:line="276" w:lineRule="auto"/>
              <w:jc w:val="both"/>
              <w:rPr>
                <w:rFonts w:ascii="Arial Narrow" w:eastAsia="Arial Narrow" w:hAnsi="Arial Narrow" w:cs="Arial Narrow"/>
              </w:rPr>
            </w:pPr>
            <w:r>
              <w:rPr>
                <w:rFonts w:ascii="Arial Narrow" w:eastAsia="Arial Narrow" w:hAnsi="Arial Narrow" w:cs="Arial Narrow"/>
              </w:rPr>
              <w:t>Reps. Brosas et. al.</w:t>
            </w:r>
          </w:p>
        </w:tc>
      </w:tr>
    </w:tbl>
    <w:p w:rsidR="008726B6" w:rsidRDefault="00DA1413">
      <w:pPr>
        <w:pBdr>
          <w:top w:val="nil"/>
          <w:left w:val="nil"/>
          <w:bottom w:val="nil"/>
          <w:right w:val="nil"/>
          <w:between w:val="nil"/>
        </w:pBdr>
        <w:spacing w:after="120" w:line="240" w:lineRule="auto"/>
        <w:ind w:right="95"/>
        <w:jc w:val="center"/>
        <w:rPr>
          <w:rFonts w:ascii="Arial" w:eastAsia="Arial" w:hAnsi="Arial" w:cs="Arial"/>
          <w:i/>
        </w:rPr>
      </w:pPr>
      <w:r>
        <w:rPr>
          <w:rFonts w:ascii="Arial" w:eastAsia="Arial" w:hAnsi="Arial" w:cs="Arial"/>
          <w:i/>
        </w:rPr>
        <w:t xml:space="preserve">Source: </w:t>
      </w:r>
      <w:r>
        <w:rPr>
          <w:rFonts w:ascii="Arial" w:eastAsia="Arial" w:hAnsi="Arial" w:cs="Arial"/>
        </w:rPr>
        <w:t xml:space="preserve">HOR website, </w:t>
      </w:r>
      <w:hyperlink r:id="rId9">
        <w:r>
          <w:rPr>
            <w:rFonts w:ascii="Arial" w:eastAsia="Arial" w:hAnsi="Arial" w:cs="Arial"/>
            <w:color w:val="1155CC"/>
            <w:u w:val="single"/>
          </w:rPr>
          <w:t>www.congress.gov.ph</w:t>
        </w:r>
      </w:hyperlink>
      <w:r>
        <w:rPr>
          <w:rFonts w:ascii="Arial" w:eastAsia="Arial" w:hAnsi="Arial" w:cs="Arial"/>
        </w:rPr>
        <w:t xml:space="preserve"> </w:t>
      </w:r>
    </w:p>
    <w:p w:rsidR="008726B6" w:rsidRDefault="008726B6">
      <w:pPr>
        <w:spacing w:after="120" w:line="240" w:lineRule="auto"/>
        <w:ind w:right="95"/>
        <w:jc w:val="both"/>
        <w:rPr>
          <w:rFonts w:ascii="Arial" w:eastAsia="Arial" w:hAnsi="Arial" w:cs="Arial"/>
        </w:rPr>
      </w:pPr>
    </w:p>
    <w:p w:rsidR="008726B6" w:rsidRDefault="00DA1413">
      <w:pPr>
        <w:spacing w:after="120" w:line="240" w:lineRule="auto"/>
        <w:ind w:right="95" w:firstLine="720"/>
        <w:jc w:val="both"/>
        <w:rPr>
          <w:rFonts w:ascii="Arial" w:eastAsia="Arial" w:hAnsi="Arial" w:cs="Arial"/>
        </w:rPr>
      </w:pPr>
      <w:r>
        <w:rPr>
          <w:rFonts w:ascii="Arial" w:eastAsia="Arial" w:hAnsi="Arial" w:cs="Arial"/>
        </w:rPr>
        <w:t xml:space="preserve">1.8 </w:t>
      </w:r>
      <w:r>
        <w:rPr>
          <w:rFonts w:ascii="Arial" w:eastAsia="Arial" w:hAnsi="Arial" w:cs="Arial"/>
        </w:rPr>
        <w:tab/>
        <w:t>Amendments to RA 8353 (the Anti-Rape Law), which seeks to repeal the “forgiveness clause”</w:t>
      </w:r>
      <w:r>
        <w:rPr>
          <w:rFonts w:ascii="Arial" w:eastAsia="Arial" w:hAnsi="Arial" w:cs="Arial"/>
          <w:vertAlign w:val="superscript"/>
        </w:rPr>
        <w:footnoteReference w:id="13"/>
      </w:r>
      <w:r>
        <w:rPr>
          <w:rFonts w:ascii="Arial" w:eastAsia="Arial" w:hAnsi="Arial" w:cs="Arial"/>
        </w:rPr>
        <w:t>, and to introduce the lack of consent as an element for the determination of rape remain pendi</w:t>
      </w:r>
      <w:r>
        <w:rPr>
          <w:rFonts w:ascii="Arial" w:eastAsia="Arial" w:hAnsi="Arial" w:cs="Arial"/>
        </w:rPr>
        <w:t>ng in Congress. These important amendments already hurdled the HOR in the 18th Congress. However, due to technicality, the bicameral conference decided to come up with a final version focusing on raising the age for statutory rape from below 12 years old t</w:t>
      </w:r>
      <w:r>
        <w:rPr>
          <w:rFonts w:ascii="Arial" w:eastAsia="Arial" w:hAnsi="Arial" w:cs="Arial"/>
        </w:rPr>
        <w:t>o below 16 years old.</w:t>
      </w:r>
      <w:r>
        <w:rPr>
          <w:rFonts w:ascii="Arial" w:eastAsia="Arial" w:hAnsi="Arial" w:cs="Arial"/>
          <w:vertAlign w:val="superscript"/>
        </w:rPr>
        <w:footnoteReference w:id="14"/>
      </w:r>
      <w:r>
        <w:rPr>
          <w:rFonts w:ascii="Arial" w:eastAsia="Arial" w:hAnsi="Arial" w:cs="Arial"/>
        </w:rPr>
        <w:t xml:space="preserve"> </w:t>
      </w:r>
    </w:p>
    <w:p w:rsidR="008726B6" w:rsidRDefault="008726B6">
      <w:pPr>
        <w:spacing w:after="120" w:line="240" w:lineRule="auto"/>
        <w:ind w:right="95"/>
        <w:jc w:val="both"/>
        <w:rPr>
          <w:rFonts w:ascii="Arial" w:eastAsia="Arial" w:hAnsi="Arial" w:cs="Arial"/>
        </w:rPr>
      </w:pPr>
    </w:p>
    <w:p w:rsidR="008726B6" w:rsidRDefault="00DA1413">
      <w:pPr>
        <w:spacing w:after="120" w:line="240" w:lineRule="auto"/>
        <w:ind w:right="95" w:firstLine="720"/>
        <w:jc w:val="both"/>
        <w:rPr>
          <w:rFonts w:ascii="Arial" w:eastAsia="Arial" w:hAnsi="Arial" w:cs="Arial"/>
        </w:rPr>
      </w:pPr>
      <w:r>
        <w:rPr>
          <w:rFonts w:ascii="Arial" w:eastAsia="Arial" w:hAnsi="Arial" w:cs="Arial"/>
        </w:rPr>
        <w:t xml:space="preserve">1.9 </w:t>
      </w:r>
      <w:r>
        <w:rPr>
          <w:rFonts w:ascii="Arial" w:eastAsia="Arial" w:hAnsi="Arial" w:cs="Arial"/>
        </w:rPr>
        <w:tab/>
        <w:t>Measures seeking fundamental equality of men and women in marriage and family relations also remain pending in Congress. Provisions in the Family Code which give preference to the father’s decision over the mother’s decision i</w:t>
      </w:r>
      <w:r>
        <w:rPr>
          <w:rFonts w:ascii="Arial" w:eastAsia="Arial" w:hAnsi="Arial" w:cs="Arial"/>
        </w:rPr>
        <w:t>n cases of disagreement on issues related to consent to child’s marriage, legal guardianship over minor child’s property, and on conjugal partnership, persist up to this day. This stands in clear and glaring incongruence with the Magna Carta of Women and t</w:t>
      </w:r>
      <w:r>
        <w:rPr>
          <w:rFonts w:ascii="Arial" w:eastAsia="Arial" w:hAnsi="Arial" w:cs="Arial"/>
        </w:rPr>
        <w:t xml:space="preserve">he Philippines’ ratification of CEDAW. </w:t>
      </w:r>
    </w:p>
    <w:p w:rsidR="008726B6" w:rsidRDefault="008726B6">
      <w:pPr>
        <w:spacing w:after="120" w:line="240" w:lineRule="auto"/>
        <w:ind w:right="95"/>
        <w:jc w:val="both"/>
        <w:rPr>
          <w:rFonts w:ascii="Arial" w:eastAsia="Arial" w:hAnsi="Arial" w:cs="Arial"/>
        </w:rPr>
      </w:pPr>
    </w:p>
    <w:p w:rsidR="008726B6" w:rsidRDefault="00DA1413">
      <w:pPr>
        <w:spacing w:after="120" w:line="240" w:lineRule="auto"/>
        <w:ind w:right="95" w:firstLine="720"/>
        <w:jc w:val="both"/>
        <w:rPr>
          <w:rFonts w:ascii="Arial" w:eastAsia="Arial" w:hAnsi="Arial" w:cs="Arial"/>
          <w:i/>
        </w:rPr>
      </w:pPr>
      <w:r>
        <w:rPr>
          <w:rFonts w:ascii="Arial" w:eastAsia="Arial" w:hAnsi="Arial" w:cs="Arial"/>
        </w:rPr>
        <w:t xml:space="preserve">1.10 </w:t>
      </w:r>
      <w:r>
        <w:rPr>
          <w:rFonts w:ascii="Arial" w:eastAsia="Arial" w:hAnsi="Arial" w:cs="Arial"/>
        </w:rPr>
        <w:tab/>
        <w:t>Likewise, measures seeking to repeal archaic and discriminatory laws have not advanced at all in the legislative mill. For instance, a bill seeking to repeal Article 247 of the Revised Penal Code which gives s</w:t>
      </w:r>
      <w:r>
        <w:rPr>
          <w:rFonts w:ascii="Arial" w:eastAsia="Arial" w:hAnsi="Arial" w:cs="Arial"/>
        </w:rPr>
        <w:t xml:space="preserve">pouses the license to kill his or her spouse or underaged daughter caught having sex with another person has not been deliberated even </w:t>
      </w:r>
      <w:r>
        <w:rPr>
          <w:rFonts w:ascii="Arial" w:eastAsia="Arial" w:hAnsi="Arial" w:cs="Arial"/>
        </w:rPr>
        <w:lastRenderedPageBreak/>
        <w:t xml:space="preserve">once at the HOR. A bill seeking to decriminalize and remove the gender bias on adultery and concubinage also suffers the </w:t>
      </w:r>
      <w:r>
        <w:rPr>
          <w:rFonts w:ascii="Arial" w:eastAsia="Arial" w:hAnsi="Arial" w:cs="Arial"/>
        </w:rPr>
        <w:t xml:space="preserve">same fate. </w:t>
      </w:r>
    </w:p>
    <w:p w:rsidR="008726B6" w:rsidRDefault="008726B6">
      <w:pPr>
        <w:spacing w:after="120" w:line="240" w:lineRule="auto"/>
        <w:ind w:right="95"/>
        <w:jc w:val="both"/>
        <w:rPr>
          <w:rFonts w:ascii="Arial" w:eastAsia="Arial" w:hAnsi="Arial" w:cs="Arial"/>
          <w:i/>
        </w:rPr>
      </w:pPr>
    </w:p>
    <w:p w:rsidR="008726B6" w:rsidRDefault="00DA1413">
      <w:pPr>
        <w:spacing w:after="120" w:line="240" w:lineRule="auto"/>
        <w:ind w:right="95" w:firstLine="720"/>
        <w:jc w:val="both"/>
        <w:rPr>
          <w:rFonts w:ascii="Arial" w:eastAsia="Arial" w:hAnsi="Arial" w:cs="Arial"/>
        </w:rPr>
      </w:pPr>
      <w:r>
        <w:rPr>
          <w:rFonts w:ascii="Arial" w:eastAsia="Arial" w:hAnsi="Arial" w:cs="Arial"/>
        </w:rPr>
        <w:t xml:space="preserve">1.11 </w:t>
      </w:r>
      <w:r>
        <w:rPr>
          <w:rFonts w:ascii="Arial" w:eastAsia="Arial" w:hAnsi="Arial" w:cs="Arial"/>
        </w:rPr>
        <w:tab/>
        <w:t xml:space="preserve">Based on the 2022 National Demographic and Health Survey (NDHS) by the Philippine </w:t>
      </w:r>
      <w:r w:rsidR="003D1A03">
        <w:rPr>
          <w:rFonts w:ascii="Arial" w:eastAsia="Arial" w:hAnsi="Arial" w:cs="Arial"/>
        </w:rPr>
        <w:t>Statistics</w:t>
      </w:r>
      <w:r>
        <w:rPr>
          <w:rFonts w:ascii="Arial" w:eastAsia="Arial" w:hAnsi="Arial" w:cs="Arial"/>
        </w:rPr>
        <w:t xml:space="preserve"> Authority (PSA), </w:t>
      </w:r>
      <w:r>
        <w:rPr>
          <w:rFonts w:ascii="Arial" w:eastAsia="Arial" w:hAnsi="Arial" w:cs="Arial"/>
        </w:rPr>
        <w:t>13%</w:t>
      </w:r>
      <w:r>
        <w:rPr>
          <w:rFonts w:ascii="Arial" w:eastAsia="Arial" w:hAnsi="Arial" w:cs="Arial"/>
        </w:rPr>
        <w:t xml:space="preserve"> of Filipino women aged 15-49 have experienced physical violence since age fifteen (15), while four percen</w:t>
      </w:r>
      <w:r>
        <w:rPr>
          <w:rFonts w:ascii="Arial" w:eastAsia="Arial" w:hAnsi="Arial" w:cs="Arial"/>
        </w:rPr>
        <w:t>t (4%) of women aged 15-49 experienced sexual violence.</w:t>
      </w:r>
      <w:r>
        <w:rPr>
          <w:rFonts w:ascii="Arial" w:eastAsia="Arial" w:hAnsi="Arial" w:cs="Arial"/>
          <w:vertAlign w:val="superscript"/>
        </w:rPr>
        <w:footnoteReference w:id="15"/>
      </w:r>
      <w:r>
        <w:rPr>
          <w:rFonts w:ascii="Arial" w:eastAsia="Arial" w:hAnsi="Arial" w:cs="Arial"/>
        </w:rPr>
        <w:t xml:space="preserve"> Of these cases of physical and sexual violence, two (2) in five (5) women (42%) have never sought help to end the violence or told anyone about the violence. This statistical finding renders the numb</w:t>
      </w:r>
      <w:r>
        <w:rPr>
          <w:rFonts w:ascii="Arial" w:eastAsia="Arial" w:hAnsi="Arial" w:cs="Arial"/>
        </w:rPr>
        <w:t>er of gender-based violence complaints filed before the Philippine National Police (PNP) as under-reported</w:t>
      </w:r>
      <w:r w:rsidR="003D1A03">
        <w:rPr>
          <w:rFonts w:ascii="Arial" w:eastAsia="Arial" w:hAnsi="Arial" w:cs="Arial"/>
        </w:rPr>
        <w:t>. This also</w:t>
      </w:r>
      <w:r>
        <w:rPr>
          <w:rFonts w:ascii="Arial" w:eastAsia="Arial" w:hAnsi="Arial" w:cs="Arial"/>
        </w:rPr>
        <w:t xml:space="preserve"> highlights the continuing culture of silence among female victims, potentially owing to several factors such as fear of retaliation, distrust of</w:t>
      </w:r>
      <w:r>
        <w:rPr>
          <w:rFonts w:ascii="Arial" w:eastAsia="Arial" w:hAnsi="Arial" w:cs="Arial"/>
        </w:rPr>
        <w:t xml:space="preserve"> uniformed personnel, lack of available mechanisms for redress, among other</w:t>
      </w:r>
      <w:r w:rsidR="003D1A03">
        <w:rPr>
          <w:rFonts w:ascii="Arial" w:eastAsia="Arial" w:hAnsi="Arial" w:cs="Arial"/>
        </w:rPr>
        <w:t>s</w:t>
      </w:r>
      <w:r>
        <w:rPr>
          <w:rFonts w:ascii="Arial" w:eastAsia="Arial" w:hAnsi="Arial" w:cs="Arial"/>
        </w:rPr>
        <w:t xml:space="preserve">. </w:t>
      </w:r>
    </w:p>
    <w:p w:rsidR="008726B6" w:rsidRDefault="008726B6">
      <w:pPr>
        <w:spacing w:after="120" w:line="240" w:lineRule="auto"/>
        <w:ind w:right="95"/>
        <w:jc w:val="both"/>
        <w:rPr>
          <w:rFonts w:ascii="Arial" w:eastAsia="Arial" w:hAnsi="Arial" w:cs="Arial"/>
        </w:rPr>
      </w:pPr>
    </w:p>
    <w:p w:rsidR="008726B6" w:rsidRDefault="00DA1413">
      <w:pPr>
        <w:numPr>
          <w:ilvl w:val="0"/>
          <w:numId w:val="1"/>
        </w:numPr>
        <w:pBdr>
          <w:top w:val="nil"/>
          <w:left w:val="nil"/>
          <w:bottom w:val="nil"/>
          <w:right w:val="nil"/>
          <w:between w:val="nil"/>
        </w:pBdr>
        <w:spacing w:after="0" w:line="240" w:lineRule="auto"/>
        <w:ind w:right="1260"/>
        <w:rPr>
          <w:rFonts w:ascii="Arial" w:eastAsia="Arial" w:hAnsi="Arial" w:cs="Arial"/>
          <w:b/>
          <w:color w:val="000000"/>
        </w:rPr>
      </w:pPr>
      <w:r>
        <w:rPr>
          <w:rFonts w:ascii="Arial" w:eastAsia="Arial" w:hAnsi="Arial" w:cs="Arial"/>
          <w:b/>
          <w:color w:val="000000"/>
        </w:rPr>
        <w:t xml:space="preserve">Women </w:t>
      </w:r>
      <w:r>
        <w:rPr>
          <w:rFonts w:ascii="Arial" w:eastAsia="Arial" w:hAnsi="Arial" w:cs="Arial"/>
          <w:b/>
        </w:rPr>
        <w:t>H</w:t>
      </w:r>
      <w:r>
        <w:rPr>
          <w:rFonts w:ascii="Arial" w:eastAsia="Arial" w:hAnsi="Arial" w:cs="Arial"/>
          <w:b/>
          <w:color w:val="000000"/>
        </w:rPr>
        <w:t xml:space="preserve">uman </w:t>
      </w:r>
      <w:r>
        <w:rPr>
          <w:rFonts w:ascii="Arial" w:eastAsia="Arial" w:hAnsi="Arial" w:cs="Arial"/>
          <w:b/>
        </w:rPr>
        <w:t>R</w:t>
      </w:r>
      <w:r>
        <w:rPr>
          <w:rFonts w:ascii="Arial" w:eastAsia="Arial" w:hAnsi="Arial" w:cs="Arial"/>
          <w:b/>
          <w:color w:val="000000"/>
        </w:rPr>
        <w:t xml:space="preserve">ights </w:t>
      </w:r>
      <w:r>
        <w:rPr>
          <w:rFonts w:ascii="Arial" w:eastAsia="Arial" w:hAnsi="Arial" w:cs="Arial"/>
          <w:b/>
        </w:rPr>
        <w:t>D</w:t>
      </w:r>
      <w:r>
        <w:rPr>
          <w:rFonts w:ascii="Arial" w:eastAsia="Arial" w:hAnsi="Arial" w:cs="Arial"/>
          <w:b/>
          <w:color w:val="000000"/>
        </w:rPr>
        <w:t>efenders</w:t>
      </w:r>
    </w:p>
    <w:p w:rsidR="008726B6" w:rsidRDefault="008726B6">
      <w:pPr>
        <w:spacing w:after="120" w:line="240" w:lineRule="auto"/>
        <w:ind w:right="1267"/>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 xml:space="preserve">2.1 </w:t>
      </w:r>
      <w:r>
        <w:rPr>
          <w:rFonts w:ascii="Arial" w:eastAsia="Arial" w:hAnsi="Arial" w:cs="Arial"/>
        </w:rPr>
        <w:tab/>
        <w:t>Women human rights defenders experienced State-perpetrated attacks (intimidation, surveillance, harassment, red-tagging</w:t>
      </w:r>
      <w:r>
        <w:rPr>
          <w:rFonts w:ascii="Arial" w:eastAsia="Arial" w:hAnsi="Arial" w:cs="Arial"/>
          <w:vertAlign w:val="superscript"/>
        </w:rPr>
        <w:footnoteReference w:id="16"/>
      </w:r>
      <w:r>
        <w:rPr>
          <w:rFonts w:ascii="Arial" w:eastAsia="Arial" w:hAnsi="Arial" w:cs="Arial"/>
        </w:rPr>
        <w:t xml:space="preserve">, abduction, and killings, affecting their vital work in the fight for human rights and social justice and endangering their lives and security. </w:t>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 xml:space="preserve">2.2 </w:t>
      </w:r>
      <w:r>
        <w:rPr>
          <w:rFonts w:ascii="Arial" w:eastAsia="Arial" w:hAnsi="Arial" w:cs="Arial"/>
        </w:rPr>
        <w:tab/>
        <w:t>Members and chapters of the GWP in various parts of the Philippines have been subjected to numerous Stat</w:t>
      </w:r>
      <w:r>
        <w:rPr>
          <w:rFonts w:ascii="Arial" w:eastAsia="Arial" w:hAnsi="Arial" w:cs="Arial"/>
        </w:rPr>
        <w:t xml:space="preserve">e-perpetrated attacks. </w:t>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2.3</w:t>
      </w:r>
      <w:r>
        <w:rPr>
          <w:rFonts w:ascii="Arial" w:eastAsia="Arial" w:hAnsi="Arial" w:cs="Arial"/>
        </w:rPr>
        <w:tab/>
        <w:t xml:space="preserve"> In 2018, E</w:t>
      </w:r>
      <w:r w:rsidR="003D1A03">
        <w:rPr>
          <w:rFonts w:ascii="Arial" w:eastAsia="Arial" w:hAnsi="Arial" w:cs="Arial"/>
        </w:rPr>
        <w:t>. L.</w:t>
      </w:r>
      <w:r>
        <w:rPr>
          <w:rFonts w:ascii="Arial" w:eastAsia="Arial" w:hAnsi="Arial" w:cs="Arial"/>
        </w:rPr>
        <w:t xml:space="preserve">, then GWP municipal coordinator and farmer from Barangay Antipolo, </w:t>
      </w:r>
      <w:proofErr w:type="spellStart"/>
      <w:r>
        <w:rPr>
          <w:rFonts w:ascii="Arial" w:eastAsia="Arial" w:hAnsi="Arial" w:cs="Arial"/>
        </w:rPr>
        <w:t>Bongabon</w:t>
      </w:r>
      <w:proofErr w:type="spellEnd"/>
      <w:r>
        <w:rPr>
          <w:rFonts w:ascii="Arial" w:eastAsia="Arial" w:hAnsi="Arial" w:cs="Arial"/>
        </w:rPr>
        <w:t xml:space="preserve">, Nueva Ecija, was illegally arrested and detained by the Criminal Investigation and Detection Group (CIDG), PNP and elements </w:t>
      </w:r>
      <w:r>
        <w:rPr>
          <w:rFonts w:ascii="Arial" w:eastAsia="Arial" w:hAnsi="Arial" w:cs="Arial"/>
        </w:rPr>
        <w:t>of the 7th Infantry Division in Nueva Ecija. She was accused of being a “rebel conspiring against the government.”</w:t>
      </w:r>
      <w:r>
        <w:rPr>
          <w:rFonts w:ascii="Arial" w:eastAsia="Arial" w:hAnsi="Arial" w:cs="Arial"/>
          <w:vertAlign w:val="superscript"/>
        </w:rPr>
        <w:footnoteReference w:id="17"/>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 xml:space="preserve">2.4 </w:t>
      </w:r>
      <w:r>
        <w:rPr>
          <w:rFonts w:ascii="Arial" w:eastAsia="Arial" w:hAnsi="Arial" w:cs="Arial"/>
        </w:rPr>
        <w:tab/>
        <w:t>H</w:t>
      </w:r>
      <w:r w:rsidR="003D1A03">
        <w:rPr>
          <w:rFonts w:ascii="Arial" w:eastAsia="Arial" w:hAnsi="Arial" w:cs="Arial"/>
        </w:rPr>
        <w:t>. C.</w:t>
      </w:r>
      <w:r>
        <w:rPr>
          <w:rFonts w:ascii="Arial" w:eastAsia="Arial" w:hAnsi="Arial" w:cs="Arial"/>
        </w:rPr>
        <w:t>, longtime women’s rights defender and a former GWP consultant at the HOR, was illegally arrested in Laguna in October 2</w:t>
      </w:r>
      <w:r>
        <w:rPr>
          <w:rFonts w:ascii="Arial" w:eastAsia="Arial" w:hAnsi="Arial" w:cs="Arial"/>
        </w:rPr>
        <w:t>018, but was released on bail after eight months.</w:t>
      </w:r>
      <w:r>
        <w:rPr>
          <w:rFonts w:ascii="Arial" w:eastAsia="Arial" w:hAnsi="Arial" w:cs="Arial"/>
          <w:vertAlign w:val="superscript"/>
        </w:rPr>
        <w:footnoteReference w:id="18"/>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lastRenderedPageBreak/>
        <w:t xml:space="preserve">2.5 </w:t>
      </w:r>
      <w:r>
        <w:rPr>
          <w:rFonts w:ascii="Arial" w:eastAsia="Arial" w:hAnsi="Arial" w:cs="Arial"/>
        </w:rPr>
        <w:tab/>
        <w:t>Executive Order (E.O.) No. 70, series of 2018,</w:t>
      </w:r>
      <w:r>
        <w:rPr>
          <w:rFonts w:ascii="Arial" w:eastAsia="Arial" w:hAnsi="Arial" w:cs="Arial"/>
          <w:vertAlign w:val="superscript"/>
        </w:rPr>
        <w:footnoteReference w:id="19"/>
      </w:r>
      <w:r>
        <w:rPr>
          <w:rFonts w:ascii="Arial" w:eastAsia="Arial" w:hAnsi="Arial" w:cs="Arial"/>
        </w:rPr>
        <w:t xml:space="preserve"> institutionalized the whole-of-nation approach in attaining peace and created the National Task Force to End Local Communist Armed Conflict (NTF-ELCAC). Since the creation of NTF-ELCAC, it has engaged in surveillance, harassment, and red-tagging of human </w:t>
      </w:r>
      <w:r>
        <w:rPr>
          <w:rFonts w:ascii="Arial" w:eastAsia="Arial" w:hAnsi="Arial" w:cs="Arial"/>
        </w:rPr>
        <w:t xml:space="preserve">rights defenders. It has baselessly accused individuals and organizations advocating for the issues of marginalized sectors as affiliated with the Communist Party of the Philippines (CPP) and the New People’s Army (NPA). </w:t>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2.6</w:t>
      </w:r>
      <w:r>
        <w:rPr>
          <w:rFonts w:ascii="Arial" w:eastAsia="Arial" w:hAnsi="Arial" w:cs="Arial"/>
        </w:rPr>
        <w:tab/>
        <w:t>In 2019, M</w:t>
      </w:r>
      <w:r w:rsidR="003D1A03">
        <w:rPr>
          <w:rFonts w:ascii="Arial" w:eastAsia="Arial" w:hAnsi="Arial" w:cs="Arial"/>
        </w:rPr>
        <w:t>. L.</w:t>
      </w:r>
      <w:r>
        <w:rPr>
          <w:rFonts w:ascii="Arial" w:eastAsia="Arial" w:hAnsi="Arial" w:cs="Arial"/>
        </w:rPr>
        <w:t>, the GW</w:t>
      </w:r>
      <w:r>
        <w:rPr>
          <w:rFonts w:ascii="Arial" w:eastAsia="Arial" w:hAnsi="Arial" w:cs="Arial"/>
        </w:rPr>
        <w:t>P National Vice President (VP) for Internal Affairs in 2019, experienced red-tagging and harassment and was included in the list of so-called terrorists in Cagayan Valley. Leaflets tagging her as a "supporter of the CPP-NPA-NDF" also circulated in the regi</w:t>
      </w:r>
      <w:r>
        <w:rPr>
          <w:rFonts w:ascii="Arial" w:eastAsia="Arial" w:hAnsi="Arial" w:cs="Arial"/>
        </w:rPr>
        <w:t>on.</w:t>
      </w:r>
    </w:p>
    <w:p w:rsidR="008726B6" w:rsidRDefault="008726B6">
      <w:pPr>
        <w:spacing w:after="120" w:line="240" w:lineRule="auto"/>
        <w:ind w:right="-60" w:firstLine="72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 xml:space="preserve">2.7 </w:t>
      </w:r>
      <w:r>
        <w:rPr>
          <w:rFonts w:ascii="Arial" w:eastAsia="Arial" w:hAnsi="Arial" w:cs="Arial"/>
        </w:rPr>
        <w:tab/>
        <w:t>L</w:t>
      </w:r>
      <w:r w:rsidR="003D1A03">
        <w:rPr>
          <w:rFonts w:ascii="Arial" w:eastAsia="Arial" w:hAnsi="Arial" w:cs="Arial"/>
        </w:rPr>
        <w:t>.</w:t>
      </w:r>
      <w:r>
        <w:rPr>
          <w:rFonts w:ascii="Arial" w:eastAsia="Arial" w:hAnsi="Arial" w:cs="Arial"/>
        </w:rPr>
        <w:t xml:space="preserve"> F</w:t>
      </w:r>
      <w:r w:rsidR="003D1A03">
        <w:rPr>
          <w:rFonts w:ascii="Arial" w:eastAsia="Arial" w:hAnsi="Arial" w:cs="Arial"/>
        </w:rPr>
        <w:t>.</w:t>
      </w:r>
      <w:r>
        <w:rPr>
          <w:rFonts w:ascii="Arial" w:eastAsia="Arial" w:hAnsi="Arial" w:cs="Arial"/>
        </w:rPr>
        <w:t>, GWP nominee and a consumer rights advocate in Western Visayas, was tagged as an NPA supporter in leaflets and posters circulating in Iloilo City.</w:t>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2.8</w:t>
      </w:r>
      <w:r>
        <w:rPr>
          <w:rFonts w:ascii="Arial" w:eastAsia="Arial" w:hAnsi="Arial" w:cs="Arial"/>
        </w:rPr>
        <w:tab/>
        <w:t>In 2020, L</w:t>
      </w:r>
      <w:r w:rsidR="00931F41">
        <w:rPr>
          <w:rFonts w:ascii="Arial" w:eastAsia="Arial" w:hAnsi="Arial" w:cs="Arial"/>
        </w:rPr>
        <w:t>. D.</w:t>
      </w:r>
      <w:r>
        <w:rPr>
          <w:rFonts w:ascii="Arial" w:eastAsia="Arial" w:hAnsi="Arial" w:cs="Arial"/>
        </w:rPr>
        <w:t>, a</w:t>
      </w:r>
      <w:r w:rsidR="00BD4090">
        <w:rPr>
          <w:rFonts w:ascii="Arial" w:eastAsia="Arial" w:hAnsi="Arial" w:cs="Arial"/>
        </w:rPr>
        <w:t xml:space="preserve"> local official</w:t>
      </w:r>
      <w:r>
        <w:rPr>
          <w:rFonts w:ascii="Arial" w:eastAsia="Arial" w:hAnsi="Arial" w:cs="Arial"/>
        </w:rPr>
        <w:t xml:space="preserve"> in Marikina and a m</w:t>
      </w:r>
      <w:r>
        <w:rPr>
          <w:rFonts w:ascii="Arial" w:eastAsia="Arial" w:hAnsi="Arial" w:cs="Arial"/>
        </w:rPr>
        <w:t>ember of GWP at that time, was reported by local government officials and the PNP for being a member of "Gabriela Activist" and "engaging [in] rallies against the government."</w:t>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2.9</w:t>
      </w:r>
      <w:r>
        <w:rPr>
          <w:rFonts w:ascii="Arial" w:eastAsia="Arial" w:hAnsi="Arial" w:cs="Arial"/>
        </w:rPr>
        <w:tab/>
        <w:t>During the nationwide lockdown because of the COVID-19 pandemic on May 1, 2</w:t>
      </w:r>
      <w:r>
        <w:rPr>
          <w:rFonts w:ascii="Arial" w:eastAsia="Arial" w:hAnsi="Arial" w:cs="Arial"/>
        </w:rPr>
        <w:t>020, R</w:t>
      </w:r>
      <w:r w:rsidR="00BD4090">
        <w:rPr>
          <w:rFonts w:ascii="Arial" w:eastAsia="Arial" w:hAnsi="Arial" w:cs="Arial"/>
        </w:rPr>
        <w:t>.</w:t>
      </w:r>
      <w:r>
        <w:rPr>
          <w:rFonts w:ascii="Arial" w:eastAsia="Arial" w:hAnsi="Arial" w:cs="Arial"/>
        </w:rPr>
        <w:t xml:space="preserve"> M</w:t>
      </w:r>
      <w:r w:rsidR="00BD4090">
        <w:rPr>
          <w:rFonts w:ascii="Arial" w:eastAsia="Arial" w:hAnsi="Arial" w:cs="Arial"/>
        </w:rPr>
        <w:t>.</w:t>
      </w:r>
      <w:r>
        <w:rPr>
          <w:rFonts w:ascii="Arial" w:eastAsia="Arial" w:hAnsi="Arial" w:cs="Arial"/>
        </w:rPr>
        <w:t>, daycare teacher and GWP member in Marikin</w:t>
      </w:r>
      <w:r w:rsidR="00BD4090">
        <w:rPr>
          <w:rFonts w:ascii="Arial" w:eastAsia="Arial" w:hAnsi="Arial" w:cs="Arial"/>
        </w:rPr>
        <w:t>a</w:t>
      </w:r>
      <w:r>
        <w:rPr>
          <w:rFonts w:ascii="Arial" w:eastAsia="Arial" w:hAnsi="Arial" w:cs="Arial"/>
        </w:rPr>
        <w:t>, was illegally arrested for conducting a community feeding program for lockdown-stricken families in their barangay.</w:t>
      </w:r>
    </w:p>
    <w:p w:rsidR="008726B6" w:rsidRDefault="008726B6">
      <w:pPr>
        <w:spacing w:after="120" w:line="240" w:lineRule="auto"/>
        <w:ind w:right="-60" w:firstLine="72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2.10</w:t>
      </w:r>
      <w:r>
        <w:rPr>
          <w:rFonts w:ascii="Arial" w:eastAsia="Arial" w:hAnsi="Arial" w:cs="Arial"/>
        </w:rPr>
        <w:tab/>
        <w:t>RA 11479</w:t>
      </w:r>
      <w:r>
        <w:rPr>
          <w:rFonts w:ascii="Arial" w:eastAsia="Arial" w:hAnsi="Arial" w:cs="Arial"/>
          <w:vertAlign w:val="superscript"/>
        </w:rPr>
        <w:footnoteReference w:id="20"/>
      </w:r>
      <w:r>
        <w:rPr>
          <w:rFonts w:ascii="Arial" w:eastAsia="Arial" w:hAnsi="Arial" w:cs="Arial"/>
        </w:rPr>
        <w:t>, or the Anti-Terrorism Act (ATA), was signed into la</w:t>
      </w:r>
      <w:r>
        <w:rPr>
          <w:rFonts w:ascii="Arial" w:eastAsia="Arial" w:hAnsi="Arial" w:cs="Arial"/>
        </w:rPr>
        <w:t>w on July 3, 2020, despite strong opposition from the Filipino people.</w:t>
      </w:r>
      <w:r>
        <w:rPr>
          <w:rFonts w:ascii="Arial" w:eastAsia="Arial" w:hAnsi="Arial" w:cs="Arial"/>
          <w:vertAlign w:val="superscript"/>
        </w:rPr>
        <w:footnoteReference w:id="21"/>
      </w:r>
      <w:r>
        <w:rPr>
          <w:rFonts w:ascii="Arial" w:eastAsia="Arial" w:hAnsi="Arial" w:cs="Arial"/>
        </w:rPr>
        <w:t xml:space="preserve"> This law stifles dissent and threatens the security and protection of human rights defenders as it has numerous flaws and loopholes.</w:t>
      </w:r>
      <w:r>
        <w:rPr>
          <w:rFonts w:ascii="Arial" w:eastAsia="Arial" w:hAnsi="Arial" w:cs="Arial"/>
          <w:vertAlign w:val="superscript"/>
        </w:rPr>
        <w:footnoteReference w:id="22"/>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2.11</w:t>
      </w:r>
      <w:r>
        <w:rPr>
          <w:rFonts w:ascii="Arial" w:eastAsia="Arial" w:hAnsi="Arial" w:cs="Arial"/>
        </w:rPr>
        <w:tab/>
        <w:t>Days after the signing of the ATA, J</w:t>
      </w:r>
      <w:r w:rsidR="00BD4090">
        <w:rPr>
          <w:rFonts w:ascii="Arial" w:eastAsia="Arial" w:hAnsi="Arial" w:cs="Arial"/>
        </w:rPr>
        <w:t>.</w:t>
      </w:r>
      <w:r>
        <w:rPr>
          <w:rFonts w:ascii="Arial" w:eastAsia="Arial" w:hAnsi="Arial" w:cs="Arial"/>
        </w:rPr>
        <w:t xml:space="preserve"> N</w:t>
      </w:r>
      <w:r w:rsidR="00BD4090">
        <w:rPr>
          <w:rFonts w:ascii="Arial" w:eastAsia="Arial" w:hAnsi="Arial" w:cs="Arial"/>
        </w:rPr>
        <w:t>.</w:t>
      </w:r>
      <w:r>
        <w:rPr>
          <w:rFonts w:ascii="Arial" w:eastAsia="Arial" w:hAnsi="Arial" w:cs="Arial"/>
        </w:rPr>
        <w:t xml:space="preserve">, </w:t>
      </w:r>
      <w:r w:rsidR="00BD4090">
        <w:rPr>
          <w:rFonts w:ascii="Arial" w:eastAsia="Arial" w:hAnsi="Arial" w:cs="Arial"/>
        </w:rPr>
        <w:t xml:space="preserve">former </w:t>
      </w:r>
      <w:r>
        <w:rPr>
          <w:rFonts w:ascii="Arial" w:eastAsia="Arial" w:hAnsi="Arial" w:cs="Arial"/>
        </w:rPr>
        <w:t>GWP</w:t>
      </w:r>
      <w:r>
        <w:rPr>
          <w:rFonts w:ascii="Arial" w:eastAsia="Arial" w:hAnsi="Arial" w:cs="Arial"/>
        </w:rPr>
        <w:t xml:space="preserve"> nominee</w:t>
      </w:r>
      <w:r w:rsidR="00BD4090">
        <w:rPr>
          <w:rFonts w:ascii="Arial" w:eastAsia="Arial" w:hAnsi="Arial" w:cs="Arial"/>
        </w:rPr>
        <w:t xml:space="preserve"> in the elections</w:t>
      </w:r>
      <w:r>
        <w:rPr>
          <w:rFonts w:ascii="Arial" w:eastAsia="Arial" w:hAnsi="Arial" w:cs="Arial"/>
        </w:rPr>
        <w:t xml:space="preserve">, was arrested at her residence in </w:t>
      </w:r>
      <w:r>
        <w:rPr>
          <w:rFonts w:ascii="Arial" w:eastAsia="Arial" w:hAnsi="Arial" w:cs="Arial"/>
        </w:rPr>
        <w:t>Camarines Sur, over trumped-up charges.</w:t>
      </w:r>
      <w:r>
        <w:rPr>
          <w:rFonts w:ascii="Arial" w:eastAsia="Arial" w:hAnsi="Arial" w:cs="Arial"/>
          <w:vertAlign w:val="superscript"/>
        </w:rPr>
        <w:footnoteReference w:id="23"/>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lastRenderedPageBreak/>
        <w:t xml:space="preserve">2.12 </w:t>
      </w:r>
      <w:r>
        <w:rPr>
          <w:rFonts w:ascii="Arial" w:eastAsia="Arial" w:hAnsi="Arial" w:cs="Arial"/>
        </w:rPr>
        <w:tab/>
        <w:t>On February 6, 2021, G</w:t>
      </w:r>
      <w:r w:rsidR="00BD4090">
        <w:rPr>
          <w:rFonts w:ascii="Arial" w:eastAsia="Arial" w:hAnsi="Arial" w:cs="Arial"/>
        </w:rPr>
        <w:t>. T.</w:t>
      </w:r>
      <w:r>
        <w:rPr>
          <w:rFonts w:ascii="Arial" w:eastAsia="Arial" w:hAnsi="Arial" w:cs="Arial"/>
        </w:rPr>
        <w:t xml:space="preserve">, regional coordinator of GWP in </w:t>
      </w:r>
      <w:proofErr w:type="spellStart"/>
      <w:r>
        <w:rPr>
          <w:rFonts w:ascii="Arial" w:eastAsia="Arial" w:hAnsi="Arial" w:cs="Arial"/>
        </w:rPr>
        <w:t>Agusan</w:t>
      </w:r>
      <w:proofErr w:type="spellEnd"/>
      <w:r>
        <w:rPr>
          <w:rFonts w:ascii="Arial" w:eastAsia="Arial" w:hAnsi="Arial" w:cs="Arial"/>
        </w:rPr>
        <w:t xml:space="preserve"> del Norte, was arrested over trumped-up compla</w:t>
      </w:r>
      <w:r>
        <w:rPr>
          <w:rFonts w:ascii="Arial" w:eastAsia="Arial" w:hAnsi="Arial" w:cs="Arial"/>
        </w:rPr>
        <w:t>ints, two of which were dismissed.</w:t>
      </w:r>
    </w:p>
    <w:p w:rsidR="008726B6" w:rsidRDefault="008726B6">
      <w:pPr>
        <w:spacing w:after="120" w:line="240" w:lineRule="auto"/>
        <w:ind w:right="-60" w:firstLine="72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2.13</w:t>
      </w:r>
      <w:r>
        <w:rPr>
          <w:rFonts w:ascii="Arial" w:eastAsia="Arial" w:hAnsi="Arial" w:cs="Arial"/>
        </w:rPr>
        <w:tab/>
      </w:r>
      <w:r>
        <w:rPr>
          <w:rFonts w:ascii="Arial" w:eastAsia="Arial" w:hAnsi="Arial" w:cs="Arial"/>
        </w:rPr>
        <w:t>On International Working Women's Day in 2021, the NTF-ELCAC held a ceremony for the disaffiliation of a local GWP chapter in Bataan.</w:t>
      </w:r>
      <w:r w:rsidR="00D03B7F">
        <w:rPr>
          <w:rFonts w:ascii="Arial" w:eastAsia="Arial" w:hAnsi="Arial" w:cs="Arial"/>
        </w:rPr>
        <w:t xml:space="preserve"> The local chapter </w:t>
      </w:r>
      <w:r>
        <w:rPr>
          <w:rFonts w:ascii="Arial" w:eastAsia="Arial" w:hAnsi="Arial" w:cs="Arial"/>
        </w:rPr>
        <w:t>President</w:t>
      </w:r>
      <w:r w:rsidR="00BD4090">
        <w:rPr>
          <w:rFonts w:ascii="Arial" w:eastAsia="Arial" w:hAnsi="Arial" w:cs="Arial"/>
        </w:rPr>
        <w:t xml:space="preserve"> H. A. </w:t>
      </w:r>
      <w:r>
        <w:rPr>
          <w:rFonts w:ascii="Arial" w:eastAsia="Arial" w:hAnsi="Arial" w:cs="Arial"/>
        </w:rPr>
        <w:t>and other regional GWP members were terrorized and forced to participate in the event. Si</w:t>
      </w:r>
      <w:r>
        <w:rPr>
          <w:rFonts w:ascii="Arial" w:eastAsia="Arial" w:hAnsi="Arial" w:cs="Arial"/>
        </w:rPr>
        <w:t xml:space="preserve">nce 2019, </w:t>
      </w:r>
      <w:r w:rsidR="00BD4090">
        <w:rPr>
          <w:rFonts w:ascii="Arial" w:eastAsia="Arial" w:hAnsi="Arial" w:cs="Arial"/>
        </w:rPr>
        <w:t>H. A.</w:t>
      </w:r>
      <w:r>
        <w:rPr>
          <w:rFonts w:ascii="Arial" w:eastAsia="Arial" w:hAnsi="Arial" w:cs="Arial"/>
        </w:rPr>
        <w:t xml:space="preserve"> has been harassed and red-tagged by the NTF-ELCAC. </w:t>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2.14</w:t>
      </w:r>
      <w:r>
        <w:rPr>
          <w:rFonts w:ascii="Arial" w:eastAsia="Arial" w:hAnsi="Arial" w:cs="Arial"/>
        </w:rPr>
        <w:tab/>
      </w:r>
      <w:r w:rsidR="00BD4090">
        <w:rPr>
          <w:rFonts w:ascii="Arial" w:eastAsia="Arial" w:hAnsi="Arial" w:cs="Arial"/>
        </w:rPr>
        <w:t>E. M.</w:t>
      </w:r>
      <w:r>
        <w:rPr>
          <w:rFonts w:ascii="Arial" w:eastAsia="Arial" w:hAnsi="Arial" w:cs="Arial"/>
        </w:rPr>
        <w:t>, former Secretary-General GWP Marikina</w:t>
      </w:r>
      <w:r w:rsidR="00BD4090">
        <w:rPr>
          <w:rFonts w:ascii="Arial" w:eastAsia="Arial" w:hAnsi="Arial" w:cs="Arial"/>
        </w:rPr>
        <w:t xml:space="preserve"> </w:t>
      </w:r>
      <w:r>
        <w:rPr>
          <w:rFonts w:ascii="Arial" w:eastAsia="Arial" w:hAnsi="Arial" w:cs="Arial"/>
        </w:rPr>
        <w:t>chapter, experienced surveillance, harassment, and profiling by members of the PNP.</w:t>
      </w:r>
      <w:r>
        <w:rPr>
          <w:rFonts w:ascii="Arial" w:eastAsia="Arial" w:hAnsi="Arial" w:cs="Arial"/>
          <w:vertAlign w:val="superscript"/>
        </w:rPr>
        <w:footnoteReference w:id="24"/>
      </w:r>
    </w:p>
    <w:p w:rsidR="008726B6" w:rsidRDefault="008726B6">
      <w:pPr>
        <w:spacing w:after="120" w:line="240" w:lineRule="auto"/>
        <w:ind w:right="-60" w:firstLine="72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2.15</w:t>
      </w:r>
      <w:r>
        <w:rPr>
          <w:rFonts w:ascii="Arial" w:eastAsia="Arial" w:hAnsi="Arial" w:cs="Arial"/>
        </w:rPr>
        <w:tab/>
        <w:t xml:space="preserve"> In 2021, C</w:t>
      </w:r>
      <w:r w:rsidR="00BD4090">
        <w:rPr>
          <w:rFonts w:ascii="Arial" w:eastAsia="Arial" w:hAnsi="Arial" w:cs="Arial"/>
        </w:rPr>
        <w:t>. C.</w:t>
      </w:r>
      <w:r>
        <w:rPr>
          <w:rFonts w:ascii="Arial" w:eastAsia="Arial" w:hAnsi="Arial" w:cs="Arial"/>
        </w:rPr>
        <w:t>,</w:t>
      </w:r>
      <w:r>
        <w:rPr>
          <w:rFonts w:ascii="Arial" w:eastAsia="Arial" w:hAnsi="Arial" w:cs="Arial"/>
        </w:rPr>
        <w:t xml:space="preserve"> GWP Public Relations Officer, experienced physical surveillance and online harassment by unidentified men in several circumstances.</w:t>
      </w:r>
      <w:r>
        <w:rPr>
          <w:rFonts w:ascii="Arial" w:eastAsia="Arial" w:hAnsi="Arial" w:cs="Arial"/>
          <w:vertAlign w:val="superscript"/>
        </w:rPr>
        <w:footnoteReference w:id="25"/>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2.16</w:t>
      </w:r>
      <w:r>
        <w:rPr>
          <w:rFonts w:ascii="Arial" w:eastAsia="Arial" w:hAnsi="Arial" w:cs="Arial"/>
        </w:rPr>
        <w:tab/>
        <w:t xml:space="preserve">Posters red-tagging Rep. </w:t>
      </w:r>
      <w:r w:rsidR="00BD4090">
        <w:rPr>
          <w:rFonts w:ascii="Arial" w:eastAsia="Arial" w:hAnsi="Arial" w:cs="Arial"/>
        </w:rPr>
        <w:t>A. B.</w:t>
      </w:r>
      <w:r>
        <w:rPr>
          <w:rFonts w:ascii="Arial" w:eastAsia="Arial" w:hAnsi="Arial" w:cs="Arial"/>
        </w:rPr>
        <w:t xml:space="preserve"> and the GWP were seen hanging in various parts of Metro Manila and other provinces d</w:t>
      </w:r>
      <w:r>
        <w:rPr>
          <w:rFonts w:ascii="Arial" w:eastAsia="Arial" w:hAnsi="Arial" w:cs="Arial"/>
        </w:rPr>
        <w:t>uring the 2022 elections.</w:t>
      </w:r>
      <w:r>
        <w:rPr>
          <w:rFonts w:ascii="Arial" w:eastAsia="Arial" w:hAnsi="Arial" w:cs="Arial"/>
          <w:vertAlign w:val="superscript"/>
        </w:rPr>
        <w:footnoteReference w:id="26"/>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2.17</w:t>
      </w:r>
      <w:r>
        <w:rPr>
          <w:rFonts w:ascii="Arial" w:eastAsia="Arial" w:hAnsi="Arial" w:cs="Arial"/>
        </w:rPr>
        <w:tab/>
      </w:r>
      <w:r>
        <w:rPr>
          <w:rFonts w:ascii="Arial" w:eastAsia="Arial" w:hAnsi="Arial" w:cs="Arial"/>
        </w:rPr>
        <w:t>J</w:t>
      </w:r>
      <w:r w:rsidR="00BD4090">
        <w:rPr>
          <w:rFonts w:ascii="Arial" w:eastAsia="Arial" w:hAnsi="Arial" w:cs="Arial"/>
        </w:rPr>
        <w:t>.</w:t>
      </w:r>
      <w:r>
        <w:rPr>
          <w:rFonts w:ascii="Arial" w:eastAsia="Arial" w:hAnsi="Arial" w:cs="Arial"/>
        </w:rPr>
        <w:t xml:space="preserve"> L</w:t>
      </w:r>
      <w:r w:rsidR="00BD4090">
        <w:rPr>
          <w:rFonts w:ascii="Arial" w:eastAsia="Arial" w:hAnsi="Arial" w:cs="Arial"/>
        </w:rPr>
        <w:t>.</w:t>
      </w:r>
      <w:r>
        <w:rPr>
          <w:rFonts w:ascii="Arial" w:eastAsia="Arial" w:hAnsi="Arial" w:cs="Arial"/>
        </w:rPr>
        <w:t xml:space="preserve">, a respected medical doctor, environmental activist, and GWP Vice Chairperson, experienced vilification and harassment. A picture of her was posted in different parts of the Southern Mindanao Region with the </w:t>
      </w:r>
      <w:r>
        <w:rPr>
          <w:rFonts w:ascii="Arial" w:eastAsia="Arial" w:hAnsi="Arial" w:cs="Arial"/>
        </w:rPr>
        <w:t>words "Wanted. Human Rights Violators".</w:t>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2.18</w:t>
      </w:r>
      <w:r>
        <w:rPr>
          <w:rFonts w:ascii="Arial" w:eastAsia="Arial" w:hAnsi="Arial" w:cs="Arial"/>
        </w:rPr>
        <w:tab/>
        <w:t>L</w:t>
      </w:r>
      <w:r w:rsidR="00BD4090">
        <w:rPr>
          <w:rFonts w:ascii="Arial" w:eastAsia="Arial" w:hAnsi="Arial" w:cs="Arial"/>
        </w:rPr>
        <w:t>.</w:t>
      </w:r>
      <w:r>
        <w:rPr>
          <w:rFonts w:ascii="Arial" w:eastAsia="Arial" w:hAnsi="Arial" w:cs="Arial"/>
        </w:rPr>
        <w:t xml:space="preserve"> C</w:t>
      </w:r>
      <w:r w:rsidR="00BD4090">
        <w:rPr>
          <w:rFonts w:ascii="Arial" w:eastAsia="Arial" w:hAnsi="Arial" w:cs="Arial"/>
        </w:rPr>
        <w:t>.</w:t>
      </w:r>
      <w:r>
        <w:rPr>
          <w:rFonts w:ascii="Arial" w:eastAsia="Arial" w:hAnsi="Arial" w:cs="Arial"/>
        </w:rPr>
        <w:t>, a trade union organizer in Valenzuela City and</w:t>
      </w:r>
      <w:r w:rsidR="00BD4090">
        <w:rPr>
          <w:rFonts w:ascii="Arial" w:eastAsia="Arial" w:hAnsi="Arial" w:cs="Arial"/>
        </w:rPr>
        <w:t xml:space="preserve"> former </w:t>
      </w:r>
      <w:r>
        <w:rPr>
          <w:rFonts w:ascii="Arial" w:eastAsia="Arial" w:hAnsi="Arial" w:cs="Arial"/>
        </w:rPr>
        <w:t>nominee of the GWP in the 2022 elections, continues to experience harassment, intimidation, and surveillance from the members of PNP a</w:t>
      </w:r>
      <w:r>
        <w:rPr>
          <w:rFonts w:ascii="Arial" w:eastAsia="Arial" w:hAnsi="Arial" w:cs="Arial"/>
        </w:rPr>
        <w:t>nd NTF-ELCAC. Materials accusing her of being a member of the CPP circulated in their community.</w:t>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i/>
        </w:rPr>
      </w:pPr>
      <w:r>
        <w:rPr>
          <w:rFonts w:ascii="Arial" w:eastAsia="Arial" w:hAnsi="Arial" w:cs="Arial"/>
        </w:rPr>
        <w:t>2.19</w:t>
      </w:r>
      <w:r>
        <w:rPr>
          <w:rFonts w:ascii="Arial" w:eastAsia="Arial" w:hAnsi="Arial" w:cs="Arial"/>
        </w:rPr>
        <w:tab/>
        <w:t xml:space="preserve">On August 30, 2022, GWP VP for Mindanao and </w:t>
      </w:r>
      <w:proofErr w:type="spellStart"/>
      <w:r>
        <w:rPr>
          <w:rFonts w:ascii="Arial" w:eastAsia="Arial" w:hAnsi="Arial" w:cs="Arial"/>
        </w:rPr>
        <w:t>Caraga</w:t>
      </w:r>
      <w:proofErr w:type="spellEnd"/>
      <w:r>
        <w:rPr>
          <w:rFonts w:ascii="Arial" w:eastAsia="Arial" w:hAnsi="Arial" w:cs="Arial"/>
        </w:rPr>
        <w:t xml:space="preserve"> Regional Coordinator, </w:t>
      </w:r>
      <w:r w:rsidR="00BD4090">
        <w:rPr>
          <w:rFonts w:ascii="Arial" w:eastAsia="Arial" w:hAnsi="Arial" w:cs="Arial"/>
        </w:rPr>
        <w:t>A.</w:t>
      </w:r>
      <w:r>
        <w:rPr>
          <w:rFonts w:ascii="Arial" w:eastAsia="Arial" w:hAnsi="Arial" w:cs="Arial"/>
        </w:rPr>
        <w:t xml:space="preserve"> H</w:t>
      </w:r>
      <w:r w:rsidR="00BD4090">
        <w:rPr>
          <w:rFonts w:ascii="Arial" w:eastAsia="Arial" w:hAnsi="Arial" w:cs="Arial"/>
        </w:rPr>
        <w:t>.</w:t>
      </w:r>
      <w:r>
        <w:rPr>
          <w:rFonts w:ascii="Arial" w:eastAsia="Arial" w:hAnsi="Arial" w:cs="Arial"/>
        </w:rPr>
        <w:t>, 76 years old, was illegally arrested over trumped-up cases of murder</w:t>
      </w:r>
      <w:r>
        <w:rPr>
          <w:rFonts w:ascii="Arial" w:eastAsia="Arial" w:hAnsi="Arial" w:cs="Arial"/>
        </w:rPr>
        <w:t>, kidnapping, and serious illegal detention.</w:t>
      </w:r>
    </w:p>
    <w:p w:rsidR="008726B6" w:rsidRDefault="008726B6">
      <w:pPr>
        <w:spacing w:after="120" w:line="240" w:lineRule="auto"/>
        <w:ind w:right="-60"/>
        <w:jc w:val="both"/>
        <w:rPr>
          <w:rFonts w:ascii="Arial" w:eastAsia="Arial" w:hAnsi="Arial" w:cs="Arial"/>
        </w:rPr>
      </w:pPr>
    </w:p>
    <w:p w:rsidR="008726B6" w:rsidRDefault="00DA1413">
      <w:pPr>
        <w:spacing w:after="120" w:line="240" w:lineRule="auto"/>
        <w:ind w:right="-60" w:firstLine="720"/>
        <w:jc w:val="both"/>
        <w:rPr>
          <w:rFonts w:ascii="Arial" w:eastAsia="Arial" w:hAnsi="Arial" w:cs="Arial"/>
        </w:rPr>
      </w:pPr>
      <w:r>
        <w:rPr>
          <w:rFonts w:ascii="Arial" w:eastAsia="Arial" w:hAnsi="Arial" w:cs="Arial"/>
        </w:rPr>
        <w:t xml:space="preserve">2.20 </w:t>
      </w:r>
      <w:r>
        <w:rPr>
          <w:rFonts w:ascii="Arial" w:eastAsia="Arial" w:hAnsi="Arial" w:cs="Arial"/>
        </w:rPr>
        <w:tab/>
        <w:t>With the several human rights violations that have been experienced not only by members and chapters of the GWP but also experienced by human rights defenders from all over the country, GWP have filed dif</w:t>
      </w:r>
      <w:r>
        <w:rPr>
          <w:rFonts w:ascii="Arial" w:eastAsia="Arial" w:hAnsi="Arial" w:cs="Arial"/>
        </w:rPr>
        <w:t>ferent bills and resolutions to urge the HOR to investigate these various attacks.</w:t>
      </w:r>
    </w:p>
    <w:p w:rsidR="008726B6" w:rsidRDefault="008726B6">
      <w:pPr>
        <w:spacing w:after="120" w:line="240" w:lineRule="auto"/>
        <w:ind w:right="95"/>
        <w:jc w:val="both"/>
        <w:rPr>
          <w:rFonts w:ascii="Arial" w:eastAsia="Arial" w:hAnsi="Arial" w:cs="Arial"/>
        </w:rPr>
      </w:pPr>
    </w:p>
    <w:p w:rsidR="008726B6" w:rsidRDefault="00DA1413">
      <w:pPr>
        <w:spacing w:after="120" w:line="240" w:lineRule="auto"/>
        <w:ind w:right="95" w:firstLine="720"/>
        <w:jc w:val="both"/>
        <w:rPr>
          <w:rFonts w:ascii="Arial" w:eastAsia="Arial" w:hAnsi="Arial" w:cs="Arial"/>
        </w:rPr>
      </w:pPr>
      <w:r>
        <w:rPr>
          <w:rFonts w:ascii="Arial" w:eastAsia="Arial" w:hAnsi="Arial" w:cs="Arial"/>
        </w:rPr>
        <w:t xml:space="preserve">2.21 </w:t>
      </w:r>
      <w:r>
        <w:rPr>
          <w:rFonts w:ascii="Arial" w:eastAsia="Arial" w:hAnsi="Arial" w:cs="Arial"/>
        </w:rPr>
        <w:tab/>
        <w:t>In the 17th Congress, three (3) HRs were filed to urge the HOR to investigate multiple human rights violations of women human rights defenders and activists.</w:t>
      </w:r>
    </w:p>
    <w:p w:rsidR="008726B6" w:rsidRDefault="008726B6"/>
    <w:p w:rsidR="008726B6" w:rsidRDefault="00DA1413">
      <w:pPr>
        <w:spacing w:after="120" w:line="240" w:lineRule="auto"/>
        <w:ind w:right="95" w:firstLine="720"/>
        <w:jc w:val="both"/>
        <w:rPr>
          <w:rFonts w:ascii="Arial" w:eastAsia="Arial" w:hAnsi="Arial" w:cs="Arial"/>
        </w:rPr>
      </w:pPr>
      <w:r>
        <w:rPr>
          <w:rFonts w:ascii="Arial" w:eastAsia="Arial" w:hAnsi="Arial" w:cs="Arial"/>
        </w:rPr>
        <w:t xml:space="preserve">2.22 </w:t>
      </w:r>
      <w:r>
        <w:rPr>
          <w:rFonts w:ascii="Arial" w:eastAsia="Arial" w:hAnsi="Arial" w:cs="Arial"/>
        </w:rPr>
        <w:tab/>
        <w:t>I</w:t>
      </w:r>
      <w:r>
        <w:rPr>
          <w:rFonts w:ascii="Arial" w:eastAsia="Arial" w:hAnsi="Arial" w:cs="Arial"/>
        </w:rPr>
        <w:t xml:space="preserve">n the 18th Congress, thirty-three (33) HRs were filed in relation to attacks against women human rights </w:t>
      </w:r>
      <w:proofErr w:type="gramStart"/>
      <w:r>
        <w:rPr>
          <w:rFonts w:ascii="Arial" w:eastAsia="Arial" w:hAnsi="Arial" w:cs="Arial"/>
        </w:rPr>
        <w:t>defenders</w:t>
      </w:r>
      <w:proofErr w:type="gramEnd"/>
      <w:r>
        <w:rPr>
          <w:rFonts w:ascii="Arial" w:eastAsia="Arial" w:hAnsi="Arial" w:cs="Arial"/>
        </w:rPr>
        <w:t xml:space="preserve"> activists.</w:t>
      </w:r>
    </w:p>
    <w:p w:rsidR="008726B6" w:rsidRDefault="008726B6">
      <w:pPr>
        <w:spacing w:after="120" w:line="240" w:lineRule="auto"/>
        <w:ind w:right="95"/>
        <w:jc w:val="both"/>
        <w:rPr>
          <w:rFonts w:ascii="Arial" w:eastAsia="Arial" w:hAnsi="Arial" w:cs="Arial"/>
        </w:rPr>
      </w:pPr>
    </w:p>
    <w:p w:rsidR="008726B6" w:rsidRDefault="00DA1413">
      <w:pPr>
        <w:spacing w:after="120" w:line="240" w:lineRule="auto"/>
        <w:ind w:right="95" w:firstLine="720"/>
        <w:jc w:val="both"/>
        <w:rPr>
          <w:rFonts w:ascii="Arial" w:eastAsia="Arial" w:hAnsi="Arial" w:cs="Arial"/>
        </w:rPr>
      </w:pPr>
      <w:r>
        <w:rPr>
          <w:rFonts w:ascii="Arial" w:eastAsia="Arial" w:hAnsi="Arial" w:cs="Arial"/>
        </w:rPr>
        <w:t xml:space="preserve">2.23 </w:t>
      </w:r>
      <w:r>
        <w:rPr>
          <w:rFonts w:ascii="Arial" w:eastAsia="Arial" w:hAnsi="Arial" w:cs="Arial"/>
        </w:rPr>
        <w:tab/>
        <w:t>On March 9, 2020, GWP filed an HR seeking probe into the vilification, red-tagging, and harassment of GWP members by the Dep</w:t>
      </w:r>
      <w:r>
        <w:rPr>
          <w:rFonts w:ascii="Arial" w:eastAsia="Arial" w:hAnsi="Arial" w:cs="Arial"/>
        </w:rPr>
        <w:t xml:space="preserve">artment of Interior and Local Government (DILG), PNP, and AFP. Several women's rights activists were repeatedly harassed and red-tagged for their participation in protest actions. </w:t>
      </w:r>
    </w:p>
    <w:p w:rsidR="008726B6" w:rsidRDefault="008726B6">
      <w:pPr>
        <w:spacing w:after="120" w:line="240" w:lineRule="auto"/>
        <w:ind w:right="95"/>
        <w:jc w:val="both"/>
        <w:rPr>
          <w:rFonts w:ascii="Arial" w:eastAsia="Arial" w:hAnsi="Arial" w:cs="Arial"/>
        </w:rPr>
      </w:pPr>
    </w:p>
    <w:p w:rsidR="008726B6" w:rsidRDefault="00DA1413">
      <w:pPr>
        <w:spacing w:after="120" w:line="240" w:lineRule="auto"/>
        <w:ind w:right="95" w:firstLine="720"/>
        <w:jc w:val="both"/>
        <w:rPr>
          <w:rFonts w:ascii="Arial" w:eastAsia="Arial" w:hAnsi="Arial" w:cs="Arial"/>
        </w:rPr>
      </w:pPr>
      <w:r>
        <w:rPr>
          <w:rFonts w:ascii="Arial" w:eastAsia="Arial" w:hAnsi="Arial" w:cs="Arial"/>
        </w:rPr>
        <w:t xml:space="preserve">2.24 </w:t>
      </w:r>
      <w:r>
        <w:rPr>
          <w:rFonts w:ascii="Arial" w:eastAsia="Arial" w:hAnsi="Arial" w:cs="Arial"/>
        </w:rPr>
        <w:tab/>
      </w:r>
      <w:r>
        <w:rPr>
          <w:rFonts w:ascii="Arial" w:eastAsia="Arial" w:hAnsi="Arial" w:cs="Arial"/>
        </w:rPr>
        <w:t>As of March 2021, there were more than three hundred (300) farmers that have been brutally killed by State-perpetrated attacks including forty-two (42) peasant women. Out of eighty (80) peasant women political prisoners, sixty-three (63) were imprisoned an</w:t>
      </w:r>
      <w:r>
        <w:rPr>
          <w:rFonts w:ascii="Arial" w:eastAsia="Arial" w:hAnsi="Arial" w:cs="Arial"/>
        </w:rPr>
        <w:t>d charged with trumped up charges</w:t>
      </w:r>
      <w:r>
        <w:rPr>
          <w:rFonts w:ascii="Arial" w:eastAsia="Arial" w:hAnsi="Arial" w:cs="Arial"/>
          <w:vertAlign w:val="superscript"/>
        </w:rPr>
        <w:footnoteReference w:id="27"/>
      </w:r>
      <w:r>
        <w:rPr>
          <w:rFonts w:ascii="Arial" w:eastAsia="Arial" w:hAnsi="Arial" w:cs="Arial"/>
        </w:rPr>
        <w:t xml:space="preserve"> Peasant political prisoners were denied proper medical attention causing worsened health conditions and death.</w:t>
      </w:r>
      <w:r>
        <w:rPr>
          <w:rFonts w:ascii="Arial" w:eastAsia="Arial" w:hAnsi="Arial" w:cs="Arial"/>
          <w:vertAlign w:val="superscript"/>
        </w:rPr>
        <w:footnoteReference w:id="28"/>
      </w:r>
      <w:r>
        <w:rPr>
          <w:rFonts w:ascii="Arial" w:eastAsia="Arial" w:hAnsi="Arial" w:cs="Arial"/>
        </w:rPr>
        <w:t xml:space="preserve"> GWP filed HR 1812 to address these cases. </w:t>
      </w:r>
    </w:p>
    <w:p w:rsidR="008726B6" w:rsidRDefault="008726B6">
      <w:pPr>
        <w:spacing w:after="120" w:line="240" w:lineRule="auto"/>
        <w:ind w:right="95"/>
        <w:jc w:val="both"/>
        <w:rPr>
          <w:rFonts w:ascii="Arial" w:eastAsia="Arial" w:hAnsi="Arial" w:cs="Arial"/>
        </w:rPr>
      </w:pPr>
    </w:p>
    <w:p w:rsidR="008726B6" w:rsidRDefault="00DA1413">
      <w:pPr>
        <w:spacing w:after="120" w:line="240" w:lineRule="auto"/>
        <w:ind w:right="95" w:firstLine="720"/>
        <w:jc w:val="both"/>
        <w:rPr>
          <w:rFonts w:ascii="Arial" w:eastAsia="Arial" w:hAnsi="Arial" w:cs="Arial"/>
        </w:rPr>
      </w:pPr>
      <w:r>
        <w:rPr>
          <w:rFonts w:ascii="Arial" w:eastAsia="Arial" w:hAnsi="Arial" w:cs="Arial"/>
        </w:rPr>
        <w:t>2.25</w:t>
      </w:r>
      <w:r>
        <w:rPr>
          <w:rFonts w:ascii="Arial" w:eastAsia="Arial" w:hAnsi="Arial" w:cs="Arial"/>
        </w:rPr>
        <w:tab/>
        <w:t xml:space="preserve">HR 1969 seeks to investigate the several police-perpetrated </w:t>
      </w:r>
      <w:r>
        <w:rPr>
          <w:rFonts w:ascii="Arial" w:eastAsia="Arial" w:hAnsi="Arial" w:cs="Arial"/>
        </w:rPr>
        <w:t>violence against women and children in the country. Among the cited instances in the resolution were verbal abuse, physical abuse, and worse, killing women and children. These cases have risen during the pandemic and have always used the "</w:t>
      </w:r>
      <w:proofErr w:type="spellStart"/>
      <w:r>
        <w:rPr>
          <w:rFonts w:ascii="Arial" w:eastAsia="Arial" w:hAnsi="Arial" w:cs="Arial"/>
        </w:rPr>
        <w:t>nanlaban</w:t>
      </w:r>
      <w:proofErr w:type="spellEnd"/>
      <w:r>
        <w:rPr>
          <w:rFonts w:ascii="Arial" w:eastAsia="Arial" w:hAnsi="Arial" w:cs="Arial"/>
        </w:rPr>
        <w:t>" narrati</w:t>
      </w:r>
      <w:r>
        <w:rPr>
          <w:rFonts w:ascii="Arial" w:eastAsia="Arial" w:hAnsi="Arial" w:cs="Arial"/>
        </w:rPr>
        <w:t>ve to defend the war on drugs and justify their killings resulting to violence and abuse of power.</w:t>
      </w:r>
    </w:p>
    <w:p w:rsidR="008726B6" w:rsidRDefault="008726B6">
      <w:pPr>
        <w:spacing w:after="120" w:line="240" w:lineRule="auto"/>
        <w:ind w:right="95"/>
        <w:jc w:val="both"/>
        <w:rPr>
          <w:rFonts w:ascii="Arial" w:eastAsia="Arial" w:hAnsi="Arial" w:cs="Arial"/>
        </w:rPr>
      </w:pPr>
    </w:p>
    <w:p w:rsidR="008726B6" w:rsidRDefault="00DA1413">
      <w:pPr>
        <w:spacing w:after="120" w:line="240" w:lineRule="auto"/>
        <w:ind w:right="95" w:firstLine="720"/>
        <w:jc w:val="both"/>
        <w:rPr>
          <w:rFonts w:ascii="Arial" w:eastAsia="Arial" w:hAnsi="Arial" w:cs="Arial"/>
        </w:rPr>
      </w:pPr>
      <w:r>
        <w:rPr>
          <w:rFonts w:ascii="Arial" w:eastAsia="Arial" w:hAnsi="Arial" w:cs="Arial"/>
        </w:rPr>
        <w:t xml:space="preserve">2.26 </w:t>
      </w:r>
      <w:r>
        <w:rPr>
          <w:rFonts w:ascii="Arial" w:eastAsia="Arial" w:hAnsi="Arial" w:cs="Arial"/>
        </w:rPr>
        <w:tab/>
        <w:t>On January 21, 2022, during a press conference, 15-year-old "Belle"</w:t>
      </w:r>
      <w:r>
        <w:rPr>
          <w:rFonts w:ascii="Arial" w:eastAsia="Arial" w:hAnsi="Arial" w:cs="Arial"/>
          <w:vertAlign w:val="superscript"/>
        </w:rPr>
        <w:footnoteReference w:id="29"/>
      </w:r>
      <w:r>
        <w:rPr>
          <w:rFonts w:ascii="Arial" w:eastAsia="Arial" w:hAnsi="Arial" w:cs="Arial"/>
        </w:rPr>
        <w:t xml:space="preserve"> shared that she was abducted by a white van on July 27, 2020 by the 59th Infantry</w:t>
      </w:r>
      <w:r>
        <w:rPr>
          <w:rFonts w:ascii="Arial" w:eastAsia="Arial" w:hAnsi="Arial" w:cs="Arial"/>
        </w:rPr>
        <w:t xml:space="preserve"> Brigade of the Philippine Army. She was raped, tortured, interrogated, red-tagged, and threatened by soldiers and members of CAFGU. She also reported that seven armed soldiers forced her and her parents to surrender as insurgents while she was in custody </w:t>
      </w:r>
      <w:r>
        <w:rPr>
          <w:rFonts w:ascii="Arial" w:eastAsia="Arial" w:hAnsi="Arial" w:cs="Arial"/>
        </w:rPr>
        <w:t>of the military. Even after she was released, she still experienced continued harassment.</w:t>
      </w:r>
    </w:p>
    <w:p w:rsidR="008726B6" w:rsidRDefault="008726B6">
      <w:pPr>
        <w:spacing w:after="120" w:line="240" w:lineRule="auto"/>
        <w:ind w:right="95"/>
        <w:jc w:val="both"/>
        <w:rPr>
          <w:rFonts w:ascii="Arial" w:eastAsia="Arial" w:hAnsi="Arial" w:cs="Arial"/>
        </w:rPr>
      </w:pPr>
    </w:p>
    <w:p w:rsidR="008726B6" w:rsidRDefault="00DA1413">
      <w:pPr>
        <w:spacing w:after="120" w:line="240" w:lineRule="auto"/>
        <w:ind w:right="95" w:firstLine="720"/>
        <w:jc w:val="both"/>
        <w:rPr>
          <w:rFonts w:ascii="Arial" w:eastAsia="Arial" w:hAnsi="Arial" w:cs="Arial"/>
        </w:rPr>
      </w:pPr>
      <w:r>
        <w:rPr>
          <w:rFonts w:ascii="Arial" w:eastAsia="Arial" w:hAnsi="Arial" w:cs="Arial"/>
        </w:rPr>
        <w:t xml:space="preserve">2.27 </w:t>
      </w:r>
      <w:r>
        <w:rPr>
          <w:rFonts w:ascii="Arial" w:eastAsia="Arial" w:hAnsi="Arial" w:cs="Arial"/>
        </w:rPr>
        <w:tab/>
        <w:t xml:space="preserve">All resolutions that have been filed to investigate the </w:t>
      </w:r>
      <w:proofErr w:type="gramStart"/>
      <w:r>
        <w:rPr>
          <w:rFonts w:ascii="Arial" w:eastAsia="Arial" w:hAnsi="Arial" w:cs="Arial"/>
        </w:rPr>
        <w:t>aforementioned State-perpetrated</w:t>
      </w:r>
      <w:proofErr w:type="gramEnd"/>
      <w:r>
        <w:rPr>
          <w:rFonts w:ascii="Arial" w:eastAsia="Arial" w:hAnsi="Arial" w:cs="Arial"/>
        </w:rPr>
        <w:t xml:space="preserve"> attacks and violence committed against women human rights defenders ha</w:t>
      </w:r>
      <w:r>
        <w:rPr>
          <w:rFonts w:ascii="Arial" w:eastAsia="Arial" w:hAnsi="Arial" w:cs="Arial"/>
        </w:rPr>
        <w:t xml:space="preserve">ve been left gathering dust at the HOR. Non-deliberation of these important issues denies </w:t>
      </w:r>
      <w:r>
        <w:rPr>
          <w:rFonts w:ascii="Arial" w:eastAsia="Arial" w:hAnsi="Arial" w:cs="Arial"/>
        </w:rPr>
        <w:lastRenderedPageBreak/>
        <w:t xml:space="preserve">opportunities for the crafting of more responsive and effective legislation that will protect human rights defenders in general. </w:t>
      </w:r>
    </w:p>
    <w:p w:rsidR="00D03B7F" w:rsidRDefault="00D03B7F">
      <w:pPr>
        <w:spacing w:after="120" w:line="240" w:lineRule="auto"/>
        <w:ind w:right="95" w:firstLine="720"/>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DA1413">
      <w:pPr>
        <w:numPr>
          <w:ilvl w:val="0"/>
          <w:numId w:val="1"/>
        </w:numPr>
        <w:pBdr>
          <w:top w:val="nil"/>
          <w:left w:val="nil"/>
          <w:bottom w:val="nil"/>
          <w:right w:val="nil"/>
          <w:between w:val="nil"/>
        </w:pBdr>
        <w:spacing w:after="120" w:line="240" w:lineRule="auto"/>
        <w:ind w:right="95"/>
        <w:jc w:val="both"/>
        <w:rPr>
          <w:rFonts w:ascii="Arial" w:eastAsia="Arial" w:hAnsi="Arial" w:cs="Arial"/>
          <w:b/>
          <w:color w:val="000000"/>
        </w:rPr>
      </w:pPr>
      <w:r>
        <w:rPr>
          <w:rFonts w:ascii="Arial" w:eastAsia="Arial" w:hAnsi="Arial" w:cs="Arial"/>
          <w:b/>
          <w:color w:val="000000"/>
        </w:rPr>
        <w:t>Participation in Political and Public Life</w:t>
      </w:r>
    </w:p>
    <w:p w:rsidR="00D03B7F" w:rsidRDefault="00D03B7F" w:rsidP="00D03B7F">
      <w:pPr>
        <w:pBdr>
          <w:top w:val="nil"/>
          <w:left w:val="nil"/>
          <w:bottom w:val="nil"/>
          <w:right w:val="nil"/>
          <w:between w:val="nil"/>
        </w:pBdr>
        <w:spacing w:after="120" w:line="240" w:lineRule="auto"/>
        <w:ind w:left="1080" w:right="95"/>
        <w:jc w:val="both"/>
        <w:rPr>
          <w:rFonts w:ascii="Arial" w:eastAsia="Arial" w:hAnsi="Arial" w:cs="Arial"/>
          <w:b/>
          <w:color w:val="000000"/>
        </w:rPr>
      </w:pPr>
    </w:p>
    <w:p w:rsidR="008726B6" w:rsidRDefault="00872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3.1</w:t>
      </w:r>
      <w:r>
        <w:rPr>
          <w:rFonts w:ascii="Arial" w:eastAsia="Arial" w:hAnsi="Arial" w:cs="Arial"/>
        </w:rPr>
        <w:tab/>
      </w:r>
      <w:r>
        <w:rPr>
          <w:rFonts w:ascii="Arial" w:eastAsia="Arial" w:hAnsi="Arial" w:cs="Arial"/>
        </w:rPr>
        <w:t xml:space="preserve">GWP has participated in the </w:t>
      </w:r>
      <w:proofErr w:type="spellStart"/>
      <w:r>
        <w:rPr>
          <w:rFonts w:ascii="Arial" w:eastAsia="Arial" w:hAnsi="Arial" w:cs="Arial"/>
        </w:rPr>
        <w:t>partylist</w:t>
      </w:r>
      <w:proofErr w:type="spellEnd"/>
      <w:r>
        <w:rPr>
          <w:rFonts w:ascii="Arial" w:eastAsia="Arial" w:hAnsi="Arial" w:cs="Arial"/>
        </w:rPr>
        <w:t xml:space="preserve"> elections since the 2001 elections. Despite relentless attacks against the women's </w:t>
      </w:r>
      <w:proofErr w:type="spellStart"/>
      <w:r>
        <w:rPr>
          <w:rFonts w:ascii="Arial" w:eastAsia="Arial" w:hAnsi="Arial" w:cs="Arial"/>
        </w:rPr>
        <w:t>partylist</w:t>
      </w:r>
      <w:proofErr w:type="spellEnd"/>
      <w:r>
        <w:rPr>
          <w:rFonts w:ascii="Arial" w:eastAsia="Arial" w:hAnsi="Arial" w:cs="Arial"/>
        </w:rPr>
        <w:t xml:space="preserve"> representation, it has thus far continued to push back and win seats in the elections with a record of seats in the period co</w:t>
      </w:r>
      <w:r>
        <w:rPr>
          <w:rFonts w:ascii="Arial" w:eastAsia="Arial" w:hAnsi="Arial" w:cs="Arial"/>
        </w:rPr>
        <w:t xml:space="preserve">vered: 2016 - two seats; 2019 - one seat; 2022 - one seat. </w:t>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 xml:space="preserve">3.2 </w:t>
      </w:r>
      <w:r>
        <w:rPr>
          <w:rFonts w:ascii="Arial" w:eastAsia="Arial" w:hAnsi="Arial" w:cs="Arial"/>
        </w:rPr>
        <w:tab/>
        <w:t>To raise awareness about the importance of the participation of women in decision-making at all levels, GWP has organized events using its own curriculum, Grassroots Women Advocacy Program a</w:t>
      </w:r>
      <w:r>
        <w:rPr>
          <w:rFonts w:ascii="Arial" w:eastAsia="Arial" w:hAnsi="Arial" w:cs="Arial"/>
        </w:rPr>
        <w:t>nd Action School. Discussions include the Magna Carta of Women and all other laws and bills concerning the rights and welfare of the Filipino women and the people at large.</w:t>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3.3</w:t>
      </w:r>
      <w:r>
        <w:rPr>
          <w:rFonts w:ascii="Arial" w:eastAsia="Arial" w:hAnsi="Arial" w:cs="Arial"/>
        </w:rPr>
        <w:tab/>
        <w:t>On the situation of women politicians in the Philippines, those belonging to G</w:t>
      </w:r>
      <w:r>
        <w:rPr>
          <w:rFonts w:ascii="Arial" w:eastAsia="Arial" w:hAnsi="Arial" w:cs="Arial"/>
        </w:rPr>
        <w:t>WP and the rest of the minority and the opposition</w:t>
      </w:r>
      <w:r w:rsidR="005B5579">
        <w:rPr>
          <w:rFonts w:ascii="Arial" w:eastAsia="Arial" w:hAnsi="Arial" w:cs="Arial"/>
        </w:rPr>
        <w:t>, including</w:t>
      </w:r>
      <w:r w:rsidR="005B5579">
        <w:rPr>
          <w:rFonts w:ascii="Arial" w:eastAsia="Arial" w:hAnsi="Arial" w:cs="Arial"/>
        </w:rPr>
        <w:t xml:space="preserve"> women Members of Congress</w:t>
      </w:r>
      <w:r w:rsidR="005B5579">
        <w:rPr>
          <w:rFonts w:ascii="Arial" w:eastAsia="Arial" w:hAnsi="Arial" w:cs="Arial"/>
        </w:rPr>
        <w:t>,</w:t>
      </w:r>
      <w:r w:rsidR="005B5579">
        <w:rPr>
          <w:rFonts w:ascii="Arial" w:eastAsia="Arial" w:hAnsi="Arial" w:cs="Arial"/>
          <w:vertAlign w:val="superscript"/>
        </w:rPr>
        <w:footnoteReference w:id="30"/>
      </w:r>
      <w:r>
        <w:rPr>
          <w:rFonts w:ascii="Arial" w:eastAsia="Arial" w:hAnsi="Arial" w:cs="Arial"/>
        </w:rPr>
        <w:t xml:space="preserve"> as well as those outspoken critics of the Duterte administration's war on drugs, have also been deliberately targeted.</w:t>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3.4</w:t>
      </w:r>
      <w:r>
        <w:rPr>
          <w:rFonts w:ascii="Arial" w:eastAsia="Arial" w:hAnsi="Arial" w:cs="Arial"/>
        </w:rPr>
        <w:tab/>
      </w:r>
      <w:r w:rsidR="009B0F84">
        <w:rPr>
          <w:rFonts w:ascii="Arial" w:eastAsia="Arial" w:hAnsi="Arial" w:cs="Arial"/>
        </w:rPr>
        <w:t xml:space="preserve">Members of the </w:t>
      </w:r>
      <w:proofErr w:type="spellStart"/>
      <w:r w:rsidR="009B0F84">
        <w:rPr>
          <w:rFonts w:ascii="Arial" w:eastAsia="Arial" w:hAnsi="Arial" w:cs="Arial"/>
        </w:rPr>
        <w:t>Makabayan</w:t>
      </w:r>
      <w:proofErr w:type="spellEnd"/>
      <w:r>
        <w:rPr>
          <w:rFonts w:ascii="Arial" w:eastAsia="Arial" w:hAnsi="Arial" w:cs="Arial"/>
        </w:rPr>
        <w:t xml:space="preserve"> </w:t>
      </w:r>
      <w:r w:rsidR="009B0F84">
        <w:rPr>
          <w:rFonts w:ascii="Arial" w:eastAsia="Arial" w:hAnsi="Arial" w:cs="Arial"/>
        </w:rPr>
        <w:t xml:space="preserve">Bloc </w:t>
      </w:r>
      <w:r>
        <w:rPr>
          <w:rFonts w:ascii="Arial" w:eastAsia="Arial" w:hAnsi="Arial" w:cs="Arial"/>
        </w:rPr>
        <w:t>have also faced surveillance and state-sponsored disinformation c</w:t>
      </w:r>
      <w:r>
        <w:rPr>
          <w:rFonts w:ascii="Arial" w:eastAsia="Arial" w:hAnsi="Arial" w:cs="Arial"/>
        </w:rPr>
        <w:t>ampaigns.</w:t>
      </w:r>
      <w:r>
        <w:rPr>
          <w:rFonts w:ascii="Arial" w:eastAsia="Arial" w:hAnsi="Arial" w:cs="Arial"/>
          <w:vertAlign w:val="superscript"/>
        </w:rPr>
        <w:footnoteReference w:id="31"/>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3.5</w:t>
      </w:r>
      <w:r>
        <w:rPr>
          <w:rFonts w:ascii="Arial" w:eastAsia="Arial" w:hAnsi="Arial" w:cs="Arial"/>
        </w:rPr>
        <w:tab/>
      </w:r>
      <w:r w:rsidR="009B0F84">
        <w:rPr>
          <w:rFonts w:ascii="Arial" w:eastAsia="Arial" w:hAnsi="Arial" w:cs="Arial"/>
        </w:rPr>
        <w:t xml:space="preserve">Former </w:t>
      </w:r>
      <w:r>
        <w:rPr>
          <w:rFonts w:ascii="Arial" w:eastAsia="Arial" w:hAnsi="Arial" w:cs="Arial"/>
        </w:rPr>
        <w:t>Sen</w:t>
      </w:r>
      <w:r w:rsidR="009B0F84">
        <w:rPr>
          <w:rFonts w:ascii="Arial" w:eastAsia="Arial" w:hAnsi="Arial" w:cs="Arial"/>
        </w:rPr>
        <w:t xml:space="preserve">. </w:t>
      </w:r>
      <w:r>
        <w:rPr>
          <w:rFonts w:ascii="Arial" w:eastAsia="Arial" w:hAnsi="Arial" w:cs="Arial"/>
        </w:rPr>
        <w:t>L</w:t>
      </w:r>
      <w:r w:rsidR="009B0F84">
        <w:rPr>
          <w:rFonts w:ascii="Arial" w:eastAsia="Arial" w:hAnsi="Arial" w:cs="Arial"/>
        </w:rPr>
        <w:t>. D. L.</w:t>
      </w:r>
      <w:r>
        <w:rPr>
          <w:rFonts w:ascii="Arial" w:eastAsia="Arial" w:hAnsi="Arial" w:cs="Arial"/>
        </w:rPr>
        <w:t xml:space="preserve"> has been imprisoned for over six (6) years on falsified drug charges despite calls for her immediate and unconditional release.</w:t>
      </w:r>
      <w:r>
        <w:rPr>
          <w:rFonts w:ascii="Arial" w:eastAsia="Arial" w:hAnsi="Arial" w:cs="Arial"/>
          <w:vertAlign w:val="superscript"/>
        </w:rPr>
        <w:footnoteReference w:id="32"/>
      </w:r>
    </w:p>
    <w:p w:rsidR="008726B6" w:rsidRDefault="008726B6" w:rsidP="009B0F84">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 xml:space="preserve">3.6 </w:t>
      </w:r>
      <w:r>
        <w:rPr>
          <w:rFonts w:ascii="Arial" w:eastAsia="Arial" w:hAnsi="Arial" w:cs="Arial"/>
        </w:rPr>
        <w:tab/>
        <w:t>Opposition members of Congress are also the targets of online and offline intimidat</w:t>
      </w:r>
      <w:r>
        <w:rPr>
          <w:rFonts w:ascii="Arial" w:eastAsia="Arial" w:hAnsi="Arial" w:cs="Arial"/>
        </w:rPr>
        <w:t>ion, including "red-tagging" or being labeled as Communists or Communist sympathizers and being portrayed as threats to national security to legitimize crackdown against them.</w:t>
      </w:r>
      <w:r>
        <w:rPr>
          <w:rFonts w:ascii="Arial" w:eastAsia="Arial" w:hAnsi="Arial" w:cs="Arial"/>
          <w:vertAlign w:val="superscript"/>
        </w:rPr>
        <w:footnoteReference w:id="33"/>
      </w:r>
    </w:p>
    <w:p w:rsidR="00D03B7F" w:rsidRDefault="00D03B7F">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 xml:space="preserve">3.7 </w:t>
      </w:r>
      <w:r>
        <w:rPr>
          <w:rFonts w:ascii="Arial" w:eastAsia="Arial" w:hAnsi="Arial" w:cs="Arial"/>
        </w:rPr>
        <w:tab/>
        <w:t>Women members of Congress, especially those belonging to the opposition, a</w:t>
      </w:r>
      <w:r>
        <w:rPr>
          <w:rFonts w:ascii="Arial" w:eastAsia="Arial" w:hAnsi="Arial" w:cs="Arial"/>
        </w:rPr>
        <w:t>lso receive misogynistic threats and harassment aimed at both intimidating and discrediting them.</w:t>
      </w:r>
      <w:r>
        <w:rPr>
          <w:rFonts w:ascii="Arial" w:eastAsia="Arial" w:hAnsi="Arial" w:cs="Arial"/>
          <w:vertAlign w:val="superscript"/>
        </w:rPr>
        <w:footnoteReference w:id="34"/>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3.8</w:t>
      </w:r>
      <w:r>
        <w:rPr>
          <w:rFonts w:ascii="Arial" w:eastAsia="Arial" w:hAnsi="Arial" w:cs="Arial"/>
        </w:rPr>
        <w:tab/>
        <w:t>Days before the 2019 elections, the government’s NTF-ELCAC filed a petition to cancel the registration of GWP before the Commission on Elections (Comele</w:t>
      </w:r>
      <w:r>
        <w:rPr>
          <w:rFonts w:ascii="Arial" w:eastAsia="Arial" w:hAnsi="Arial" w:cs="Arial"/>
        </w:rPr>
        <w:t xml:space="preserve">c) based on false and fabricated charges of allegedly receiving foreign funding and of allegedly supporting the armed struggle in the countryside. GWP views this as a dangerous move that would effectively remove women representation in the </w:t>
      </w:r>
      <w:proofErr w:type="spellStart"/>
      <w:r>
        <w:rPr>
          <w:rFonts w:ascii="Arial" w:eastAsia="Arial" w:hAnsi="Arial" w:cs="Arial"/>
        </w:rPr>
        <w:t>partylist</w:t>
      </w:r>
      <w:proofErr w:type="spellEnd"/>
      <w:r>
        <w:rPr>
          <w:rFonts w:ascii="Arial" w:eastAsia="Arial" w:hAnsi="Arial" w:cs="Arial"/>
        </w:rPr>
        <w:t xml:space="preserve"> system</w:t>
      </w:r>
      <w:r>
        <w:rPr>
          <w:rFonts w:ascii="Arial" w:eastAsia="Arial" w:hAnsi="Arial" w:cs="Arial"/>
        </w:rPr>
        <w:t xml:space="preserve"> in the halls of Congress</w:t>
      </w:r>
      <w:r w:rsidR="009B0F84">
        <w:rPr>
          <w:rFonts w:ascii="Arial" w:eastAsia="Arial" w:hAnsi="Arial" w:cs="Arial"/>
        </w:rPr>
        <w:t>. It</w:t>
      </w:r>
      <w:r>
        <w:rPr>
          <w:rFonts w:ascii="Arial" w:eastAsia="Arial" w:hAnsi="Arial" w:cs="Arial"/>
        </w:rPr>
        <w:t xml:space="preserve"> would</w:t>
      </w:r>
      <w:r w:rsidR="009B0F84">
        <w:rPr>
          <w:rFonts w:ascii="Arial" w:eastAsia="Arial" w:hAnsi="Arial" w:cs="Arial"/>
        </w:rPr>
        <w:t xml:space="preserve"> also</w:t>
      </w:r>
      <w:r>
        <w:rPr>
          <w:rFonts w:ascii="Arial" w:eastAsia="Arial" w:hAnsi="Arial" w:cs="Arial"/>
        </w:rPr>
        <w:t xml:space="preserve"> have grave political repercussions on women rights defenders and women advocates.</w:t>
      </w:r>
      <w:r>
        <w:rPr>
          <w:rFonts w:ascii="Arial" w:eastAsia="Arial" w:hAnsi="Arial" w:cs="Arial"/>
          <w:vertAlign w:val="superscript"/>
        </w:rPr>
        <w:footnoteReference w:id="35"/>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 xml:space="preserve">3.9 </w:t>
      </w:r>
      <w:r>
        <w:rPr>
          <w:rFonts w:ascii="Arial" w:eastAsia="Arial" w:hAnsi="Arial" w:cs="Arial"/>
        </w:rPr>
        <w:tab/>
        <w:t>Efforts to protect women politicians and human rights defenders include the consistent filing and campaigning for the bill promoti</w:t>
      </w:r>
      <w:r>
        <w:rPr>
          <w:rFonts w:ascii="Arial" w:eastAsia="Arial" w:hAnsi="Arial" w:cs="Arial"/>
        </w:rPr>
        <w:t>ng the rights of human rights defenders.</w:t>
      </w:r>
      <w:r>
        <w:rPr>
          <w:rFonts w:ascii="Arial" w:eastAsia="Arial" w:hAnsi="Arial" w:cs="Arial"/>
          <w:vertAlign w:val="superscript"/>
        </w:rPr>
        <w:footnoteReference w:id="36"/>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3.10 GWP has participated in campaigns to stop the attacks and end the political persecution of women politicians and human rights defenders through the “Free Our Sisters, Free Ourselves”</w:t>
      </w:r>
      <w:r>
        <w:rPr>
          <w:rFonts w:ascii="Arial" w:eastAsia="Arial" w:hAnsi="Arial" w:cs="Arial"/>
          <w:vertAlign w:val="superscript"/>
        </w:rPr>
        <w:footnoteReference w:id="37"/>
      </w:r>
      <w:r>
        <w:rPr>
          <w:rFonts w:ascii="Arial" w:eastAsia="Arial" w:hAnsi="Arial" w:cs="Arial"/>
        </w:rPr>
        <w:t xml:space="preserve"> and “Defend Filipino Wom</w:t>
      </w:r>
      <w:r>
        <w:rPr>
          <w:rFonts w:ascii="Arial" w:eastAsia="Arial" w:hAnsi="Arial" w:cs="Arial"/>
        </w:rPr>
        <w:t>en”</w:t>
      </w:r>
      <w:r>
        <w:rPr>
          <w:rFonts w:ascii="Arial" w:eastAsia="Arial" w:hAnsi="Arial" w:cs="Arial"/>
          <w:vertAlign w:val="superscript"/>
        </w:rPr>
        <w:footnoteReference w:id="38"/>
      </w:r>
      <w:r>
        <w:rPr>
          <w:rFonts w:ascii="Arial" w:eastAsia="Arial" w:hAnsi="Arial" w:cs="Arial"/>
        </w:rPr>
        <w:t xml:space="preserve"> campaigns. </w:t>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 xml:space="preserve">3.11 </w:t>
      </w:r>
      <w:r>
        <w:rPr>
          <w:rFonts w:ascii="Arial" w:eastAsia="Arial" w:hAnsi="Arial" w:cs="Arial"/>
        </w:rPr>
        <w:t>Rep. E</w:t>
      </w:r>
      <w:r w:rsidR="00D03B7F">
        <w:rPr>
          <w:rFonts w:ascii="Arial" w:eastAsia="Arial" w:hAnsi="Arial" w:cs="Arial"/>
        </w:rPr>
        <w:t>.</w:t>
      </w:r>
      <w:r>
        <w:rPr>
          <w:rFonts w:ascii="Arial" w:eastAsia="Arial" w:hAnsi="Arial" w:cs="Arial"/>
        </w:rPr>
        <w:t xml:space="preserve"> filed a complaint before the Office of the Ombudsman against six officials over red-tagging.</w:t>
      </w:r>
      <w:r>
        <w:rPr>
          <w:rFonts w:ascii="Arial" w:eastAsia="Arial" w:hAnsi="Arial" w:cs="Arial"/>
          <w:vertAlign w:val="superscript"/>
        </w:rPr>
        <w:footnoteReference w:id="39"/>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firstLine="720"/>
        <w:jc w:val="both"/>
        <w:rPr>
          <w:rFonts w:ascii="Arial" w:eastAsia="Arial" w:hAnsi="Arial" w:cs="Arial"/>
        </w:rPr>
      </w:pPr>
      <w:r>
        <w:rPr>
          <w:rFonts w:ascii="Arial" w:eastAsia="Arial" w:hAnsi="Arial" w:cs="Arial"/>
        </w:rPr>
        <w:t>3.12</w:t>
      </w:r>
      <w:r>
        <w:rPr>
          <w:rFonts w:ascii="Arial" w:eastAsia="Arial" w:hAnsi="Arial" w:cs="Arial"/>
        </w:rPr>
        <w:tab/>
        <w:t>Rep. C</w:t>
      </w:r>
      <w:r w:rsidR="00D03B7F">
        <w:rPr>
          <w:rFonts w:ascii="Arial" w:eastAsia="Arial" w:hAnsi="Arial" w:cs="Arial"/>
        </w:rPr>
        <w:t>.</w:t>
      </w:r>
      <w:r>
        <w:rPr>
          <w:rFonts w:ascii="Arial" w:eastAsia="Arial" w:hAnsi="Arial" w:cs="Arial"/>
        </w:rPr>
        <w:t xml:space="preserve"> and former Rep. E</w:t>
      </w:r>
      <w:r w:rsidR="00D03B7F">
        <w:rPr>
          <w:rFonts w:ascii="Arial" w:eastAsia="Arial" w:hAnsi="Arial" w:cs="Arial"/>
        </w:rPr>
        <w:t>.</w:t>
      </w:r>
      <w:r>
        <w:rPr>
          <w:rFonts w:ascii="Arial" w:eastAsia="Arial" w:hAnsi="Arial" w:cs="Arial"/>
          <w:vertAlign w:val="superscript"/>
        </w:rPr>
        <w:footnoteReference w:id="40"/>
      </w:r>
      <w:r>
        <w:rPr>
          <w:rFonts w:ascii="Arial" w:eastAsia="Arial" w:hAnsi="Arial" w:cs="Arial"/>
        </w:rPr>
        <w:t xml:space="preserve"> have brought their cases of human rights violations against members of Congress before the Inter-Parliamentary Union.</w:t>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rPr>
      </w:pPr>
    </w:p>
    <w:p w:rsidR="00D03B7F" w:rsidRDefault="00D03B7F">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b/>
        </w:rPr>
      </w:pPr>
    </w:p>
    <w:p w:rsidR="005B5579" w:rsidRDefault="005B5579">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b/>
        </w:rPr>
      </w:pPr>
    </w:p>
    <w:p w:rsidR="005B5579" w:rsidRDefault="005B5579">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b/>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b/>
        </w:rPr>
      </w:pPr>
      <w:r>
        <w:rPr>
          <w:rFonts w:ascii="Arial" w:eastAsia="Arial" w:hAnsi="Arial" w:cs="Arial"/>
          <w:b/>
        </w:rPr>
        <w:t>Conclusion</w:t>
      </w:r>
    </w:p>
    <w:p w:rsidR="008726B6" w:rsidRDefault="008726B6">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b/>
        </w:rPr>
      </w:pPr>
    </w:p>
    <w:p w:rsidR="00D03B7F" w:rsidRDefault="00D03B7F">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b/>
        </w:rPr>
      </w:pPr>
    </w:p>
    <w:p w:rsidR="008726B6" w:rsidRDefault="00DA1413">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rPr>
      </w:pPr>
      <w:r>
        <w:rPr>
          <w:rFonts w:ascii="Arial" w:eastAsia="Arial" w:hAnsi="Arial" w:cs="Arial"/>
        </w:rPr>
        <w:t>While i</w:t>
      </w:r>
      <w:r>
        <w:rPr>
          <w:rFonts w:ascii="Arial" w:eastAsia="Arial" w:hAnsi="Arial" w:cs="Arial"/>
        </w:rPr>
        <w:t xml:space="preserve">mportant legislative measures addressing discrimination and gender-based violence were signed into law in the period covered, </w:t>
      </w:r>
      <w:proofErr w:type="gramStart"/>
      <w:r>
        <w:rPr>
          <w:rFonts w:ascii="Arial" w:eastAsia="Arial" w:hAnsi="Arial" w:cs="Arial"/>
        </w:rPr>
        <w:t>a number of</w:t>
      </w:r>
      <w:proofErr w:type="gramEnd"/>
      <w:r>
        <w:rPr>
          <w:rFonts w:ascii="Arial" w:eastAsia="Arial" w:hAnsi="Arial" w:cs="Arial"/>
        </w:rPr>
        <w:t xml:space="preserve"> existing laws and policies remain incongruent with the Magna Carta of Women and the CEDAW for being archaic and outrig</w:t>
      </w:r>
      <w:r>
        <w:rPr>
          <w:rFonts w:ascii="Arial" w:eastAsia="Arial" w:hAnsi="Arial" w:cs="Arial"/>
        </w:rPr>
        <w:t>ht discriminatory. Bills seeking the repeal or amendments of such discriminatory laws have yet to make any advance in Congress. Resolutions seeking parliamentary inquiries on discrimination and violence against women, as well as on State-perpetrated attack</w:t>
      </w:r>
      <w:r>
        <w:rPr>
          <w:rFonts w:ascii="Arial" w:eastAsia="Arial" w:hAnsi="Arial" w:cs="Arial"/>
        </w:rPr>
        <w:t>s on women human rights defenders, have not made any headway at all. Worse, the space for political participation of women have substantially shrunk under the Duterte administration owing to unbridled State-backed attacks on women parliamentarians and thei</w:t>
      </w:r>
      <w:r>
        <w:rPr>
          <w:rFonts w:ascii="Arial" w:eastAsia="Arial" w:hAnsi="Arial" w:cs="Arial"/>
        </w:rPr>
        <w:t>r supporters through lawfare, as well as red-tagging and vilification operations both offline and online. These lawmakers are ironically the ones championing key gender equality measures. More than 40 years since the Philippines’ signing and ratification o</w:t>
      </w:r>
      <w:r>
        <w:rPr>
          <w:rFonts w:ascii="Arial" w:eastAsia="Arial" w:hAnsi="Arial" w:cs="Arial"/>
        </w:rPr>
        <w:t xml:space="preserve">f CEDAW, these troubling developments and congressional inaction on relevant measures constitute a major </w:t>
      </w:r>
      <w:proofErr w:type="spellStart"/>
      <w:r>
        <w:rPr>
          <w:rFonts w:ascii="Arial" w:eastAsia="Arial" w:hAnsi="Arial" w:cs="Arial"/>
        </w:rPr>
        <w:t>stepback</w:t>
      </w:r>
      <w:proofErr w:type="spellEnd"/>
      <w:r>
        <w:rPr>
          <w:rFonts w:ascii="Arial" w:eastAsia="Arial" w:hAnsi="Arial" w:cs="Arial"/>
        </w:rPr>
        <w:t xml:space="preserve">, hence must be addressed decisively.   </w:t>
      </w:r>
    </w:p>
    <w:p w:rsidR="00D03B7F" w:rsidRDefault="00D03B7F">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rPr>
      </w:pPr>
    </w:p>
    <w:p w:rsidR="00D03B7F" w:rsidRDefault="00D03B7F">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rPr>
      </w:pPr>
    </w:p>
    <w:p w:rsidR="008726B6" w:rsidRDefault="008726B6">
      <w:pPr>
        <w:pBdr>
          <w:bottom w:val="single" w:sz="6" w:space="1" w:color="auto"/>
        </w:pBd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b/>
        </w:rPr>
      </w:pPr>
    </w:p>
    <w:p w:rsidR="00D03B7F" w:rsidRDefault="00D03B7F">
      <w:pPr>
        <w:tabs>
          <w:tab w:val="left" w:pos="1440"/>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right="30"/>
        <w:jc w:val="both"/>
        <w:rPr>
          <w:rFonts w:ascii="Arial" w:eastAsia="Arial" w:hAnsi="Arial" w:cs="Arial"/>
        </w:rPr>
      </w:pPr>
    </w:p>
    <w:p w:rsidR="008726B6" w:rsidRDefault="00DA1413">
      <w:pPr>
        <w:spacing w:after="120" w:line="240" w:lineRule="auto"/>
        <w:ind w:right="95"/>
        <w:jc w:val="both"/>
        <w:rPr>
          <w:rFonts w:ascii="Arial" w:eastAsia="Arial" w:hAnsi="Arial" w:cs="Arial"/>
        </w:rPr>
      </w:pPr>
      <w:r>
        <w:rPr>
          <w:rFonts w:ascii="Arial" w:eastAsia="Arial" w:hAnsi="Arial" w:cs="Arial"/>
        </w:rPr>
        <w:t xml:space="preserve">For any questions regarding this submission, please contact Katrina </w:t>
      </w:r>
      <w:proofErr w:type="spellStart"/>
      <w:r>
        <w:rPr>
          <w:rFonts w:ascii="Arial" w:eastAsia="Arial" w:hAnsi="Arial" w:cs="Arial"/>
        </w:rPr>
        <w:t>Mentes</w:t>
      </w:r>
      <w:proofErr w:type="spellEnd"/>
      <w:r>
        <w:rPr>
          <w:rFonts w:ascii="Arial" w:eastAsia="Arial" w:hAnsi="Arial" w:cs="Arial"/>
        </w:rPr>
        <w:t>, GWP Political Affairs Of</w:t>
      </w:r>
      <w:r>
        <w:rPr>
          <w:rFonts w:ascii="Arial" w:eastAsia="Arial" w:hAnsi="Arial" w:cs="Arial"/>
        </w:rPr>
        <w:t xml:space="preserve">ficer III at </w:t>
      </w:r>
      <w:hyperlink r:id="rId10">
        <w:r>
          <w:rPr>
            <w:rFonts w:ascii="Arial" w:eastAsia="Arial" w:hAnsi="Arial" w:cs="Arial"/>
            <w:color w:val="0000FF"/>
            <w:u w:val="single"/>
          </w:rPr>
          <w:t>gabrielawomensparty@gmail.com</w:t>
        </w:r>
      </w:hyperlink>
      <w:r>
        <w:rPr>
          <w:rFonts w:ascii="Arial" w:eastAsia="Arial" w:hAnsi="Arial" w:cs="Arial"/>
        </w:rPr>
        <w:t>.###</w:t>
      </w: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p w:rsidR="008726B6" w:rsidRDefault="008726B6">
      <w:pPr>
        <w:spacing w:after="120" w:line="240" w:lineRule="auto"/>
        <w:ind w:right="95"/>
        <w:jc w:val="both"/>
        <w:rPr>
          <w:rFonts w:ascii="Arial" w:eastAsia="Arial" w:hAnsi="Arial" w:cs="Arial"/>
        </w:rPr>
      </w:pPr>
    </w:p>
    <w:sectPr w:rsidR="008726B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1413" w:rsidRDefault="00DA1413">
      <w:pPr>
        <w:spacing w:after="0" w:line="240" w:lineRule="auto"/>
      </w:pPr>
      <w:r>
        <w:separator/>
      </w:r>
    </w:p>
  </w:endnote>
  <w:endnote w:type="continuationSeparator" w:id="0">
    <w:p w:rsidR="00DA1413" w:rsidRDefault="00DA1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1413" w:rsidRDefault="00DA1413">
      <w:pPr>
        <w:spacing w:after="0" w:line="240" w:lineRule="auto"/>
      </w:pPr>
      <w:r>
        <w:separator/>
      </w:r>
    </w:p>
  </w:footnote>
  <w:footnote w:type="continuationSeparator" w:id="0">
    <w:p w:rsidR="00DA1413" w:rsidRDefault="00DA1413">
      <w:pPr>
        <w:spacing w:after="0" w:line="240" w:lineRule="auto"/>
      </w:pPr>
      <w:r>
        <w:continuationSeparator/>
      </w:r>
    </w:p>
  </w:footnote>
  <w:footnote w:id="1">
    <w:p w:rsidR="008726B6" w:rsidRDefault="00DA1413">
      <w:pPr>
        <w:spacing w:after="0" w:line="240" w:lineRule="auto"/>
        <w:jc w:val="both"/>
        <w:rPr>
          <w:sz w:val="20"/>
          <w:szCs w:val="20"/>
        </w:rPr>
      </w:pPr>
      <w:r>
        <w:rPr>
          <w:vertAlign w:val="superscript"/>
        </w:rPr>
        <w:footnoteRef/>
      </w:r>
      <w:r>
        <w:rPr>
          <w:sz w:val="20"/>
          <w:szCs w:val="20"/>
        </w:rPr>
        <w:t xml:space="preserve">  As defined under RA. 7941 or the Party-list System Act, a sectoral party refers to an organized group of citizens belonging to any of the sectors (labor, peasant, fisherfolk, urban poor, indigenous cultural communities, elderly, handicapped, </w:t>
      </w:r>
      <w:r>
        <w:rPr>
          <w:sz w:val="20"/>
          <w:szCs w:val="20"/>
        </w:rPr>
        <w:t>women, youth, veterans, overseas workers, and professionals) whose principal advocacy pertains to the special interest and concerns of their sector. GWP has been duly elected in the HOR since 2004. During the period covered by the review, it is represented</w:t>
      </w:r>
      <w:r>
        <w:rPr>
          <w:sz w:val="20"/>
          <w:szCs w:val="20"/>
        </w:rPr>
        <w:t xml:space="preserve"> by the Honorable Emmi De Jesus (2016 – 2019) and the Honorable Arlene D. Brosas (2016 – 2022).</w:t>
      </w:r>
    </w:p>
  </w:footnote>
  <w:footnote w:id="2">
    <w:p w:rsidR="008726B6" w:rsidRDefault="00DA1413">
      <w:pPr>
        <w:spacing w:after="0" w:line="240" w:lineRule="auto"/>
        <w:jc w:val="both"/>
        <w:rPr>
          <w:sz w:val="20"/>
          <w:szCs w:val="20"/>
        </w:rPr>
      </w:pPr>
      <w:r>
        <w:rPr>
          <w:vertAlign w:val="superscript"/>
        </w:rPr>
        <w:footnoteRef/>
      </w:r>
      <w:r>
        <w:rPr>
          <w:sz w:val="20"/>
          <w:szCs w:val="20"/>
        </w:rPr>
        <w:t xml:space="preserve">  RA 11313, or An Act Defining Gender-Based Sexual Harassment in Streets, Public Spaces, Online, Workplaces, and Educational or Training Institutions, Providing Protective Measures and Prescribing Penalties Therefor, was signed by then-President Rodrigo Du</w:t>
      </w:r>
      <w:r>
        <w:rPr>
          <w:sz w:val="20"/>
          <w:szCs w:val="20"/>
        </w:rPr>
        <w:t xml:space="preserve">terte on April 17, 2019. </w:t>
      </w:r>
    </w:p>
  </w:footnote>
  <w:footnote w:id="3">
    <w:p w:rsidR="008726B6" w:rsidRDefault="00DA1413">
      <w:pPr>
        <w:spacing w:after="0" w:line="240" w:lineRule="auto"/>
        <w:jc w:val="both"/>
        <w:rPr>
          <w:sz w:val="20"/>
          <w:szCs w:val="20"/>
        </w:rPr>
      </w:pPr>
      <w:r>
        <w:rPr>
          <w:vertAlign w:val="superscript"/>
        </w:rPr>
        <w:footnoteRef/>
      </w:r>
      <w:r>
        <w:rPr>
          <w:sz w:val="20"/>
          <w:szCs w:val="20"/>
        </w:rPr>
        <w:t xml:space="preserve"> RA 11210, or An Act Increasing the Maternity Leave Period to One Hundred Five (105) Days for Female Workers </w:t>
      </w:r>
      <w:proofErr w:type="gramStart"/>
      <w:r>
        <w:rPr>
          <w:sz w:val="20"/>
          <w:szCs w:val="20"/>
        </w:rPr>
        <w:t>With</w:t>
      </w:r>
      <w:proofErr w:type="gramEnd"/>
      <w:r>
        <w:rPr>
          <w:sz w:val="20"/>
          <w:szCs w:val="20"/>
        </w:rPr>
        <w:t xml:space="preserve"> an Option to Extend for an Additional Thirty (30) Days Without Pay, and Granting an Additional Fifteen (15) Days for Solo Mothers, and for Oth</w:t>
      </w:r>
      <w:r>
        <w:rPr>
          <w:sz w:val="20"/>
          <w:szCs w:val="20"/>
        </w:rPr>
        <w:t>er Purposes, was signed by then-President Rodrigo Duterte on February 20, 2019.</w:t>
      </w:r>
    </w:p>
  </w:footnote>
  <w:footnote w:id="4">
    <w:p w:rsidR="008726B6" w:rsidRDefault="00DA1413">
      <w:pPr>
        <w:spacing w:after="0" w:line="240" w:lineRule="auto"/>
        <w:jc w:val="both"/>
        <w:rPr>
          <w:sz w:val="20"/>
          <w:szCs w:val="20"/>
        </w:rPr>
      </w:pPr>
      <w:r>
        <w:rPr>
          <w:vertAlign w:val="superscript"/>
        </w:rPr>
        <w:footnoteRef/>
      </w:r>
      <w:r>
        <w:rPr>
          <w:sz w:val="20"/>
          <w:szCs w:val="20"/>
        </w:rPr>
        <w:t xml:space="preserve">RA 11596, or </w:t>
      </w:r>
      <w:r>
        <w:rPr>
          <w:sz w:val="20"/>
          <w:szCs w:val="20"/>
          <w:highlight w:val="white"/>
        </w:rPr>
        <w:t>An Act Prohibiting the Practice of Child Marriage and Imposing Penalties, was signed by then-Pre</w:t>
      </w:r>
      <w:r>
        <w:rPr>
          <w:sz w:val="20"/>
          <w:szCs w:val="20"/>
          <w:highlight w:val="white"/>
        </w:rPr>
        <w:t>sident Rodrigo Duterte on December 10, 2021.</w:t>
      </w:r>
    </w:p>
  </w:footnote>
  <w:footnote w:id="5">
    <w:p w:rsidR="008726B6" w:rsidRDefault="00DA1413">
      <w:pPr>
        <w:spacing w:after="0" w:line="240" w:lineRule="auto"/>
        <w:jc w:val="both"/>
        <w:rPr>
          <w:sz w:val="20"/>
          <w:szCs w:val="20"/>
        </w:rPr>
      </w:pPr>
      <w:r>
        <w:rPr>
          <w:vertAlign w:val="superscript"/>
        </w:rPr>
        <w:footnoteRef/>
      </w:r>
      <w:r>
        <w:rPr>
          <w:sz w:val="20"/>
          <w:szCs w:val="20"/>
        </w:rPr>
        <w:t xml:space="preserve"> RA 11648, or An Act Promoting for Stronger Protection against Rape and Sexual Exploitation</w:t>
      </w:r>
      <w:r w:rsidR="00346DF5">
        <w:rPr>
          <w:sz w:val="20"/>
          <w:szCs w:val="20"/>
        </w:rPr>
        <w:t xml:space="preserve"> </w:t>
      </w:r>
      <w:r>
        <w:rPr>
          <w:sz w:val="20"/>
          <w:szCs w:val="20"/>
        </w:rPr>
        <w:t>and Abuse</w:t>
      </w:r>
      <w:r>
        <w:rPr>
          <w:sz w:val="20"/>
          <w:szCs w:val="20"/>
        </w:rPr>
        <w:t xml:space="preserve"> Increasing the Age for Determining the Commission of Statutory Rape, </w:t>
      </w:r>
      <w:proofErr w:type="gramStart"/>
      <w:r>
        <w:rPr>
          <w:sz w:val="20"/>
          <w:szCs w:val="20"/>
        </w:rPr>
        <w:t>Amen</w:t>
      </w:r>
      <w:r>
        <w:rPr>
          <w:sz w:val="20"/>
          <w:szCs w:val="20"/>
        </w:rPr>
        <w:t>ding</w:t>
      </w:r>
      <w:proofErr w:type="gramEnd"/>
      <w:r>
        <w:rPr>
          <w:sz w:val="20"/>
          <w:szCs w:val="20"/>
        </w:rPr>
        <w:t xml:space="preserve"> for the Purpose Act No. 3815, as amended, otherwise known as the "Special Protection of Chi</w:t>
      </w:r>
      <w:r w:rsidR="00346DF5">
        <w:rPr>
          <w:sz w:val="20"/>
          <w:szCs w:val="20"/>
        </w:rPr>
        <w:t>ldre</w:t>
      </w:r>
      <w:r>
        <w:rPr>
          <w:sz w:val="20"/>
          <w:szCs w:val="20"/>
        </w:rPr>
        <w:t xml:space="preserve">n Against Abuse, Exploitation and Discrimination Act”, was signed by then-President Rodrigo Duterte on March 4, 2022. </w:t>
      </w:r>
    </w:p>
  </w:footnote>
  <w:footnote w:id="6">
    <w:p w:rsidR="008726B6" w:rsidRDefault="00DA1413">
      <w:pPr>
        <w:spacing w:after="0" w:line="240" w:lineRule="auto"/>
        <w:jc w:val="both"/>
        <w:rPr>
          <w:sz w:val="20"/>
          <w:szCs w:val="20"/>
        </w:rPr>
      </w:pPr>
      <w:r>
        <w:rPr>
          <w:vertAlign w:val="superscript"/>
        </w:rPr>
        <w:footnoteRef/>
      </w:r>
      <w:r>
        <w:rPr>
          <w:sz w:val="20"/>
          <w:szCs w:val="20"/>
        </w:rPr>
        <w:t xml:space="preserve"> For example, Section 8 of RA 11313, or the Safe Spaces Act, provides that "local government units (LGUs) shall bear primary responsibility in enforcing the prov</w:t>
      </w:r>
      <w:r>
        <w:rPr>
          <w:sz w:val="20"/>
          <w:szCs w:val="20"/>
        </w:rPr>
        <w:t>isions under Article I of this Act. LGUs shall have the following duties:</w:t>
      </w:r>
    </w:p>
    <w:p w:rsidR="008726B6" w:rsidRDefault="00DA1413">
      <w:pPr>
        <w:spacing w:after="0" w:line="240" w:lineRule="auto"/>
        <w:jc w:val="both"/>
        <w:rPr>
          <w:sz w:val="20"/>
          <w:szCs w:val="20"/>
        </w:rPr>
      </w:pPr>
      <w:r>
        <w:rPr>
          <w:sz w:val="20"/>
          <w:szCs w:val="20"/>
        </w:rPr>
        <w:t xml:space="preserve">(a) Pass an ordinance which shall localize the applicability of this Act within sixty (60) days of its effectivity" </w:t>
      </w:r>
    </w:p>
  </w:footnote>
  <w:footnote w:id="7">
    <w:p w:rsidR="008726B6" w:rsidRDefault="00DA1413">
      <w:pPr>
        <w:spacing w:after="0" w:line="240" w:lineRule="auto"/>
        <w:jc w:val="both"/>
        <w:rPr>
          <w:sz w:val="20"/>
          <w:szCs w:val="20"/>
        </w:rPr>
      </w:pPr>
      <w:r>
        <w:rPr>
          <w:vertAlign w:val="superscript"/>
        </w:rPr>
        <w:footnoteRef/>
      </w:r>
      <w:r>
        <w:rPr>
          <w:sz w:val="20"/>
          <w:szCs w:val="20"/>
        </w:rPr>
        <w:t xml:space="preserve"> In the 19th Congress, GWP filed House Bill (HB) No. 403, or An Act Defining Electronic Violence Against Women and Their Children, Providing Protective Measures, and Prescribing Penalties for Violations Thereof, </w:t>
      </w:r>
      <w:proofErr w:type="gramStart"/>
      <w:r>
        <w:rPr>
          <w:sz w:val="20"/>
          <w:szCs w:val="20"/>
        </w:rPr>
        <w:t>Amending</w:t>
      </w:r>
      <w:proofErr w:type="gramEnd"/>
      <w:r>
        <w:rPr>
          <w:sz w:val="20"/>
          <w:szCs w:val="20"/>
        </w:rPr>
        <w:t xml:space="preserve"> for the Purpose Republic Act NO. 92</w:t>
      </w:r>
      <w:r>
        <w:rPr>
          <w:sz w:val="20"/>
          <w:szCs w:val="20"/>
        </w:rPr>
        <w:t xml:space="preserve">62, Otherwise Known as the ‘Anti-Violence Against Women and Their Children’. This has been approved by the House of </w:t>
      </w:r>
      <w:proofErr w:type="gramStart"/>
      <w:r>
        <w:rPr>
          <w:sz w:val="20"/>
          <w:szCs w:val="20"/>
        </w:rPr>
        <w:t>Representatives, and</w:t>
      </w:r>
      <w:proofErr w:type="gramEnd"/>
      <w:r>
        <w:rPr>
          <w:sz w:val="20"/>
          <w:szCs w:val="20"/>
        </w:rPr>
        <w:t xml:space="preserve"> has been transmitted to the Senate.</w:t>
      </w:r>
    </w:p>
    <w:p w:rsidR="008726B6" w:rsidRDefault="00DA1413">
      <w:pPr>
        <w:spacing w:after="0" w:line="240" w:lineRule="auto"/>
        <w:jc w:val="both"/>
        <w:rPr>
          <w:sz w:val="20"/>
          <w:szCs w:val="20"/>
        </w:rPr>
      </w:pPr>
      <w:hyperlink r:id="rId1">
        <w:r>
          <w:rPr>
            <w:color w:val="1155CC"/>
            <w:sz w:val="20"/>
            <w:szCs w:val="20"/>
            <w:u w:val="single"/>
          </w:rPr>
          <w:t>https://www.gmanetwork.com/news/topstories/nation/870805/bill-vs-online-violence-against-women-children-passed-on-final-reading-in-house/story/</w:t>
        </w:r>
      </w:hyperlink>
    </w:p>
  </w:footnote>
  <w:footnote w:id="8">
    <w:p w:rsidR="008726B6" w:rsidRDefault="00DA1413">
      <w:pPr>
        <w:spacing w:after="0" w:line="240" w:lineRule="auto"/>
        <w:rPr>
          <w:sz w:val="20"/>
          <w:szCs w:val="20"/>
        </w:rPr>
      </w:pPr>
      <w:r>
        <w:rPr>
          <w:vertAlign w:val="superscript"/>
        </w:rPr>
        <w:footnoteRef/>
      </w:r>
      <w:r>
        <w:rPr>
          <w:sz w:val="20"/>
          <w:szCs w:val="20"/>
        </w:rPr>
        <w:t xml:space="preserve"> RA 9262, or An Act Defining Violence Against Women and Their Ch</w:t>
      </w:r>
      <w:r>
        <w:rPr>
          <w:sz w:val="20"/>
          <w:szCs w:val="20"/>
        </w:rPr>
        <w:t>ildren, Providing for Protective Measures for Victims, Prescribing Penalties Therefore, and For Other Purposes.</w:t>
      </w:r>
    </w:p>
  </w:footnote>
  <w:footnote w:id="9">
    <w:p w:rsidR="008726B6" w:rsidRDefault="00DA1413">
      <w:pPr>
        <w:spacing w:after="0" w:line="240" w:lineRule="auto"/>
        <w:jc w:val="both"/>
        <w:rPr>
          <w:sz w:val="20"/>
          <w:szCs w:val="20"/>
        </w:rPr>
      </w:pPr>
      <w:r>
        <w:rPr>
          <w:vertAlign w:val="superscript"/>
        </w:rPr>
        <w:footnoteRef/>
      </w:r>
      <w:r>
        <w:rPr>
          <w:sz w:val="20"/>
          <w:szCs w:val="20"/>
        </w:rPr>
        <w:t xml:space="preserve"> On October 13, 2022, GWP, Alliance of Concerned Teachers (ACT), and Kabataan </w:t>
      </w:r>
      <w:proofErr w:type="spellStart"/>
      <w:r>
        <w:rPr>
          <w:sz w:val="20"/>
          <w:szCs w:val="20"/>
        </w:rPr>
        <w:t>Partylist</w:t>
      </w:r>
      <w:proofErr w:type="spellEnd"/>
      <w:r>
        <w:rPr>
          <w:sz w:val="20"/>
          <w:szCs w:val="20"/>
        </w:rPr>
        <w:t xml:space="preserve">, for the 19th Congress filed House Bill (HB) No. 5551, or An Act Prohibiting Discrimination </w:t>
      </w:r>
      <w:proofErr w:type="gramStart"/>
      <w:r>
        <w:rPr>
          <w:sz w:val="20"/>
          <w:szCs w:val="20"/>
        </w:rPr>
        <w:t>on the Basis of</w:t>
      </w:r>
      <w:proofErr w:type="gramEnd"/>
      <w:r>
        <w:rPr>
          <w:sz w:val="20"/>
          <w:szCs w:val="20"/>
        </w:rPr>
        <w:t xml:space="preserve"> Sexual Orientation, Gender Identi</w:t>
      </w:r>
      <w:r>
        <w:rPr>
          <w:sz w:val="20"/>
          <w:szCs w:val="20"/>
        </w:rPr>
        <w:t>ty or Expression, or Sex Characteristics (SOGIESC) and Providing Penalties Therefor. As of May 2023, it is still pending in the House of Representatives. GWP had also filed similar bills during the 17th (HB No. 3691, filed on September 27, 2016) and 18th C</w:t>
      </w:r>
      <w:r>
        <w:rPr>
          <w:sz w:val="20"/>
          <w:szCs w:val="20"/>
        </w:rPr>
        <w:t>ongress (HB No.6294, filed on February 17, 2020).</w:t>
      </w:r>
    </w:p>
  </w:footnote>
  <w:footnote w:id="10">
    <w:p w:rsidR="008726B6" w:rsidRDefault="00DA1413">
      <w:pPr>
        <w:spacing w:after="0" w:line="240" w:lineRule="auto"/>
        <w:rPr>
          <w:sz w:val="20"/>
          <w:szCs w:val="20"/>
        </w:rPr>
      </w:pPr>
      <w:r>
        <w:rPr>
          <w:vertAlign w:val="superscript"/>
        </w:rPr>
        <w:footnoteRef/>
      </w:r>
      <w:r>
        <w:rPr>
          <w:sz w:val="20"/>
          <w:szCs w:val="20"/>
        </w:rPr>
        <w:t>https://www.rappler.com/newsbreak/iq/list-local-governments-philippines-anti-discrimination-ordinances/#:~:text=The%20new%20Ordinance%202660%20prohibits</w:t>
      </w:r>
      <w:r>
        <w:rPr>
          <w:sz w:val="20"/>
          <w:szCs w:val="20"/>
        </w:rPr>
        <w:t>,of%20up%20to%2030%20days</w:t>
      </w:r>
    </w:p>
  </w:footnote>
  <w:footnote w:id="11">
    <w:p w:rsidR="008726B6" w:rsidRDefault="00DA1413">
      <w:pPr>
        <w:spacing w:after="0" w:line="240" w:lineRule="auto"/>
        <w:rPr>
          <w:sz w:val="20"/>
          <w:szCs w:val="20"/>
        </w:rPr>
      </w:pPr>
      <w:r>
        <w:rPr>
          <w:vertAlign w:val="superscript"/>
        </w:rPr>
        <w:footnoteRef/>
      </w:r>
      <w:r>
        <w:rPr>
          <w:sz w:val="20"/>
          <w:szCs w:val="20"/>
        </w:rPr>
        <w:t xml:space="preserve"> During the 17th Congress of the House of Representatives, the members of </w:t>
      </w:r>
      <w:proofErr w:type="gramStart"/>
      <w:r>
        <w:rPr>
          <w:sz w:val="20"/>
          <w:szCs w:val="20"/>
        </w:rPr>
        <w:t xml:space="preserve">the  </w:t>
      </w:r>
      <w:proofErr w:type="spellStart"/>
      <w:r>
        <w:rPr>
          <w:sz w:val="20"/>
          <w:szCs w:val="20"/>
        </w:rPr>
        <w:t>Makabayan</w:t>
      </w:r>
      <w:proofErr w:type="spellEnd"/>
      <w:proofErr w:type="gramEnd"/>
      <w:r>
        <w:rPr>
          <w:sz w:val="20"/>
          <w:szCs w:val="20"/>
        </w:rPr>
        <w:t xml:space="preserve"> bloc were  ACT </w:t>
      </w:r>
      <w:proofErr w:type="spellStart"/>
      <w:r>
        <w:rPr>
          <w:sz w:val="20"/>
          <w:szCs w:val="20"/>
        </w:rPr>
        <w:t>Partylist</w:t>
      </w:r>
      <w:proofErr w:type="spellEnd"/>
      <w:r>
        <w:rPr>
          <w:sz w:val="20"/>
          <w:szCs w:val="20"/>
        </w:rPr>
        <w:t xml:space="preserve">, </w:t>
      </w:r>
      <w:proofErr w:type="spellStart"/>
      <w:r>
        <w:rPr>
          <w:sz w:val="20"/>
          <w:szCs w:val="20"/>
        </w:rPr>
        <w:t>Anakpawis</w:t>
      </w:r>
      <w:proofErr w:type="spellEnd"/>
      <w:r>
        <w:rPr>
          <w:sz w:val="20"/>
          <w:szCs w:val="20"/>
        </w:rPr>
        <w:t xml:space="preserve">, Bayan </w:t>
      </w:r>
      <w:proofErr w:type="spellStart"/>
      <w:r>
        <w:rPr>
          <w:sz w:val="20"/>
          <w:szCs w:val="20"/>
        </w:rPr>
        <w:t>Muna</w:t>
      </w:r>
      <w:proofErr w:type="spellEnd"/>
      <w:r>
        <w:rPr>
          <w:sz w:val="20"/>
          <w:szCs w:val="20"/>
        </w:rPr>
        <w:t xml:space="preserve">, GWP, and Kabataan </w:t>
      </w:r>
      <w:proofErr w:type="spellStart"/>
      <w:r>
        <w:rPr>
          <w:sz w:val="20"/>
          <w:szCs w:val="20"/>
        </w:rPr>
        <w:t>Partylist</w:t>
      </w:r>
      <w:proofErr w:type="spellEnd"/>
      <w:r>
        <w:rPr>
          <w:sz w:val="20"/>
          <w:szCs w:val="20"/>
        </w:rPr>
        <w:t xml:space="preserve">. During the 18th Congress, the </w:t>
      </w:r>
      <w:proofErr w:type="spellStart"/>
      <w:r>
        <w:rPr>
          <w:sz w:val="20"/>
          <w:szCs w:val="20"/>
        </w:rPr>
        <w:t>Makabayan</w:t>
      </w:r>
      <w:proofErr w:type="spellEnd"/>
      <w:r>
        <w:rPr>
          <w:sz w:val="20"/>
          <w:szCs w:val="20"/>
        </w:rPr>
        <w:t xml:space="preserve"> bloc consisted of Act </w:t>
      </w:r>
      <w:proofErr w:type="spellStart"/>
      <w:r>
        <w:rPr>
          <w:sz w:val="20"/>
          <w:szCs w:val="20"/>
        </w:rPr>
        <w:t>Partylist</w:t>
      </w:r>
      <w:proofErr w:type="spellEnd"/>
      <w:r>
        <w:rPr>
          <w:sz w:val="20"/>
          <w:szCs w:val="20"/>
        </w:rPr>
        <w:t xml:space="preserve">, Bayan </w:t>
      </w:r>
      <w:proofErr w:type="spellStart"/>
      <w:r>
        <w:rPr>
          <w:sz w:val="20"/>
          <w:szCs w:val="20"/>
        </w:rPr>
        <w:t>Muna</w:t>
      </w:r>
      <w:proofErr w:type="spellEnd"/>
      <w:r>
        <w:rPr>
          <w:sz w:val="20"/>
          <w:szCs w:val="20"/>
        </w:rPr>
        <w:t xml:space="preserve">, GWP, and Kabataan </w:t>
      </w:r>
      <w:proofErr w:type="spellStart"/>
      <w:r>
        <w:rPr>
          <w:sz w:val="20"/>
          <w:szCs w:val="20"/>
        </w:rPr>
        <w:t>Partylist</w:t>
      </w:r>
      <w:proofErr w:type="spellEnd"/>
      <w:r>
        <w:rPr>
          <w:sz w:val="20"/>
          <w:szCs w:val="20"/>
        </w:rPr>
        <w:t xml:space="preserve">. </w:t>
      </w:r>
    </w:p>
  </w:footnote>
  <w:footnote w:id="12">
    <w:p w:rsidR="008726B6" w:rsidRDefault="00DA1413">
      <w:pPr>
        <w:spacing w:after="0" w:line="240" w:lineRule="auto"/>
        <w:rPr>
          <w:sz w:val="20"/>
          <w:szCs w:val="20"/>
        </w:rPr>
      </w:pPr>
      <w:r>
        <w:rPr>
          <w:vertAlign w:val="superscript"/>
        </w:rPr>
        <w:footnoteRef/>
      </w:r>
      <w:r>
        <w:rPr>
          <w:sz w:val="20"/>
          <w:szCs w:val="20"/>
        </w:rPr>
        <w:t>https://www.gmanetwork.com/news/tops</w:t>
      </w:r>
      <w:r>
        <w:rPr>
          <w:sz w:val="20"/>
          <w:szCs w:val="20"/>
        </w:rPr>
        <w:t>tories/regions/794545/2-ex-cops-tagged-in-death-of-fabel-pineda-arrested-in-ilocos-sur-pnp-imeg/story/</w:t>
      </w:r>
    </w:p>
  </w:footnote>
  <w:footnote w:id="13">
    <w:p w:rsidR="008726B6" w:rsidRDefault="00DA1413">
      <w:pPr>
        <w:spacing w:after="0" w:line="240" w:lineRule="auto"/>
        <w:rPr>
          <w:sz w:val="20"/>
          <w:szCs w:val="20"/>
        </w:rPr>
      </w:pPr>
      <w:r>
        <w:rPr>
          <w:vertAlign w:val="superscript"/>
        </w:rPr>
        <w:footnoteRef/>
      </w:r>
      <w:r>
        <w:rPr>
          <w:sz w:val="20"/>
          <w:szCs w:val="20"/>
        </w:rPr>
        <w:t xml:space="preserve"> The “forgiveness clause” exone</w:t>
      </w:r>
      <w:r>
        <w:rPr>
          <w:sz w:val="20"/>
          <w:szCs w:val="20"/>
        </w:rPr>
        <w:t>rates the perpetrator thru marriage to the victim.</w:t>
      </w:r>
    </w:p>
  </w:footnote>
  <w:footnote w:id="14">
    <w:p w:rsidR="008726B6" w:rsidRDefault="00DA1413">
      <w:pPr>
        <w:spacing w:after="0" w:line="240" w:lineRule="auto"/>
        <w:rPr>
          <w:sz w:val="20"/>
          <w:szCs w:val="20"/>
        </w:rPr>
      </w:pPr>
      <w:r>
        <w:rPr>
          <w:vertAlign w:val="superscript"/>
        </w:rPr>
        <w:footnoteRef/>
      </w:r>
      <w:r>
        <w:rPr>
          <w:sz w:val="20"/>
          <w:szCs w:val="20"/>
        </w:rPr>
        <w:t xml:space="preserve"> https://news.abs-cbn.com/news/12/14/21/house-ratifies-bill-raising-age-for-statutory-rape</w:t>
      </w:r>
    </w:p>
  </w:footnote>
  <w:footnote w:id="15">
    <w:p w:rsidR="008726B6" w:rsidRDefault="00DA1413">
      <w:pPr>
        <w:spacing w:after="0" w:line="240" w:lineRule="auto"/>
        <w:jc w:val="both"/>
        <w:rPr>
          <w:sz w:val="20"/>
          <w:szCs w:val="20"/>
        </w:rPr>
      </w:pPr>
      <w:r>
        <w:rPr>
          <w:vertAlign w:val="superscript"/>
        </w:rPr>
        <w:footnoteRef/>
      </w:r>
      <w:r>
        <w:rPr>
          <w:sz w:val="20"/>
          <w:szCs w:val="20"/>
        </w:rPr>
        <w:t xml:space="preserve"> Full report of the 2022 National Demographic and Health Survey, Philippine Statistical Authority.  </w:t>
      </w:r>
      <w:hyperlink r:id="rId2">
        <w:r>
          <w:rPr>
            <w:color w:val="1155CC"/>
            <w:sz w:val="20"/>
            <w:szCs w:val="20"/>
            <w:u w:val="single"/>
          </w:rPr>
          <w:t>https://dhsprogram.com/pubs/pdf/FR381/</w:t>
        </w:r>
        <w:r>
          <w:rPr>
            <w:color w:val="1155CC"/>
            <w:sz w:val="20"/>
            <w:szCs w:val="20"/>
            <w:u w:val="single"/>
          </w:rPr>
          <w:t>FR381.pdf</w:t>
        </w:r>
      </w:hyperlink>
      <w:r>
        <w:rPr>
          <w:sz w:val="20"/>
          <w:szCs w:val="20"/>
        </w:rPr>
        <w:t xml:space="preserve"> </w:t>
      </w:r>
    </w:p>
  </w:footnote>
  <w:footnote w:id="16">
    <w:p w:rsidR="008726B6" w:rsidRDefault="00DA1413">
      <w:pPr>
        <w:spacing w:after="0" w:line="240" w:lineRule="auto"/>
        <w:rPr>
          <w:sz w:val="20"/>
          <w:szCs w:val="20"/>
        </w:rPr>
      </w:pPr>
      <w:r>
        <w:rPr>
          <w:vertAlign w:val="superscript"/>
        </w:rPr>
        <w:footnoteRef/>
      </w:r>
      <w:r>
        <w:rPr>
          <w:sz w:val="20"/>
          <w:szCs w:val="20"/>
        </w:rPr>
        <w:t xml:space="preserve"> HB 1152, filed in the House of Representatives in the 19th Congress, defines red-tagging as "the act of publicly labeling, vilifying, branding, naming, accusing, or caricaturin</w:t>
      </w:r>
      <w:r>
        <w:rPr>
          <w:sz w:val="20"/>
          <w:szCs w:val="20"/>
        </w:rPr>
        <w:t>g individuals, groups, or organizations of being State enemies, subversives, armed rebels, communists or terrorists or fronts thereof, thereby implying or insinuating involvement or engagement  in armed rebellion, acts of terrorism or any wrongdoing or cri</w:t>
      </w:r>
      <w:r>
        <w:rPr>
          <w:sz w:val="20"/>
          <w:szCs w:val="20"/>
        </w:rPr>
        <w:t xml:space="preserve">minal acts." </w:t>
      </w:r>
      <w:hyperlink r:id="rId3">
        <w:r>
          <w:rPr>
            <w:color w:val="1155CC"/>
            <w:sz w:val="20"/>
            <w:szCs w:val="20"/>
            <w:u w:val="single"/>
          </w:rPr>
          <w:t>https://hrep-website.s3.ap-southeast-1.amazonaws.com/legisdocs/basic_19/HB01152.pdf</w:t>
        </w:r>
      </w:hyperlink>
    </w:p>
  </w:footnote>
  <w:footnote w:id="17">
    <w:p w:rsidR="008726B6" w:rsidRDefault="00DA1413">
      <w:pPr>
        <w:spacing w:after="0" w:line="240" w:lineRule="auto"/>
        <w:jc w:val="both"/>
        <w:rPr>
          <w:sz w:val="20"/>
          <w:szCs w:val="20"/>
        </w:rPr>
      </w:pPr>
      <w:r>
        <w:rPr>
          <w:vertAlign w:val="superscript"/>
        </w:rPr>
        <w:footnoteRef/>
      </w:r>
      <w:r>
        <w:rPr>
          <w:sz w:val="20"/>
          <w:szCs w:val="20"/>
        </w:rPr>
        <w:t xml:space="preserve"> Along with other peasant rights advocates, E</w:t>
      </w:r>
      <w:r w:rsidR="003D1A03">
        <w:rPr>
          <w:sz w:val="20"/>
          <w:szCs w:val="20"/>
        </w:rPr>
        <w:t>. L.</w:t>
      </w:r>
      <w:r>
        <w:rPr>
          <w:sz w:val="20"/>
          <w:szCs w:val="20"/>
        </w:rPr>
        <w:t xml:space="preserve"> was tortured and illegally detained based on trumped-up illegal possession of explosive charges on October 13, 2018. </w:t>
      </w:r>
      <w:hyperlink r:id="rId4">
        <w:r>
          <w:rPr>
            <w:color w:val="1155CC"/>
            <w:sz w:val="20"/>
            <w:szCs w:val="20"/>
            <w:u w:val="single"/>
          </w:rPr>
          <w:t>https://kodao.org/arrested-peasant-advocates-tortured-karapatan-says/</w:t>
        </w:r>
      </w:hyperlink>
    </w:p>
  </w:footnote>
  <w:footnote w:id="18">
    <w:p w:rsidR="008726B6" w:rsidRDefault="00DA1413">
      <w:pPr>
        <w:spacing w:after="0" w:line="240" w:lineRule="auto"/>
        <w:jc w:val="both"/>
        <w:rPr>
          <w:sz w:val="20"/>
          <w:szCs w:val="20"/>
        </w:rPr>
      </w:pPr>
      <w:r>
        <w:rPr>
          <w:vertAlign w:val="superscript"/>
        </w:rPr>
        <w:footnoteRef/>
      </w:r>
      <w:r>
        <w:rPr>
          <w:sz w:val="20"/>
          <w:szCs w:val="20"/>
        </w:rPr>
        <w:t xml:space="preserve"> The military and police forces planted grenades and firearms on </w:t>
      </w:r>
      <w:r w:rsidR="003D1A03">
        <w:rPr>
          <w:sz w:val="20"/>
          <w:szCs w:val="20"/>
        </w:rPr>
        <w:t>H. C.</w:t>
      </w:r>
      <w:r>
        <w:rPr>
          <w:sz w:val="20"/>
          <w:szCs w:val="20"/>
        </w:rPr>
        <w:t xml:space="preserve"> She was arrested for trumped-up charges of illegal possession of explosives and was released after serving at least eight months in detention.  </w:t>
      </w:r>
    </w:p>
    <w:p w:rsidR="008726B6" w:rsidRDefault="00DA1413">
      <w:pPr>
        <w:spacing w:after="0" w:line="240" w:lineRule="auto"/>
        <w:jc w:val="both"/>
        <w:rPr>
          <w:sz w:val="20"/>
          <w:szCs w:val="20"/>
        </w:rPr>
      </w:pPr>
      <w:hyperlink r:id="rId5">
        <w:r>
          <w:rPr>
            <w:color w:val="1155CC"/>
            <w:sz w:val="20"/>
            <w:szCs w:val="20"/>
            <w:u w:val="single"/>
          </w:rPr>
          <w:t>https://www.bulatlat.com/2019/06/11/after-8-months-political-prisoner-released/</w:t>
        </w:r>
      </w:hyperlink>
    </w:p>
  </w:footnote>
  <w:footnote w:id="19">
    <w:p w:rsidR="008726B6" w:rsidRDefault="00DA1413">
      <w:pPr>
        <w:spacing w:after="0" w:line="240" w:lineRule="auto"/>
        <w:jc w:val="both"/>
        <w:rPr>
          <w:sz w:val="20"/>
          <w:szCs w:val="20"/>
        </w:rPr>
      </w:pPr>
      <w:r>
        <w:rPr>
          <w:vertAlign w:val="superscript"/>
        </w:rPr>
        <w:footnoteRef/>
      </w:r>
      <w:r>
        <w:rPr>
          <w:sz w:val="20"/>
          <w:szCs w:val="20"/>
        </w:rPr>
        <w:t xml:space="preserve"> Executive Order No. 70 </w:t>
      </w:r>
      <w:proofErr w:type="gramStart"/>
      <w:r>
        <w:rPr>
          <w:sz w:val="20"/>
          <w:szCs w:val="20"/>
        </w:rPr>
        <w:t>series of 2018, or</w:t>
      </w:r>
      <w:proofErr w:type="gramEnd"/>
      <w:r>
        <w:rPr>
          <w:sz w:val="20"/>
          <w:szCs w:val="20"/>
        </w:rPr>
        <w:t xml:space="preserve"> institutionalizing the whole-of-nation approach in attaining inclusive and sustainable peace, creating a National Task Force to End </w:t>
      </w:r>
      <w:r>
        <w:rPr>
          <w:sz w:val="20"/>
          <w:szCs w:val="20"/>
        </w:rPr>
        <w:t xml:space="preserve">Local Communist Armed Conflict, and directing the adoption of a national peace framework, was signed by then-President Rodrigo Duterte on December 4, 2018. </w:t>
      </w:r>
    </w:p>
    <w:p w:rsidR="008726B6" w:rsidRDefault="00DA1413">
      <w:pPr>
        <w:spacing w:after="0" w:line="240" w:lineRule="auto"/>
        <w:jc w:val="both"/>
        <w:rPr>
          <w:sz w:val="20"/>
          <w:szCs w:val="20"/>
        </w:rPr>
      </w:pPr>
      <w:hyperlink r:id="rId6">
        <w:r>
          <w:rPr>
            <w:color w:val="1155CC"/>
            <w:sz w:val="20"/>
            <w:szCs w:val="20"/>
            <w:u w:val="single"/>
          </w:rPr>
          <w:t>h</w:t>
        </w:r>
        <w:r>
          <w:rPr>
            <w:color w:val="1155CC"/>
            <w:sz w:val="20"/>
            <w:szCs w:val="20"/>
            <w:u w:val="single"/>
          </w:rPr>
          <w:t>ttps://www.officialgazette.gov.ph/downloads/2018/12dec/20181204-EO-70-RRD.pdf</w:t>
        </w:r>
      </w:hyperlink>
    </w:p>
  </w:footnote>
  <w:footnote w:id="20">
    <w:p w:rsidR="008726B6" w:rsidRDefault="00DA1413">
      <w:pPr>
        <w:spacing w:after="0" w:line="240" w:lineRule="auto"/>
        <w:rPr>
          <w:sz w:val="20"/>
          <w:szCs w:val="20"/>
        </w:rPr>
      </w:pPr>
      <w:r>
        <w:rPr>
          <w:vertAlign w:val="superscript"/>
        </w:rPr>
        <w:footnoteRef/>
      </w:r>
      <w:r>
        <w:rPr>
          <w:sz w:val="20"/>
          <w:szCs w:val="20"/>
        </w:rPr>
        <w:t xml:space="preserve"> "An Act to Prevent, Prohibit and Penalize Terrorism, T</w:t>
      </w:r>
      <w:r>
        <w:rPr>
          <w:sz w:val="20"/>
          <w:szCs w:val="20"/>
        </w:rPr>
        <w:t>hereby Repealing Republic Act No. 9372, otherwise known as the "Human Security Act of 2007"</w:t>
      </w:r>
    </w:p>
  </w:footnote>
  <w:footnote w:id="21">
    <w:p w:rsidR="008726B6" w:rsidRDefault="00DA1413">
      <w:pPr>
        <w:spacing w:after="0" w:line="240" w:lineRule="auto"/>
        <w:rPr>
          <w:sz w:val="20"/>
          <w:szCs w:val="20"/>
        </w:rPr>
      </w:pPr>
      <w:r>
        <w:rPr>
          <w:vertAlign w:val="superscript"/>
        </w:rPr>
        <w:footnoteRef/>
      </w:r>
      <w:r>
        <w:rPr>
          <w:sz w:val="20"/>
          <w:szCs w:val="20"/>
        </w:rPr>
        <w:t xml:space="preserve"> A total of 37 petitions to challenge the Anti-Terrorism Act of 2020 were filed by various organizations and individuals before the Supreme Court. </w:t>
      </w:r>
    </w:p>
  </w:footnote>
  <w:footnote w:id="22">
    <w:p w:rsidR="008726B6" w:rsidRDefault="00DA1413">
      <w:pPr>
        <w:spacing w:after="0" w:line="240" w:lineRule="auto"/>
        <w:rPr>
          <w:sz w:val="20"/>
          <w:szCs w:val="20"/>
        </w:rPr>
      </w:pPr>
      <w:r>
        <w:rPr>
          <w:vertAlign w:val="superscript"/>
        </w:rPr>
        <w:footnoteRef/>
      </w:r>
      <w:r>
        <w:rPr>
          <w:sz w:val="20"/>
          <w:szCs w:val="20"/>
        </w:rPr>
        <w:t xml:space="preserve"> </w:t>
      </w:r>
      <w:hyperlink r:id="rId7">
        <w:r>
          <w:rPr>
            <w:color w:val="1155CC"/>
            <w:sz w:val="20"/>
            <w:szCs w:val="20"/>
            <w:u w:val="single"/>
          </w:rPr>
          <w:t>https://www.cnnphilippines.com/news/2021/1/30/Anti-Terrorism-Act-oral-arguments-Supreme-Court.html</w:t>
        </w:r>
      </w:hyperlink>
    </w:p>
  </w:footnote>
  <w:footnote w:id="23">
    <w:p w:rsidR="008726B6" w:rsidRDefault="00DA1413">
      <w:pPr>
        <w:spacing w:after="0" w:line="240" w:lineRule="auto"/>
        <w:jc w:val="both"/>
        <w:rPr>
          <w:sz w:val="20"/>
          <w:szCs w:val="20"/>
        </w:rPr>
      </w:pPr>
      <w:r>
        <w:rPr>
          <w:vertAlign w:val="superscript"/>
        </w:rPr>
        <w:footnoteRef/>
      </w:r>
      <w:r>
        <w:rPr>
          <w:sz w:val="20"/>
          <w:szCs w:val="20"/>
        </w:rPr>
        <w:t xml:space="preserve"> J</w:t>
      </w:r>
      <w:r w:rsidR="00BD4090">
        <w:rPr>
          <w:sz w:val="20"/>
          <w:szCs w:val="20"/>
        </w:rPr>
        <w:t>. N.</w:t>
      </w:r>
      <w:r>
        <w:rPr>
          <w:sz w:val="20"/>
          <w:szCs w:val="20"/>
        </w:rPr>
        <w:t xml:space="preserve"> was charged with double murder fo</w:t>
      </w:r>
      <w:r>
        <w:rPr>
          <w:sz w:val="20"/>
          <w:szCs w:val="20"/>
        </w:rPr>
        <w:t xml:space="preserve">r an alleged ambush by NPA in May 2018, which resulted in the killing of two soldiers in </w:t>
      </w:r>
      <w:proofErr w:type="spellStart"/>
      <w:r>
        <w:rPr>
          <w:sz w:val="20"/>
          <w:szCs w:val="20"/>
        </w:rPr>
        <w:t>Ragay</w:t>
      </w:r>
      <w:proofErr w:type="spellEnd"/>
      <w:r>
        <w:rPr>
          <w:sz w:val="20"/>
          <w:szCs w:val="20"/>
        </w:rPr>
        <w:t>, Camarines Sur. The Department of the Interior and Local Government (DILG) also filed a Memo Circular 2018-211 in 2019 criticizing</w:t>
      </w:r>
      <w:r w:rsidR="00BD4090">
        <w:rPr>
          <w:sz w:val="20"/>
          <w:szCs w:val="20"/>
        </w:rPr>
        <w:t xml:space="preserve"> J. N.</w:t>
      </w:r>
      <w:r>
        <w:rPr>
          <w:sz w:val="20"/>
          <w:szCs w:val="20"/>
        </w:rPr>
        <w:t xml:space="preserve"> for her mere particip</w:t>
      </w:r>
      <w:r>
        <w:rPr>
          <w:sz w:val="20"/>
          <w:szCs w:val="20"/>
        </w:rPr>
        <w:t xml:space="preserve">ation in protest actions as a women's rights activist, labeling her as a "sympathizer of the Left-Wing Rebel Groups." In April 2021, </w:t>
      </w:r>
      <w:r w:rsidR="00BD4090">
        <w:rPr>
          <w:sz w:val="20"/>
          <w:szCs w:val="20"/>
        </w:rPr>
        <w:t xml:space="preserve">J. </w:t>
      </w:r>
      <w:r>
        <w:rPr>
          <w:sz w:val="20"/>
          <w:szCs w:val="20"/>
        </w:rPr>
        <w:t>N</w:t>
      </w:r>
      <w:r w:rsidR="00BD4090">
        <w:rPr>
          <w:sz w:val="20"/>
          <w:szCs w:val="20"/>
        </w:rPr>
        <w:t>.</w:t>
      </w:r>
      <w:r>
        <w:rPr>
          <w:sz w:val="20"/>
          <w:szCs w:val="20"/>
        </w:rPr>
        <w:t xml:space="preserve">’s double murder case was dismissed because of “lack of probable cause”. </w:t>
      </w:r>
    </w:p>
    <w:p w:rsidR="008726B6" w:rsidRDefault="00DA1413">
      <w:pPr>
        <w:spacing w:after="0" w:line="240" w:lineRule="auto"/>
        <w:jc w:val="both"/>
        <w:rPr>
          <w:sz w:val="20"/>
          <w:szCs w:val="20"/>
        </w:rPr>
      </w:pPr>
      <w:hyperlink r:id="rId8">
        <w:r>
          <w:rPr>
            <w:color w:val="1155CC"/>
            <w:sz w:val="20"/>
            <w:szCs w:val="20"/>
            <w:u w:val="single"/>
          </w:rPr>
          <w:t>https://www.altermidya.net/families-of-two-detained-activists-in-bicol-call-to-support-local-progressive-groups-freejenandpastordan-move</w:t>
        </w:r>
        <w:r>
          <w:rPr>
            <w:color w:val="1155CC"/>
            <w:sz w:val="20"/>
            <w:szCs w:val="20"/>
            <w:u w:val="single"/>
          </w:rPr>
          <w:t>ment/</w:t>
        </w:r>
      </w:hyperlink>
    </w:p>
  </w:footnote>
  <w:footnote w:id="24">
    <w:p w:rsidR="008726B6" w:rsidRDefault="00DA1413">
      <w:pPr>
        <w:spacing w:after="0" w:line="240" w:lineRule="auto"/>
        <w:jc w:val="both"/>
        <w:rPr>
          <w:sz w:val="20"/>
          <w:szCs w:val="20"/>
        </w:rPr>
      </w:pPr>
      <w:r>
        <w:rPr>
          <w:vertAlign w:val="superscript"/>
        </w:rPr>
        <w:footnoteRef/>
      </w:r>
      <w:r>
        <w:rPr>
          <w:sz w:val="20"/>
          <w:szCs w:val="20"/>
        </w:rPr>
        <w:t xml:space="preserve"> In April 2021, eight members of the PNP, who identified themselves as part of the NTF-ELCAC, conducted feeding programs and distributed rice packs near the residence of </w:t>
      </w:r>
      <w:r w:rsidR="00BD4090">
        <w:rPr>
          <w:sz w:val="20"/>
          <w:szCs w:val="20"/>
        </w:rPr>
        <w:t xml:space="preserve">E. </w:t>
      </w:r>
      <w:r>
        <w:rPr>
          <w:sz w:val="20"/>
          <w:szCs w:val="20"/>
        </w:rPr>
        <w:t>M</w:t>
      </w:r>
      <w:r w:rsidR="00BD4090">
        <w:rPr>
          <w:sz w:val="20"/>
          <w:szCs w:val="20"/>
        </w:rPr>
        <w:t>.,</w:t>
      </w:r>
      <w:r>
        <w:rPr>
          <w:sz w:val="20"/>
          <w:szCs w:val="20"/>
        </w:rPr>
        <w:t xml:space="preserve"> In the same month, severa</w:t>
      </w:r>
      <w:r>
        <w:rPr>
          <w:sz w:val="20"/>
          <w:szCs w:val="20"/>
        </w:rPr>
        <w:t xml:space="preserve">l police officers set up a community pantry right in front of </w:t>
      </w:r>
      <w:r w:rsidR="00BD4090">
        <w:rPr>
          <w:sz w:val="20"/>
          <w:szCs w:val="20"/>
        </w:rPr>
        <w:t>E. M.</w:t>
      </w:r>
      <w:r>
        <w:rPr>
          <w:sz w:val="20"/>
          <w:szCs w:val="20"/>
        </w:rPr>
        <w:t xml:space="preserve">’s house. They circulated a profiling sheet and asked the residents for their details. On June 6, 2021, two men on board a motorcycle stopped by </w:t>
      </w:r>
      <w:r w:rsidR="00BD4090">
        <w:rPr>
          <w:sz w:val="20"/>
          <w:szCs w:val="20"/>
        </w:rPr>
        <w:t xml:space="preserve">E. </w:t>
      </w:r>
      <w:r>
        <w:rPr>
          <w:sz w:val="20"/>
          <w:szCs w:val="20"/>
        </w:rPr>
        <w:t>M</w:t>
      </w:r>
      <w:r w:rsidR="00BD4090">
        <w:rPr>
          <w:sz w:val="20"/>
          <w:szCs w:val="20"/>
        </w:rPr>
        <w:t>.</w:t>
      </w:r>
      <w:r>
        <w:rPr>
          <w:sz w:val="20"/>
          <w:szCs w:val="20"/>
        </w:rPr>
        <w:t>’s residence and asked her whereabo</w:t>
      </w:r>
      <w:r>
        <w:rPr>
          <w:sz w:val="20"/>
          <w:szCs w:val="20"/>
        </w:rPr>
        <w:t xml:space="preserve">uts. On June 12, 2021, three police officers from </w:t>
      </w:r>
      <w:proofErr w:type="spellStart"/>
      <w:r>
        <w:rPr>
          <w:sz w:val="20"/>
          <w:szCs w:val="20"/>
        </w:rPr>
        <w:t>Brgy</w:t>
      </w:r>
      <w:proofErr w:type="spellEnd"/>
      <w:r>
        <w:rPr>
          <w:sz w:val="20"/>
          <w:szCs w:val="20"/>
        </w:rPr>
        <w:t>. Sta. Elena, in Marikina City, visited</w:t>
      </w:r>
      <w:r w:rsidR="00BD4090">
        <w:rPr>
          <w:sz w:val="20"/>
          <w:szCs w:val="20"/>
        </w:rPr>
        <w:t xml:space="preserve"> E. </w:t>
      </w:r>
      <w:r>
        <w:rPr>
          <w:sz w:val="20"/>
          <w:szCs w:val="20"/>
        </w:rPr>
        <w:t>M</w:t>
      </w:r>
      <w:r w:rsidR="00BD4090">
        <w:rPr>
          <w:sz w:val="20"/>
          <w:szCs w:val="20"/>
        </w:rPr>
        <w:t>.</w:t>
      </w:r>
      <w:r>
        <w:rPr>
          <w:sz w:val="20"/>
          <w:szCs w:val="20"/>
        </w:rPr>
        <w:t xml:space="preserve">’s urban garden. Members of the PNP asked one of the mothers in the urban garden which organization </w:t>
      </w:r>
      <w:r w:rsidR="00BD4090">
        <w:rPr>
          <w:sz w:val="20"/>
          <w:szCs w:val="20"/>
        </w:rPr>
        <w:t xml:space="preserve">E. M. </w:t>
      </w:r>
      <w:r>
        <w:rPr>
          <w:sz w:val="20"/>
          <w:szCs w:val="20"/>
        </w:rPr>
        <w:t>belongs to.</w:t>
      </w:r>
    </w:p>
  </w:footnote>
  <w:footnote w:id="25">
    <w:p w:rsidR="008726B6" w:rsidRDefault="00DA1413">
      <w:pPr>
        <w:spacing w:after="0" w:line="240" w:lineRule="auto"/>
        <w:jc w:val="both"/>
        <w:rPr>
          <w:sz w:val="20"/>
          <w:szCs w:val="20"/>
        </w:rPr>
      </w:pPr>
      <w:r>
        <w:rPr>
          <w:vertAlign w:val="superscript"/>
        </w:rPr>
        <w:footnoteRef/>
      </w:r>
      <w:r>
        <w:rPr>
          <w:sz w:val="20"/>
          <w:szCs w:val="20"/>
        </w:rPr>
        <w:t xml:space="preserve"> In July 2021, C</w:t>
      </w:r>
      <w:r w:rsidR="00BD4090">
        <w:rPr>
          <w:sz w:val="20"/>
          <w:szCs w:val="20"/>
        </w:rPr>
        <w:t>. C.</w:t>
      </w:r>
      <w:r>
        <w:rPr>
          <w:sz w:val="20"/>
          <w:szCs w:val="20"/>
        </w:rPr>
        <w:t>, on her way to the GWP office, was followed by an unidentified man wearing fatigue pants</w:t>
      </w:r>
      <w:r>
        <w:rPr>
          <w:sz w:val="20"/>
          <w:szCs w:val="20"/>
        </w:rPr>
        <w:t xml:space="preserve"> and a cap. In November 2021, she noticed that a man was following her while walking on a footbridge in Marikina City. The man followed her until she got into a taxi. When she arrived at her destination, she observed that the man was still tailing her.  Fu</w:t>
      </w:r>
      <w:r>
        <w:rPr>
          <w:sz w:val="20"/>
          <w:szCs w:val="20"/>
        </w:rPr>
        <w:t>rthermore, in December 2021, she received a series of messages from two anonymous accounts on social media platforms.</w:t>
      </w:r>
    </w:p>
    <w:p w:rsidR="008726B6" w:rsidRDefault="00DA1413">
      <w:pPr>
        <w:spacing w:after="0" w:line="240" w:lineRule="auto"/>
        <w:jc w:val="both"/>
        <w:rPr>
          <w:sz w:val="20"/>
          <w:szCs w:val="20"/>
        </w:rPr>
      </w:pPr>
      <w:hyperlink r:id="rId9">
        <w:r>
          <w:rPr>
            <w:color w:val="1155CC"/>
            <w:sz w:val="20"/>
            <w:szCs w:val="20"/>
            <w:u w:val="single"/>
          </w:rPr>
          <w:t>https://www.facebook.com/GabrielaWomensParty/posts/pfbid029PRLoGeEDeJrmw1bFgsumUKkXvQfXch1VMbr781BvdaXfvosqYjAGhEmNtWmwz1Tl</w:t>
        </w:r>
      </w:hyperlink>
    </w:p>
  </w:footnote>
  <w:footnote w:id="26">
    <w:p w:rsidR="008726B6" w:rsidRDefault="00DA1413">
      <w:pPr>
        <w:spacing w:after="0" w:line="240" w:lineRule="auto"/>
        <w:jc w:val="both"/>
        <w:rPr>
          <w:sz w:val="20"/>
          <w:szCs w:val="20"/>
        </w:rPr>
      </w:pPr>
      <w:r>
        <w:rPr>
          <w:vertAlign w:val="superscript"/>
        </w:rPr>
        <w:footnoteRef/>
      </w:r>
      <w:r>
        <w:rPr>
          <w:sz w:val="20"/>
          <w:szCs w:val="20"/>
        </w:rPr>
        <w:t xml:space="preserve"> GWP filed HR 27, urging the House Committee on Human Rights to investigate the proliferation of re</w:t>
      </w:r>
      <w:r>
        <w:rPr>
          <w:sz w:val="20"/>
          <w:szCs w:val="20"/>
        </w:rPr>
        <w:t xml:space="preserve">d-tagging and terror-tagging materials against GWP and members of the </w:t>
      </w:r>
      <w:proofErr w:type="spellStart"/>
      <w:r>
        <w:rPr>
          <w:sz w:val="20"/>
          <w:szCs w:val="20"/>
        </w:rPr>
        <w:t>Makabayan</w:t>
      </w:r>
      <w:proofErr w:type="spellEnd"/>
      <w:r>
        <w:rPr>
          <w:sz w:val="20"/>
          <w:szCs w:val="20"/>
        </w:rPr>
        <w:t xml:space="preserve"> bloc. (HR 27, filed on July 16, 2022)</w:t>
      </w:r>
    </w:p>
    <w:p w:rsidR="008726B6" w:rsidRDefault="00DA1413">
      <w:pPr>
        <w:spacing w:after="0" w:line="240" w:lineRule="auto"/>
        <w:jc w:val="both"/>
        <w:rPr>
          <w:sz w:val="20"/>
          <w:szCs w:val="20"/>
        </w:rPr>
      </w:pPr>
      <w:r>
        <w:rPr>
          <w:sz w:val="20"/>
          <w:szCs w:val="20"/>
        </w:rPr>
        <w:t xml:space="preserve">See: </w:t>
      </w:r>
      <w:hyperlink r:id="rId10">
        <w:r>
          <w:rPr>
            <w:color w:val="1155CC"/>
            <w:sz w:val="20"/>
            <w:szCs w:val="20"/>
            <w:u w:val="single"/>
          </w:rPr>
          <w:t>https://hrep-website.s3.ap-sou</w:t>
        </w:r>
        <w:r>
          <w:rPr>
            <w:color w:val="1155CC"/>
            <w:sz w:val="20"/>
            <w:szCs w:val="20"/>
            <w:u w:val="single"/>
          </w:rPr>
          <w:t>theast-1.amazonaws.com/legisdocs/basic_19/HR00027.pdf</w:t>
        </w:r>
      </w:hyperlink>
    </w:p>
  </w:footnote>
  <w:footnote w:id="27">
    <w:p w:rsidR="008726B6" w:rsidRDefault="00DA1413">
      <w:pPr>
        <w:spacing w:after="0" w:line="240" w:lineRule="auto"/>
        <w:jc w:val="both"/>
        <w:rPr>
          <w:sz w:val="20"/>
          <w:szCs w:val="20"/>
        </w:rPr>
      </w:pPr>
      <w:r>
        <w:rPr>
          <w:vertAlign w:val="superscript"/>
        </w:rPr>
        <w:footnoteRef/>
      </w:r>
      <w:r>
        <w:rPr>
          <w:sz w:val="20"/>
          <w:szCs w:val="20"/>
        </w:rPr>
        <w:t xml:space="preserve"> Trumped-up charges filed against </w:t>
      </w:r>
      <w:r>
        <w:rPr>
          <w:sz w:val="20"/>
          <w:szCs w:val="20"/>
        </w:rPr>
        <w:t>these peasant women include criminal charges for illegal possession of firearms and explosives.</w:t>
      </w:r>
    </w:p>
  </w:footnote>
  <w:footnote w:id="28">
    <w:p w:rsidR="008726B6" w:rsidRDefault="00DA1413">
      <w:pPr>
        <w:spacing w:after="0" w:line="240" w:lineRule="auto"/>
        <w:jc w:val="both"/>
        <w:rPr>
          <w:sz w:val="20"/>
          <w:szCs w:val="20"/>
        </w:rPr>
      </w:pPr>
      <w:r>
        <w:rPr>
          <w:vertAlign w:val="superscript"/>
        </w:rPr>
        <w:footnoteRef/>
      </w:r>
      <w:r>
        <w:rPr>
          <w:sz w:val="20"/>
          <w:szCs w:val="20"/>
        </w:rPr>
        <w:t xml:space="preserve"> HR 1812 seeks to investigate the intensifying attacks and human rights violations against peasant women in the country.</w:t>
      </w:r>
    </w:p>
  </w:footnote>
  <w:footnote w:id="29">
    <w:p w:rsidR="008726B6" w:rsidRDefault="00DA1413">
      <w:pPr>
        <w:spacing w:after="0" w:line="240" w:lineRule="auto"/>
        <w:rPr>
          <w:sz w:val="20"/>
          <w:szCs w:val="20"/>
        </w:rPr>
      </w:pPr>
      <w:r>
        <w:rPr>
          <w:vertAlign w:val="superscript"/>
        </w:rPr>
        <w:footnoteRef/>
      </w:r>
      <w:r>
        <w:rPr>
          <w:sz w:val="20"/>
          <w:szCs w:val="20"/>
        </w:rPr>
        <w:t xml:space="preserve"> “Belle” is not her real name.</w:t>
      </w:r>
    </w:p>
  </w:footnote>
  <w:footnote w:id="30">
    <w:p w:rsidR="005B5579" w:rsidRDefault="005B5579" w:rsidP="005B5579">
      <w:pPr>
        <w:spacing w:after="0" w:line="240" w:lineRule="auto"/>
        <w:rPr>
          <w:sz w:val="20"/>
          <w:szCs w:val="20"/>
        </w:rPr>
      </w:pPr>
      <w:r>
        <w:rPr>
          <w:vertAlign w:val="superscript"/>
        </w:rPr>
        <w:footnoteRef/>
      </w:r>
      <w:r>
        <w:rPr>
          <w:sz w:val="20"/>
          <w:szCs w:val="20"/>
        </w:rPr>
        <w:t xml:space="preserve"> APHR. Parliamentarians At Risk 2020 p. 27-32  Available at </w:t>
      </w:r>
      <w:hyperlink r:id="rId11">
        <w:r>
          <w:rPr>
            <w:color w:val="1155CC"/>
            <w:sz w:val="20"/>
            <w:szCs w:val="20"/>
            <w:u w:val="single"/>
          </w:rPr>
          <w:t>http://aseanmp.org/wp-content/uploads/2020/12/APHR-Parliamentarians-at-Risk-1.pdf</w:t>
        </w:r>
      </w:hyperlink>
    </w:p>
  </w:footnote>
  <w:footnote w:id="31">
    <w:p w:rsidR="008726B6" w:rsidRDefault="00DA1413">
      <w:pPr>
        <w:spacing w:after="0" w:line="240" w:lineRule="auto"/>
        <w:rPr>
          <w:sz w:val="20"/>
          <w:szCs w:val="20"/>
        </w:rPr>
      </w:pPr>
      <w:r>
        <w:rPr>
          <w:vertAlign w:val="superscript"/>
        </w:rPr>
        <w:footnoteRef/>
      </w:r>
      <w:r>
        <w:rPr>
          <w:sz w:val="20"/>
          <w:szCs w:val="20"/>
        </w:rPr>
        <w:t xml:space="preserve"> Ibid., p. 30</w:t>
      </w:r>
    </w:p>
  </w:footnote>
  <w:footnote w:id="32">
    <w:p w:rsidR="008726B6" w:rsidRDefault="00DA1413">
      <w:pPr>
        <w:spacing w:after="0" w:line="240" w:lineRule="auto"/>
        <w:rPr>
          <w:sz w:val="20"/>
          <w:szCs w:val="20"/>
        </w:rPr>
      </w:pPr>
      <w:r>
        <w:rPr>
          <w:vertAlign w:val="superscript"/>
        </w:rPr>
        <w:footnoteRef/>
      </w:r>
      <w:r>
        <w:rPr>
          <w:sz w:val="20"/>
          <w:szCs w:val="20"/>
        </w:rPr>
        <w:t xml:space="preserve">APHR. Parliamentarians At Risk 2022 p. 28-31  Available at  </w:t>
      </w:r>
      <w:hyperlink r:id="rId12">
        <w:r>
          <w:rPr>
            <w:color w:val="1155CC"/>
            <w:sz w:val="20"/>
            <w:szCs w:val="20"/>
            <w:u w:val="single"/>
          </w:rPr>
          <w:t>https://aseanmp.org/wp-content/uploads/2023</w:t>
        </w:r>
        <w:r>
          <w:rPr>
            <w:color w:val="1155CC"/>
            <w:sz w:val="20"/>
            <w:szCs w:val="20"/>
            <w:u w:val="single"/>
          </w:rPr>
          <w:t>/03/PARLIAMENTARIANS-AT-RISK-2022-FINAL.-WEB.pdf</w:t>
        </w:r>
      </w:hyperlink>
    </w:p>
  </w:footnote>
  <w:footnote w:id="33">
    <w:p w:rsidR="008726B6" w:rsidRDefault="00DA1413">
      <w:pPr>
        <w:spacing w:after="0" w:line="240" w:lineRule="auto"/>
        <w:rPr>
          <w:sz w:val="20"/>
          <w:szCs w:val="20"/>
        </w:rPr>
      </w:pPr>
      <w:r>
        <w:rPr>
          <w:vertAlign w:val="superscript"/>
        </w:rPr>
        <w:footnoteRef/>
      </w:r>
      <w:r>
        <w:rPr>
          <w:sz w:val="20"/>
          <w:szCs w:val="20"/>
        </w:rPr>
        <w:t xml:space="preserve"> Ibid., p. 31-33</w:t>
      </w:r>
    </w:p>
  </w:footnote>
  <w:footnote w:id="34">
    <w:p w:rsidR="008726B6" w:rsidRDefault="00DA1413">
      <w:pPr>
        <w:spacing w:after="0" w:line="240" w:lineRule="auto"/>
        <w:rPr>
          <w:sz w:val="20"/>
          <w:szCs w:val="20"/>
        </w:rPr>
      </w:pPr>
      <w:r>
        <w:rPr>
          <w:vertAlign w:val="superscript"/>
        </w:rPr>
        <w:footnoteRef/>
      </w:r>
      <w:r>
        <w:rPr>
          <w:sz w:val="20"/>
          <w:szCs w:val="20"/>
        </w:rPr>
        <w:t xml:space="preserve"> Ibid., p. 34</w:t>
      </w:r>
    </w:p>
  </w:footnote>
  <w:footnote w:id="35">
    <w:p w:rsidR="008726B6" w:rsidRDefault="00DA1413">
      <w:pPr>
        <w:spacing w:after="0" w:line="240" w:lineRule="auto"/>
        <w:rPr>
          <w:sz w:val="20"/>
          <w:szCs w:val="20"/>
        </w:rPr>
      </w:pPr>
      <w:r>
        <w:rPr>
          <w:vertAlign w:val="superscript"/>
        </w:rPr>
        <w:footnoteRef/>
      </w:r>
      <w:r>
        <w:rPr>
          <w:sz w:val="20"/>
          <w:szCs w:val="20"/>
        </w:rPr>
        <w:t xml:space="preserve"> Gabriela Women’s Party Facebook Page (February 27, 2021). Accessed at </w:t>
      </w:r>
      <w:hyperlink r:id="rId13">
        <w:r>
          <w:rPr>
            <w:color w:val="1155CC"/>
            <w:sz w:val="20"/>
            <w:szCs w:val="20"/>
            <w:u w:val="single"/>
          </w:rPr>
          <w:t>https://www.facebook.com/GabrielaWomensParty/videos/women-representation-in-ph/2192764357522852/</w:t>
        </w:r>
      </w:hyperlink>
    </w:p>
  </w:footnote>
  <w:footnote w:id="36">
    <w:p w:rsidR="008726B6" w:rsidRDefault="00DA1413">
      <w:pPr>
        <w:spacing w:after="0" w:line="240" w:lineRule="auto"/>
        <w:jc w:val="both"/>
        <w:rPr>
          <w:sz w:val="20"/>
          <w:szCs w:val="20"/>
        </w:rPr>
      </w:pPr>
      <w:r>
        <w:rPr>
          <w:vertAlign w:val="superscript"/>
        </w:rPr>
        <w:footnoteRef/>
      </w:r>
      <w:r>
        <w:rPr>
          <w:sz w:val="20"/>
          <w:szCs w:val="20"/>
        </w:rPr>
        <w:t xml:space="preserve"> See: An Act Defining the Rights and Fundamental Freedoms of Human Rights Defenders, Declaring State Responsibilities, and Instit</w:t>
      </w:r>
      <w:r>
        <w:rPr>
          <w:sz w:val="20"/>
          <w:szCs w:val="20"/>
        </w:rPr>
        <w:t>uting Effective Mechanisms for the Protection and Promotion of These Rights and Freedoms. This bill was approved on third and final reading in the House of Representatives both in the 17th and 18th Congress. It remains pending before the Committee on Human</w:t>
      </w:r>
      <w:r>
        <w:rPr>
          <w:sz w:val="20"/>
          <w:szCs w:val="20"/>
        </w:rPr>
        <w:t xml:space="preserve"> Rights in the present Congress. GWP has been a co-author in the 14th Congress (2008), 15th Congress (2011), 16th Congress (2013) then principal author in the:</w:t>
      </w:r>
    </w:p>
    <w:p w:rsidR="008726B6" w:rsidRDefault="00DA1413">
      <w:pPr>
        <w:widowControl w:val="0"/>
        <w:spacing w:after="0" w:line="240" w:lineRule="auto"/>
        <w:ind w:right="95"/>
        <w:rPr>
          <w:sz w:val="20"/>
          <w:szCs w:val="20"/>
        </w:rPr>
      </w:pPr>
      <w:r>
        <w:rPr>
          <w:sz w:val="20"/>
          <w:szCs w:val="20"/>
        </w:rPr>
        <w:t xml:space="preserve">17th Congress (2019) Copy Available at </w:t>
      </w:r>
      <w:hyperlink r:id="rId14">
        <w:r>
          <w:rPr>
            <w:color w:val="1155CC"/>
            <w:sz w:val="20"/>
            <w:szCs w:val="20"/>
            <w:u w:val="single"/>
          </w:rPr>
          <w:t>https://hrep-website.s3.ap-southeast-1.amazonaws.com/legisdocs/third_17/HBT9199.pdf</w:t>
        </w:r>
      </w:hyperlink>
    </w:p>
    <w:p w:rsidR="008726B6" w:rsidRDefault="00DA1413">
      <w:pPr>
        <w:spacing w:after="0" w:line="240" w:lineRule="auto"/>
        <w:ind w:right="95"/>
        <w:jc w:val="both"/>
        <w:rPr>
          <w:sz w:val="20"/>
          <w:szCs w:val="20"/>
        </w:rPr>
      </w:pPr>
      <w:r>
        <w:rPr>
          <w:sz w:val="20"/>
          <w:szCs w:val="20"/>
        </w:rPr>
        <w:t>18th Congress (2021) Copy Available at</w:t>
      </w:r>
    </w:p>
    <w:p w:rsidR="008726B6" w:rsidRDefault="00DA1413">
      <w:pPr>
        <w:spacing w:after="0" w:line="240" w:lineRule="auto"/>
        <w:ind w:right="95"/>
        <w:jc w:val="both"/>
        <w:rPr>
          <w:sz w:val="20"/>
          <w:szCs w:val="20"/>
        </w:rPr>
      </w:pPr>
      <w:hyperlink r:id="rId15">
        <w:r>
          <w:rPr>
            <w:color w:val="1155CC"/>
            <w:sz w:val="20"/>
            <w:szCs w:val="20"/>
            <w:u w:val="single"/>
          </w:rPr>
          <w:t>https://hrep-website.s3.ap-southeast-1.amazonaws.com/legisdocs/third_18/HBT10576.pdf</w:t>
        </w:r>
      </w:hyperlink>
    </w:p>
    <w:p w:rsidR="008726B6" w:rsidRDefault="00DA1413">
      <w:pPr>
        <w:spacing w:after="0" w:line="240" w:lineRule="auto"/>
        <w:ind w:right="95"/>
        <w:jc w:val="both"/>
        <w:rPr>
          <w:sz w:val="20"/>
          <w:szCs w:val="20"/>
        </w:rPr>
      </w:pPr>
      <w:r>
        <w:rPr>
          <w:sz w:val="20"/>
          <w:szCs w:val="20"/>
        </w:rPr>
        <w:t>19th Congress (2022) Copy Available At</w:t>
      </w:r>
    </w:p>
    <w:p w:rsidR="008726B6" w:rsidRDefault="00DA1413">
      <w:pPr>
        <w:spacing w:after="0" w:line="240" w:lineRule="auto"/>
        <w:ind w:right="95"/>
        <w:jc w:val="both"/>
        <w:rPr>
          <w:sz w:val="20"/>
          <w:szCs w:val="20"/>
        </w:rPr>
      </w:pPr>
      <w:hyperlink r:id="rId16">
        <w:r>
          <w:rPr>
            <w:color w:val="1155CC"/>
            <w:sz w:val="20"/>
            <w:szCs w:val="20"/>
            <w:u w:val="single"/>
          </w:rPr>
          <w:t>https://hrep-website.s3.ap-southeast-1.amazonaws.com/legisdocs/basic_19/HB00256.pdf</w:t>
        </w:r>
      </w:hyperlink>
    </w:p>
  </w:footnote>
  <w:footnote w:id="37">
    <w:p w:rsidR="008726B6" w:rsidRDefault="00DA1413">
      <w:pPr>
        <w:spacing w:after="0" w:line="240" w:lineRule="auto"/>
        <w:rPr>
          <w:sz w:val="20"/>
          <w:szCs w:val="20"/>
        </w:rPr>
      </w:pPr>
      <w:r>
        <w:rPr>
          <w:vertAlign w:val="superscript"/>
        </w:rPr>
        <w:footnoteRef/>
      </w:r>
      <w:r>
        <w:rPr>
          <w:sz w:val="20"/>
          <w:szCs w:val="20"/>
        </w:rPr>
        <w:t xml:space="preserve"> Free Our Sisters, Free Ourselves is a campaign against the political persecution and repression of women activists. Facebook page can be accessed at </w:t>
      </w:r>
      <w:hyperlink r:id="rId17">
        <w:r>
          <w:rPr>
            <w:color w:val="1155CC"/>
            <w:sz w:val="20"/>
            <w:szCs w:val="20"/>
            <w:u w:val="single"/>
          </w:rPr>
          <w:t>https://www.facebook.com/FreeOurSistersFreeOurselves/</w:t>
        </w:r>
      </w:hyperlink>
    </w:p>
  </w:footnote>
  <w:footnote w:id="38">
    <w:p w:rsidR="008726B6" w:rsidRDefault="00DA1413">
      <w:pPr>
        <w:spacing w:after="0" w:line="240" w:lineRule="auto"/>
        <w:rPr>
          <w:sz w:val="20"/>
          <w:szCs w:val="20"/>
        </w:rPr>
      </w:pPr>
      <w:r>
        <w:rPr>
          <w:vertAlign w:val="superscript"/>
        </w:rPr>
        <w:footnoteRef/>
      </w:r>
      <w:r>
        <w:rPr>
          <w:sz w:val="20"/>
          <w:szCs w:val="20"/>
        </w:rPr>
        <w:t xml:space="preserve"> See: Change.org Petition to Defend Filipino Women: Statement of Unity </w:t>
      </w:r>
      <w:r>
        <w:rPr>
          <w:sz w:val="20"/>
          <w:szCs w:val="20"/>
        </w:rPr>
        <w:t xml:space="preserve">to Defend Gabriela Women’s Party Available at </w:t>
      </w:r>
      <w:hyperlink r:id="rId18">
        <w:r>
          <w:rPr>
            <w:color w:val="1155CC"/>
            <w:sz w:val="20"/>
            <w:szCs w:val="20"/>
            <w:u w:val="single"/>
          </w:rPr>
          <w:t>https://www.change.org/p/filipino-people-defend-filipino-women-statement-of-</w:t>
        </w:r>
        <w:r>
          <w:rPr>
            <w:color w:val="1155CC"/>
            <w:sz w:val="20"/>
            <w:szCs w:val="20"/>
            <w:u w:val="single"/>
          </w:rPr>
          <w:t>unity-to-defend-gabriela-women-s-party</w:t>
        </w:r>
      </w:hyperlink>
    </w:p>
  </w:footnote>
  <w:footnote w:id="39">
    <w:p w:rsidR="008726B6" w:rsidRDefault="00DA1413">
      <w:pPr>
        <w:spacing w:after="0" w:line="240" w:lineRule="auto"/>
        <w:rPr>
          <w:sz w:val="20"/>
          <w:szCs w:val="20"/>
        </w:rPr>
      </w:pPr>
      <w:r>
        <w:rPr>
          <w:vertAlign w:val="superscript"/>
        </w:rPr>
        <w:footnoteRef/>
      </w:r>
      <w:r>
        <w:rPr>
          <w:sz w:val="20"/>
          <w:szCs w:val="20"/>
        </w:rPr>
        <w:t xml:space="preserve"> Lawmaker files complaint vs. NTF-ELCAC over red-tagging. (Dec. 7, 2020). CNN Philippines. Accessed at </w:t>
      </w:r>
      <w:hyperlink r:id="rId19">
        <w:r>
          <w:rPr>
            <w:color w:val="1155CC"/>
            <w:sz w:val="20"/>
            <w:szCs w:val="20"/>
            <w:u w:val="single"/>
          </w:rPr>
          <w:t>http://www.cnnphilippines.com/news/2020/12/7/sarah-elago-ombudsman-ntf-elcac-red-tagging.html</w:t>
        </w:r>
      </w:hyperlink>
    </w:p>
  </w:footnote>
  <w:footnote w:id="40">
    <w:p w:rsidR="008726B6" w:rsidRDefault="00DA1413">
      <w:pPr>
        <w:spacing w:after="0" w:line="240" w:lineRule="auto"/>
        <w:jc w:val="both"/>
        <w:rPr>
          <w:sz w:val="20"/>
          <w:szCs w:val="20"/>
        </w:rPr>
      </w:pPr>
      <w:r>
        <w:rPr>
          <w:vertAlign w:val="superscript"/>
        </w:rPr>
        <w:footnoteRef/>
      </w:r>
      <w:r>
        <w:rPr>
          <w:sz w:val="20"/>
          <w:szCs w:val="20"/>
        </w:rPr>
        <w:t xml:space="preserve"> See: Report on the Red-Tagging of former Rep.</w:t>
      </w:r>
      <w:r w:rsidR="005B5579">
        <w:rPr>
          <w:sz w:val="20"/>
          <w:szCs w:val="20"/>
        </w:rPr>
        <w:t xml:space="preserve"> </w:t>
      </w:r>
      <w:r w:rsidR="005B5579">
        <w:rPr>
          <w:sz w:val="20"/>
          <w:szCs w:val="20"/>
        </w:rPr>
        <w:t>E</w:t>
      </w:r>
      <w:bookmarkStart w:id="4" w:name="_GoBack"/>
      <w:bookmarkEnd w:id="4"/>
      <w:r>
        <w:rPr>
          <w:sz w:val="20"/>
          <w:szCs w:val="20"/>
        </w:rPr>
        <w:t xml:space="preserve">. </w:t>
      </w:r>
      <w:proofErr w:type="spellStart"/>
      <w:r>
        <w:rPr>
          <w:sz w:val="20"/>
          <w:szCs w:val="20"/>
        </w:rPr>
        <w:t>Internews</w:t>
      </w:r>
      <w:proofErr w:type="spellEnd"/>
      <w:r>
        <w:rPr>
          <w:sz w:val="20"/>
          <w:szCs w:val="20"/>
        </w:rPr>
        <w:t xml:space="preserve">. Red-Tagging in the Philippines, p. 54. Available at </w:t>
      </w:r>
      <w:hyperlink r:id="rId20">
        <w:r>
          <w:rPr>
            <w:color w:val="1155CC"/>
            <w:sz w:val="20"/>
            <w:szCs w:val="20"/>
            <w:u w:val="single"/>
          </w:rPr>
          <w:t>https://internews.org/wp-content/uploads/2023/01/Red-Tagging-in-the-Philippines.pdf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73BD1"/>
    <w:multiLevelType w:val="multilevel"/>
    <w:tmpl w:val="0784D7C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6B6"/>
    <w:rsid w:val="00346DF5"/>
    <w:rsid w:val="003D1A03"/>
    <w:rsid w:val="005B5579"/>
    <w:rsid w:val="008726B6"/>
    <w:rsid w:val="00931F41"/>
    <w:rsid w:val="009B0F84"/>
    <w:rsid w:val="00A86F31"/>
    <w:rsid w:val="00BD4090"/>
    <w:rsid w:val="00D03B7F"/>
    <w:rsid w:val="00DA141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870FB9"/>
  <w15:docId w15:val="{CE97265E-1A7F-4622-AF42-6B7D5A436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PH" w:eastAsia="en-PH"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A6932"/>
    <w:pPr>
      <w:ind w:left="720"/>
      <w:contextualSpacing/>
    </w:pPr>
  </w:style>
  <w:style w:type="paragraph" w:styleId="NormalWeb">
    <w:name w:val="Normal (Web)"/>
    <w:basedOn w:val="Normal"/>
    <w:uiPriority w:val="99"/>
    <w:unhideWhenUsed/>
    <w:rsid w:val="00902D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902DDE"/>
  </w:style>
  <w:style w:type="character" w:styleId="Hyperlink">
    <w:name w:val="Hyperlink"/>
    <w:basedOn w:val="DefaultParagraphFont"/>
    <w:uiPriority w:val="99"/>
    <w:unhideWhenUsed/>
    <w:rsid w:val="00902DDE"/>
    <w:rPr>
      <w:color w:val="0000FF"/>
      <w:u w:val="single"/>
    </w:rPr>
  </w:style>
  <w:style w:type="character" w:styleId="UnresolvedMention">
    <w:name w:val="Unresolved Mention"/>
    <w:basedOn w:val="DefaultParagraphFont"/>
    <w:uiPriority w:val="99"/>
    <w:semiHidden/>
    <w:unhideWhenUsed/>
    <w:rsid w:val="00593922"/>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gabrielawomensparty@gmail.com" TargetMode="External"/><Relationship Id="rId4" Type="http://schemas.openxmlformats.org/officeDocument/2006/relationships/settings" Target="settings.xml"/><Relationship Id="rId9" Type="http://schemas.openxmlformats.org/officeDocument/2006/relationships/hyperlink" Target="http://www.congress.gov.ph"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ltermidya.net/families-of-two-detained-activists-in-bicol-call-to-support-local-progressive-groups-freejenandpastordan-movement/" TargetMode="External"/><Relationship Id="rId13" Type="http://schemas.openxmlformats.org/officeDocument/2006/relationships/hyperlink" Target="https://www.facebook.com/GabrielaWomensParty/videos/women-representation-in-ph/2192764357522852/" TargetMode="External"/><Relationship Id="rId18" Type="http://schemas.openxmlformats.org/officeDocument/2006/relationships/hyperlink" Target="https://www.change.org/p/filipino-people-defend-filipino-women-statement-of-unity-to-defend-gabriela-women-s-party" TargetMode="External"/><Relationship Id="rId3" Type="http://schemas.openxmlformats.org/officeDocument/2006/relationships/hyperlink" Target="https://hrep-website.s3.ap-southeast-1.amazonaws.com/legisdocs/basic_19/HB01152.pdf" TargetMode="External"/><Relationship Id="rId7" Type="http://schemas.openxmlformats.org/officeDocument/2006/relationships/hyperlink" Target="https://www.cnnphilippines.com/news/2021/1/30/Anti-Terrorism-Act-oral-arguments-Supreme-Court.html" TargetMode="External"/><Relationship Id="rId12" Type="http://schemas.openxmlformats.org/officeDocument/2006/relationships/hyperlink" Target="https://aseanmp.org/wp-content/uploads/2023/03/PARLIAMENTARIANS-AT-RISK-2022-FINAL.-WEB.pdf" TargetMode="External"/><Relationship Id="rId17" Type="http://schemas.openxmlformats.org/officeDocument/2006/relationships/hyperlink" Target="https://www.facebook.com/FreeOurSistersFreeOurselves/" TargetMode="External"/><Relationship Id="rId2" Type="http://schemas.openxmlformats.org/officeDocument/2006/relationships/hyperlink" Target="https://dhsprogram.com/pubs/pdf/FR381/FR381.pdf" TargetMode="External"/><Relationship Id="rId16" Type="http://schemas.openxmlformats.org/officeDocument/2006/relationships/hyperlink" Target="https://hrep-website.s3.ap-southeast-1.amazonaws.com/legisdocs/basic_19/HB00256.pdf" TargetMode="External"/><Relationship Id="rId20" Type="http://schemas.openxmlformats.org/officeDocument/2006/relationships/hyperlink" Target="https://internews.org/wp-content/uploads/2023/01/Red-Tagging-in-the-Philippines.pdf" TargetMode="External"/><Relationship Id="rId1" Type="http://schemas.openxmlformats.org/officeDocument/2006/relationships/hyperlink" Target="https://www.gmanetwork.com/news/topstories/nation/870805/bill-vs-online-violence-against-women-children-passed-on-final-reading-in-house/story/" TargetMode="External"/><Relationship Id="rId6" Type="http://schemas.openxmlformats.org/officeDocument/2006/relationships/hyperlink" Target="https://www.officialgazette.gov.ph/downloads/2018/12dec/20181204-EO-70-RRD.pdf" TargetMode="External"/><Relationship Id="rId11" Type="http://schemas.openxmlformats.org/officeDocument/2006/relationships/hyperlink" Target="http://aseanmp.org/wp-content/uploads/2020/12/APHR-Parliamentarians-at-Risk-1.pdf" TargetMode="External"/><Relationship Id="rId5" Type="http://schemas.openxmlformats.org/officeDocument/2006/relationships/hyperlink" Target="https://www.bulatlat.com/2019/06/11/after-8-months-political-prisoner-released/" TargetMode="External"/><Relationship Id="rId15" Type="http://schemas.openxmlformats.org/officeDocument/2006/relationships/hyperlink" Target="https://hrep-website.s3.ap-southeast-1.amazonaws.com/legisdocs/third_18/HBT10576.pdf" TargetMode="External"/><Relationship Id="rId10" Type="http://schemas.openxmlformats.org/officeDocument/2006/relationships/hyperlink" Target="https://hrep-website.s3.ap-southeast-1.amazonaws.com/legisdocs/basic_19/HR00027.pdf" TargetMode="External"/><Relationship Id="rId19" Type="http://schemas.openxmlformats.org/officeDocument/2006/relationships/hyperlink" Target="http://www.cnnphilippines.com/news/2020/12/7/sarah-elago-ombudsman-ntf-elcac-red-tagging.html" TargetMode="External"/><Relationship Id="rId4" Type="http://schemas.openxmlformats.org/officeDocument/2006/relationships/hyperlink" Target="https://kodao.org/arrested-peasant-advocates-tortured-karapatan-says/" TargetMode="External"/><Relationship Id="rId9" Type="http://schemas.openxmlformats.org/officeDocument/2006/relationships/hyperlink" Target="https://www.facebook.com/GabrielaWomensParty/posts/pfbid029PRLoGeEDeJrmw1bFgsumUKkXvQfXch1VMbr781BvdaXfvosqYjAGhEmNtWmwz1Tl" TargetMode="External"/><Relationship Id="rId14" Type="http://schemas.openxmlformats.org/officeDocument/2006/relationships/hyperlink" Target="https://hrep-website.s3.ap-southeast-1.amazonaws.com/legisdocs/third_17/HBT919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VXpeAlEgZd5apdKsDJEujw6IpA==">CgMxLjAyCGguZ2pkZ3hzMg5oLjVnMGdya3F1dTNncDIOaC5nbmQ5MjVvbW80ejUyDmgub2lxN250anl0ZXNrOABqKgoUc3VnZ2VzdC51Nnp2MzcyYms0OXoSEkdhYnJpZWxhIFBhcnR5bGlzdHIhMU1kZUZzLVY2NklGMTdmN2tTaWJRaW1NM3loYThLMGw2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3261</Words>
  <Characters>17841</Characters>
  <Application>Microsoft Office Word</Application>
  <DocSecurity>0</DocSecurity>
  <Lines>469</Lines>
  <Paragraphs>125</Paragraphs>
  <ScaleCrop>false</ScaleCrop>
  <HeadingPairs>
    <vt:vector size="2" baseType="variant">
      <vt:variant>
        <vt:lpstr>Title</vt:lpstr>
      </vt:variant>
      <vt:variant>
        <vt:i4>1</vt:i4>
      </vt:variant>
    </vt:vector>
  </HeadingPairs>
  <TitlesOfParts>
    <vt:vector size="1" baseType="lpstr">
      <vt:lpstr/>
    </vt:vector>
  </TitlesOfParts>
  <Company>House of Representatives</Company>
  <LinksUpToDate>false</LinksUpToDate>
  <CharactersWithSpaces>20977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Arlene Brosas</dc:creator>
  <cp:lastModifiedBy>Arlene Brosas</cp:lastModifiedBy>
  <cp:revision>2</cp:revision>
  <dcterms:created xsi:type="dcterms:W3CDTF">2023-09-07T02:35:00Z</dcterms:created>
  <dcterms:modified xsi:type="dcterms:W3CDTF">2023-10-04T05:30:00Z</dcterms:modified>
</cp:coreProperties>
</file>