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4E05E8" w14:textId="77777777" w:rsidR="00242023" w:rsidRDefault="00000000">
      <w:pPr>
        <w:jc w:val="center"/>
        <w:rPr>
          <w:rFonts w:ascii="Source Sans 3" w:eastAsia="Source Sans 3" w:hAnsi="Source Sans 3" w:cs="Source Sans 3"/>
          <w:b/>
          <w:bCs/>
          <w:sz w:val="24"/>
          <w:szCs w:val="24"/>
        </w:rPr>
      </w:pPr>
      <w:r>
        <w:rPr>
          <w:rFonts w:ascii="Source Sans 3" w:eastAsia="Source Sans 3" w:hAnsi="Source Sans 3" w:cs="Source Sans 3"/>
          <w:b/>
          <w:bCs/>
          <w:sz w:val="24"/>
          <w:szCs w:val="24"/>
        </w:rPr>
        <w:t>Submission to the Committee on the Elimination of Discrimination against Women for the Follow-up Assessment of Tajikistan</w:t>
      </w:r>
    </w:p>
    <w:p w14:paraId="5045756A" w14:textId="77777777" w:rsidR="00242023" w:rsidRDefault="00242023"/>
    <w:p w14:paraId="13B63F13" w14:textId="77777777" w:rsidR="00242023" w:rsidRDefault="00000000">
      <w:pPr>
        <w:ind w:left="6480" w:firstLine="720"/>
        <w:jc w:val="center"/>
        <w:rPr>
          <w:rFonts w:ascii="Source Sans 3" w:eastAsia="Source Sans 3" w:hAnsi="Source Sans 3" w:cs="Source Sans 3"/>
          <w:sz w:val="24"/>
          <w:szCs w:val="24"/>
        </w:rPr>
      </w:pPr>
      <w:r>
        <w:rPr>
          <w:rFonts w:ascii="Source Sans 3" w:eastAsia="Source Sans 3" w:hAnsi="Source Sans 3" w:cs="Source Sans 3"/>
          <w:sz w:val="24"/>
          <w:szCs w:val="24"/>
        </w:rPr>
        <w:t>29 May 2026</w:t>
      </w:r>
    </w:p>
    <w:p w14:paraId="519E6E07" w14:textId="77777777" w:rsidR="00242023" w:rsidRDefault="00242023">
      <w:pPr>
        <w:jc w:val="both"/>
        <w:rPr>
          <w:rFonts w:ascii="Source Sans 3" w:eastAsia="Source Sans 3" w:hAnsi="Source Sans 3" w:cs="Source Sans 3"/>
          <w:sz w:val="24"/>
          <w:szCs w:val="24"/>
        </w:rPr>
      </w:pPr>
    </w:p>
    <w:p w14:paraId="45EFF03D" w14:textId="77777777" w:rsidR="00242023" w:rsidRDefault="00000000">
      <w:pPr>
        <w:jc w:val="center"/>
        <w:rPr>
          <w:rFonts w:ascii="Source Sans 3" w:eastAsia="Source Sans 3" w:hAnsi="Source Sans 3" w:cs="Source Sans 3"/>
          <w:b/>
          <w:bCs/>
          <w:sz w:val="24"/>
          <w:szCs w:val="24"/>
        </w:rPr>
      </w:pPr>
      <w:bookmarkStart w:id="0" w:name="_3rdcrjn" w:colFirst="0" w:colLast="0"/>
      <w:bookmarkEnd w:id="0"/>
      <w:r>
        <w:rPr>
          <w:rFonts w:ascii="Source Sans 3" w:eastAsia="Source Sans 3" w:hAnsi="Source Sans 3" w:cs="Source Sans 3"/>
          <w:b/>
          <w:bCs/>
          <w:sz w:val="24"/>
          <w:szCs w:val="24"/>
        </w:rPr>
        <w:t>Submitted by: Equality Now (lead organisation), PO “Women Lawyers for Development” and the Public Foundation “Your Choice”</w:t>
      </w:r>
    </w:p>
    <w:p w14:paraId="20E02B01" w14:textId="77777777" w:rsidR="00242023" w:rsidRDefault="00242023">
      <w:pPr>
        <w:jc w:val="center"/>
        <w:rPr>
          <w:rFonts w:ascii="Source Sans 3" w:eastAsia="Source Sans 3" w:hAnsi="Source Sans 3" w:cs="Source Sans 3"/>
          <w:sz w:val="24"/>
          <w:szCs w:val="24"/>
        </w:rPr>
      </w:pPr>
      <w:bookmarkStart w:id="1" w:name="_dswwk24dsy9r" w:colFirst="0" w:colLast="0"/>
      <w:bookmarkEnd w:id="1"/>
    </w:p>
    <w:sdt>
      <w:sdtPr>
        <w:id w:val="1161273544"/>
        <w:docPartObj>
          <w:docPartGallery w:val="Table of Contents"/>
          <w:docPartUnique/>
        </w:docPartObj>
      </w:sdtPr>
      <w:sdtContent>
        <w:p w14:paraId="1C4DED00" w14:textId="08C7B122" w:rsidR="00893CCC" w:rsidRDefault="00000000">
          <w:pPr>
            <w:pStyle w:val="TOC2"/>
            <w:tabs>
              <w:tab w:val="right" w:pos="9350"/>
            </w:tabs>
            <w:rPr>
              <w:noProof/>
            </w:rPr>
          </w:pPr>
          <w:r>
            <w:fldChar w:fldCharType="begin"/>
          </w:r>
          <w:r>
            <w:instrText xml:space="preserve"> TOC \h \u \z \t "Heading 1,1,Heading 2,2,Heading 3,3,Heading 4,4,Heading 5,5,Heading 6,6,"</w:instrText>
          </w:r>
          <w:r>
            <w:fldChar w:fldCharType="separate"/>
          </w:r>
          <w:hyperlink w:anchor="_Toc230964060" w:history="1">
            <w:r w:rsidR="00893CCC" w:rsidRPr="00EA0F55">
              <w:rPr>
                <w:rStyle w:val="Hyperlink"/>
                <w:rFonts w:ascii="Source Sans 3" w:eastAsia="Source Sans 3" w:hAnsi="Source Sans 3" w:cs="Source Sans 3"/>
                <w:b/>
                <w:bCs/>
                <w:noProof/>
              </w:rPr>
              <w:t>Introduction</w:t>
            </w:r>
            <w:r w:rsidR="00893CCC">
              <w:rPr>
                <w:noProof/>
                <w:webHidden/>
              </w:rPr>
              <w:tab/>
            </w:r>
            <w:r w:rsidR="00893CCC">
              <w:rPr>
                <w:noProof/>
                <w:webHidden/>
              </w:rPr>
              <w:fldChar w:fldCharType="begin"/>
            </w:r>
            <w:r w:rsidR="00893CCC">
              <w:rPr>
                <w:noProof/>
                <w:webHidden/>
              </w:rPr>
              <w:instrText xml:space="preserve"> PAGEREF _Toc230964060 \h </w:instrText>
            </w:r>
            <w:r w:rsidR="00893CCC">
              <w:rPr>
                <w:noProof/>
                <w:webHidden/>
              </w:rPr>
            </w:r>
            <w:r w:rsidR="00893CCC">
              <w:rPr>
                <w:noProof/>
                <w:webHidden/>
              </w:rPr>
              <w:fldChar w:fldCharType="separate"/>
            </w:r>
            <w:r w:rsidR="00893CCC">
              <w:rPr>
                <w:noProof/>
                <w:webHidden/>
              </w:rPr>
              <w:t>2</w:t>
            </w:r>
            <w:r w:rsidR="00893CCC">
              <w:rPr>
                <w:noProof/>
                <w:webHidden/>
              </w:rPr>
              <w:fldChar w:fldCharType="end"/>
            </w:r>
          </w:hyperlink>
        </w:p>
        <w:p w14:paraId="7489CB63" w14:textId="75115C22" w:rsidR="00893CCC" w:rsidRDefault="00893CCC">
          <w:pPr>
            <w:pStyle w:val="TOC3"/>
            <w:tabs>
              <w:tab w:val="right" w:pos="9350"/>
            </w:tabs>
            <w:rPr>
              <w:noProof/>
            </w:rPr>
          </w:pPr>
          <w:hyperlink w:anchor="_Toc230964061" w:history="1">
            <w:r w:rsidRPr="00EA0F55">
              <w:rPr>
                <w:rStyle w:val="Hyperlink"/>
                <w:rFonts w:ascii="Source Sans 3" w:eastAsia="Source Sans 3" w:hAnsi="Source Sans 3" w:cs="Source Sans 3"/>
                <w:b/>
                <w:bCs/>
                <w:noProof/>
              </w:rPr>
              <w:t>General Comments</w:t>
            </w:r>
            <w:r>
              <w:rPr>
                <w:noProof/>
                <w:webHidden/>
              </w:rPr>
              <w:tab/>
            </w:r>
            <w:r>
              <w:rPr>
                <w:noProof/>
                <w:webHidden/>
              </w:rPr>
              <w:fldChar w:fldCharType="begin"/>
            </w:r>
            <w:r>
              <w:rPr>
                <w:noProof/>
                <w:webHidden/>
              </w:rPr>
              <w:instrText xml:space="preserve"> PAGEREF _Toc230964061 \h </w:instrText>
            </w:r>
            <w:r>
              <w:rPr>
                <w:noProof/>
                <w:webHidden/>
              </w:rPr>
            </w:r>
            <w:r>
              <w:rPr>
                <w:noProof/>
                <w:webHidden/>
              </w:rPr>
              <w:fldChar w:fldCharType="separate"/>
            </w:r>
            <w:r>
              <w:rPr>
                <w:noProof/>
                <w:webHidden/>
              </w:rPr>
              <w:t>2</w:t>
            </w:r>
            <w:r>
              <w:rPr>
                <w:noProof/>
                <w:webHidden/>
              </w:rPr>
              <w:fldChar w:fldCharType="end"/>
            </w:r>
          </w:hyperlink>
        </w:p>
        <w:p w14:paraId="654C87DE" w14:textId="00BDC2BB" w:rsidR="00893CCC" w:rsidRDefault="00893CCC">
          <w:pPr>
            <w:pStyle w:val="TOC3"/>
            <w:tabs>
              <w:tab w:val="right" w:pos="9350"/>
            </w:tabs>
            <w:rPr>
              <w:noProof/>
            </w:rPr>
          </w:pPr>
          <w:hyperlink w:anchor="_Toc230964062" w:history="1">
            <w:r w:rsidRPr="00EA0F55">
              <w:rPr>
                <w:rStyle w:val="Hyperlink"/>
                <w:rFonts w:ascii="Source Sans 3" w:eastAsia="Source Sans 3" w:hAnsi="Source Sans 3" w:cs="Source Sans 3"/>
                <w:b/>
                <w:bCs/>
                <w:noProof/>
              </w:rPr>
              <w:t>Information on the lack of implementation of Paragraph 37(a) of the Concluding Observations</w:t>
            </w:r>
            <w:r>
              <w:rPr>
                <w:noProof/>
                <w:webHidden/>
              </w:rPr>
              <w:tab/>
            </w:r>
            <w:r>
              <w:rPr>
                <w:noProof/>
                <w:webHidden/>
              </w:rPr>
              <w:fldChar w:fldCharType="begin"/>
            </w:r>
            <w:r>
              <w:rPr>
                <w:noProof/>
                <w:webHidden/>
              </w:rPr>
              <w:instrText xml:space="preserve"> PAGEREF _Toc230964062 \h </w:instrText>
            </w:r>
            <w:r>
              <w:rPr>
                <w:noProof/>
                <w:webHidden/>
              </w:rPr>
            </w:r>
            <w:r>
              <w:rPr>
                <w:noProof/>
                <w:webHidden/>
              </w:rPr>
              <w:fldChar w:fldCharType="separate"/>
            </w:r>
            <w:r>
              <w:rPr>
                <w:noProof/>
                <w:webHidden/>
              </w:rPr>
              <w:t>4</w:t>
            </w:r>
            <w:r>
              <w:rPr>
                <w:noProof/>
                <w:webHidden/>
              </w:rPr>
              <w:fldChar w:fldCharType="end"/>
            </w:r>
          </w:hyperlink>
        </w:p>
        <w:p w14:paraId="44052B49" w14:textId="71A8DCE4" w:rsidR="00893CCC" w:rsidRDefault="00893CCC">
          <w:pPr>
            <w:pStyle w:val="TOC3"/>
            <w:tabs>
              <w:tab w:val="right" w:pos="9350"/>
            </w:tabs>
            <w:rPr>
              <w:noProof/>
            </w:rPr>
          </w:pPr>
          <w:hyperlink w:anchor="_Toc230964063" w:history="1">
            <w:r w:rsidRPr="00EA0F55">
              <w:rPr>
                <w:rStyle w:val="Hyperlink"/>
                <w:rFonts w:ascii="Source Sans 3" w:eastAsia="Source Sans 3" w:hAnsi="Source Sans 3" w:cs="Source Sans 3"/>
                <w:b/>
                <w:bCs/>
                <w:noProof/>
              </w:rPr>
              <w:t>Domestic Violence</w:t>
            </w:r>
            <w:r>
              <w:rPr>
                <w:noProof/>
                <w:webHidden/>
              </w:rPr>
              <w:tab/>
            </w:r>
            <w:r>
              <w:rPr>
                <w:noProof/>
                <w:webHidden/>
              </w:rPr>
              <w:fldChar w:fldCharType="begin"/>
            </w:r>
            <w:r>
              <w:rPr>
                <w:noProof/>
                <w:webHidden/>
              </w:rPr>
              <w:instrText xml:space="preserve"> PAGEREF _Toc230964063 \h </w:instrText>
            </w:r>
            <w:r>
              <w:rPr>
                <w:noProof/>
                <w:webHidden/>
              </w:rPr>
            </w:r>
            <w:r>
              <w:rPr>
                <w:noProof/>
                <w:webHidden/>
              </w:rPr>
              <w:fldChar w:fldCharType="separate"/>
            </w:r>
            <w:r>
              <w:rPr>
                <w:noProof/>
                <w:webHidden/>
              </w:rPr>
              <w:t>4</w:t>
            </w:r>
            <w:r>
              <w:rPr>
                <w:noProof/>
                <w:webHidden/>
              </w:rPr>
              <w:fldChar w:fldCharType="end"/>
            </w:r>
          </w:hyperlink>
        </w:p>
        <w:p w14:paraId="155A6EFB" w14:textId="0436765A" w:rsidR="00893CCC" w:rsidRDefault="00893CCC">
          <w:pPr>
            <w:pStyle w:val="TOC3"/>
            <w:tabs>
              <w:tab w:val="right" w:pos="9350"/>
            </w:tabs>
            <w:rPr>
              <w:noProof/>
            </w:rPr>
          </w:pPr>
          <w:hyperlink w:anchor="_Toc230964064" w:history="1">
            <w:r w:rsidRPr="00EA0F55">
              <w:rPr>
                <w:rStyle w:val="Hyperlink"/>
                <w:rFonts w:ascii="Source Sans 3" w:eastAsia="Source Sans 3" w:hAnsi="Source Sans 3" w:cs="Source Sans 3"/>
                <w:b/>
                <w:bCs/>
                <w:noProof/>
              </w:rPr>
              <w:t>Sexual Violence</w:t>
            </w:r>
            <w:r>
              <w:rPr>
                <w:noProof/>
                <w:webHidden/>
              </w:rPr>
              <w:tab/>
            </w:r>
            <w:r>
              <w:rPr>
                <w:noProof/>
                <w:webHidden/>
              </w:rPr>
              <w:fldChar w:fldCharType="begin"/>
            </w:r>
            <w:r>
              <w:rPr>
                <w:noProof/>
                <w:webHidden/>
              </w:rPr>
              <w:instrText xml:space="preserve"> PAGEREF _Toc230964064 \h </w:instrText>
            </w:r>
            <w:r>
              <w:rPr>
                <w:noProof/>
                <w:webHidden/>
              </w:rPr>
            </w:r>
            <w:r>
              <w:rPr>
                <w:noProof/>
                <w:webHidden/>
              </w:rPr>
              <w:fldChar w:fldCharType="separate"/>
            </w:r>
            <w:r>
              <w:rPr>
                <w:noProof/>
                <w:webHidden/>
              </w:rPr>
              <w:t>5</w:t>
            </w:r>
            <w:r>
              <w:rPr>
                <w:noProof/>
                <w:webHidden/>
              </w:rPr>
              <w:fldChar w:fldCharType="end"/>
            </w:r>
          </w:hyperlink>
        </w:p>
        <w:p w14:paraId="49605665" w14:textId="660D2ED8" w:rsidR="00893CCC" w:rsidRDefault="00893CCC">
          <w:pPr>
            <w:pStyle w:val="TOC3"/>
            <w:tabs>
              <w:tab w:val="right" w:pos="9350"/>
            </w:tabs>
            <w:rPr>
              <w:noProof/>
            </w:rPr>
          </w:pPr>
          <w:hyperlink w:anchor="_Toc230964065" w:history="1">
            <w:r w:rsidRPr="00EA0F55">
              <w:rPr>
                <w:rStyle w:val="Hyperlink"/>
                <w:rFonts w:ascii="Source Sans 3" w:eastAsia="Source Sans 3" w:hAnsi="Source Sans 3" w:cs="Source Sans 3"/>
                <w:b/>
                <w:bCs/>
                <w:noProof/>
              </w:rPr>
              <w:t>Women and Girls Facing Intersecting Forms of Discrimination</w:t>
            </w:r>
            <w:r>
              <w:rPr>
                <w:noProof/>
                <w:webHidden/>
              </w:rPr>
              <w:tab/>
            </w:r>
            <w:r>
              <w:rPr>
                <w:noProof/>
                <w:webHidden/>
              </w:rPr>
              <w:fldChar w:fldCharType="begin"/>
            </w:r>
            <w:r>
              <w:rPr>
                <w:noProof/>
                <w:webHidden/>
              </w:rPr>
              <w:instrText xml:space="preserve"> PAGEREF _Toc230964065 \h </w:instrText>
            </w:r>
            <w:r>
              <w:rPr>
                <w:noProof/>
                <w:webHidden/>
              </w:rPr>
            </w:r>
            <w:r>
              <w:rPr>
                <w:noProof/>
                <w:webHidden/>
              </w:rPr>
              <w:fldChar w:fldCharType="separate"/>
            </w:r>
            <w:r>
              <w:rPr>
                <w:noProof/>
                <w:webHidden/>
              </w:rPr>
              <w:t>6</w:t>
            </w:r>
            <w:r>
              <w:rPr>
                <w:noProof/>
                <w:webHidden/>
              </w:rPr>
              <w:fldChar w:fldCharType="end"/>
            </w:r>
          </w:hyperlink>
        </w:p>
        <w:p w14:paraId="0FDF37E9" w14:textId="5E479CD1" w:rsidR="00893CCC" w:rsidRDefault="00893CCC">
          <w:pPr>
            <w:pStyle w:val="TOC2"/>
            <w:tabs>
              <w:tab w:val="right" w:pos="9350"/>
            </w:tabs>
            <w:rPr>
              <w:noProof/>
            </w:rPr>
          </w:pPr>
          <w:hyperlink w:anchor="_Toc230964066" w:history="1">
            <w:r w:rsidRPr="00EA0F55">
              <w:rPr>
                <w:rStyle w:val="Hyperlink"/>
                <w:rFonts w:ascii="Source Sans 3" w:eastAsia="Source Sans 3" w:hAnsi="Source Sans 3" w:cs="Source Sans 3"/>
                <w:b/>
                <w:bCs/>
                <w:noProof/>
              </w:rPr>
              <w:t>Recommendations</w:t>
            </w:r>
            <w:r>
              <w:rPr>
                <w:noProof/>
                <w:webHidden/>
              </w:rPr>
              <w:tab/>
            </w:r>
            <w:r>
              <w:rPr>
                <w:noProof/>
                <w:webHidden/>
              </w:rPr>
              <w:fldChar w:fldCharType="begin"/>
            </w:r>
            <w:r>
              <w:rPr>
                <w:noProof/>
                <w:webHidden/>
              </w:rPr>
              <w:instrText xml:space="preserve"> PAGEREF _Toc230964066 \h </w:instrText>
            </w:r>
            <w:r>
              <w:rPr>
                <w:noProof/>
                <w:webHidden/>
              </w:rPr>
            </w:r>
            <w:r>
              <w:rPr>
                <w:noProof/>
                <w:webHidden/>
              </w:rPr>
              <w:fldChar w:fldCharType="separate"/>
            </w:r>
            <w:r>
              <w:rPr>
                <w:noProof/>
                <w:webHidden/>
              </w:rPr>
              <w:t>7</w:t>
            </w:r>
            <w:r>
              <w:rPr>
                <w:noProof/>
                <w:webHidden/>
              </w:rPr>
              <w:fldChar w:fldCharType="end"/>
            </w:r>
          </w:hyperlink>
        </w:p>
        <w:p w14:paraId="0170A99C" w14:textId="55025D93" w:rsidR="00893CCC" w:rsidRDefault="00893CCC">
          <w:pPr>
            <w:pStyle w:val="TOC2"/>
            <w:tabs>
              <w:tab w:val="right" w:pos="9350"/>
            </w:tabs>
            <w:rPr>
              <w:noProof/>
            </w:rPr>
          </w:pPr>
          <w:hyperlink w:anchor="_Toc230964067" w:history="1">
            <w:r w:rsidRPr="00EA0F55">
              <w:rPr>
                <w:rStyle w:val="Hyperlink"/>
                <w:rFonts w:ascii="Source Sans 3" w:eastAsia="Source Sans 3" w:hAnsi="Source Sans 3" w:cs="Source Sans 3"/>
                <w:b/>
                <w:bCs/>
                <w:noProof/>
              </w:rPr>
              <w:t>Annex 1 – the list of submitting organisations</w:t>
            </w:r>
            <w:r>
              <w:rPr>
                <w:noProof/>
                <w:webHidden/>
              </w:rPr>
              <w:tab/>
            </w:r>
            <w:r>
              <w:rPr>
                <w:noProof/>
                <w:webHidden/>
              </w:rPr>
              <w:fldChar w:fldCharType="begin"/>
            </w:r>
            <w:r>
              <w:rPr>
                <w:noProof/>
                <w:webHidden/>
              </w:rPr>
              <w:instrText xml:space="preserve"> PAGEREF _Toc230964067 \h </w:instrText>
            </w:r>
            <w:r>
              <w:rPr>
                <w:noProof/>
                <w:webHidden/>
              </w:rPr>
            </w:r>
            <w:r>
              <w:rPr>
                <w:noProof/>
                <w:webHidden/>
              </w:rPr>
              <w:fldChar w:fldCharType="separate"/>
            </w:r>
            <w:r>
              <w:rPr>
                <w:noProof/>
                <w:webHidden/>
              </w:rPr>
              <w:t>9</w:t>
            </w:r>
            <w:r>
              <w:rPr>
                <w:noProof/>
                <w:webHidden/>
              </w:rPr>
              <w:fldChar w:fldCharType="end"/>
            </w:r>
          </w:hyperlink>
        </w:p>
        <w:p w14:paraId="5A276F7B" w14:textId="07B9BB06" w:rsidR="00893CCC" w:rsidRDefault="00893CCC">
          <w:pPr>
            <w:pStyle w:val="TOC2"/>
            <w:tabs>
              <w:tab w:val="right" w:pos="9350"/>
            </w:tabs>
            <w:rPr>
              <w:noProof/>
            </w:rPr>
          </w:pPr>
          <w:hyperlink w:anchor="_Toc230964068" w:history="1">
            <w:r w:rsidRPr="00EA0F55">
              <w:rPr>
                <w:rStyle w:val="Hyperlink"/>
                <w:rFonts w:ascii="Source Sans 3" w:eastAsia="Source Sans 3" w:hAnsi="Source Sans 3" w:cs="Source Sans 3"/>
                <w:b/>
                <w:bCs/>
                <w:noProof/>
              </w:rPr>
              <w:t>Endnotes</w:t>
            </w:r>
            <w:r>
              <w:rPr>
                <w:noProof/>
                <w:webHidden/>
              </w:rPr>
              <w:tab/>
            </w:r>
            <w:r>
              <w:rPr>
                <w:noProof/>
                <w:webHidden/>
              </w:rPr>
              <w:fldChar w:fldCharType="begin"/>
            </w:r>
            <w:r>
              <w:rPr>
                <w:noProof/>
                <w:webHidden/>
              </w:rPr>
              <w:instrText xml:space="preserve"> PAGEREF _Toc230964068 \h </w:instrText>
            </w:r>
            <w:r>
              <w:rPr>
                <w:noProof/>
                <w:webHidden/>
              </w:rPr>
            </w:r>
            <w:r>
              <w:rPr>
                <w:noProof/>
                <w:webHidden/>
              </w:rPr>
              <w:fldChar w:fldCharType="separate"/>
            </w:r>
            <w:r>
              <w:rPr>
                <w:noProof/>
                <w:webHidden/>
              </w:rPr>
              <w:t>10</w:t>
            </w:r>
            <w:r>
              <w:rPr>
                <w:noProof/>
                <w:webHidden/>
              </w:rPr>
              <w:fldChar w:fldCharType="end"/>
            </w:r>
          </w:hyperlink>
        </w:p>
        <w:p w14:paraId="05B0A73D" w14:textId="35ECA929" w:rsidR="00242023" w:rsidRDefault="00000000">
          <w:pPr>
            <w:widowControl w:val="0"/>
            <w:tabs>
              <w:tab w:val="right" w:pos="12000"/>
            </w:tabs>
            <w:spacing w:before="60" w:line="240" w:lineRule="auto"/>
            <w:rPr>
              <w:rFonts w:ascii="Source Sans 3" w:eastAsia="Source Sans 3" w:hAnsi="Source Sans 3" w:cs="Source Sans 3"/>
              <w:color w:val="000000"/>
            </w:rPr>
          </w:pPr>
          <w:r>
            <w:fldChar w:fldCharType="end"/>
          </w:r>
        </w:p>
      </w:sdtContent>
    </w:sdt>
    <w:p w14:paraId="650C94FE" w14:textId="77777777" w:rsidR="00242023" w:rsidRDefault="00000000">
      <w:pPr>
        <w:jc w:val="center"/>
        <w:rPr>
          <w:rFonts w:ascii="Source Sans 3" w:eastAsia="Source Sans 3" w:hAnsi="Source Sans 3" w:cs="Source Sans 3"/>
          <w:b/>
          <w:bCs/>
          <w:sz w:val="24"/>
          <w:szCs w:val="24"/>
        </w:rPr>
      </w:pPr>
      <w:bookmarkStart w:id="2" w:name="_hky7p5pblooi" w:colFirst="0" w:colLast="0"/>
      <w:bookmarkEnd w:id="2"/>
      <w:r>
        <w:br w:type="page"/>
      </w:r>
    </w:p>
    <w:p w14:paraId="2EBCB934" w14:textId="77777777" w:rsidR="00242023" w:rsidRDefault="00000000">
      <w:pPr>
        <w:pStyle w:val="Heading2"/>
        <w:jc w:val="both"/>
        <w:rPr>
          <w:rFonts w:ascii="Source Sans 3" w:eastAsia="Source Sans 3" w:hAnsi="Source Sans 3" w:cs="Source Sans 3"/>
          <w:b/>
          <w:bCs/>
          <w:sz w:val="24"/>
          <w:szCs w:val="24"/>
        </w:rPr>
      </w:pPr>
      <w:bookmarkStart w:id="3" w:name="_Toc230964060"/>
      <w:r>
        <w:rPr>
          <w:rFonts w:ascii="Source Sans 3" w:eastAsia="Source Sans 3" w:hAnsi="Source Sans 3" w:cs="Source Sans 3"/>
          <w:b/>
          <w:bCs/>
          <w:sz w:val="24"/>
          <w:szCs w:val="24"/>
        </w:rPr>
        <w:lastRenderedPageBreak/>
        <w:t>Introduction</w:t>
      </w:r>
      <w:bookmarkEnd w:id="3"/>
    </w:p>
    <w:p w14:paraId="1919CD12" w14:textId="1F62E1F2"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In its concluding observations on the seventh periodic report of Tajikistan,</w:t>
      </w:r>
      <w:r w:rsidR="00893CCC">
        <w:rPr>
          <w:rFonts w:ascii="Source Sans 3" w:eastAsia="Source Sans 3" w:hAnsi="Source Sans 3" w:cs="Source Sans 3"/>
          <w:sz w:val="24"/>
          <w:szCs w:val="24"/>
          <w:vertAlign w:val="superscript"/>
        </w:rPr>
        <w:endnoteReference w:id="1"/>
      </w:r>
      <w:r w:rsidR="00893CCC">
        <w:rPr>
          <w:rFonts w:ascii="Source Sans 3" w:eastAsia="Source Sans 3" w:hAnsi="Source Sans 3" w:cs="Source Sans 3"/>
          <w:sz w:val="24"/>
          <w:szCs w:val="24"/>
        </w:rPr>
        <w:t xml:space="preserve"> </w:t>
      </w:r>
      <w:r>
        <w:rPr>
          <w:rFonts w:ascii="Source Sans 3" w:eastAsia="Source Sans 3" w:hAnsi="Source Sans 3" w:cs="Source Sans 3"/>
          <w:sz w:val="24"/>
          <w:szCs w:val="24"/>
        </w:rPr>
        <w:t xml:space="preserve">the CEDAW Committee issued several recommendations to Tajikistan on combating violence against women and girls, including those facing intersecting forms of discrimination. This submission provides information detailing the lack of implementation of the recommendations highlighted in </w:t>
      </w:r>
      <w:r>
        <w:rPr>
          <w:rFonts w:ascii="Source Sans 3" w:eastAsia="Source Sans 3" w:hAnsi="Source Sans 3" w:cs="Source Sans 3"/>
          <w:b/>
          <w:bCs/>
          <w:sz w:val="24"/>
          <w:szCs w:val="24"/>
        </w:rPr>
        <w:t>Paragraphs 37(a) and 53(a)</w:t>
      </w:r>
      <w:r>
        <w:rPr>
          <w:rFonts w:ascii="Source Sans 3" w:eastAsia="Source Sans 3" w:hAnsi="Source Sans 3" w:cs="Source Sans 3"/>
          <w:sz w:val="24"/>
          <w:szCs w:val="24"/>
        </w:rPr>
        <w:t xml:space="preserve"> of the State’s concluding observations, which are subject to Tajikistan’s follow-up review. The submission highlights key issues and provides recommendations relating to violence against women in Tajikistan, in particular domestic and sexual violence. </w:t>
      </w:r>
    </w:p>
    <w:p w14:paraId="0DDCE277" w14:textId="77777777" w:rsidR="00242023" w:rsidRDefault="00000000">
      <w:pPr>
        <w:pStyle w:val="Heading3"/>
        <w:jc w:val="both"/>
        <w:rPr>
          <w:rFonts w:ascii="Source Sans 3" w:eastAsia="Source Sans 3" w:hAnsi="Source Sans 3" w:cs="Source Sans 3"/>
          <w:b/>
          <w:bCs/>
          <w:sz w:val="24"/>
          <w:szCs w:val="24"/>
        </w:rPr>
      </w:pPr>
      <w:bookmarkStart w:id="4" w:name="_Toc230964061"/>
      <w:r>
        <w:rPr>
          <w:rFonts w:ascii="Source Sans 3" w:eastAsia="Source Sans 3" w:hAnsi="Source Sans 3" w:cs="Source Sans 3"/>
          <w:b/>
          <w:bCs/>
          <w:sz w:val="24"/>
          <w:szCs w:val="24"/>
        </w:rPr>
        <w:t>General Comments</w:t>
      </w:r>
      <w:bookmarkEnd w:id="4"/>
    </w:p>
    <w:p w14:paraId="6DE8A82C"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Several cross-cutting concerns continue to undermine the prevention of and response to gender-based violence against women and girls in Tajikistan. A central concern is the inadequacy of the current legal framework. Domestic violence and many other forms of gender-based violence against women and girls remain outside the scope of full criminalisation in Tajikistan. For several years, the Government has reported to international human rights mechanisms that the draft Criminal Code already includes relevant provisions. However, the process of adopting a new Criminal Code has been repeatedly delayed, and no clear timeline for its adoption has been made public. In the meantime, the necessary amendments could have been introduced into the current Criminal Code. The reform process has also lacked transparency and failed to ensure meaningful participation by civil society or national and international experts. </w:t>
      </w:r>
    </w:p>
    <w:p w14:paraId="1188A1FD" w14:textId="77777777" w:rsidR="00242023" w:rsidRDefault="00242023">
      <w:pPr>
        <w:ind w:left="720"/>
        <w:jc w:val="both"/>
        <w:rPr>
          <w:rFonts w:ascii="Source Sans 3" w:eastAsia="Source Sans 3" w:hAnsi="Source Sans 3" w:cs="Source Sans 3"/>
          <w:sz w:val="24"/>
          <w:szCs w:val="24"/>
        </w:rPr>
      </w:pPr>
    </w:p>
    <w:p w14:paraId="41BB2015"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These legislative gaps persist in a context where gender-based violence against women and girls remains widespread. According to a 2020 UN study,</w:t>
      </w:r>
      <w:hyperlink w:anchor="3t87xqig74vg">
        <w:r>
          <w:rPr>
            <w:rFonts w:ascii="Source Sans 3" w:eastAsia="Source Sans 3" w:hAnsi="Source Sans 3" w:cs="Source Sans 3"/>
            <w:color w:val="1155CC"/>
            <w:sz w:val="24"/>
            <w:szCs w:val="24"/>
            <w:u w:val="single"/>
            <w:vertAlign w:val="superscript"/>
          </w:rPr>
          <w:t>1</w:t>
        </w:r>
      </w:hyperlink>
      <w:r>
        <w:rPr>
          <w:rFonts w:ascii="Source Sans 3" w:eastAsia="Source Sans 3" w:hAnsi="Source Sans 3" w:cs="Source Sans 3"/>
          <w:sz w:val="24"/>
          <w:szCs w:val="24"/>
        </w:rPr>
        <w:t xml:space="preserve"> the most common type of violence against women by their husbands/partners throughout the life course is economic violence (31 per cent). Meanwhile, psychological violence accounts for 21 per cent, physical violence 20 per cent and 6 per cent sexual violence.</w:t>
      </w:r>
      <w:hyperlink w:anchor="9qgk1ewhczmg">
        <w:r>
          <w:rPr>
            <w:rFonts w:ascii="Source Sans 3" w:eastAsia="Source Sans 3" w:hAnsi="Source Sans 3" w:cs="Source Sans 3"/>
            <w:color w:val="1155CC"/>
            <w:sz w:val="24"/>
            <w:szCs w:val="24"/>
            <w:u w:val="single"/>
            <w:vertAlign w:val="superscript"/>
          </w:rPr>
          <w:t>2</w:t>
        </w:r>
      </w:hyperlink>
      <w:r>
        <w:rPr>
          <w:rFonts w:ascii="Source Sans 3" w:eastAsia="Source Sans 3" w:hAnsi="Source Sans 3" w:cs="Source Sans 3"/>
          <w:sz w:val="24"/>
          <w:szCs w:val="24"/>
        </w:rPr>
        <w:t xml:space="preserve"> The prevalence of violence committed by an ex-husband/partner is even higher. Physical violence by an ex-husband/partner was experienced in their lifetime by 66 per cent of women surveyed.</w:t>
      </w:r>
      <w:hyperlink w:anchor="7nxdeb12h0r3">
        <w:r>
          <w:rPr>
            <w:rFonts w:ascii="Source Sans 3" w:eastAsia="Source Sans 3" w:hAnsi="Source Sans 3" w:cs="Source Sans 3"/>
            <w:color w:val="1155CC"/>
            <w:sz w:val="24"/>
            <w:szCs w:val="24"/>
            <w:u w:val="single"/>
            <w:vertAlign w:val="superscript"/>
          </w:rPr>
          <w:t>3</w:t>
        </w:r>
      </w:hyperlink>
      <w:r>
        <w:rPr>
          <w:rFonts w:ascii="Source Sans 3" w:eastAsia="Source Sans 3" w:hAnsi="Source Sans 3" w:cs="Source Sans 3"/>
          <w:sz w:val="24"/>
          <w:szCs w:val="24"/>
        </w:rPr>
        <w:t xml:space="preserve"> One in three women have experienced sexual violence by an ex-husband/partner in their lifetime.</w:t>
      </w:r>
      <w:hyperlink w:anchor="7v5ync65wxhv">
        <w:r>
          <w:rPr>
            <w:rFonts w:ascii="Source Sans 3" w:eastAsia="Source Sans 3" w:hAnsi="Source Sans 3" w:cs="Source Sans 3"/>
            <w:color w:val="1155CC"/>
            <w:sz w:val="24"/>
            <w:szCs w:val="24"/>
            <w:u w:val="single"/>
            <w:vertAlign w:val="superscript"/>
          </w:rPr>
          <w:t>4</w:t>
        </w:r>
      </w:hyperlink>
    </w:p>
    <w:p w14:paraId="42CA8FCF" w14:textId="77777777" w:rsidR="00242023" w:rsidRDefault="00242023">
      <w:pPr>
        <w:ind w:left="720"/>
        <w:jc w:val="both"/>
        <w:rPr>
          <w:vertAlign w:val="superscript"/>
        </w:rPr>
      </w:pPr>
    </w:p>
    <w:p w14:paraId="6FFBCB4B"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lastRenderedPageBreak/>
        <w:t>The persistence of such violence is closely linked to harmful gender stereotypes and discriminatory social attitudes that continue to normalise and justify abuse. According to a 2022 Baseline study on people’s perception of violence against women and girls in Tajikistan within the Spotlight Initiative,</w:t>
      </w:r>
      <w:hyperlink w:anchor="qa8v8iiec0gz">
        <w:r>
          <w:rPr>
            <w:rFonts w:ascii="Source Sans 3" w:eastAsia="Source Sans 3" w:hAnsi="Source Sans 3" w:cs="Source Sans 3"/>
            <w:color w:val="1155CC"/>
            <w:sz w:val="24"/>
            <w:szCs w:val="24"/>
            <w:u w:val="single"/>
            <w:vertAlign w:val="superscript"/>
          </w:rPr>
          <w:t>5</w:t>
        </w:r>
      </w:hyperlink>
      <w:r>
        <w:rPr>
          <w:rFonts w:ascii="Source Sans 3" w:eastAsia="Source Sans 3" w:hAnsi="Source Sans 3" w:cs="Source Sans 3"/>
          <w:sz w:val="24"/>
          <w:szCs w:val="24"/>
        </w:rPr>
        <w:t xml:space="preserve"> on average, 41.2% of respondents justified physical violence. One of the most powerful reasons, according to respondents, “justifying violence”, is cheating 79.8% (women - 86.6%). </w:t>
      </w:r>
    </w:p>
    <w:p w14:paraId="29B2E6F2" w14:textId="77777777" w:rsidR="00242023" w:rsidRDefault="00242023">
      <w:pPr>
        <w:ind w:left="720"/>
        <w:jc w:val="both"/>
        <w:rPr>
          <w:rFonts w:ascii="Source Sans 3" w:eastAsia="Source Sans 3" w:hAnsi="Source Sans 3" w:cs="Source Sans 3"/>
          <w:sz w:val="24"/>
          <w:szCs w:val="24"/>
        </w:rPr>
      </w:pPr>
    </w:p>
    <w:p w14:paraId="4F529E91"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The State’s response remains inadequate both procedurally and institutionally. A review of the Code of Criminal Procedure of the Republic of Tajikistan shows that it does not provide specific procedural safeguards for survivors of domestic violence or other forms of violence against women and girls, either during investigation or at trial. As a result, survivors remain without tailored procedural protection within the justice process and face significant barriers to effective access to justice. </w:t>
      </w:r>
    </w:p>
    <w:p w14:paraId="2F99F38C" w14:textId="77777777" w:rsidR="00242023" w:rsidRDefault="00242023">
      <w:pPr>
        <w:ind w:left="720"/>
        <w:jc w:val="both"/>
        <w:rPr>
          <w:rFonts w:ascii="Source Sans 3" w:eastAsia="Source Sans 3" w:hAnsi="Source Sans 3" w:cs="Source Sans 3"/>
          <w:sz w:val="24"/>
          <w:szCs w:val="24"/>
        </w:rPr>
      </w:pPr>
    </w:p>
    <w:p w14:paraId="402117A7"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National legislation or policies do not require mandatory training for all actors involved in preventing and responding to gender-based violence against women and girls and protecting survivors. In addition, the instructions developed for the responsible authorities under the 2013 Law on the Prevention of Domestic Violence do not form a coherent, unified coordination mechanism. Awareness among State bodies responsible for implementation reportedly remains low, particularly with regard to available services and referral pathways. </w:t>
      </w:r>
    </w:p>
    <w:p w14:paraId="50953AAF" w14:textId="77777777" w:rsidR="00242023" w:rsidRDefault="00242023">
      <w:pPr>
        <w:ind w:left="720"/>
        <w:jc w:val="both"/>
        <w:rPr>
          <w:rFonts w:ascii="Source Sans 3" w:eastAsia="Source Sans 3" w:hAnsi="Source Sans 3" w:cs="Source Sans 3"/>
          <w:sz w:val="24"/>
          <w:szCs w:val="24"/>
        </w:rPr>
      </w:pPr>
    </w:p>
    <w:p w14:paraId="07F91D53"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These shortcomings are further compounded by the serious lack of protection and support services available to survivors across Tajikistan. Survivors continue to face insufficient access to 24/7 hotlines, free legal aid, adequate shelters, medical treatment, psychosocial counselling, and economic support. State funding for rehabilitation and adaptation centres for victims of violence remains insufficient.</w:t>
      </w:r>
    </w:p>
    <w:p w14:paraId="2FF0AD34" w14:textId="77777777" w:rsidR="00893CCC" w:rsidRDefault="00893CCC" w:rsidP="00893CCC">
      <w:pPr>
        <w:pStyle w:val="ListParagraph"/>
        <w:rPr>
          <w:rFonts w:ascii="Source Sans 3" w:eastAsia="Source Sans 3" w:hAnsi="Source Sans 3" w:cs="Source Sans 3"/>
          <w:sz w:val="24"/>
          <w:szCs w:val="24"/>
        </w:rPr>
      </w:pPr>
    </w:p>
    <w:p w14:paraId="4E761515" w14:textId="4F9ADAB5" w:rsidR="00893CCC" w:rsidRPr="00893CCC" w:rsidRDefault="00893CCC" w:rsidP="00893CCC">
      <w:pPr>
        <w:jc w:val="both"/>
        <w:rPr>
          <w:rFonts w:ascii="Source Sans 3" w:eastAsia="Source Sans 3" w:hAnsi="Source Sans 3" w:cs="Source Sans 3"/>
          <w:b/>
          <w:bCs/>
          <w:sz w:val="24"/>
          <w:szCs w:val="24"/>
        </w:rPr>
      </w:pPr>
      <w:r w:rsidRPr="00893CCC">
        <w:rPr>
          <w:rFonts w:ascii="Source Sans 3" w:eastAsia="Source Sans 3" w:hAnsi="Source Sans 3" w:cs="Source Sans 3"/>
          <w:b/>
          <w:bCs/>
          <w:sz w:val="24"/>
          <w:szCs w:val="24"/>
        </w:rPr>
        <w:t>Information on</w:t>
      </w:r>
      <w:r>
        <w:rPr>
          <w:rFonts w:ascii="Source Sans 3" w:eastAsia="Source Sans 3" w:hAnsi="Source Sans 3" w:cs="Source Sans 3"/>
          <w:b/>
          <w:bCs/>
          <w:sz w:val="24"/>
          <w:szCs w:val="24"/>
        </w:rPr>
        <w:t xml:space="preserve"> the</w:t>
      </w:r>
      <w:r w:rsidRPr="00893CCC">
        <w:rPr>
          <w:rFonts w:ascii="Source Sans 3" w:eastAsia="Source Sans 3" w:hAnsi="Source Sans 3" w:cs="Source Sans 3"/>
          <w:b/>
          <w:bCs/>
          <w:sz w:val="24"/>
          <w:szCs w:val="24"/>
        </w:rPr>
        <w:t xml:space="preserve"> lack of implementation of Paragraph 37(a) </w:t>
      </w:r>
    </w:p>
    <w:p w14:paraId="7F7382E8" w14:textId="77777777" w:rsidR="00242023" w:rsidRDefault="00000000">
      <w:pPr>
        <w:pStyle w:val="Heading3"/>
        <w:jc w:val="both"/>
        <w:rPr>
          <w:rFonts w:ascii="Source Sans 3" w:eastAsia="Source Sans 3" w:hAnsi="Source Sans 3" w:cs="Source Sans 3"/>
          <w:b/>
          <w:bCs/>
          <w:sz w:val="24"/>
          <w:szCs w:val="24"/>
        </w:rPr>
      </w:pPr>
      <w:bookmarkStart w:id="5" w:name="_ggdy57mx9d3i" w:colFirst="0" w:colLast="0"/>
      <w:bookmarkStart w:id="6" w:name="_Toc230964063"/>
      <w:bookmarkEnd w:id="5"/>
      <w:r>
        <w:rPr>
          <w:rFonts w:ascii="Source Sans 3" w:eastAsia="Source Sans 3" w:hAnsi="Source Sans 3" w:cs="Source Sans 3"/>
          <w:b/>
          <w:bCs/>
          <w:sz w:val="24"/>
          <w:szCs w:val="24"/>
        </w:rPr>
        <w:t>Domestic Violence</w:t>
      </w:r>
      <w:bookmarkEnd w:id="6"/>
    </w:p>
    <w:p w14:paraId="0D71F0DA"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Despite several amendments to the Law of the Republic of Tajikistan on the Prevention of Domestic Violence (2013), the legal and institutional framework on domestic violence </w:t>
      </w:r>
      <w:r>
        <w:rPr>
          <w:rFonts w:ascii="Source Sans 3" w:eastAsia="Source Sans 3" w:hAnsi="Source Sans 3" w:cs="Source Sans 3"/>
          <w:sz w:val="24"/>
          <w:szCs w:val="24"/>
        </w:rPr>
        <w:lastRenderedPageBreak/>
        <w:t xml:space="preserve">remains fundamentally inadequate and does not ensure effective prevention, protection, accountability or access to justice. </w:t>
      </w:r>
    </w:p>
    <w:p w14:paraId="67318454" w14:textId="77777777" w:rsidR="00242023" w:rsidRDefault="00242023">
      <w:pPr>
        <w:ind w:left="720"/>
        <w:jc w:val="both"/>
        <w:rPr>
          <w:rFonts w:ascii="Source Sans 3" w:eastAsia="Source Sans 3" w:hAnsi="Source Sans 3" w:cs="Source Sans 3"/>
          <w:sz w:val="24"/>
          <w:szCs w:val="24"/>
        </w:rPr>
      </w:pPr>
    </w:p>
    <w:p w14:paraId="71AE8000"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Domestic violence is still not criminalised as a distinct offence. Draft Article 153 of the new draft Criminal Code would provide for punishment for domestic violence. However, the second version of the draft substantially narrowed the scope of the offence. Unlike the first version, it would punish only the infliction of moderate bodily harm. It would no longer cover the infliction of minor bodily harm (currently addressed under Article 112 of the Criminal Code), isolation, intimidation for the purpose of imposing one’s will or exercising personal control over the victim, deprivation of economic resources, including means of subsistence, or neglect, all of which had been included in the earlier draft. Both versions of Article 3 of the draft Criminal Code and the Law on the Prevention of Domestic Violence (2013) limit domestic violence to violence committed between “family members”, failing to cover former spouses and cohabitants, persons who do not live together but are in long-term romantic and/or intimate relationships, and persons dependent on either the perpetrator or the victim. If draft Article 153 is adopted in its current form, with these shortcomings, impunity for domestic violence will remain largely unchanged and the criminalisation of domestic violence will be ineffective in practice.</w:t>
      </w:r>
    </w:p>
    <w:p w14:paraId="4E717902" w14:textId="77777777" w:rsidR="00242023" w:rsidRDefault="00242023">
      <w:pPr>
        <w:ind w:left="720"/>
        <w:jc w:val="both"/>
        <w:rPr>
          <w:rFonts w:ascii="Source Sans 3" w:eastAsia="Source Sans 3" w:hAnsi="Source Sans 3" w:cs="Source Sans 3"/>
          <w:sz w:val="24"/>
          <w:szCs w:val="24"/>
        </w:rPr>
      </w:pPr>
    </w:p>
    <w:p w14:paraId="723C290D"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The Law on the Prevention of Domestic Violence (2013) continues to define domestic violence in gender-neutral terms. This approach fails to reflect the reality that, in Tajikistan, women and girls are disproportionately affected by domestic violence committed by intimate partners and/or male relatives. The definition of domestic violence refers only to specific acts and does not expressly encompass actions and omissions – such as neglect, and forms of coercion and economic violence (such as deliberate ignoring, or withholding resources) – which may also constitute domestic violence. In addition, the definition of “victim” does not include children who witness domestic violence and may suffer harm as a result. </w:t>
      </w:r>
    </w:p>
    <w:p w14:paraId="08FFC413" w14:textId="77777777" w:rsidR="00242023" w:rsidRDefault="00242023">
      <w:pPr>
        <w:ind w:left="720"/>
        <w:jc w:val="both"/>
        <w:rPr>
          <w:rFonts w:ascii="Source Sans 3" w:eastAsia="Source Sans 3" w:hAnsi="Source Sans 3" w:cs="Source Sans 3"/>
          <w:sz w:val="24"/>
          <w:szCs w:val="24"/>
        </w:rPr>
      </w:pPr>
    </w:p>
    <w:p w14:paraId="5711B30A"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One of the law’s most serious gaps is the absence of a clear definition of “family” and/or “family relations.” As a result, the scope of protection does not clearly cover all relevant relationships, including former spouses; partners living separately but engaged in </w:t>
      </w:r>
      <w:r>
        <w:rPr>
          <w:rFonts w:ascii="Source Sans 3" w:eastAsia="Source Sans 3" w:hAnsi="Source Sans 3" w:cs="Source Sans 3"/>
          <w:sz w:val="24"/>
          <w:szCs w:val="24"/>
        </w:rPr>
        <w:lastRenderedPageBreak/>
        <w:t xml:space="preserve">sexual or romantic relationships; and relationships within the family or household involving older and younger generations, blood relatives, persons living in the same household, and children or persons with disabilities under guardianship or care. </w:t>
      </w:r>
    </w:p>
    <w:p w14:paraId="5D0E71EE" w14:textId="77777777" w:rsidR="00242023" w:rsidRDefault="00000000">
      <w:pPr>
        <w:pStyle w:val="Heading3"/>
        <w:jc w:val="both"/>
        <w:rPr>
          <w:rFonts w:ascii="Source Sans 3" w:eastAsia="Source Sans 3" w:hAnsi="Source Sans 3" w:cs="Source Sans 3"/>
          <w:b/>
          <w:bCs/>
          <w:sz w:val="24"/>
          <w:szCs w:val="24"/>
        </w:rPr>
      </w:pPr>
      <w:bookmarkStart w:id="7" w:name="_Toc230964064"/>
      <w:r>
        <w:rPr>
          <w:rFonts w:ascii="Source Sans 3" w:eastAsia="Source Sans 3" w:hAnsi="Source Sans 3" w:cs="Source Sans 3"/>
          <w:b/>
          <w:bCs/>
          <w:sz w:val="24"/>
          <w:szCs w:val="24"/>
        </w:rPr>
        <w:t>Sexual Violence</w:t>
      </w:r>
      <w:bookmarkEnd w:id="7"/>
    </w:p>
    <w:p w14:paraId="0E359580"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 legislation of Tajikistan fails to provide a consent-based definition of rape contrary to international human rights standards.</w:t>
      </w:r>
      <w:hyperlink w:anchor="65bi5gpe683m">
        <w:r>
          <w:rPr>
            <w:rFonts w:ascii="Source Sans 3" w:eastAsia="Source Sans 3" w:hAnsi="Source Sans 3" w:cs="Source Sans 3"/>
            <w:color w:val="1155CC"/>
            <w:sz w:val="24"/>
            <w:szCs w:val="24"/>
            <w:u w:val="single"/>
            <w:vertAlign w:val="superscript"/>
          </w:rPr>
          <w:t>6</w:t>
        </w:r>
      </w:hyperlink>
      <w:r>
        <w:rPr>
          <w:rFonts w:ascii="Source Sans 3" w:eastAsia="Source Sans 3" w:hAnsi="Source Sans 3" w:cs="Source Sans 3"/>
          <w:sz w:val="24"/>
          <w:szCs w:val="24"/>
        </w:rPr>
        <w:t xml:space="preserve"> The definition of rape (Criminal Code Article 138</w:t>
      </w:r>
      <w:hyperlink w:anchor="fz4hn2ooj1m4">
        <w:r>
          <w:rPr>
            <w:rFonts w:ascii="Source Sans 3" w:eastAsia="Source Sans 3" w:hAnsi="Source Sans 3" w:cs="Source Sans 3"/>
            <w:color w:val="1155CC"/>
            <w:sz w:val="24"/>
            <w:szCs w:val="24"/>
            <w:u w:val="single"/>
            <w:vertAlign w:val="superscript"/>
          </w:rPr>
          <w:t>7</w:t>
        </w:r>
      </w:hyperlink>
      <w:r>
        <w:rPr>
          <w:rFonts w:ascii="Source Sans 3" w:eastAsia="Source Sans 3" w:hAnsi="Source Sans 3" w:cs="Source Sans 3"/>
          <w:sz w:val="24"/>
          <w:szCs w:val="24"/>
        </w:rPr>
        <w:t>) and other sexual violence crimes (Criminal Code Articles 139</w:t>
      </w:r>
      <w:hyperlink w:anchor="f0xeflgjwnrz">
        <w:r>
          <w:rPr>
            <w:rFonts w:ascii="Source Sans 3" w:eastAsia="Source Sans 3" w:hAnsi="Source Sans 3" w:cs="Source Sans 3"/>
            <w:color w:val="1155CC"/>
            <w:sz w:val="24"/>
            <w:szCs w:val="24"/>
            <w:u w:val="single"/>
            <w:vertAlign w:val="superscript"/>
          </w:rPr>
          <w:t>8</w:t>
        </w:r>
      </w:hyperlink>
      <w:r>
        <w:rPr>
          <w:rFonts w:ascii="Source Sans 3" w:eastAsia="Source Sans 3" w:hAnsi="Source Sans 3" w:cs="Source Sans 3"/>
          <w:sz w:val="24"/>
          <w:szCs w:val="24"/>
        </w:rPr>
        <w:t xml:space="preserve"> and 140</w:t>
      </w:r>
      <w:hyperlink w:anchor="yzfbvmyt4bew">
        <w:r>
          <w:rPr>
            <w:rFonts w:ascii="Source Sans 3" w:eastAsia="Source Sans 3" w:hAnsi="Source Sans 3" w:cs="Source Sans 3"/>
            <w:color w:val="1155CC"/>
            <w:sz w:val="24"/>
            <w:szCs w:val="24"/>
            <w:u w:val="single"/>
            <w:vertAlign w:val="superscript"/>
          </w:rPr>
          <w:t>9</w:t>
        </w:r>
      </w:hyperlink>
      <w:r>
        <w:rPr>
          <w:rFonts w:ascii="Source Sans 3" w:eastAsia="Source Sans 3" w:hAnsi="Source Sans 3" w:cs="Source Sans 3"/>
          <w:sz w:val="24"/>
          <w:szCs w:val="24"/>
        </w:rPr>
        <w:t>) under Tajik law focuses on the use of force, threat of force, abusing the helplessness of the victim,</w:t>
      </w:r>
      <w:r>
        <w:rPr>
          <w:rFonts w:ascii="Source Sans 3" w:eastAsia="Source Sans 3" w:hAnsi="Source Sans 3" w:cs="Source Sans 3"/>
          <w:sz w:val="24"/>
          <w:szCs w:val="24"/>
          <w:vertAlign w:val="superscript"/>
        </w:rPr>
        <w:t xml:space="preserve"> </w:t>
      </w:r>
      <w:r>
        <w:rPr>
          <w:rFonts w:ascii="Source Sans 3" w:eastAsia="Source Sans 3" w:hAnsi="Source Sans 3" w:cs="Source Sans 3"/>
          <w:sz w:val="24"/>
          <w:szCs w:val="24"/>
        </w:rPr>
        <w:t xml:space="preserve">and various forms of coercion, rather than focusing on the absence of the free and voluntary consent that should be assessed in the context of the surrounding circumstances. </w:t>
      </w:r>
    </w:p>
    <w:p w14:paraId="38B50167" w14:textId="77777777" w:rsidR="00242023" w:rsidRDefault="00242023">
      <w:pPr>
        <w:ind w:left="720"/>
        <w:jc w:val="both"/>
        <w:rPr>
          <w:rFonts w:ascii="Source Sans 3" w:eastAsia="Source Sans 3" w:hAnsi="Source Sans 3" w:cs="Source Sans 3"/>
          <w:sz w:val="24"/>
          <w:szCs w:val="24"/>
        </w:rPr>
      </w:pPr>
    </w:p>
    <w:p w14:paraId="1303A536"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 Criminal Code of Tajikistan does not treat all acts of rape with equal severity. Tajik legislation currently allows for two different rape crimes, one of which calls for more serious penalties on conviction (Articles 138 and 139), while Article 140 is called coercion rather than rape, and is defined as a ‘light crime’ committed in circumstances other than with the use of force or threat of immediate force or helplessness. This reinforces the myth that rape always or predominantly involves physical force.</w:t>
      </w:r>
    </w:p>
    <w:p w14:paraId="0DE5C576" w14:textId="77777777" w:rsidR="00242023" w:rsidRDefault="00242023">
      <w:pPr>
        <w:ind w:left="720"/>
        <w:jc w:val="both"/>
        <w:rPr>
          <w:rFonts w:ascii="Source Sans 3" w:eastAsia="Source Sans 3" w:hAnsi="Source Sans 3" w:cs="Source Sans 3"/>
          <w:sz w:val="24"/>
          <w:szCs w:val="24"/>
        </w:rPr>
      </w:pPr>
    </w:p>
    <w:p w14:paraId="42D5063A"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Marital and intimate partner rape are neither separately criminalised (though the law punishes rape irrespective of the identity of the perpetrator and victim), nor treated as an aggravating factor. Society and law enforcement do not take marital rape seriously, resulting in many acts of sexual violence within a marital or intimate partnership remaining unpunished. The Committee’s General Recommendation No. 35, updating No. 19, explicitly calls for the criminalization of marital rape and other acts of sexual violence as crimes against women’s right to personal security and their physical, sexual and psychological integrity.</w:t>
      </w:r>
      <w:hyperlink w:anchor="ka0k1ev1bdme">
        <w:r>
          <w:rPr>
            <w:rFonts w:ascii="Source Sans 3" w:eastAsia="Source Sans 3" w:hAnsi="Source Sans 3" w:cs="Source Sans 3"/>
            <w:color w:val="1155CC"/>
            <w:sz w:val="24"/>
            <w:szCs w:val="24"/>
            <w:u w:val="single"/>
            <w:vertAlign w:val="superscript"/>
          </w:rPr>
          <w:t>10</w:t>
        </w:r>
      </w:hyperlink>
      <w:r>
        <w:rPr>
          <w:rFonts w:ascii="Source Sans 3" w:eastAsia="Source Sans 3" w:hAnsi="Source Sans 3" w:cs="Source Sans 3"/>
          <w:sz w:val="24"/>
          <w:szCs w:val="24"/>
        </w:rPr>
        <w:t xml:space="preserve"> It is increasingly important to ensure the explicit and effective criminalization of marital rape and its inclusion as an aggravating factor.</w:t>
      </w:r>
      <w:hyperlink w:anchor="gddv8j88sw0f">
        <w:r>
          <w:rPr>
            <w:rFonts w:ascii="Source Sans 3" w:eastAsia="Source Sans 3" w:hAnsi="Source Sans 3" w:cs="Source Sans 3"/>
            <w:color w:val="1155CC"/>
            <w:sz w:val="24"/>
            <w:szCs w:val="24"/>
            <w:u w:val="single"/>
            <w:vertAlign w:val="superscript"/>
          </w:rPr>
          <w:t>11</w:t>
        </w:r>
      </w:hyperlink>
      <w:r>
        <w:rPr>
          <w:rFonts w:ascii="Source Sans 3" w:eastAsia="Source Sans 3" w:hAnsi="Source Sans 3" w:cs="Source Sans 3"/>
          <w:sz w:val="24"/>
          <w:szCs w:val="24"/>
        </w:rPr>
        <w:t xml:space="preserve"> This would contribute to sending a message to society and law enforcement that rape is an unacceptable crime in all circumstances and will be appropriately punished.</w:t>
      </w:r>
    </w:p>
    <w:p w14:paraId="015CA80E" w14:textId="77777777" w:rsidR="00242023" w:rsidRDefault="00242023">
      <w:pPr>
        <w:ind w:left="720"/>
        <w:jc w:val="both"/>
        <w:rPr>
          <w:rFonts w:ascii="Source Sans 3" w:eastAsia="Source Sans 3" w:hAnsi="Source Sans 3" w:cs="Source Sans 3"/>
          <w:sz w:val="24"/>
          <w:szCs w:val="24"/>
        </w:rPr>
      </w:pPr>
    </w:p>
    <w:p w14:paraId="5AA7D16A"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lastRenderedPageBreak/>
        <w:t xml:space="preserve">No meaningful progress has been made in implementing the above recommendations. Subsequent advocacy efforts from civil society organisations to the Government raising these issues have likewise remained unanswered and without effect. </w:t>
      </w:r>
    </w:p>
    <w:p w14:paraId="7319AF6A" w14:textId="77777777" w:rsidR="00242023" w:rsidRDefault="00242023" w:rsidP="00893CCC">
      <w:pPr>
        <w:jc w:val="both"/>
        <w:rPr>
          <w:rFonts w:ascii="Source Sans 3" w:eastAsia="Source Sans 3" w:hAnsi="Source Sans 3" w:cs="Source Sans 3"/>
          <w:sz w:val="24"/>
          <w:szCs w:val="24"/>
        </w:rPr>
      </w:pPr>
    </w:p>
    <w:p w14:paraId="3B6B6DFE" w14:textId="77777777" w:rsidR="00242023" w:rsidRDefault="00000000">
      <w:pPr>
        <w:pStyle w:val="Heading3"/>
        <w:jc w:val="both"/>
        <w:rPr>
          <w:rFonts w:ascii="Source Sans 3" w:eastAsia="Source Sans 3" w:hAnsi="Source Sans 3" w:cs="Source Sans 3"/>
          <w:sz w:val="24"/>
          <w:szCs w:val="24"/>
        </w:rPr>
      </w:pPr>
      <w:bookmarkStart w:id="8" w:name="_Toc230964065"/>
      <w:r>
        <w:rPr>
          <w:rFonts w:ascii="Source Sans 3" w:eastAsia="Source Sans 3" w:hAnsi="Source Sans 3" w:cs="Source Sans 3"/>
          <w:b/>
          <w:bCs/>
          <w:sz w:val="24"/>
          <w:szCs w:val="24"/>
        </w:rPr>
        <w:t>Women and Girls Facing Intersecting Forms of Discrimination</w:t>
      </w:r>
      <w:bookmarkEnd w:id="8"/>
      <w:r>
        <w:rPr>
          <w:rFonts w:ascii="Source Sans 3" w:eastAsia="Source Sans 3" w:hAnsi="Source Sans 3" w:cs="Source Sans 3"/>
          <w:b/>
          <w:bCs/>
          <w:sz w:val="24"/>
          <w:szCs w:val="24"/>
        </w:rPr>
        <w:t xml:space="preserve"> </w:t>
      </w:r>
    </w:p>
    <w:p w14:paraId="2367861D"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The legal and policy framework on gender-based violence against women in Tajikistan does not adequately address the needs and heightened risks faced by women and girls experiencing intersecting forms of discrimination. Legislation aimed at preventing and responding to gender-based violence, including the Law on the Prevention of Domestic Violence (2013), fails to reflect the specific needs of various groups of women and girls, including women and girls with disabilities and women and girls living with HIV, and does not provide for targeted measures to protect them.</w:t>
      </w:r>
    </w:p>
    <w:p w14:paraId="5590BC08" w14:textId="77777777" w:rsidR="00242023" w:rsidRDefault="00242023">
      <w:pPr>
        <w:ind w:left="720"/>
        <w:jc w:val="both"/>
        <w:rPr>
          <w:rFonts w:ascii="Source Sans 3" w:eastAsia="Source Sans 3" w:hAnsi="Source Sans 3" w:cs="Source Sans 3"/>
          <w:sz w:val="24"/>
          <w:szCs w:val="24"/>
        </w:rPr>
      </w:pPr>
    </w:p>
    <w:p w14:paraId="2C8A7345"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Women and girls with disabilities, particularly those with psycho-social needs, continue to face a number of barriers in accessing justice for different forms of violence, including sexual violence. Barriers include the lack of sufficient means (including technical) to report violence to the authorities; absence of guidelines on interviewing victims, particularly vulnerable groups, for sexual violence, which should be tailored to their specific situation; lack of knowledge of law enforcement on how to obtain witness statements from women with disabilities (particularly from women with psycho-social needs); the practice of automatically excluding evidence of a person with mental disability based on medical expert examination of the person rather than the evidence itself; and the intersection of disability and gender-related prejudices throughout the process (for example, discriminatory perceptions that women with disabilities are prone to lying). These all perpetuate the culture of impunity for perpetrators. </w:t>
      </w:r>
    </w:p>
    <w:p w14:paraId="315E8B47" w14:textId="77777777" w:rsidR="00893CCC" w:rsidRDefault="00893CCC" w:rsidP="00893CCC">
      <w:pPr>
        <w:pStyle w:val="ListParagraph"/>
        <w:rPr>
          <w:rFonts w:ascii="Source Sans 3" w:eastAsia="Source Sans 3" w:hAnsi="Source Sans 3" w:cs="Source Sans 3"/>
          <w:sz w:val="24"/>
          <w:szCs w:val="24"/>
        </w:rPr>
      </w:pPr>
    </w:p>
    <w:p w14:paraId="6325E0DE" w14:textId="499182FB" w:rsidR="00893CCC" w:rsidRPr="00893CCC" w:rsidRDefault="00893CCC" w:rsidP="00893CCC">
      <w:pPr>
        <w:jc w:val="both"/>
        <w:rPr>
          <w:rFonts w:ascii="Source Sans 3" w:eastAsia="Source Sans 3" w:hAnsi="Source Sans 3" w:cs="Source Sans 3"/>
          <w:b/>
          <w:bCs/>
          <w:sz w:val="24"/>
          <w:szCs w:val="24"/>
        </w:rPr>
      </w:pPr>
      <w:r w:rsidRPr="00893CCC">
        <w:rPr>
          <w:rFonts w:ascii="Source Sans 3" w:eastAsia="Source Sans 3" w:hAnsi="Source Sans 3" w:cs="Source Sans 3"/>
          <w:b/>
          <w:bCs/>
          <w:sz w:val="24"/>
          <w:szCs w:val="24"/>
        </w:rPr>
        <w:t xml:space="preserve">Information on the lack of implementation of Paragraph 53(a) </w:t>
      </w:r>
    </w:p>
    <w:p w14:paraId="5674FB47" w14:textId="77777777" w:rsidR="00242023" w:rsidRDefault="00242023">
      <w:pPr>
        <w:ind w:left="720"/>
        <w:jc w:val="both"/>
        <w:rPr>
          <w:rFonts w:ascii="Source Sans 3" w:eastAsia="Source Sans 3" w:hAnsi="Source Sans 3" w:cs="Source Sans 3"/>
          <w:sz w:val="24"/>
          <w:szCs w:val="24"/>
        </w:rPr>
      </w:pPr>
    </w:p>
    <w:p w14:paraId="60D8AB22"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The State has not complied with the CEDAW Committee’s recommendation in paragraph 53(a) to revise Article 125, as women living with HIV continue to face specific and serious barriers to protection from violence. In particular, the criminalisation of “knowingly putting another person at risk of contracting HIV” under Article 125 of the </w:t>
      </w:r>
      <w:r>
        <w:rPr>
          <w:rFonts w:ascii="Source Sans 3" w:eastAsia="Source Sans 3" w:hAnsi="Source Sans 3" w:cs="Source Sans 3"/>
          <w:sz w:val="24"/>
          <w:szCs w:val="24"/>
        </w:rPr>
        <w:lastRenderedPageBreak/>
        <w:t xml:space="preserve">Criminal Code limits the right of women with HIV to seek protection from law enforcement agencies when they are subjected to violence by an intimate partner, as they fear prosecution. In practice, when a woman with HIV is subjected to long-term violence by an HIV-negative sexual partner who knows about her diagnosis and agrees to build a relationship with her attempts to seek help, that partner may blackmail her over her HIV status, threatening to file a complaint against her for knowingly putting him at risk of HIV, and even to disclose her status to neighbours. Such legal regulation allows the aggressor’s actions to go unpunished. </w:t>
      </w:r>
    </w:p>
    <w:p w14:paraId="732A171B" w14:textId="77777777" w:rsidR="00242023" w:rsidRDefault="00242023">
      <w:pPr>
        <w:jc w:val="both"/>
        <w:rPr>
          <w:rFonts w:ascii="Source Sans 3" w:eastAsia="Source Sans 3" w:hAnsi="Source Sans 3" w:cs="Source Sans 3"/>
          <w:sz w:val="24"/>
          <w:szCs w:val="24"/>
        </w:rPr>
      </w:pPr>
    </w:p>
    <w:p w14:paraId="30C56C42" w14:textId="77777777" w:rsidR="00242023" w:rsidRDefault="00000000">
      <w:pPr>
        <w:pStyle w:val="Heading2"/>
        <w:rPr>
          <w:rFonts w:ascii="Source Sans 3" w:eastAsia="Source Sans 3" w:hAnsi="Source Sans 3" w:cs="Source Sans 3"/>
          <w:sz w:val="24"/>
          <w:szCs w:val="24"/>
        </w:rPr>
      </w:pPr>
      <w:bookmarkStart w:id="9" w:name="_Toc230964066"/>
      <w:r>
        <w:rPr>
          <w:rFonts w:ascii="Source Sans 3" w:eastAsia="Source Sans 3" w:hAnsi="Source Sans 3" w:cs="Source Sans 3"/>
          <w:b/>
          <w:bCs/>
          <w:sz w:val="24"/>
          <w:szCs w:val="24"/>
        </w:rPr>
        <w:t>Recommendations</w:t>
      </w:r>
      <w:bookmarkEnd w:id="9"/>
      <w:r>
        <w:rPr>
          <w:rFonts w:ascii="Source Sans 3" w:eastAsia="Source Sans 3" w:hAnsi="Source Sans 3" w:cs="Source Sans 3"/>
          <w:b/>
          <w:bCs/>
          <w:sz w:val="24"/>
          <w:szCs w:val="24"/>
        </w:rPr>
        <w:t xml:space="preserve"> </w:t>
      </w:r>
    </w:p>
    <w:p w14:paraId="20D6E6C9" w14:textId="77777777" w:rsidR="00242023" w:rsidRDefault="00000000">
      <w:pPr>
        <w:numPr>
          <w:ilvl w:val="0"/>
          <w:numId w:val="1"/>
        </w:numPr>
        <w:jc w:val="both"/>
        <w:rPr>
          <w:rFonts w:ascii="Source Sans 3" w:eastAsia="Source Sans 3" w:hAnsi="Source Sans 3" w:cs="Source Sans 3"/>
          <w:b/>
          <w:bCs/>
          <w:sz w:val="24"/>
          <w:szCs w:val="24"/>
        </w:rPr>
      </w:pPr>
      <w:r>
        <w:rPr>
          <w:rFonts w:ascii="Source Sans 3" w:eastAsia="Source Sans 3" w:hAnsi="Source Sans 3" w:cs="Source Sans 3"/>
          <w:b/>
          <w:bCs/>
          <w:sz w:val="24"/>
          <w:szCs w:val="24"/>
        </w:rPr>
        <w:t>Substantive law</w:t>
      </w:r>
    </w:p>
    <w:p w14:paraId="6F607972"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Introduce a consent-based definition of rape in line with international human rights standards, including those developed by the CEDAW Committee, and ensure that marital and intimate partner rape are treated as aggravating circumstances.</w:t>
      </w:r>
    </w:p>
    <w:p w14:paraId="631FEEBE"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Criminalise all forms of gender-based violence against women and girls (in line with CEDAW and other UN treaties), including domestic violence, stalking and forced marriage. </w:t>
      </w:r>
    </w:p>
    <w:p w14:paraId="5B16D141" w14:textId="77777777" w:rsidR="00242023" w:rsidRDefault="00242023">
      <w:pPr>
        <w:ind w:left="1440"/>
        <w:jc w:val="both"/>
        <w:rPr>
          <w:rFonts w:ascii="Source Sans 3" w:eastAsia="Source Sans 3" w:hAnsi="Source Sans 3" w:cs="Source Sans 3"/>
          <w:sz w:val="24"/>
          <w:szCs w:val="24"/>
        </w:rPr>
      </w:pPr>
    </w:p>
    <w:p w14:paraId="1566897A" w14:textId="77777777" w:rsidR="00242023" w:rsidRDefault="00000000">
      <w:pPr>
        <w:numPr>
          <w:ilvl w:val="0"/>
          <w:numId w:val="1"/>
        </w:numPr>
        <w:jc w:val="both"/>
        <w:rPr>
          <w:rFonts w:ascii="Source Sans 3" w:eastAsia="Source Sans 3" w:hAnsi="Source Sans 3" w:cs="Source Sans 3"/>
          <w:b/>
          <w:bCs/>
          <w:sz w:val="24"/>
          <w:szCs w:val="24"/>
        </w:rPr>
      </w:pPr>
      <w:r>
        <w:rPr>
          <w:rFonts w:ascii="Source Sans 3" w:eastAsia="Source Sans 3" w:hAnsi="Source Sans 3" w:cs="Source Sans 3"/>
          <w:b/>
          <w:bCs/>
          <w:sz w:val="24"/>
          <w:szCs w:val="24"/>
        </w:rPr>
        <w:t>Practice and procedural changes</w:t>
      </w:r>
    </w:p>
    <w:p w14:paraId="19B4BF26"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Ensure that all cases of violence against women and girls, including sexual violence, child marriage and forced marriage, are investigated, prosecuted and adjudicated using a victim-centred approach and from a gender-, age-, and disability-sensitive perspective.</w:t>
      </w:r>
    </w:p>
    <w:p w14:paraId="4615E6A0" w14:textId="77777777" w:rsidR="00242023" w:rsidRDefault="00242023">
      <w:pPr>
        <w:ind w:left="1440"/>
        <w:jc w:val="both"/>
        <w:rPr>
          <w:rFonts w:ascii="Source Sans 3" w:eastAsia="Source Sans 3" w:hAnsi="Source Sans 3" w:cs="Source Sans 3"/>
          <w:sz w:val="24"/>
          <w:szCs w:val="24"/>
        </w:rPr>
      </w:pPr>
    </w:p>
    <w:p w14:paraId="513D6F73" w14:textId="77777777" w:rsidR="00242023" w:rsidRDefault="00000000">
      <w:pPr>
        <w:numPr>
          <w:ilvl w:val="0"/>
          <w:numId w:val="1"/>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Training of professionals</w:t>
      </w:r>
    </w:p>
    <w:p w14:paraId="3CE97B20"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Develop and adopt mandatory protocols and manuals outlining how to respond to cases of violence against women and girls, including sexual violence, child marriage and forced marriage. </w:t>
      </w:r>
    </w:p>
    <w:p w14:paraId="64254720"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Provide targeted and mandatory training on the prevention, identification, investigation, and response to sexual and other forms of gender-based violence </w:t>
      </w:r>
      <w:r>
        <w:rPr>
          <w:rFonts w:ascii="Source Sans 3" w:eastAsia="Source Sans 3" w:hAnsi="Source Sans 3" w:cs="Source Sans 3"/>
          <w:sz w:val="24"/>
          <w:szCs w:val="24"/>
        </w:rPr>
        <w:lastRenderedPageBreak/>
        <w:t xml:space="preserve">against women and girls for law enforcement officials, judges, prosecutors, health-care personnel, social workers, and other professionals who work with survivors, including in rural areas. </w:t>
      </w:r>
    </w:p>
    <w:p w14:paraId="052681ED" w14:textId="77777777" w:rsidR="00242023" w:rsidRDefault="00242023">
      <w:pPr>
        <w:jc w:val="both"/>
        <w:rPr>
          <w:rFonts w:ascii="Source Sans 3" w:eastAsia="Source Sans 3" w:hAnsi="Source Sans 3" w:cs="Source Sans 3"/>
          <w:sz w:val="24"/>
          <w:szCs w:val="24"/>
        </w:rPr>
      </w:pPr>
    </w:p>
    <w:p w14:paraId="315318C5" w14:textId="77777777" w:rsidR="00242023" w:rsidRDefault="00000000">
      <w:pPr>
        <w:numPr>
          <w:ilvl w:val="0"/>
          <w:numId w:val="1"/>
        </w:numPr>
        <w:jc w:val="both"/>
        <w:rPr>
          <w:rFonts w:ascii="Source Sans 3" w:eastAsia="Source Sans 3" w:hAnsi="Source Sans 3" w:cs="Source Sans 3"/>
          <w:b/>
          <w:bCs/>
          <w:sz w:val="24"/>
          <w:szCs w:val="24"/>
        </w:rPr>
      </w:pPr>
      <w:r>
        <w:rPr>
          <w:rFonts w:ascii="Source Sans 3" w:eastAsia="Source Sans 3" w:hAnsi="Source Sans 3" w:cs="Source Sans 3"/>
          <w:b/>
          <w:bCs/>
          <w:sz w:val="24"/>
          <w:szCs w:val="24"/>
        </w:rPr>
        <w:t>Stereotypes and awareness-raising</w:t>
      </w:r>
    </w:p>
    <w:p w14:paraId="5BEA15D5" w14:textId="77777777" w:rsidR="00242023" w:rsidRDefault="00000000">
      <w:pPr>
        <w:numPr>
          <w:ilvl w:val="1"/>
          <w:numId w:val="1"/>
        </w:numPr>
        <w:jc w:val="both"/>
        <w:rPr>
          <w:rFonts w:ascii="Source Sans 3" w:eastAsia="Source Sans 3" w:hAnsi="Source Sans 3" w:cs="Source Sans 3"/>
          <w:sz w:val="24"/>
          <w:szCs w:val="24"/>
        </w:rPr>
      </w:pPr>
      <w:r>
        <w:rPr>
          <w:rFonts w:ascii="Source Sans 3" w:eastAsia="Source Sans 3" w:hAnsi="Source Sans 3" w:cs="Source Sans 3"/>
          <w:sz w:val="24"/>
          <w:szCs w:val="24"/>
        </w:rPr>
        <w:t>Ensure continuous awareness-raising campaigns on the unlawful and unacceptable nature of all forms of violence against women and girls, including sexual violence, marital rape, intimate partner rape, child marriage and forced marriage, as well as on the legal protections available.</w:t>
      </w:r>
    </w:p>
    <w:p w14:paraId="3E54652B" w14:textId="77777777" w:rsidR="00242023" w:rsidRDefault="00242023">
      <w:pPr>
        <w:jc w:val="both"/>
        <w:rPr>
          <w:rFonts w:ascii="Source Sans 3" w:eastAsia="Source Sans 3" w:hAnsi="Source Sans 3" w:cs="Source Sans 3"/>
          <w:sz w:val="24"/>
          <w:szCs w:val="24"/>
        </w:rPr>
      </w:pPr>
    </w:p>
    <w:p w14:paraId="46BA05D3" w14:textId="77777777" w:rsidR="00242023" w:rsidRDefault="00000000">
      <w:pPr>
        <w:jc w:val="both"/>
        <w:rPr>
          <w:rFonts w:ascii="Source Sans 3" w:eastAsia="Source Sans 3" w:hAnsi="Source Sans 3" w:cs="Source Sans 3"/>
          <w:sz w:val="24"/>
          <w:szCs w:val="24"/>
        </w:rPr>
      </w:pPr>
      <w:r>
        <w:br w:type="page"/>
      </w:r>
    </w:p>
    <w:p w14:paraId="697E5C5F" w14:textId="77777777" w:rsidR="00242023" w:rsidRDefault="00000000">
      <w:pPr>
        <w:pStyle w:val="Heading2"/>
        <w:jc w:val="both"/>
        <w:rPr>
          <w:rFonts w:ascii="Source Sans 3" w:eastAsia="Source Sans 3" w:hAnsi="Source Sans 3" w:cs="Source Sans 3"/>
          <w:b/>
          <w:bCs/>
          <w:sz w:val="24"/>
          <w:szCs w:val="24"/>
        </w:rPr>
      </w:pPr>
      <w:bookmarkStart w:id="10" w:name="_Toc230964067"/>
      <w:r>
        <w:rPr>
          <w:rFonts w:ascii="Source Sans 3" w:eastAsia="Source Sans 3" w:hAnsi="Source Sans 3" w:cs="Source Sans 3"/>
          <w:b/>
          <w:bCs/>
          <w:sz w:val="24"/>
          <w:szCs w:val="24"/>
        </w:rPr>
        <w:lastRenderedPageBreak/>
        <w:t>Annex 1 – the list of submitting organisations</w:t>
      </w:r>
      <w:bookmarkEnd w:id="10"/>
      <w:r>
        <w:rPr>
          <w:rFonts w:ascii="Source Sans 3" w:eastAsia="Source Sans 3" w:hAnsi="Source Sans 3" w:cs="Source Sans 3"/>
          <w:b/>
          <w:bCs/>
          <w:sz w:val="24"/>
          <w:szCs w:val="24"/>
        </w:rPr>
        <w:t xml:space="preserve"> </w:t>
      </w:r>
    </w:p>
    <w:p w14:paraId="2FAA97DB" w14:textId="77777777" w:rsidR="00242023" w:rsidRDefault="00000000">
      <w:pPr>
        <w:numPr>
          <w:ilvl w:val="0"/>
          <w:numId w:val="2"/>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Equality Now</w:t>
      </w:r>
      <w:r>
        <w:rPr>
          <w:rFonts w:ascii="Source Sans 3" w:eastAsia="Source Sans 3" w:hAnsi="Source Sans 3" w:cs="Source Sans 3"/>
          <w:sz w:val="24"/>
          <w:szCs w:val="24"/>
        </w:rPr>
        <w:t xml:space="preserve"> is a worldwide human rights organisation dedicated to securing the legal and systemic change needed to end discrimination against all women and girls, everywhere in the world. Since its inception in 1992, it has played a role in reforming over 135 discriminatory laws globally, positively impacting the lives of hundreds of millions of women and girls, their communities and nations, both now and for generations to come. Since 2019, Equality Now has consistently analysed laws, policies and procedures relating to violence against women in Tajikistan, particularly in the areas of sexual violence and child and forced marriage.</w:t>
      </w:r>
    </w:p>
    <w:p w14:paraId="3E908340" w14:textId="77777777" w:rsidR="00242023" w:rsidRDefault="00000000">
      <w:p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Website: </w:t>
      </w:r>
      <w:hyperlink r:id="rId8">
        <w:r>
          <w:rPr>
            <w:rFonts w:ascii="Source Sans 3" w:eastAsia="Source Sans 3" w:hAnsi="Source Sans 3" w:cs="Source Sans 3"/>
            <w:color w:val="1155CC"/>
            <w:sz w:val="24"/>
            <w:szCs w:val="24"/>
            <w:u w:val="single"/>
          </w:rPr>
          <w:t>www.equalitynow.org</w:t>
        </w:r>
      </w:hyperlink>
      <w:r>
        <w:rPr>
          <w:rFonts w:ascii="Source Sans 3" w:eastAsia="Source Sans 3" w:hAnsi="Source Sans 3" w:cs="Source Sans 3"/>
          <w:sz w:val="24"/>
          <w:szCs w:val="24"/>
        </w:rPr>
        <w:t xml:space="preserve"> </w:t>
      </w:r>
    </w:p>
    <w:p w14:paraId="49080E28" w14:textId="77777777" w:rsidR="00242023" w:rsidRDefault="00000000">
      <w:pPr>
        <w:jc w:val="both"/>
        <w:rPr>
          <w:rFonts w:ascii="Source Sans 3" w:eastAsia="Source Sans 3" w:hAnsi="Source Sans 3" w:cs="Source Sans 3"/>
          <w:sz w:val="24"/>
          <w:szCs w:val="24"/>
        </w:rPr>
      </w:pPr>
      <w:r>
        <w:rPr>
          <w:rFonts w:ascii="Source Sans 3" w:eastAsia="Source Sans 3" w:hAnsi="Source Sans 3" w:cs="Source Sans 3"/>
          <w:sz w:val="24"/>
          <w:szCs w:val="24"/>
        </w:rPr>
        <w:t xml:space="preserve">Contact: </w:t>
      </w:r>
      <w:hyperlink r:id="rId9">
        <w:r>
          <w:rPr>
            <w:rFonts w:ascii="Source Sans 3" w:eastAsia="Source Sans 3" w:hAnsi="Source Sans 3" w:cs="Source Sans 3"/>
            <w:color w:val="1155CC"/>
            <w:sz w:val="24"/>
            <w:szCs w:val="24"/>
            <w:u w:val="single"/>
          </w:rPr>
          <w:t>ukinfo@equalitynow.org</w:t>
        </w:r>
      </w:hyperlink>
      <w:r>
        <w:rPr>
          <w:rFonts w:ascii="Source Sans 3" w:eastAsia="Source Sans 3" w:hAnsi="Source Sans 3" w:cs="Source Sans 3"/>
          <w:sz w:val="24"/>
          <w:szCs w:val="24"/>
        </w:rPr>
        <w:t xml:space="preserve"> </w:t>
      </w:r>
    </w:p>
    <w:p w14:paraId="5514018D" w14:textId="77777777" w:rsidR="00242023" w:rsidRDefault="00242023">
      <w:pPr>
        <w:jc w:val="both"/>
        <w:rPr>
          <w:rFonts w:ascii="Source Sans 3" w:eastAsia="Source Sans 3" w:hAnsi="Source Sans 3" w:cs="Source Sans 3"/>
          <w:sz w:val="24"/>
          <w:szCs w:val="24"/>
        </w:rPr>
      </w:pPr>
    </w:p>
    <w:p w14:paraId="7B8C6313" w14:textId="77777777" w:rsidR="00242023" w:rsidRDefault="00000000">
      <w:pPr>
        <w:numPr>
          <w:ilvl w:val="0"/>
          <w:numId w:val="2"/>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Women Lawyers for Development</w:t>
      </w:r>
      <w:r>
        <w:rPr>
          <w:rFonts w:ascii="Source Sans 3" w:eastAsia="Source Sans 3" w:hAnsi="Source Sans 3" w:cs="Source Sans 3"/>
          <w:sz w:val="24"/>
          <w:szCs w:val="24"/>
          <w:vertAlign w:val="superscript"/>
        </w:rPr>
        <w:footnoteReference w:id="1"/>
      </w:r>
      <w:r>
        <w:rPr>
          <w:rFonts w:ascii="Source Sans 3" w:eastAsia="Source Sans 3" w:hAnsi="Source Sans 3" w:cs="Source Sans 3"/>
          <w:sz w:val="24"/>
          <w:szCs w:val="24"/>
        </w:rPr>
        <w:t xml:space="preserve"> is an NGO working on prevention and response to sexual and gender-based violence in Tajikistan. Their work is aimed at creating a safe and enabling environment for vulnerable women by providing them with legal assistance in the form of counselling, legal aid, and empowerment through education, increasing the effectiveness of measures to punish perpetrators and promoting long-term changes in society aimed at creating a safe and equal environment for all women and protecting their social rights. They conduct advocacy campaigns for awareness-raising for women in society, changing negative stereotypes and creating conditions for a dignified life and gender equality.</w:t>
      </w:r>
    </w:p>
    <w:p w14:paraId="53C1BC79" w14:textId="77777777" w:rsidR="00242023" w:rsidRDefault="00000000">
      <w:pPr>
        <w:jc w:val="both"/>
        <w:rPr>
          <w:rFonts w:ascii="Source Sans 3" w:eastAsia="Source Sans 3" w:hAnsi="Source Sans 3" w:cs="Source Sans 3"/>
          <w:sz w:val="24"/>
          <w:szCs w:val="24"/>
          <w:highlight w:val="yellow"/>
        </w:rPr>
      </w:pPr>
      <w:r>
        <w:rPr>
          <w:rFonts w:ascii="Source Sans 3" w:eastAsia="Source Sans 3" w:hAnsi="Source Sans 3" w:cs="Source Sans 3"/>
          <w:sz w:val="24"/>
          <w:szCs w:val="24"/>
        </w:rPr>
        <w:t>Contact information</w:t>
      </w:r>
      <w:r>
        <w:rPr>
          <w:rFonts w:ascii="Source Sans 3" w:eastAsia="Source Sans 3" w:hAnsi="Source Sans 3" w:cs="Source Sans 3"/>
        </w:rPr>
        <w:t xml:space="preserve">: </w:t>
      </w:r>
      <w:hyperlink r:id="rId10">
        <w:r>
          <w:rPr>
            <w:rFonts w:ascii="Source Sans 3" w:eastAsia="Source Sans 3" w:hAnsi="Source Sans 3" w:cs="Source Sans 3"/>
            <w:color w:val="1155CC"/>
            <w:sz w:val="24"/>
            <w:szCs w:val="24"/>
            <w:u w:val="single"/>
          </w:rPr>
          <w:t>https://www.facebook.com/WomenLawyersforDevelopment/</w:t>
        </w:r>
      </w:hyperlink>
      <w:r>
        <w:rPr>
          <w:rFonts w:ascii="Source Sans 3" w:eastAsia="Source Sans 3" w:hAnsi="Source Sans 3" w:cs="Source Sans 3"/>
          <w:sz w:val="24"/>
          <w:szCs w:val="24"/>
        </w:rPr>
        <w:t xml:space="preserve"> </w:t>
      </w:r>
    </w:p>
    <w:p w14:paraId="4A684F70" w14:textId="77777777" w:rsidR="00242023" w:rsidRDefault="00242023">
      <w:pPr>
        <w:jc w:val="both"/>
        <w:rPr>
          <w:rFonts w:ascii="Source Sans 3" w:eastAsia="Source Sans 3" w:hAnsi="Source Sans 3" w:cs="Source Sans 3"/>
          <w:sz w:val="24"/>
          <w:szCs w:val="24"/>
        </w:rPr>
      </w:pPr>
    </w:p>
    <w:p w14:paraId="1EBC6198" w14:textId="77777777" w:rsidR="00242023" w:rsidRDefault="00000000">
      <w:pPr>
        <w:numPr>
          <w:ilvl w:val="0"/>
          <w:numId w:val="2"/>
        </w:numPr>
        <w:jc w:val="both"/>
        <w:rPr>
          <w:rFonts w:ascii="Source Sans 3" w:eastAsia="Source Sans 3" w:hAnsi="Source Sans 3" w:cs="Source Sans 3"/>
          <w:sz w:val="24"/>
          <w:szCs w:val="24"/>
        </w:rPr>
      </w:pPr>
      <w:r>
        <w:rPr>
          <w:rFonts w:ascii="Source Sans 3" w:eastAsia="Source Sans 3" w:hAnsi="Source Sans 3" w:cs="Source Sans 3"/>
          <w:b/>
          <w:bCs/>
          <w:sz w:val="24"/>
          <w:szCs w:val="24"/>
        </w:rPr>
        <w:t>The Public Foundation “Your Choice”</w:t>
      </w:r>
      <w:r>
        <w:rPr>
          <w:rFonts w:ascii="Source Sans 3" w:eastAsia="Source Sans 3" w:hAnsi="Source Sans 3" w:cs="Source Sans 3"/>
          <w:sz w:val="24"/>
          <w:szCs w:val="24"/>
        </w:rPr>
        <w:t xml:space="preserve"> is a human rights organisation in Tajikistan that actively promotes amendments to the Criminal Code of the Republic of Tajikistan in connection with all types of gender-based violence, including sexual violence, and work to prevent domestic violence and other forms of violence in the Republic of Tajikistan.</w:t>
      </w:r>
    </w:p>
    <w:p w14:paraId="3BF8B8E5" w14:textId="77777777" w:rsidR="00242023" w:rsidRDefault="00000000">
      <w:pPr>
        <w:jc w:val="both"/>
        <w:rPr>
          <w:rFonts w:ascii="Source Sans 3" w:eastAsia="Source Sans 3" w:hAnsi="Source Sans 3" w:cs="Source Sans 3"/>
          <w:sz w:val="24"/>
          <w:szCs w:val="24"/>
        </w:rPr>
      </w:pPr>
      <w:r>
        <w:br w:type="page"/>
      </w:r>
    </w:p>
    <w:p w14:paraId="4FD9F744" w14:textId="77777777" w:rsidR="00242023" w:rsidRDefault="00000000">
      <w:pPr>
        <w:pStyle w:val="Heading2"/>
        <w:rPr>
          <w:rFonts w:ascii="Source Sans 3" w:eastAsia="Source Sans 3" w:hAnsi="Source Sans 3" w:cs="Source Sans 3"/>
          <w:b/>
          <w:bCs/>
          <w:sz w:val="24"/>
          <w:szCs w:val="24"/>
        </w:rPr>
      </w:pPr>
      <w:bookmarkStart w:id="11" w:name="_Toc230964068"/>
      <w:r>
        <w:rPr>
          <w:rFonts w:ascii="Source Sans 3" w:eastAsia="Source Sans 3" w:hAnsi="Source Sans 3" w:cs="Source Sans 3"/>
          <w:b/>
          <w:bCs/>
          <w:sz w:val="24"/>
          <w:szCs w:val="24"/>
        </w:rPr>
        <w:lastRenderedPageBreak/>
        <w:t>Endnotes</w:t>
      </w:r>
      <w:bookmarkEnd w:id="11"/>
    </w:p>
    <w:p w14:paraId="77EFCFE1" w14:textId="77777777" w:rsidR="00242023" w:rsidRDefault="00000000">
      <w:pPr>
        <w:spacing w:line="240" w:lineRule="auto"/>
        <w:rPr>
          <w:rFonts w:ascii="Source Sans 3" w:eastAsia="Source Sans 3" w:hAnsi="Source Sans 3" w:cs="Source Sans 3"/>
        </w:rPr>
      </w:pPr>
      <w:bookmarkStart w:id="12" w:name="3t87xqig74vg" w:colFirst="0" w:colLast="0"/>
      <w:bookmarkEnd w:id="12"/>
      <w:r>
        <w:rPr>
          <w:rFonts w:ascii="Times New Roman" w:eastAsia="Times New Roman" w:hAnsi="Times New Roman" w:cs="Times New Roman"/>
        </w:rPr>
        <w:t xml:space="preserve">1. </w:t>
      </w:r>
      <w:r>
        <w:rPr>
          <w:rFonts w:ascii="Source Sans 3" w:eastAsia="Source Sans 3" w:hAnsi="Source Sans 3" w:cs="Source Sans 3"/>
        </w:rPr>
        <w:t xml:space="preserve">Analytical Report: Assessment of the Situation on Gender-Based Violence against Women and Girls in the Target Districts of the Republic of Tajikistan, 2020 </w:t>
      </w:r>
      <w:hyperlink r:id="rId11">
        <w:r>
          <w:rPr>
            <w:rFonts w:ascii="Source Sans 3" w:eastAsia="Source Sans 3" w:hAnsi="Source Sans 3" w:cs="Source Sans 3"/>
            <w:color w:val="1155CC"/>
            <w:u w:val="single"/>
          </w:rPr>
          <w:t>https://www.undp.org/sites/g/files/zskgke326/files/migration/tj/UNDP-TJK-Pub_2021_06-1_Final_SurveyRU_12102020.pdf</w:t>
        </w:r>
      </w:hyperlink>
      <w:r>
        <w:rPr>
          <w:rFonts w:ascii="Source Sans 3" w:eastAsia="Source Sans 3" w:hAnsi="Source Sans 3" w:cs="Source Sans 3"/>
        </w:rPr>
        <w:t xml:space="preserve"> </w:t>
      </w:r>
    </w:p>
    <w:p w14:paraId="4606E552" w14:textId="77777777" w:rsidR="00242023" w:rsidRDefault="00000000">
      <w:pPr>
        <w:spacing w:line="240" w:lineRule="auto"/>
        <w:rPr>
          <w:rFonts w:ascii="Source Sans 3" w:eastAsia="Source Sans 3" w:hAnsi="Source Sans 3" w:cs="Source Sans 3"/>
        </w:rPr>
      </w:pPr>
      <w:bookmarkStart w:id="13" w:name="9qgk1ewhczmg" w:colFirst="0" w:colLast="0"/>
      <w:bookmarkEnd w:id="13"/>
      <w:r>
        <w:rPr>
          <w:rFonts w:ascii="Source Sans 3" w:eastAsia="Source Sans 3" w:hAnsi="Source Sans 3" w:cs="Source Sans 3"/>
        </w:rPr>
        <w:t>2. ibid, p. 64</w:t>
      </w:r>
    </w:p>
    <w:p w14:paraId="11985AED" w14:textId="77777777" w:rsidR="00242023" w:rsidRDefault="00000000">
      <w:pPr>
        <w:spacing w:line="240" w:lineRule="auto"/>
        <w:rPr>
          <w:rFonts w:ascii="Source Sans 3" w:eastAsia="Source Sans 3" w:hAnsi="Source Sans 3" w:cs="Source Sans 3"/>
        </w:rPr>
      </w:pPr>
      <w:bookmarkStart w:id="14" w:name="7nxdeb12h0r3" w:colFirst="0" w:colLast="0"/>
      <w:bookmarkEnd w:id="14"/>
      <w:r>
        <w:rPr>
          <w:rFonts w:ascii="Source Sans 3" w:eastAsia="Source Sans 3" w:hAnsi="Source Sans 3" w:cs="Source Sans 3"/>
        </w:rPr>
        <w:t>3. ibid, p. 83</w:t>
      </w:r>
    </w:p>
    <w:p w14:paraId="1CE4EB4D" w14:textId="77777777" w:rsidR="00242023" w:rsidRDefault="00000000">
      <w:pPr>
        <w:spacing w:line="240" w:lineRule="auto"/>
        <w:rPr>
          <w:rFonts w:ascii="Source Sans 3" w:eastAsia="Source Sans 3" w:hAnsi="Source Sans 3" w:cs="Source Sans 3"/>
        </w:rPr>
      </w:pPr>
      <w:bookmarkStart w:id="15" w:name="7v5ync65wxhv" w:colFirst="0" w:colLast="0"/>
      <w:bookmarkEnd w:id="15"/>
      <w:r>
        <w:rPr>
          <w:rFonts w:ascii="Source Sans 3" w:eastAsia="Source Sans 3" w:hAnsi="Source Sans 3" w:cs="Source Sans 3"/>
        </w:rPr>
        <w:t>4. ibid, p. 64</w:t>
      </w:r>
    </w:p>
    <w:p w14:paraId="15239B1A" w14:textId="77777777" w:rsidR="00242023" w:rsidRDefault="00000000">
      <w:pPr>
        <w:spacing w:line="240" w:lineRule="auto"/>
        <w:jc w:val="both"/>
        <w:rPr>
          <w:rFonts w:ascii="Source Sans 3" w:eastAsia="Source Sans 3" w:hAnsi="Source Sans 3" w:cs="Source Sans 3"/>
        </w:rPr>
      </w:pPr>
      <w:bookmarkStart w:id="16" w:name="qa8v8iiec0gz" w:colFirst="0" w:colLast="0"/>
      <w:bookmarkEnd w:id="16"/>
      <w:r>
        <w:rPr>
          <w:rFonts w:ascii="Source Sans 3" w:eastAsia="Source Sans 3" w:hAnsi="Source Sans 3" w:cs="Source Sans 3"/>
        </w:rPr>
        <w:t>5.</w:t>
      </w:r>
      <w:hyperlink r:id="rId12">
        <w:r>
          <w:rPr>
            <w:rFonts w:ascii="Source Sans 3" w:eastAsia="Source Sans 3" w:hAnsi="Source Sans 3" w:cs="Source Sans 3"/>
            <w:color w:val="1155CC"/>
            <w:u w:val="single"/>
          </w:rPr>
          <w:t>https://www.spotlightinitiative.org/publications/baseline-study-peoples-perception-violence-against-women-and-girls-tajikistan-within</w:t>
        </w:r>
      </w:hyperlink>
      <w:r>
        <w:rPr>
          <w:rFonts w:ascii="Source Sans 3" w:eastAsia="Source Sans 3" w:hAnsi="Source Sans 3" w:cs="Source Sans 3"/>
        </w:rPr>
        <w:t xml:space="preserve"> </w:t>
      </w:r>
    </w:p>
    <w:p w14:paraId="1201FBC8" w14:textId="77777777" w:rsidR="00242023" w:rsidRDefault="00000000">
      <w:pPr>
        <w:spacing w:line="240" w:lineRule="auto"/>
        <w:rPr>
          <w:rFonts w:ascii="Source Sans 3" w:eastAsia="Source Sans 3" w:hAnsi="Source Sans 3" w:cs="Source Sans 3"/>
        </w:rPr>
      </w:pPr>
      <w:bookmarkStart w:id="17" w:name="65bi5gpe683m" w:colFirst="0" w:colLast="0"/>
      <w:bookmarkEnd w:id="17"/>
      <w:r>
        <w:rPr>
          <w:rFonts w:ascii="Source Sans 3" w:eastAsia="Source Sans 3" w:hAnsi="Source Sans 3" w:cs="Source Sans 3"/>
        </w:rPr>
        <w:t>6. CEDAW Committee, General recommendation No. 35; CEDAW Committee, Vertido v Philippines, Merits, Communication No. 18/2008, UN Doc CEDAW/C/46/D/18/2008; Article 36 of the Istanbul Convention</w:t>
      </w:r>
    </w:p>
    <w:p w14:paraId="7124D822" w14:textId="77777777" w:rsidR="00242023" w:rsidRDefault="00000000">
      <w:pPr>
        <w:spacing w:line="240" w:lineRule="auto"/>
        <w:rPr>
          <w:rFonts w:ascii="Source Sans 3" w:eastAsia="Source Sans 3" w:hAnsi="Source Sans 3" w:cs="Source Sans 3"/>
          <w:i/>
          <w:iCs/>
        </w:rPr>
      </w:pPr>
      <w:bookmarkStart w:id="18" w:name="fz4hn2ooj1m4" w:colFirst="0" w:colLast="0"/>
      <w:bookmarkEnd w:id="18"/>
      <w:r>
        <w:rPr>
          <w:rFonts w:ascii="Source Sans 3" w:eastAsia="Source Sans 3" w:hAnsi="Source Sans 3" w:cs="Source Sans 3"/>
        </w:rPr>
        <w:t xml:space="preserve">7. Article 138 – Rape: </w:t>
      </w:r>
      <w:r>
        <w:rPr>
          <w:rFonts w:ascii="Source Sans 3" w:eastAsia="Source Sans 3" w:hAnsi="Source Sans 3" w:cs="Source Sans 3"/>
          <w:i/>
          <w:iCs/>
        </w:rPr>
        <w:t>Rape, i.e. sexual intercourse with application of violence or with threat of its application to a woman or her relatives or with use of helpless condition of a woman, - shall be punished by imprisonment for a term of three to seven years.</w:t>
      </w:r>
    </w:p>
    <w:p w14:paraId="2D847E33" w14:textId="77777777" w:rsidR="00242023" w:rsidRDefault="00000000">
      <w:pPr>
        <w:spacing w:line="240" w:lineRule="auto"/>
        <w:rPr>
          <w:rFonts w:ascii="Source Sans 3" w:eastAsia="Source Sans 3" w:hAnsi="Source Sans 3" w:cs="Source Sans 3"/>
          <w:b/>
          <w:bCs/>
          <w:color w:val="333333"/>
        </w:rPr>
      </w:pPr>
      <w:bookmarkStart w:id="19" w:name="f0xeflgjwnrz" w:colFirst="0" w:colLast="0"/>
      <w:bookmarkEnd w:id="19"/>
      <w:r>
        <w:rPr>
          <w:rFonts w:ascii="Source Sans 3" w:eastAsia="Source Sans 3" w:hAnsi="Source Sans 3" w:cs="Source Sans 3"/>
        </w:rPr>
        <w:t xml:space="preserve">8. Article 139 – Violent acts of a sexual nature: </w:t>
      </w:r>
      <w:r>
        <w:rPr>
          <w:rFonts w:ascii="Source Sans 3" w:eastAsia="Source Sans 3" w:hAnsi="Source Sans 3" w:cs="Source Sans 3"/>
          <w:i/>
          <w:iCs/>
        </w:rPr>
        <w:t>Sodomy, lesbianism or other acts of a sexual nature with application of violence or threat of violence to the victim (victim) or to their relatives or using the helpless state of the victim (victim), - shall be punished by imprisonment for a term of five to seven years.</w:t>
      </w:r>
    </w:p>
    <w:p w14:paraId="4EEA28F1" w14:textId="77777777" w:rsidR="00242023" w:rsidRDefault="00000000">
      <w:pPr>
        <w:spacing w:line="240" w:lineRule="auto"/>
        <w:jc w:val="both"/>
        <w:rPr>
          <w:rFonts w:ascii="Source Sans 3" w:eastAsia="Source Sans 3" w:hAnsi="Source Sans 3" w:cs="Source Sans 3"/>
          <w:i/>
          <w:iCs/>
        </w:rPr>
      </w:pPr>
      <w:bookmarkStart w:id="20" w:name="yzfbvmyt4bew" w:colFirst="0" w:colLast="0"/>
      <w:bookmarkEnd w:id="20"/>
      <w:r>
        <w:rPr>
          <w:rFonts w:ascii="Source Sans 3" w:eastAsia="Source Sans 3" w:hAnsi="Source Sans 3" w:cs="Source Sans 3"/>
        </w:rPr>
        <w:t xml:space="preserve">9. Article 140 – Coercion to acts of a sexual nature: </w:t>
      </w:r>
      <w:r>
        <w:rPr>
          <w:rFonts w:ascii="Source Sans 3" w:eastAsia="Source Sans 3" w:hAnsi="Source Sans 3" w:cs="Source Sans 3"/>
          <w:i/>
          <w:iCs/>
        </w:rPr>
        <w:t>Coercion of a person to sexual intercourse, masculinity, lesbianism or other actions of a sexual nature by blackmail, threat of destruction, damage or seizure of property or with the use of official, material or other dependence of the victim, - is punished by the penalty at a rate from five hundred up to seven hundred indicators for calculation by corrective works for the term up to two years or imprisonment for the term up to two years.</w:t>
      </w:r>
    </w:p>
    <w:p w14:paraId="08318B28" w14:textId="77777777" w:rsidR="00242023" w:rsidRDefault="00000000">
      <w:pPr>
        <w:spacing w:line="240" w:lineRule="auto"/>
        <w:rPr>
          <w:rFonts w:ascii="Source Sans 3" w:eastAsia="Source Sans 3" w:hAnsi="Source Sans 3" w:cs="Source Sans 3"/>
        </w:rPr>
      </w:pPr>
      <w:bookmarkStart w:id="21" w:name="ka0k1ev1bdme" w:colFirst="0" w:colLast="0"/>
      <w:bookmarkEnd w:id="21"/>
      <w:r>
        <w:rPr>
          <w:rFonts w:ascii="Source Sans 3" w:eastAsia="Source Sans 3" w:hAnsi="Source Sans 3" w:cs="Source Sans 3"/>
        </w:rPr>
        <w:t>10. para. 33</w:t>
      </w:r>
    </w:p>
    <w:p w14:paraId="6FB43CB1" w14:textId="77777777" w:rsidR="00242023" w:rsidRDefault="00000000">
      <w:pPr>
        <w:spacing w:line="240" w:lineRule="auto"/>
        <w:rPr>
          <w:rFonts w:ascii="Source Sans 3" w:eastAsia="Source Sans 3" w:hAnsi="Source Sans 3" w:cs="Source Sans 3"/>
        </w:rPr>
      </w:pPr>
      <w:bookmarkStart w:id="22" w:name="gddv8j88sw0f" w:colFirst="0" w:colLast="0"/>
      <w:bookmarkEnd w:id="22"/>
      <w:r>
        <w:rPr>
          <w:rFonts w:ascii="Source Sans 3" w:eastAsia="Source Sans 3" w:hAnsi="Source Sans 3" w:cs="Source Sans 3"/>
        </w:rPr>
        <w:t>11. See e.g. Article 46 of the Istanbul Convention stating that a crime committed against a former or a current spouse or a partner should be treated as an aggravating factor.</w:t>
      </w:r>
    </w:p>
    <w:p w14:paraId="70895739" w14:textId="77777777" w:rsidR="00242023" w:rsidRDefault="00000000">
      <w:pPr>
        <w:spacing w:line="240" w:lineRule="auto"/>
        <w:jc w:val="both"/>
        <w:rPr>
          <w:rFonts w:ascii="Source Sans 3" w:eastAsia="Source Sans 3" w:hAnsi="Source Sans 3" w:cs="Source Sans 3"/>
        </w:rPr>
      </w:pPr>
      <w:bookmarkStart w:id="23" w:name="zg6gwozcfsse" w:colFirst="0" w:colLast="0"/>
      <w:bookmarkEnd w:id="23"/>
      <w:r>
        <w:rPr>
          <w:rFonts w:ascii="Source Sans 3" w:eastAsia="Source Sans 3" w:hAnsi="Source Sans 3" w:cs="Source Sans 3"/>
        </w:rPr>
        <w:t>12.</w:t>
      </w:r>
      <w:hyperlink r:id="rId13">
        <w:r>
          <w:rPr>
            <w:rFonts w:ascii="Source Sans 3" w:eastAsia="Source Sans 3" w:hAnsi="Source Sans 3" w:cs="Source Sans 3"/>
            <w:color w:val="1155CC"/>
            <w:u w:val="single"/>
          </w:rPr>
          <w:t>https://reliefweb.int/report/tajikistan/intersection-disabilities-and-violence-against-women-and-girls-tajikistan</w:t>
        </w:r>
      </w:hyperlink>
      <w:r>
        <w:rPr>
          <w:rFonts w:ascii="Source Sans 3" w:eastAsia="Source Sans 3" w:hAnsi="Source Sans 3" w:cs="Source Sans 3"/>
        </w:rPr>
        <w:t>, p. 5</w:t>
      </w:r>
    </w:p>
    <w:p w14:paraId="5FE40863" w14:textId="77777777" w:rsidR="00242023" w:rsidRDefault="00000000">
      <w:pPr>
        <w:widowControl w:val="0"/>
        <w:spacing w:line="240" w:lineRule="auto"/>
        <w:rPr>
          <w:rFonts w:ascii="Source Sans 3" w:eastAsia="Source Sans 3" w:hAnsi="Source Sans 3" w:cs="Source Sans 3"/>
        </w:rPr>
      </w:pPr>
      <w:bookmarkStart w:id="24" w:name="y7rh8l9ymkmw" w:colFirst="0" w:colLast="0"/>
      <w:bookmarkEnd w:id="24"/>
      <w:r>
        <w:rPr>
          <w:rFonts w:ascii="Source Sans 3" w:eastAsia="Source Sans 3" w:hAnsi="Source Sans 3" w:cs="Source Sans 3"/>
        </w:rPr>
        <w:t xml:space="preserve">13. Joint submission to CEDAW on Tajikistan by Equality Now, Women Lawyers for Development and the Public Foundation 'Your Choice' (2023), available at: </w:t>
      </w:r>
      <w:hyperlink r:id="rId14">
        <w:r>
          <w:rPr>
            <w:rFonts w:ascii="Source Sans 3" w:eastAsia="Source Sans 3" w:hAnsi="Source Sans 3" w:cs="Source Sans 3"/>
            <w:color w:val="1155CC"/>
            <w:u w:val="single"/>
          </w:rPr>
          <w:t>https://equalitynow.org/resource/submissions/information-on-tajikistan-for-consideration-by-the-committee-on-the-elimination-of-discrimination-against-women-at-its-87th-session-december-2023/</w:t>
        </w:r>
      </w:hyperlink>
      <w:r>
        <w:rPr>
          <w:rFonts w:ascii="Source Sans 3" w:eastAsia="Source Sans 3" w:hAnsi="Source Sans 3" w:cs="Source Sans 3"/>
        </w:rPr>
        <w:t xml:space="preserve"> , paras. 18-23; CEDAW, Concluding observations on the seventh periodic report of Tajikistan (CEDAW/C/TJK/CO/7, 2024), paras. 22-23, 36-37</w:t>
      </w:r>
    </w:p>
    <w:p w14:paraId="4A22A058" w14:textId="77777777" w:rsidR="00242023" w:rsidRDefault="00000000">
      <w:pPr>
        <w:spacing w:line="240" w:lineRule="auto"/>
        <w:rPr>
          <w:rFonts w:ascii="Source Sans 3" w:eastAsia="Source Sans 3" w:hAnsi="Source Sans 3" w:cs="Source Sans 3"/>
        </w:rPr>
      </w:pPr>
      <w:bookmarkStart w:id="25" w:name="mnb4znftl78k" w:colFirst="0" w:colLast="0"/>
      <w:bookmarkEnd w:id="25"/>
      <w:r>
        <w:rPr>
          <w:rFonts w:ascii="Source Sans 3" w:eastAsia="Source Sans 3" w:hAnsi="Source Sans 3" w:cs="Source Sans 3"/>
        </w:rPr>
        <w:t>14. CEDAW/C/TJK/CO/7, para. 37(a)</w:t>
      </w:r>
    </w:p>
    <w:p w14:paraId="2D6E3CC4" w14:textId="77777777" w:rsidR="00242023" w:rsidRDefault="00000000">
      <w:pPr>
        <w:spacing w:line="240" w:lineRule="auto"/>
        <w:rPr>
          <w:rFonts w:ascii="Source Sans 3" w:eastAsia="Source Sans 3" w:hAnsi="Source Sans 3" w:cs="Source Sans 3"/>
        </w:rPr>
      </w:pPr>
      <w:bookmarkStart w:id="26" w:name="j99ft1tvhiva" w:colFirst="0" w:colLast="0"/>
      <w:bookmarkEnd w:id="26"/>
      <w:r>
        <w:rPr>
          <w:rFonts w:ascii="Source Sans 3" w:eastAsia="Source Sans 3" w:hAnsi="Source Sans 3" w:cs="Source Sans 3"/>
        </w:rPr>
        <w:t xml:space="preserve">15. </w:t>
      </w:r>
      <w:hyperlink r:id="rId15">
        <w:r>
          <w:rPr>
            <w:rFonts w:ascii="Source Sans 3" w:eastAsia="Source Sans 3" w:hAnsi="Source Sans 3" w:cs="Source Sans 3"/>
            <w:color w:val="1155CC"/>
            <w:u w:val="single"/>
          </w:rPr>
          <w:t>https://www.weforum.org/publications/global-gender-gap-report-2023/in-full/</w:t>
        </w:r>
      </w:hyperlink>
      <w:r>
        <w:rPr>
          <w:rFonts w:ascii="Source Sans 3" w:eastAsia="Source Sans 3" w:hAnsi="Source Sans 3" w:cs="Source Sans 3"/>
        </w:rPr>
        <w:t xml:space="preserve"> </w:t>
      </w:r>
    </w:p>
    <w:p w14:paraId="791DFB26" w14:textId="77777777" w:rsidR="00242023" w:rsidRDefault="00000000">
      <w:pPr>
        <w:spacing w:line="240" w:lineRule="auto"/>
        <w:jc w:val="both"/>
        <w:rPr>
          <w:rFonts w:ascii="Source Sans 3" w:eastAsia="Source Sans 3" w:hAnsi="Source Sans 3" w:cs="Source Sans 3"/>
        </w:rPr>
      </w:pPr>
      <w:bookmarkStart w:id="27" w:name="tlsltgtno5vd" w:colFirst="0" w:colLast="0"/>
      <w:bookmarkEnd w:id="27"/>
      <w:r>
        <w:rPr>
          <w:rFonts w:ascii="Source Sans 3" w:eastAsia="Source Sans 3" w:hAnsi="Source Sans 3" w:cs="Source Sans 3"/>
        </w:rPr>
        <w:lastRenderedPageBreak/>
        <w:t>16.</w:t>
      </w:r>
      <w:hyperlink r:id="rId16" w:anchor="3">
        <w:r>
          <w:rPr>
            <w:rFonts w:ascii="Source Sans 3" w:eastAsia="Source Sans 3" w:hAnsi="Source Sans 3" w:cs="Source Sans 3"/>
            <w:color w:val="1155CC"/>
            <w:u w:val="single"/>
          </w:rPr>
          <w:t>https://evaw-global-database.unwomen.org/en/countries/asia/tajikistan?formofviolence=e1617fa638ca4041900fea9b9194c9d4#3</w:t>
        </w:r>
      </w:hyperlink>
      <w:r>
        <w:rPr>
          <w:rFonts w:ascii="Source Sans 3" w:eastAsia="Source Sans 3" w:hAnsi="Source Sans 3" w:cs="Source Sans 3"/>
        </w:rPr>
        <w:t xml:space="preserve"> </w:t>
      </w:r>
    </w:p>
    <w:p w14:paraId="0E38D9BE" w14:textId="77777777" w:rsidR="00242023" w:rsidRDefault="00000000">
      <w:pPr>
        <w:spacing w:line="240" w:lineRule="auto"/>
        <w:rPr>
          <w:rFonts w:ascii="Source Sans 3" w:eastAsia="Source Sans 3" w:hAnsi="Source Sans 3" w:cs="Source Sans 3"/>
        </w:rPr>
      </w:pPr>
      <w:bookmarkStart w:id="28" w:name="ok3fssoimeyr" w:colFirst="0" w:colLast="0"/>
      <w:bookmarkEnd w:id="28"/>
      <w:r>
        <w:rPr>
          <w:rFonts w:ascii="Source Sans 3" w:eastAsia="Source Sans 3" w:hAnsi="Source Sans 3" w:cs="Source Sans 3"/>
        </w:rPr>
        <w:t xml:space="preserve">17. </w:t>
      </w:r>
      <w:hyperlink r:id="rId17">
        <w:r>
          <w:rPr>
            <w:rFonts w:ascii="Source Sans 3" w:eastAsia="Source Sans 3" w:hAnsi="Source Sans 3" w:cs="Source Sans 3"/>
            <w:color w:val="1155CC"/>
            <w:u w:val="single"/>
          </w:rPr>
          <w:t>https://rus.ozodi.org/a/29852532.html</w:t>
        </w:r>
      </w:hyperlink>
      <w:r>
        <w:rPr>
          <w:rFonts w:ascii="Source Sans 3" w:eastAsia="Source Sans 3" w:hAnsi="Source Sans 3" w:cs="Source Sans 3"/>
        </w:rPr>
        <w:t xml:space="preserve"> </w:t>
      </w:r>
    </w:p>
    <w:p w14:paraId="360607F2" w14:textId="77777777" w:rsidR="00242023" w:rsidRDefault="00000000">
      <w:pPr>
        <w:spacing w:line="240" w:lineRule="auto"/>
        <w:rPr>
          <w:rFonts w:ascii="Source Sans 3" w:eastAsia="Source Sans 3" w:hAnsi="Source Sans 3" w:cs="Source Sans 3"/>
        </w:rPr>
      </w:pPr>
      <w:bookmarkStart w:id="29" w:name="cejaf4nagi6d" w:colFirst="0" w:colLast="0"/>
      <w:bookmarkEnd w:id="29"/>
      <w:r>
        <w:rPr>
          <w:rFonts w:ascii="Source Sans 3" w:eastAsia="Source Sans 3" w:hAnsi="Source Sans 3" w:cs="Source Sans 3"/>
        </w:rPr>
        <w:t>18. CEDAW/C/TJK/CO/7, para. 35</w:t>
      </w:r>
    </w:p>
    <w:p w14:paraId="206B920D" w14:textId="77777777" w:rsidR="00242023" w:rsidRDefault="00000000">
      <w:pPr>
        <w:spacing w:line="240" w:lineRule="auto"/>
        <w:rPr>
          <w:rFonts w:ascii="Source Sans 3" w:eastAsia="Source Sans 3" w:hAnsi="Source Sans 3" w:cs="Source Sans 3"/>
        </w:rPr>
      </w:pPr>
      <w:bookmarkStart w:id="30" w:name="89tnwmbhw17" w:colFirst="0" w:colLast="0"/>
      <w:bookmarkEnd w:id="30"/>
      <w:r>
        <w:rPr>
          <w:rFonts w:ascii="Source Sans 3" w:eastAsia="Source Sans 3" w:hAnsi="Source Sans 3" w:cs="Source Sans 3"/>
        </w:rPr>
        <w:t>19. CEDAW/C/TJK/CO/7, paras. 36-37</w:t>
      </w:r>
    </w:p>
    <w:sectPr w:rsidR="00242023">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D2B2B" w14:textId="77777777" w:rsidR="00E672CE" w:rsidRDefault="00E672CE">
      <w:pPr>
        <w:spacing w:line="240" w:lineRule="auto"/>
      </w:pPr>
      <w:r>
        <w:separator/>
      </w:r>
    </w:p>
  </w:endnote>
  <w:endnote w:type="continuationSeparator" w:id="0">
    <w:p w14:paraId="4D8E7831" w14:textId="77777777" w:rsidR="00E672CE" w:rsidRDefault="00E672CE">
      <w:pPr>
        <w:spacing w:line="240" w:lineRule="auto"/>
      </w:pPr>
      <w:r>
        <w:continuationSeparator/>
      </w:r>
    </w:p>
  </w:endnote>
  <w:endnote w:id="1">
    <w:p w14:paraId="69550CDD" w14:textId="77777777" w:rsidR="00893CCC" w:rsidRDefault="00893CCC">
      <w:pPr>
        <w:rPr>
          <w:rFonts w:ascii="Source Sans 3" w:eastAsia="Source Sans 3" w:hAnsi="Source Sans 3" w:cs="Source Sans 3"/>
        </w:rPr>
      </w:pPr>
      <w:r>
        <w:rPr>
          <w:vertAlign w:val="superscript"/>
        </w:rPr>
        <w:endnoteRef/>
      </w:r>
      <w:r>
        <w:rPr>
          <w:rFonts w:ascii="Source Sans 3" w:eastAsia="Source Sans 3" w:hAnsi="Source Sans 3" w:cs="Source Sans 3"/>
        </w:rPr>
        <w:t xml:space="preserve"> CEDAW/C/TJK/CO/7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37CF55E-758F-6349-94E8-3E1B4B47A526}"/>
  </w:font>
  <w:font w:name="Arial">
    <w:panose1 w:val="020B0604020202020204"/>
    <w:charset w:val="00"/>
    <w:family w:val="swiss"/>
    <w:pitch w:val="variable"/>
    <w:sig w:usb0="E0002EFF" w:usb1="C000785B" w:usb2="00000009" w:usb3="00000000" w:csb0="000001FF" w:csb1="00000000"/>
    <w:embedRegular r:id="rId2" w:fontKey="{C3D36A0F-B5B7-EB45-9E8C-81BED0D02510}"/>
    <w:embedItalic r:id="rId3" w:fontKey="{3E615A57-278A-4343-BEE4-25D4CC10A6EB}"/>
  </w:font>
  <w:font w:name="Source Sans 3">
    <w:panose1 w:val="020B0604020202020204"/>
    <w:charset w:val="00"/>
    <w:family w:val="auto"/>
    <w:pitch w:val="default"/>
    <w:embedRegular r:id="rId4" w:fontKey="{91ACDE1D-C223-454B-A65C-DE90549B9ED0}"/>
    <w:embedBold r:id="rId5" w:fontKey="{ACFDA3F5-30EF-FC41-8EA0-F756A8CF6746}"/>
    <w:embedItalic r:id="rId6" w:fontKey="{04B50675-D812-824F-BCAE-F9F6AC5AD4D9}"/>
  </w:font>
  <w:font w:name="Calibri">
    <w:panose1 w:val="020F0502020204030204"/>
    <w:charset w:val="00"/>
    <w:family w:val="swiss"/>
    <w:pitch w:val="variable"/>
    <w:sig w:usb0="E4002EFF" w:usb1="C200247B" w:usb2="00000009" w:usb3="00000000" w:csb0="000001FF" w:csb1="00000000"/>
    <w:embedRegular r:id="rId7" w:fontKey="{B17D626A-6620-D24D-B6C8-97A95A1751A2}"/>
  </w:font>
  <w:font w:name="Cambria">
    <w:panose1 w:val="02040503050406030204"/>
    <w:charset w:val="00"/>
    <w:family w:val="roman"/>
    <w:pitch w:val="variable"/>
    <w:sig w:usb0="E00006FF" w:usb1="420024FF" w:usb2="02000000" w:usb3="00000000" w:csb0="0000019F" w:csb1="00000000"/>
    <w:embedRegular r:id="rId8" w:fontKey="{A658B4DA-2419-B14E-9D97-0C8E7386BF7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4EC1" w14:textId="77777777" w:rsidR="00893CCC" w:rsidRDefault="00893C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AB9F" w14:textId="0E9CE763" w:rsidR="00242023" w:rsidRDefault="00000000">
    <w:pPr>
      <w:jc w:val="right"/>
    </w:pPr>
    <w:r>
      <w:fldChar w:fldCharType="begin"/>
    </w:r>
    <w:r>
      <w:instrText>PAGE</w:instrText>
    </w:r>
    <w:r>
      <w:fldChar w:fldCharType="separate"/>
    </w:r>
    <w:r w:rsidR="00893CCC">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0FFBC" w14:textId="77777777" w:rsidR="00242023" w:rsidRDefault="00000000">
    <w:pPr>
      <w:jc w:val="right"/>
    </w:pPr>
    <w:r>
      <w:fldChar w:fldCharType="begin"/>
    </w:r>
    <w:r>
      <w:instrText>PAGE</w:instrText>
    </w:r>
    <w:r>
      <w:fldChar w:fldCharType="separate"/>
    </w:r>
    <w:r w:rsidR="00893CC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2627E" w14:textId="77777777" w:rsidR="00E672CE" w:rsidRDefault="00E672CE">
      <w:pPr>
        <w:spacing w:line="240" w:lineRule="auto"/>
      </w:pPr>
      <w:r>
        <w:separator/>
      </w:r>
    </w:p>
  </w:footnote>
  <w:footnote w:type="continuationSeparator" w:id="0">
    <w:p w14:paraId="1000D0FD" w14:textId="77777777" w:rsidR="00E672CE" w:rsidRDefault="00E672CE">
      <w:pPr>
        <w:spacing w:line="240" w:lineRule="auto"/>
      </w:pPr>
      <w:r>
        <w:continuationSeparator/>
      </w:r>
    </w:p>
  </w:footnote>
  <w:footnote w:id="1">
    <w:p w14:paraId="7EDB77B6" w14:textId="77777777" w:rsidR="00242023"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hyperlink r:id="rId1">
        <w:r>
          <w:rPr>
            <w:rFonts w:ascii="Times New Roman" w:eastAsia="Times New Roman" w:hAnsi="Times New Roman" w:cs="Times New Roman"/>
            <w:color w:val="1155CC"/>
            <w:u w:val="single"/>
          </w:rPr>
          <w:t>https://www.facebook.com/WomenLawyersforDevelopment/</w:t>
        </w:r>
      </w:hyperlink>
      <w:r>
        <w:rPr>
          <w:rFonts w:ascii="Times New Roman" w:eastAsia="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D6C7F" w14:textId="77777777" w:rsidR="00893CCC" w:rsidRDefault="00893C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E0641" w14:textId="77777777" w:rsidR="00242023" w:rsidRDefault="002420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F3049" w14:textId="77777777" w:rsidR="00242023" w:rsidRDefault="00242023"/>
  <w:tbl>
    <w:tblPr>
      <w:tblStyle w:val="a"/>
      <w:tblW w:w="9360" w:type="dxa"/>
      <w:tblInd w:w="0" w:type="dxa"/>
      <w:tblLayout w:type="fixed"/>
      <w:tblLook w:val="0600" w:firstRow="0" w:lastRow="0" w:firstColumn="0" w:lastColumn="0" w:noHBand="1" w:noVBand="1"/>
    </w:tblPr>
    <w:tblGrid>
      <w:gridCol w:w="4680"/>
      <w:gridCol w:w="4680"/>
    </w:tblGrid>
    <w:tr w:rsidR="00242023" w14:paraId="5BA609DE" w14:textId="77777777">
      <w:tc>
        <w:tcPr>
          <w:tcW w:w="4680" w:type="dxa"/>
          <w:tcMar>
            <w:top w:w="100" w:type="dxa"/>
            <w:left w:w="100" w:type="dxa"/>
            <w:bottom w:w="100" w:type="dxa"/>
            <w:right w:w="100" w:type="dxa"/>
          </w:tcMar>
        </w:tcPr>
        <w:p w14:paraId="43EC5123" w14:textId="77777777" w:rsidR="00242023" w:rsidRDefault="00000000">
          <w:pPr>
            <w:jc w:val="center"/>
          </w:pPr>
          <w:r>
            <w:rPr>
              <w:noProof/>
            </w:rPr>
            <w:drawing>
              <wp:inline distT="114300" distB="114300" distL="114300" distR="114300" wp14:anchorId="254B5EC6" wp14:editId="577F98F6">
                <wp:extent cx="1914894" cy="72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914894" cy="720000"/>
                        </a:xfrm>
                        <a:prstGeom prst="rect">
                          <a:avLst/>
                        </a:prstGeom>
                        <a:ln/>
                      </pic:spPr>
                    </pic:pic>
                  </a:graphicData>
                </a:graphic>
              </wp:inline>
            </w:drawing>
          </w:r>
        </w:p>
      </w:tc>
      <w:tc>
        <w:tcPr>
          <w:tcW w:w="4680" w:type="dxa"/>
          <w:tcMar>
            <w:top w:w="100" w:type="dxa"/>
            <w:left w:w="100" w:type="dxa"/>
            <w:bottom w:w="100" w:type="dxa"/>
            <w:right w:w="100" w:type="dxa"/>
          </w:tcMar>
        </w:tcPr>
        <w:p w14:paraId="5BF185C7" w14:textId="77777777" w:rsidR="00242023" w:rsidRDefault="00000000">
          <w:pPr>
            <w:jc w:val="center"/>
          </w:pPr>
          <w:r>
            <w:rPr>
              <w:noProof/>
            </w:rPr>
            <w:drawing>
              <wp:inline distT="114300" distB="114300" distL="114300" distR="114300" wp14:anchorId="551BF6B3" wp14:editId="2CD408FF">
                <wp:extent cx="1215000" cy="9000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215000" cy="900000"/>
                        </a:xfrm>
                        <a:prstGeom prst="rect">
                          <a:avLst/>
                        </a:prstGeom>
                        <a:ln/>
                      </pic:spPr>
                    </pic:pic>
                  </a:graphicData>
                </a:graphic>
              </wp:inline>
            </w:drawing>
          </w:r>
        </w:p>
      </w:tc>
    </w:tr>
  </w:tbl>
  <w:p w14:paraId="0BD57D0B" w14:textId="77777777" w:rsidR="00242023" w:rsidRDefault="002420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36E5E"/>
    <w:multiLevelType w:val="multilevel"/>
    <w:tmpl w:val="B6961238"/>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4DB32101"/>
    <w:multiLevelType w:val="multilevel"/>
    <w:tmpl w:val="BAC235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42354056">
    <w:abstractNumId w:val="0"/>
  </w:num>
  <w:num w:numId="2" w16cid:durableId="1291937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023"/>
    <w:rsid w:val="00242023"/>
    <w:rsid w:val="00893CCC"/>
    <w:rsid w:val="00CA4415"/>
    <w:rsid w:val="00E6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906A"/>
  <w15:docId w15:val="{A7894C59-AD7E-9540-8369-9BC0525F7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893CCC"/>
    <w:pPr>
      <w:tabs>
        <w:tab w:val="center" w:pos="4680"/>
        <w:tab w:val="right" w:pos="9360"/>
      </w:tabs>
      <w:spacing w:line="240" w:lineRule="auto"/>
    </w:pPr>
  </w:style>
  <w:style w:type="character" w:customStyle="1" w:styleId="HeaderChar">
    <w:name w:val="Header Char"/>
    <w:basedOn w:val="DefaultParagraphFont"/>
    <w:link w:val="Header"/>
    <w:uiPriority w:val="99"/>
    <w:rsid w:val="00893CCC"/>
  </w:style>
  <w:style w:type="paragraph" w:styleId="Footer">
    <w:name w:val="footer"/>
    <w:basedOn w:val="Normal"/>
    <w:link w:val="FooterChar"/>
    <w:uiPriority w:val="99"/>
    <w:unhideWhenUsed/>
    <w:rsid w:val="00893CCC"/>
    <w:pPr>
      <w:tabs>
        <w:tab w:val="center" w:pos="4680"/>
        <w:tab w:val="right" w:pos="9360"/>
      </w:tabs>
      <w:spacing w:line="240" w:lineRule="auto"/>
    </w:pPr>
  </w:style>
  <w:style w:type="character" w:customStyle="1" w:styleId="FooterChar">
    <w:name w:val="Footer Char"/>
    <w:basedOn w:val="DefaultParagraphFont"/>
    <w:link w:val="Footer"/>
    <w:uiPriority w:val="99"/>
    <w:rsid w:val="00893CCC"/>
  </w:style>
  <w:style w:type="paragraph" w:styleId="TOC2">
    <w:name w:val="toc 2"/>
    <w:basedOn w:val="Normal"/>
    <w:next w:val="Normal"/>
    <w:autoRedefine/>
    <w:uiPriority w:val="39"/>
    <w:unhideWhenUsed/>
    <w:rsid w:val="00893CCC"/>
    <w:pPr>
      <w:spacing w:after="100"/>
      <w:ind w:left="220"/>
    </w:pPr>
  </w:style>
  <w:style w:type="paragraph" w:styleId="TOC3">
    <w:name w:val="toc 3"/>
    <w:basedOn w:val="Normal"/>
    <w:next w:val="Normal"/>
    <w:autoRedefine/>
    <w:uiPriority w:val="39"/>
    <w:unhideWhenUsed/>
    <w:rsid w:val="00893CCC"/>
    <w:pPr>
      <w:spacing w:after="100"/>
      <w:ind w:left="440"/>
    </w:pPr>
  </w:style>
  <w:style w:type="character" w:styleId="Hyperlink">
    <w:name w:val="Hyperlink"/>
    <w:basedOn w:val="DefaultParagraphFont"/>
    <w:uiPriority w:val="99"/>
    <w:unhideWhenUsed/>
    <w:rsid w:val="00893CCC"/>
    <w:rPr>
      <w:color w:val="0000FF" w:themeColor="hyperlink"/>
      <w:u w:val="single"/>
    </w:rPr>
  </w:style>
  <w:style w:type="paragraph" w:styleId="FootnoteText">
    <w:name w:val="footnote text"/>
    <w:basedOn w:val="Normal"/>
    <w:link w:val="FootnoteTextChar"/>
    <w:uiPriority w:val="99"/>
    <w:semiHidden/>
    <w:unhideWhenUsed/>
    <w:rsid w:val="00893CCC"/>
    <w:pPr>
      <w:spacing w:line="240" w:lineRule="auto"/>
    </w:pPr>
    <w:rPr>
      <w:sz w:val="20"/>
      <w:szCs w:val="20"/>
    </w:rPr>
  </w:style>
  <w:style w:type="character" w:customStyle="1" w:styleId="FootnoteTextChar">
    <w:name w:val="Footnote Text Char"/>
    <w:basedOn w:val="DefaultParagraphFont"/>
    <w:link w:val="FootnoteText"/>
    <w:uiPriority w:val="99"/>
    <w:semiHidden/>
    <w:rsid w:val="00893CCC"/>
    <w:rPr>
      <w:sz w:val="20"/>
      <w:szCs w:val="20"/>
    </w:rPr>
  </w:style>
  <w:style w:type="paragraph" w:styleId="EndnoteText">
    <w:name w:val="endnote text"/>
    <w:basedOn w:val="Normal"/>
    <w:link w:val="EndnoteTextChar"/>
    <w:uiPriority w:val="99"/>
    <w:semiHidden/>
    <w:unhideWhenUsed/>
    <w:rsid w:val="00893CCC"/>
    <w:pPr>
      <w:spacing w:line="240" w:lineRule="auto"/>
    </w:pPr>
    <w:rPr>
      <w:sz w:val="20"/>
      <w:szCs w:val="20"/>
    </w:rPr>
  </w:style>
  <w:style w:type="character" w:customStyle="1" w:styleId="EndnoteTextChar">
    <w:name w:val="Endnote Text Char"/>
    <w:basedOn w:val="DefaultParagraphFont"/>
    <w:link w:val="EndnoteText"/>
    <w:uiPriority w:val="99"/>
    <w:semiHidden/>
    <w:rsid w:val="00893CCC"/>
    <w:rPr>
      <w:sz w:val="20"/>
      <w:szCs w:val="20"/>
    </w:rPr>
  </w:style>
  <w:style w:type="character" w:styleId="FootnoteReference">
    <w:name w:val="footnote reference"/>
    <w:basedOn w:val="DefaultParagraphFont"/>
    <w:uiPriority w:val="99"/>
    <w:semiHidden/>
    <w:unhideWhenUsed/>
    <w:rsid w:val="00893CCC"/>
    <w:rPr>
      <w:vertAlign w:val="superscript"/>
    </w:rPr>
  </w:style>
  <w:style w:type="character" w:styleId="EndnoteReference">
    <w:name w:val="endnote reference"/>
    <w:basedOn w:val="DefaultParagraphFont"/>
    <w:uiPriority w:val="99"/>
    <w:semiHidden/>
    <w:unhideWhenUsed/>
    <w:rsid w:val="00893CCC"/>
    <w:rPr>
      <w:vertAlign w:val="superscript"/>
    </w:rPr>
  </w:style>
  <w:style w:type="paragraph" w:styleId="ListParagraph">
    <w:name w:val="List Paragraph"/>
    <w:basedOn w:val="Normal"/>
    <w:uiPriority w:val="34"/>
    <w:qFormat/>
    <w:rsid w:val="00893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qualitynow.org" TargetMode="External"/><Relationship Id="rId13" Type="http://schemas.openxmlformats.org/officeDocument/2006/relationships/hyperlink" Target="https://reliefweb.int/report/tajikistan/intersection-disabilities-and-violence-against-women-and-girls-tajikista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spotlightinitiative.org/publications/baseline-study-peoples-perception-violence-against-women-and-girls-tajikistan-within" TargetMode="External"/><Relationship Id="rId17" Type="http://schemas.openxmlformats.org/officeDocument/2006/relationships/hyperlink" Target="https://rus.ozodi.org/a/29852532.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vaw-global-database.unwomen.org/en/countries/asia/tajikistan?formofviolence=e1617fa638ca4041900fea9b9194c9d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dp.org/sites/g/files/zskgke326/files/migration/tj/UNDP-TJK-Pub_2021_06-1_Final_SurveyRU_12102020.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eforum.org/publications/global-gender-gap-report-2023/in-full/" TargetMode="External"/><Relationship Id="rId23" Type="http://schemas.openxmlformats.org/officeDocument/2006/relationships/footer" Target="footer3.xml"/><Relationship Id="rId10" Type="http://schemas.openxmlformats.org/officeDocument/2006/relationships/hyperlink" Target="https://www.facebook.com/WomenLawyersforDevelopment/"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ukinfo@equalitynow.org" TargetMode="External"/><Relationship Id="rId14" Type="http://schemas.openxmlformats.org/officeDocument/2006/relationships/hyperlink" Target="https://equalitynow.org/resource/submissions/information-on-tajikistan-for-consideration-by-the-committee-on-the-elimination-of-discrimination-against-women-at-its-87th-session-december-2023/"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www.facebook.com/WomenLawyersforDevelopment/"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DD0D9-B1E1-6C43-BA07-4AAB11B61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3018</Words>
  <Characters>18171</Characters>
  <Application>Microsoft Office Word</Application>
  <DocSecurity>0</DocSecurity>
  <Lines>324</Lines>
  <Paragraphs>99</Paragraphs>
  <ScaleCrop>false</ScaleCrop>
  <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2026-05-29T15:25:00Z</dcterms:created>
  <dcterms:modified xsi:type="dcterms:W3CDTF">2026-05-29T15:25:00Z</dcterms:modified>
</cp:coreProperties>
</file>