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1B0B70" w:rsidRDefault="001B0B70">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88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1"/>
        <w:gridCol w:w="2400"/>
        <w:gridCol w:w="4315"/>
      </w:tblGrid>
      <w:tr w:rsidR="001B0B70" w14:paraId="0A3BC947" w14:textId="77777777">
        <w:tc>
          <w:tcPr>
            <w:tcW w:w="4541" w:type="dxa"/>
            <w:gridSpan w:val="2"/>
          </w:tcPr>
          <w:p w14:paraId="00000002" w14:textId="77777777" w:rsidR="001B0B70" w:rsidRDefault="00520A11">
            <w:pPr>
              <w:rPr>
                <w:rFonts w:ascii="Times New Roman" w:eastAsia="Times New Roman" w:hAnsi="Times New Roman" w:cs="Times New Roman"/>
              </w:rPr>
            </w:pPr>
            <w:bookmarkStart w:id="0" w:name="_heading=h.gjdgxs" w:colFirst="0" w:colLast="0"/>
            <w:bookmarkEnd w:id="0"/>
            <w:r>
              <w:rPr>
                <w:noProof/>
              </w:rPr>
              <w:drawing>
                <wp:anchor distT="0" distB="0" distL="114300" distR="114300" simplePos="0" relativeHeight="251658240" behindDoc="0" locked="0" layoutInCell="1" hidden="0" allowOverlap="1" wp14:anchorId="7500511F" wp14:editId="283517DC">
                  <wp:simplePos x="0" y="0"/>
                  <wp:positionH relativeFrom="column">
                    <wp:posOffset>1015637</wp:posOffset>
                  </wp:positionH>
                  <wp:positionV relativeFrom="paragraph">
                    <wp:posOffset>0</wp:posOffset>
                  </wp:positionV>
                  <wp:extent cx="898525" cy="887095"/>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898525" cy="887095"/>
                          </a:xfrm>
                          <a:prstGeom prst="rect">
                            <a:avLst/>
                          </a:prstGeom>
                          <a:ln/>
                        </pic:spPr>
                      </pic:pic>
                    </a:graphicData>
                  </a:graphic>
                </wp:anchor>
              </w:drawing>
            </w:r>
          </w:p>
          <w:p w14:paraId="00000003" w14:textId="77777777" w:rsidR="001B0B70" w:rsidRDefault="001B0B70">
            <w:pPr>
              <w:rPr>
                <w:rFonts w:ascii="Times New Roman" w:eastAsia="Times New Roman" w:hAnsi="Times New Roman" w:cs="Times New Roman"/>
              </w:rPr>
            </w:pPr>
          </w:p>
          <w:p w14:paraId="00000004" w14:textId="77777777" w:rsidR="001B0B70" w:rsidRDefault="001B0B70">
            <w:pPr>
              <w:rPr>
                <w:rFonts w:ascii="Times New Roman" w:eastAsia="Times New Roman" w:hAnsi="Times New Roman" w:cs="Times New Roman"/>
              </w:rPr>
            </w:pPr>
          </w:p>
        </w:tc>
        <w:tc>
          <w:tcPr>
            <w:tcW w:w="4315" w:type="dxa"/>
          </w:tcPr>
          <w:p w14:paraId="00000009" w14:textId="77777777" w:rsidR="001B0B70" w:rsidRDefault="00520A11">
            <w:pPr>
              <w:rPr>
                <w:rFonts w:ascii="Times New Roman" w:eastAsia="Times New Roman" w:hAnsi="Times New Roman" w:cs="Times New Roman"/>
                <w:b/>
              </w:rPr>
            </w:pPr>
            <w:r>
              <w:rPr>
                <w:rFonts w:ascii="Times New Roman" w:eastAsia="Times New Roman" w:hAnsi="Times New Roman" w:cs="Times New Roman"/>
                <w:b/>
              </w:rPr>
              <w:t>CRC # Session</w:t>
            </w:r>
          </w:p>
          <w:p w14:paraId="0000000A" w14:textId="77777777" w:rsidR="001B0B70" w:rsidRDefault="00520A11">
            <w:pPr>
              <w:rPr>
                <w:rFonts w:ascii="Times New Roman" w:eastAsia="Times New Roman" w:hAnsi="Times New Roman" w:cs="Times New Roman"/>
              </w:rPr>
            </w:pPr>
            <w:r>
              <w:rPr>
                <w:rFonts w:ascii="Times New Roman" w:eastAsia="Times New Roman" w:hAnsi="Times New Roman" w:cs="Times New Roman"/>
              </w:rPr>
              <w:t>Country name:</w:t>
            </w:r>
          </w:p>
          <w:p w14:paraId="0000000B" w14:textId="063B7236" w:rsidR="001B0B70" w:rsidRDefault="00345A52">
            <w:pPr>
              <w:rPr>
                <w:rFonts w:ascii="Times New Roman" w:eastAsia="Times New Roman" w:hAnsi="Times New Roman" w:cs="Times New Roman"/>
              </w:rPr>
            </w:pPr>
            <w:r>
              <w:rPr>
                <w:rFonts w:ascii="Times New Roman" w:eastAsia="Times New Roman" w:hAnsi="Times New Roman" w:cs="Times New Roman"/>
              </w:rPr>
              <w:t xml:space="preserve">Togo </w:t>
            </w:r>
          </w:p>
        </w:tc>
      </w:tr>
      <w:tr w:rsidR="001B0B70" w14:paraId="7087D428" w14:textId="77777777">
        <w:tc>
          <w:tcPr>
            <w:tcW w:w="8856" w:type="dxa"/>
            <w:gridSpan w:val="3"/>
          </w:tcPr>
          <w:p w14:paraId="0000000F" w14:textId="77777777" w:rsidR="001B0B70" w:rsidRDefault="001B0B70">
            <w:pPr>
              <w:jc w:val="both"/>
              <w:rPr>
                <w:rFonts w:ascii="Times New Roman" w:eastAsia="Times New Roman" w:hAnsi="Times New Roman" w:cs="Times New Roman"/>
                <w:color w:val="222222"/>
                <w:highlight w:val="white"/>
              </w:rPr>
            </w:pPr>
          </w:p>
          <w:p w14:paraId="00000010" w14:textId="77777777" w:rsidR="001B0B70" w:rsidRDefault="00520A11">
            <w:pPr>
              <w:jc w:val="center"/>
              <w:rPr>
                <w:rFonts w:ascii="Times New Roman" w:eastAsia="Times New Roman" w:hAnsi="Times New Roman" w:cs="Times New Roman"/>
                <w:b/>
                <w:color w:val="222222"/>
                <w:highlight w:val="white"/>
              </w:rPr>
            </w:pPr>
            <w:r>
              <w:rPr>
                <w:rFonts w:ascii="Times New Roman" w:eastAsia="Times New Roman" w:hAnsi="Times New Roman" w:cs="Times New Roman"/>
                <w:b/>
                <w:color w:val="222222"/>
                <w:highlight w:val="white"/>
              </w:rPr>
              <w:t>Appropriate pre-trial detention times for children</w:t>
            </w:r>
          </w:p>
          <w:p w14:paraId="00000011" w14:textId="77777777" w:rsidR="001B0B70" w:rsidRDefault="001B0B70">
            <w:pPr>
              <w:jc w:val="both"/>
              <w:rPr>
                <w:rFonts w:ascii="Times New Roman" w:eastAsia="Times New Roman" w:hAnsi="Times New Roman" w:cs="Times New Roman"/>
                <w:color w:val="222222"/>
                <w:highlight w:val="white"/>
              </w:rPr>
            </w:pPr>
          </w:p>
          <w:p w14:paraId="00000012" w14:textId="77777777" w:rsidR="001B0B70" w:rsidRDefault="00520A11">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Cluster of rights:</w:t>
            </w:r>
          </w:p>
          <w:p w14:paraId="00000013" w14:textId="77777777" w:rsidR="001B0B70" w:rsidRDefault="00520A11">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Convention on the Rights of the Child Article 37(b): No child shall be deprived of his or her liberty unlawfully or arbitrarily. The arrest, detention or imprisonment of a child shall be in conformity with the law and shall be used only as a measure of last resort and for the shortest appropriate period of time; </w:t>
            </w:r>
          </w:p>
          <w:p w14:paraId="00000014" w14:textId="77777777" w:rsidR="001B0B70" w:rsidRDefault="00520A11">
            <w:pPr>
              <w:pBdr>
                <w:top w:val="nil"/>
                <w:left w:val="nil"/>
                <w:bottom w:val="nil"/>
                <w:right w:val="nil"/>
                <w:between w:val="nil"/>
              </w:pBd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Convention Against Torture Article 2</w:t>
            </w:r>
          </w:p>
          <w:p w14:paraId="00000015" w14:textId="77777777" w:rsidR="001B0B70" w:rsidRDefault="00520A11">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Areas of concern:</w:t>
            </w:r>
          </w:p>
          <w:p w14:paraId="00000016" w14:textId="77777777" w:rsidR="001B0B70" w:rsidRDefault="001B0B70">
            <w:pPr>
              <w:jc w:val="both"/>
              <w:rPr>
                <w:rFonts w:ascii="Times New Roman" w:eastAsia="Times New Roman" w:hAnsi="Times New Roman" w:cs="Times New Roman"/>
                <w:color w:val="222222"/>
                <w:highlight w:val="white"/>
              </w:rPr>
            </w:pPr>
          </w:p>
          <w:p w14:paraId="00000017" w14:textId="77777777" w:rsidR="001B0B70" w:rsidRDefault="00520A11">
            <w:pPr>
              <w:jc w:val="both"/>
              <w:rPr>
                <w:rFonts w:ascii="Times New Roman" w:eastAsia="Times New Roman" w:hAnsi="Times New Roman" w:cs="Times New Roman"/>
              </w:rPr>
            </w:pPr>
            <w:bookmarkStart w:id="1" w:name="_heading=h.30j0zll" w:colFirst="0" w:colLast="0"/>
            <w:bookmarkEnd w:id="1"/>
            <w:r>
              <w:rPr>
                <w:rFonts w:ascii="Times New Roman" w:eastAsia="Times New Roman" w:hAnsi="Times New Roman" w:cs="Times New Roman"/>
              </w:rPr>
              <w:t>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Pretrial detention is only permitted as a measure of last resort and for “</w:t>
            </w:r>
            <w:r>
              <w:rPr>
                <w:rFonts w:ascii="Times New Roman" w:eastAsia="Times New Roman" w:hAnsi="Times New Roman" w:cs="Times New Roman"/>
                <w:i/>
              </w:rPr>
              <w:t>the shortest appropriate period of time</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However, there is no clarity around what is meant by an “</w:t>
            </w:r>
            <w:r>
              <w:rPr>
                <w:rFonts w:ascii="Times New Roman" w:eastAsia="Times New Roman" w:hAnsi="Times New Roman" w:cs="Times New Roman"/>
                <w:i/>
              </w:rPr>
              <w:t>appropriate period of time</w:t>
            </w:r>
            <w:r>
              <w:rPr>
                <w:rFonts w:ascii="Times New Roman" w:eastAsia="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The Committee additionally recommended that any such detention should be reviewed regularly by a competent body</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These recommendations can and should be strengthened.</w:t>
            </w:r>
          </w:p>
          <w:p w14:paraId="00000018" w14:textId="77777777" w:rsidR="001B0B70" w:rsidRDefault="001B0B70">
            <w:pPr>
              <w:jc w:val="both"/>
              <w:rPr>
                <w:rFonts w:ascii="Times New Roman" w:eastAsia="Times New Roman" w:hAnsi="Times New Roman" w:cs="Times New Roman"/>
              </w:rPr>
            </w:pPr>
          </w:p>
          <w:p w14:paraId="00000019" w14:textId="77777777" w:rsidR="001B0B70" w:rsidRDefault="00520A11">
            <w:pPr>
              <w:jc w:val="both"/>
              <w:rPr>
                <w:rFonts w:ascii="Times New Roman" w:eastAsia="Times New Roman" w:hAnsi="Times New Roman" w:cs="Times New Roman"/>
              </w:rPr>
            </w:pPr>
            <w:bookmarkStart w:id="2" w:name="_heading=h.1fob9te" w:colFirst="0" w:colLast="0"/>
            <w:bookmarkEnd w:id="2"/>
            <w:r>
              <w:rPr>
                <w:rFonts w:ascii="Times New Roman" w:eastAsia="Times New Roman" w:hAnsi="Times New Roman" w:cs="Times New Roman"/>
              </w:rPr>
              <w:t>Defendants in pretrial detention are more likely to be abused, mistreated and tortured,</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imes New Roman" w:eastAsia="Times New Roman" w:hAnsi="Times New Roman" w:cs="Times New Roman"/>
              </w:rPr>
              <w:lastRenderedPageBreak/>
              <w:t>school drop-out, and drug use among children.</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Research shows that children’s sense of time is significantly different than adults, making even short periods of detention particularly harmful.</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14:paraId="0000001A" w14:textId="77777777" w:rsidR="001B0B70" w:rsidRDefault="001B0B70">
            <w:pPr>
              <w:jc w:val="both"/>
              <w:rPr>
                <w:rFonts w:ascii="Times New Roman" w:eastAsia="Times New Roman" w:hAnsi="Times New Roman" w:cs="Times New Roman"/>
              </w:rPr>
            </w:pPr>
          </w:p>
          <w:p w14:paraId="0000001B" w14:textId="77777777" w:rsidR="001B0B70" w:rsidRDefault="00520A11">
            <w:pPr>
              <w:jc w:val="both"/>
              <w:rPr>
                <w:rFonts w:ascii="Times New Roman" w:eastAsia="Times New Roman" w:hAnsi="Times New Roman" w:cs="Times New Roman"/>
              </w:rPr>
            </w:pPr>
            <w:bookmarkStart w:id="3" w:name="_heading=h.3znysh7" w:colFirst="0" w:colLast="0"/>
            <w:bookmarkEnd w:id="3"/>
            <w:r>
              <w:rPr>
                <w:rFonts w:ascii="Times New Roman" w:eastAsia="Times New Roman" w:hAnsi="Times New Roman" w:cs="Times New Roman"/>
              </w:rPr>
              <w:t>While significant research, documentation, and best practices exist for monitoring detention conditions and implementing alternatives to detention, there is very little international research that documents the duration of child pretrial detention. Some organizations advocate for a maximum of 30 days for children in pretrial detention, and many countries have clear legal maximums.</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Yet it is unclear which nations are in fact adhering to a statutory maximum, what the average pretrial duration is, or what emerging good practices may be for reducing the duration of pretrial detention. </w:t>
            </w:r>
          </w:p>
          <w:p w14:paraId="0000001C" w14:textId="77777777" w:rsidR="001B0B70" w:rsidRDefault="001B0B70">
            <w:pPr>
              <w:jc w:val="both"/>
              <w:rPr>
                <w:rFonts w:ascii="Times New Roman" w:eastAsia="Times New Roman" w:hAnsi="Times New Roman" w:cs="Times New Roman"/>
              </w:rPr>
            </w:pPr>
          </w:p>
          <w:p w14:paraId="0000001D" w14:textId="77777777" w:rsidR="001B0B70" w:rsidRDefault="00520A11">
            <w:pPr>
              <w:jc w:val="both"/>
              <w:rPr>
                <w:rFonts w:ascii="Times New Roman" w:eastAsia="Times New Roman" w:hAnsi="Times New Roman" w:cs="Times New Roman"/>
              </w:rPr>
            </w:pPr>
            <w:r>
              <w:rPr>
                <w:rFonts w:ascii="Times New Roman" w:eastAsia="Times New Roman" w:hAnsi="Times New Roman" w:cs="Times New Roman"/>
              </w:rPr>
              <w:t>Criminal justice procedures for children vary widely throughout the world, and it appears that international and regional human rights bodies have, to date, been reticent to prescribe what constitutes the “</w:t>
            </w:r>
            <w:r>
              <w:rPr>
                <w:rFonts w:ascii="Times New Roman" w:eastAsia="Times New Roman" w:hAnsi="Times New Roman" w:cs="Times New Roman"/>
                <w:i/>
              </w:rPr>
              <w:t>shortest appropriate time</w:t>
            </w:r>
            <w:r>
              <w:rPr>
                <w:rFonts w:ascii="Times New Roman" w:eastAsia="Times New Roman" w:hAnsi="Times New Roman" w:cs="Times New Roman"/>
              </w:rPr>
              <w:t>”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This means that the most significant time spent deprived of liberty is while awaiting trial, when children are ostensibly presumed innocent. </w:t>
            </w:r>
          </w:p>
          <w:p w14:paraId="0000001E" w14:textId="77777777" w:rsidR="001B0B70" w:rsidRDefault="001B0B70">
            <w:pPr>
              <w:jc w:val="both"/>
              <w:rPr>
                <w:rFonts w:ascii="Times New Roman" w:eastAsia="Times New Roman" w:hAnsi="Times New Roman" w:cs="Times New Roman"/>
              </w:rPr>
            </w:pPr>
          </w:p>
          <w:p w14:paraId="0000001F" w14:textId="77777777" w:rsidR="001B0B70" w:rsidRDefault="00520A11">
            <w:pPr>
              <w:jc w:val="both"/>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Children in Pretrial Detention: Promoting Stronger International Time Limits</w:t>
            </w:r>
            <w:r>
              <w:rPr>
                <w:rFonts w:ascii="Times New Roman" w:eastAsia="Times New Roman" w:hAnsi="Times New Roman" w:cs="Times New Roman"/>
              </w:rPr>
              <w:t xml:space="preserve"> report serves as a baseline for the committee to expand on country practices regarding times of pre-trial detention of children. </w:t>
            </w:r>
          </w:p>
          <w:p w14:paraId="00000020" w14:textId="77777777" w:rsidR="001B0B70" w:rsidRDefault="001B0B70">
            <w:pPr>
              <w:jc w:val="both"/>
              <w:rPr>
                <w:rFonts w:ascii="Times New Roman" w:eastAsia="Times New Roman" w:hAnsi="Times New Roman" w:cs="Times New Roman"/>
              </w:rPr>
            </w:pPr>
          </w:p>
          <w:p w14:paraId="00000021" w14:textId="77777777" w:rsidR="001B0B70" w:rsidRDefault="00520A11">
            <w:pPr>
              <w:jc w:val="both"/>
              <w:rPr>
                <w:rFonts w:ascii="Times New Roman" w:eastAsia="Times New Roman" w:hAnsi="Times New Roman" w:cs="Times New Roman"/>
              </w:rPr>
            </w:pPr>
            <w:r>
              <w:rPr>
                <w:rFonts w:ascii="Times New Roman" w:eastAsia="Times New Roman" w:hAnsi="Times New Roman" w:cs="Times New Roman"/>
              </w:rPr>
              <w:t xml:space="preserve">State actors and civil society should be made aware that reducing the duration of pretrial detention for children is an urgent priority, and they need the tools to understand both </w:t>
            </w:r>
            <w:r>
              <w:rPr>
                <w:rFonts w:ascii="Times New Roman" w:eastAsia="Times New Roman" w:hAnsi="Times New Roman" w:cs="Times New Roman"/>
              </w:rPr>
              <w:lastRenderedPageBreak/>
              <w:t>effective practices which can reduce pretrial detention, as well as the governing international standards. This report represents an important step toward these goals.</w:t>
            </w:r>
          </w:p>
          <w:p w14:paraId="00000022" w14:textId="77777777" w:rsidR="001B0B70" w:rsidRDefault="001B0B70">
            <w:pPr>
              <w:rPr>
                <w:rFonts w:ascii="Times New Roman" w:eastAsia="Times New Roman" w:hAnsi="Times New Roman" w:cs="Times New Roman"/>
              </w:rPr>
            </w:pPr>
          </w:p>
          <w:p w14:paraId="00000023" w14:textId="77777777" w:rsidR="001B0B70" w:rsidRDefault="001B0B70">
            <w:pPr>
              <w:rPr>
                <w:rFonts w:ascii="Times New Roman" w:eastAsia="Times New Roman" w:hAnsi="Times New Roman" w:cs="Times New Roman"/>
              </w:rPr>
            </w:pPr>
            <w:bookmarkStart w:id="4" w:name="_heading=h.2et92p0" w:colFirst="0" w:colLast="0"/>
            <w:bookmarkEnd w:id="4"/>
          </w:p>
          <w:p w14:paraId="00000024" w14:textId="77777777" w:rsidR="001B0B70" w:rsidRDefault="001B0B70">
            <w:pPr>
              <w:jc w:val="both"/>
              <w:rPr>
                <w:rFonts w:ascii="Times New Roman" w:eastAsia="Times New Roman" w:hAnsi="Times New Roman" w:cs="Times New Roman"/>
                <w:color w:val="222222"/>
                <w:highlight w:val="white"/>
              </w:rPr>
            </w:pPr>
          </w:p>
          <w:p w14:paraId="00000025" w14:textId="77777777" w:rsidR="001B0B70" w:rsidRDefault="00520A11">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Methodology:</w:t>
            </w:r>
          </w:p>
          <w:p w14:paraId="00000026" w14:textId="77777777" w:rsidR="001B0B70" w:rsidRDefault="001B0B70">
            <w:pPr>
              <w:jc w:val="both"/>
              <w:rPr>
                <w:rFonts w:ascii="Times New Roman" w:eastAsia="Times New Roman" w:hAnsi="Times New Roman" w:cs="Times New Roman"/>
                <w:color w:val="222222"/>
                <w:highlight w:val="white"/>
              </w:rPr>
            </w:pPr>
          </w:p>
          <w:p w14:paraId="00000027" w14:textId="77777777" w:rsidR="001B0B70" w:rsidRDefault="00520A11">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This alternative report is based on a previous global 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14:paraId="00000028" w14:textId="77777777" w:rsidR="001B0B70" w:rsidRDefault="001B0B70">
            <w:pPr>
              <w:jc w:val="both"/>
              <w:rPr>
                <w:rFonts w:ascii="Times New Roman" w:eastAsia="Times New Roman" w:hAnsi="Times New Roman" w:cs="Times New Roman"/>
                <w:color w:val="222222"/>
                <w:highlight w:val="white"/>
              </w:rPr>
            </w:pPr>
          </w:p>
          <w:p w14:paraId="00000029" w14:textId="77777777" w:rsidR="001B0B70" w:rsidRDefault="00520A11">
            <w:pPr>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14:paraId="0000002A" w14:textId="77777777" w:rsidR="001B0B70" w:rsidRDefault="001B0B70">
            <w:pPr>
              <w:jc w:val="both"/>
              <w:rPr>
                <w:rFonts w:ascii="Times New Roman" w:eastAsia="Times New Roman" w:hAnsi="Times New Roman" w:cs="Times New Roman"/>
                <w:color w:val="222222"/>
                <w:highlight w:val="white"/>
              </w:rPr>
            </w:pPr>
          </w:p>
          <w:p w14:paraId="0000002B" w14:textId="77777777" w:rsidR="001B0B70" w:rsidRDefault="00520A11">
            <w:pPr>
              <w:rPr>
                <w:rFonts w:ascii="Times New Roman" w:eastAsia="Times New Roman" w:hAnsi="Times New Roman" w:cs="Times New Roman"/>
              </w:rPr>
            </w:pPr>
            <w:r>
              <w:rPr>
                <w:rFonts w:ascii="Times New Roman" w:eastAsia="Times New Roman" w:hAnsi="Times New Roman" w:cs="Times New Roman"/>
                <w:color w:val="222222"/>
                <w:highlight w:val="white"/>
              </w:rPr>
              <w:t xml:space="preserve">The number of days were calculated at 30 days per month when the statue used a number of months rather than days for durations shorter than one year. Monthly durations beyond one year are added to a 365-day period. </w:t>
            </w:r>
            <w:r>
              <w:rPr>
                <w:rFonts w:ascii="Times New Roman" w:eastAsia="Times New Roman" w:hAnsi="Times New Roman" w:cs="Times New Roman"/>
              </w:rPr>
              <w:t>For example, 18 months was calculated as one year (365 days) plus six months (six 30-day periods, or180 days) to be 545 days. All time limits and averages were rounded to the closest whole day.</w:t>
            </w:r>
          </w:p>
          <w:p w14:paraId="0000002C" w14:textId="77777777" w:rsidR="001B0B70" w:rsidRDefault="001B0B70">
            <w:pPr>
              <w:rPr>
                <w:rFonts w:ascii="Times New Roman" w:eastAsia="Times New Roman" w:hAnsi="Times New Roman" w:cs="Times New Roman"/>
              </w:rPr>
            </w:pPr>
          </w:p>
          <w:p w14:paraId="0000002D" w14:textId="77777777" w:rsidR="001B0B70" w:rsidRDefault="00520A11">
            <w:pPr>
              <w:jc w:val="both"/>
              <w:rPr>
                <w:rFonts w:ascii="Times New Roman" w:eastAsia="Times New Roman" w:hAnsi="Times New Roman" w:cs="Times New Roman"/>
              </w:rPr>
            </w:pPr>
            <w:r>
              <w:rPr>
                <w:rFonts w:ascii="Times New Roman" w:eastAsia="Times New Roman" w:hAnsi="Times New Roman" w:cs="Times New Roman"/>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14:paraId="0000002E" w14:textId="77777777" w:rsidR="001B0B70" w:rsidRDefault="001B0B70">
            <w:pPr>
              <w:rPr>
                <w:rFonts w:ascii="Times New Roman" w:eastAsia="Times New Roman" w:hAnsi="Times New Roman" w:cs="Times New Roman"/>
              </w:rPr>
            </w:pPr>
          </w:p>
          <w:p w14:paraId="0000002F" w14:textId="77777777" w:rsidR="001B0B70" w:rsidRDefault="00520A11">
            <w:pPr>
              <w:rPr>
                <w:rFonts w:ascii="Times New Roman" w:eastAsia="Times New Roman" w:hAnsi="Times New Roman" w:cs="Times New Roman"/>
              </w:rPr>
            </w:pPr>
            <w:r>
              <w:rPr>
                <w:rFonts w:ascii="Times New Roman" w:eastAsia="Times New Roman" w:hAnsi="Times New Roman" w:cs="Times New Roman"/>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14:paraId="00000030" w14:textId="77777777" w:rsidR="001B0B70" w:rsidRDefault="001B0B70">
            <w:pPr>
              <w:rPr>
                <w:rFonts w:ascii="Times New Roman" w:eastAsia="Times New Roman" w:hAnsi="Times New Roman" w:cs="Times New Roman"/>
              </w:rPr>
            </w:pPr>
          </w:p>
          <w:p w14:paraId="00000031" w14:textId="77777777" w:rsidR="001B0B70" w:rsidRDefault="00520A11">
            <w:pPr>
              <w:rPr>
                <w:rFonts w:ascii="Times New Roman" w:eastAsia="Times New Roman" w:hAnsi="Times New Roman" w:cs="Times New Roman"/>
                <w:color w:val="222222"/>
                <w:highlight w:val="white"/>
              </w:rPr>
            </w:pPr>
            <w:r>
              <w:rPr>
                <w:rFonts w:ascii="Times New Roman" w:eastAsia="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p w14:paraId="00000032" w14:textId="77777777" w:rsidR="001B0B70" w:rsidRDefault="001B0B70">
            <w:pPr>
              <w:jc w:val="both"/>
              <w:rPr>
                <w:rFonts w:ascii="Times New Roman" w:eastAsia="Times New Roman" w:hAnsi="Times New Roman" w:cs="Times New Roman"/>
                <w:color w:val="222222"/>
                <w:highlight w:val="white"/>
              </w:rPr>
            </w:pPr>
          </w:p>
          <w:p w14:paraId="00000033" w14:textId="77777777" w:rsidR="001B0B70" w:rsidRDefault="001B0B70">
            <w:pPr>
              <w:jc w:val="both"/>
              <w:rPr>
                <w:rFonts w:ascii="Times New Roman" w:eastAsia="Times New Roman" w:hAnsi="Times New Roman" w:cs="Times New Roman"/>
                <w:color w:val="222222"/>
                <w:highlight w:val="white"/>
              </w:rPr>
            </w:pPr>
          </w:p>
        </w:tc>
      </w:tr>
      <w:tr w:rsidR="001B0B70" w14:paraId="54DB3F72" w14:textId="77777777">
        <w:tc>
          <w:tcPr>
            <w:tcW w:w="8856" w:type="dxa"/>
            <w:gridSpan w:val="3"/>
          </w:tcPr>
          <w:p w14:paraId="27F91741" w14:textId="77777777" w:rsidR="001E1AD3" w:rsidRDefault="001E1AD3">
            <w:pPr>
              <w:jc w:val="center"/>
              <w:rPr>
                <w:rFonts w:ascii="Times New Roman" w:eastAsia="Times New Roman" w:hAnsi="Times New Roman" w:cs="Times New Roman"/>
              </w:rPr>
            </w:pPr>
          </w:p>
          <w:p w14:paraId="0000004E" w14:textId="327AB185" w:rsidR="001B0B70" w:rsidRDefault="00345A52">
            <w:pPr>
              <w:jc w:val="center"/>
              <w:rPr>
                <w:rFonts w:ascii="Times New Roman" w:eastAsia="Times New Roman" w:hAnsi="Times New Roman" w:cs="Times New Roman"/>
              </w:rPr>
            </w:pPr>
            <w:r>
              <w:rPr>
                <w:rFonts w:ascii="Times New Roman" w:eastAsia="Times New Roman" w:hAnsi="Times New Roman" w:cs="Times New Roman"/>
              </w:rPr>
              <w:t xml:space="preserve">The specific restrictions of pretrial detention in juveniles and adults in Togo is unclear. The government has established a statutory section allowing private actors to propose alternatives to detaining children, including placing the child in an educational facility, with a family, or by direct close supervision. </w:t>
            </w:r>
          </w:p>
        </w:tc>
      </w:tr>
      <w:tr w:rsidR="001B0B70" w14:paraId="7A1DEAFA" w14:textId="77777777">
        <w:tc>
          <w:tcPr>
            <w:tcW w:w="2141" w:type="dxa"/>
          </w:tcPr>
          <w:p w14:paraId="00000057" w14:textId="77777777" w:rsidR="001B0B70" w:rsidRDefault="00520A11">
            <w:pPr>
              <w:rPr>
                <w:rFonts w:ascii="Times New Roman" w:eastAsia="Times New Roman" w:hAnsi="Times New Roman" w:cs="Times New Roman"/>
              </w:rPr>
            </w:pPr>
            <w:r>
              <w:rPr>
                <w:rFonts w:ascii="Times New Roman" w:eastAsia="Times New Roman" w:hAnsi="Times New Roman" w:cs="Times New Roman"/>
              </w:rPr>
              <w:t>Statute Citation</w:t>
            </w:r>
          </w:p>
        </w:tc>
        <w:tc>
          <w:tcPr>
            <w:tcW w:w="6715" w:type="dxa"/>
            <w:gridSpan w:val="2"/>
          </w:tcPr>
          <w:p w14:paraId="791E1B12" w14:textId="740EB2DE" w:rsidR="001B0B70" w:rsidRPr="00345A52" w:rsidRDefault="00345A52">
            <w:pPr>
              <w:rPr>
                <w:rFonts w:ascii="Times New Roman" w:eastAsia="Times New Roman" w:hAnsi="Times New Roman" w:cs="Times New Roman"/>
              </w:rPr>
            </w:pPr>
            <w:r w:rsidRPr="00345A52">
              <w:rPr>
                <w:rFonts w:ascii="Times New Roman" w:eastAsia="Times New Roman" w:hAnsi="Times New Roman" w:cs="Times New Roman"/>
              </w:rPr>
              <w:t>Code Togolais de l’Enfante, Art. 352.</w:t>
            </w:r>
          </w:p>
          <w:p w14:paraId="3A82374A" w14:textId="77777777" w:rsidR="00345A52" w:rsidRPr="00345A52" w:rsidRDefault="00345A52">
            <w:pPr>
              <w:rPr>
                <w:rFonts w:ascii="Times New Roman" w:eastAsia="Times New Roman" w:hAnsi="Times New Roman" w:cs="Times New Roman"/>
              </w:rPr>
            </w:pPr>
          </w:p>
          <w:p w14:paraId="0425FE37" w14:textId="77777777" w:rsidR="00345A52" w:rsidRPr="00345A52" w:rsidRDefault="00345A52" w:rsidP="00345A52">
            <w:pPr>
              <w:rPr>
                <w:rFonts w:ascii="Times New Roman" w:hAnsi="Times New Roman" w:cs="Times New Roman"/>
              </w:rPr>
            </w:pPr>
            <w:r w:rsidRPr="00345A52">
              <w:rPr>
                <w:rFonts w:ascii="Times New Roman" w:hAnsi="Times New Roman" w:cs="Times New Roman"/>
              </w:rPr>
              <w:t>les institutions privees de protection de l'enfant en conflict avec la loi peuvent proposer au juge def enfants la substitution de la detention preventive ou l'emprisonment par les measures ci-apres assumees par elles-memes: surveillance etroite de l'enfant auteur d'infraction; placement de l'enfant auteur d'infraction dans un establissement ou un foyer educatif; placement de l'enfant auteur d'infraction dans une famille</w:t>
            </w:r>
          </w:p>
          <w:p w14:paraId="5DA818ED" w14:textId="1501E11E" w:rsidR="00345A52" w:rsidRPr="00345A52" w:rsidRDefault="00345A52" w:rsidP="00345A52">
            <w:pPr>
              <w:rPr>
                <w:rFonts w:ascii="Times New Roman" w:hAnsi="Times New Roman" w:cs="Times New Roman"/>
              </w:rPr>
            </w:pPr>
            <w:r w:rsidRPr="00345A52">
              <w:rPr>
                <w:rFonts w:ascii="Times New Roman" w:hAnsi="Times New Roman" w:cs="Times New Roman"/>
              </w:rPr>
              <w:br/>
            </w:r>
            <w:r w:rsidRPr="00345A52">
              <w:rPr>
                <w:rStyle w:val="ztplmc"/>
                <w:rFonts w:ascii="Times New Roman" w:hAnsi="Times New Roman" w:cs="Times New Roman"/>
                <w:color w:val="5F6368"/>
              </w:rPr>
              <w:t xml:space="preserve">Translated: </w:t>
            </w:r>
          </w:p>
          <w:p w14:paraId="14D13363" w14:textId="77777777" w:rsidR="00345A52" w:rsidRPr="00345A52" w:rsidRDefault="00345A52" w:rsidP="00345A52">
            <w:pPr>
              <w:shd w:val="clear" w:color="auto" w:fill="F5F5F5"/>
              <w:spacing w:line="420" w:lineRule="atLeast"/>
              <w:rPr>
                <w:rStyle w:val="zscsvd"/>
                <w:rFonts w:ascii="Times New Roman" w:hAnsi="Times New Roman" w:cs="Times New Roman"/>
                <w:color w:val="000000"/>
                <w:lang w:val="en"/>
              </w:rPr>
            </w:pPr>
            <w:r w:rsidRPr="00345A52">
              <w:rPr>
                <w:rStyle w:val="rynqvb"/>
                <w:rFonts w:ascii="Times New Roman" w:hAnsi="Times New Roman" w:cs="Times New Roman"/>
                <w:color w:val="000000"/>
                <w:lang w:val="en"/>
              </w:rPr>
              <w:t>private institutions for the protection of children in conflict with the law may propose to the children's judge the substitution of preventive detention or imprisonment by the following measures assumed by themselves: close supervision of the child author of</w:t>
            </w:r>
            <w:r w:rsidRPr="00345A52">
              <w:rPr>
                <w:rStyle w:val="jcahz"/>
                <w:rFonts w:ascii="Times New Roman" w:hAnsi="Times New Roman" w:cs="Times New Roman"/>
                <w:color w:val="000000"/>
                <w:lang w:val="en"/>
              </w:rPr>
              <w:t xml:space="preserve"> </w:t>
            </w:r>
            <w:r w:rsidRPr="00345A52">
              <w:rPr>
                <w:rStyle w:val="rynqvb"/>
                <w:rFonts w:ascii="Times New Roman" w:hAnsi="Times New Roman" w:cs="Times New Roman"/>
                <w:color w:val="000000"/>
                <w:lang w:val="en"/>
              </w:rPr>
              <w:t>'offense;</w:t>
            </w:r>
            <w:r w:rsidRPr="00345A52">
              <w:rPr>
                <w:rStyle w:val="jcahz"/>
                <w:rFonts w:ascii="Times New Roman" w:hAnsi="Times New Roman" w:cs="Times New Roman"/>
                <w:color w:val="000000"/>
                <w:lang w:val="en"/>
              </w:rPr>
              <w:t xml:space="preserve"> </w:t>
            </w:r>
            <w:r w:rsidRPr="00345A52">
              <w:rPr>
                <w:rStyle w:val="rynqvb"/>
                <w:rFonts w:ascii="Times New Roman" w:hAnsi="Times New Roman" w:cs="Times New Roman"/>
                <w:color w:val="000000"/>
                <w:lang w:val="en"/>
              </w:rPr>
              <w:t>placement of the child offender in an educational establishment or home;</w:t>
            </w:r>
            <w:r w:rsidRPr="00345A52">
              <w:rPr>
                <w:rStyle w:val="jcahz"/>
                <w:rFonts w:ascii="Times New Roman" w:hAnsi="Times New Roman" w:cs="Times New Roman"/>
                <w:color w:val="000000"/>
                <w:lang w:val="en"/>
              </w:rPr>
              <w:t xml:space="preserve"> </w:t>
            </w:r>
            <w:r w:rsidRPr="00345A52">
              <w:rPr>
                <w:rStyle w:val="rynqvb"/>
                <w:rFonts w:ascii="Times New Roman" w:hAnsi="Times New Roman" w:cs="Times New Roman"/>
                <w:color w:val="000000"/>
                <w:lang w:val="en"/>
              </w:rPr>
              <w:t>placement of the child offender in a family</w:t>
            </w:r>
          </w:p>
          <w:p w14:paraId="00000058" w14:textId="130178C1" w:rsidR="00345A52" w:rsidRDefault="00345A52" w:rsidP="00345A52">
            <w:pPr>
              <w:shd w:val="clear" w:color="auto" w:fill="F5F5F5"/>
              <w:spacing w:line="330" w:lineRule="atLeast"/>
              <w:rPr>
                <w:rFonts w:ascii="Times New Roman" w:eastAsia="Times New Roman" w:hAnsi="Times New Roman" w:cs="Times New Roman"/>
              </w:rPr>
            </w:pPr>
          </w:p>
        </w:tc>
      </w:tr>
      <w:tr w:rsidR="001B0B70" w14:paraId="68CC6E9B" w14:textId="77777777">
        <w:tc>
          <w:tcPr>
            <w:tcW w:w="2141" w:type="dxa"/>
          </w:tcPr>
          <w:p w14:paraId="00000060" w14:textId="77777777" w:rsidR="001B0B70" w:rsidRDefault="00520A11">
            <w:pPr>
              <w:rPr>
                <w:rFonts w:ascii="Times New Roman" w:eastAsia="Times New Roman" w:hAnsi="Times New Roman" w:cs="Times New Roman"/>
              </w:rPr>
            </w:pPr>
            <w:r>
              <w:rPr>
                <w:rFonts w:ascii="Times New Roman" w:eastAsia="Times New Roman" w:hAnsi="Times New Roman" w:cs="Times New Roman"/>
              </w:rPr>
              <w:t>JJI Recommendation</w:t>
            </w:r>
          </w:p>
        </w:tc>
        <w:tc>
          <w:tcPr>
            <w:tcW w:w="6715" w:type="dxa"/>
            <w:gridSpan w:val="2"/>
          </w:tcPr>
          <w:p w14:paraId="5533473C" w14:textId="77777777" w:rsidR="001B0B70" w:rsidRDefault="00345A52" w:rsidP="00345A52">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Togo establish a statute explaining the use of pretrial detention in juveniles.</w:t>
            </w:r>
          </w:p>
          <w:p w14:paraId="1C97BB29" w14:textId="77777777" w:rsidR="00345A52" w:rsidRDefault="00345A52" w:rsidP="00345A52">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Togo set a statutory maximum of 30 days for pretrial detention in juveniles.</w:t>
            </w:r>
          </w:p>
          <w:p w14:paraId="379C7A55" w14:textId="77777777" w:rsidR="00345A52" w:rsidRDefault="00345A52" w:rsidP="00345A52">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Togo research and develop policy clarifying that detention of juveniles before trial should only be used in the exceptional case.</w:t>
            </w:r>
          </w:p>
          <w:p w14:paraId="00000061" w14:textId="1214243B" w:rsidR="00345A52" w:rsidRPr="00345A52" w:rsidRDefault="00345A52" w:rsidP="00345A52">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JJI recommends that Togo clarify that juveniles should not be detained in the same facilities as adults.</w:t>
            </w:r>
          </w:p>
        </w:tc>
      </w:tr>
      <w:tr w:rsidR="001B0B70" w14:paraId="05BC1ED5" w14:textId="77777777">
        <w:tc>
          <w:tcPr>
            <w:tcW w:w="2141" w:type="dxa"/>
          </w:tcPr>
          <w:p w14:paraId="00000069" w14:textId="77777777" w:rsidR="001B0B70" w:rsidRDefault="00520A11">
            <w:pPr>
              <w:rPr>
                <w:rFonts w:ascii="Times New Roman" w:eastAsia="Times New Roman" w:hAnsi="Times New Roman" w:cs="Times New Roman"/>
              </w:rPr>
            </w:pPr>
            <w:r>
              <w:rPr>
                <w:rFonts w:ascii="Times New Roman" w:eastAsia="Times New Roman" w:hAnsi="Times New Roman" w:cs="Times New Roman"/>
              </w:rPr>
              <w:t>Additional Information on the country</w:t>
            </w:r>
          </w:p>
        </w:tc>
        <w:tc>
          <w:tcPr>
            <w:tcW w:w="6715" w:type="dxa"/>
            <w:gridSpan w:val="2"/>
          </w:tcPr>
          <w:p w14:paraId="0000006A" w14:textId="5F3B8D82" w:rsidR="001B0B70" w:rsidRDefault="001E1AD3">
            <w:pPr>
              <w:rPr>
                <w:rFonts w:ascii="Times New Roman" w:eastAsia="Times New Roman" w:hAnsi="Times New Roman" w:cs="Times New Roman"/>
              </w:rPr>
            </w:pPr>
            <w:r>
              <w:rPr>
                <w:rFonts w:ascii="Times New Roman" w:eastAsia="Times New Roman" w:hAnsi="Times New Roman" w:cs="Times New Roman"/>
              </w:rPr>
              <w:t>NA</w:t>
            </w:r>
          </w:p>
        </w:tc>
      </w:tr>
      <w:tr w:rsidR="001B0B70" w14:paraId="1CF781C9" w14:textId="77777777">
        <w:tc>
          <w:tcPr>
            <w:tcW w:w="2141" w:type="dxa"/>
          </w:tcPr>
          <w:p w14:paraId="00000072" w14:textId="77777777" w:rsidR="001B0B70" w:rsidRDefault="00520A11">
            <w:pPr>
              <w:rPr>
                <w:rFonts w:ascii="Times New Roman" w:eastAsia="Times New Roman" w:hAnsi="Times New Roman" w:cs="Times New Roman"/>
              </w:rPr>
            </w:pPr>
            <w:r>
              <w:rPr>
                <w:rFonts w:ascii="Times New Roman" w:eastAsia="Times New Roman" w:hAnsi="Times New Roman" w:cs="Times New Roman"/>
              </w:rPr>
              <w:t xml:space="preserve">Lines of Inquiry related to children pre trial detention </w:t>
            </w:r>
          </w:p>
        </w:tc>
        <w:tc>
          <w:tcPr>
            <w:tcW w:w="6715" w:type="dxa"/>
            <w:gridSpan w:val="2"/>
          </w:tcPr>
          <w:p w14:paraId="00000073" w14:textId="77777777" w:rsidR="001B0B70" w:rsidRDefault="00520A11">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One or more if not already available:</w:t>
            </w:r>
          </w:p>
          <w:p w14:paraId="00000074" w14:textId="77777777" w:rsidR="001B0B70" w:rsidRDefault="00520A11">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average time children actually spend in pretrial detention.</w:t>
            </w:r>
          </w:p>
          <w:p w14:paraId="00000075" w14:textId="77777777" w:rsidR="001B0B70" w:rsidRDefault="00520A11">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the number of children who spend longer than the maximum time in pretrial detention.</w:t>
            </w:r>
          </w:p>
          <w:p w14:paraId="00000076" w14:textId="77777777" w:rsidR="001B0B70" w:rsidRDefault="00520A11">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duration of pretrial detention as it varies by race, gender, religion or other relevant characteristics.</w:t>
            </w:r>
          </w:p>
          <w:p w14:paraId="00000077" w14:textId="77777777" w:rsidR="001B0B70" w:rsidRDefault="00520A11">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efforts to reduce the length of pretrial detention and expedite cases.</w:t>
            </w:r>
          </w:p>
          <w:p w14:paraId="00000078" w14:textId="77777777" w:rsidR="001B0B70" w:rsidRDefault="00520A11">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how appeals and other challenges affect duration of pretrial detention.</w:t>
            </w:r>
          </w:p>
          <w:p w14:paraId="00000079" w14:textId="77777777" w:rsidR="001B0B70" w:rsidRDefault="00520A11">
            <w:pPr>
              <w:numPr>
                <w:ilvl w:val="1"/>
                <w:numId w:val="1"/>
              </w:numPr>
              <w:pBdr>
                <w:top w:val="nil"/>
                <w:left w:val="nil"/>
                <w:bottom w:val="nil"/>
                <w:right w:val="nil"/>
                <w:between w:val="nil"/>
              </w:pBdr>
              <w:spacing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Information on standards related to initial court appearance, determination of legality of initial detention, and judicial control over detention of children.</w:t>
            </w:r>
          </w:p>
          <w:p w14:paraId="0000007A" w14:textId="77777777" w:rsidR="001B0B70" w:rsidRDefault="00520A11">
            <w:pPr>
              <w:numPr>
                <w:ilvl w:val="1"/>
                <w:numId w:val="1"/>
              </w:numPr>
              <w:pBdr>
                <w:top w:val="nil"/>
                <w:left w:val="nil"/>
                <w:bottom w:val="nil"/>
                <w:right w:val="nil"/>
                <w:between w:val="nil"/>
              </w:pBdr>
              <w:spacing w:after="160" w:line="259"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on oversight and children’s access to legal counsel within pretrial detention.</w:t>
            </w:r>
          </w:p>
          <w:p w14:paraId="0000007B" w14:textId="77777777" w:rsidR="001B0B70" w:rsidRDefault="001B0B70">
            <w:pPr>
              <w:rPr>
                <w:rFonts w:ascii="Times New Roman" w:eastAsia="Times New Roman" w:hAnsi="Times New Roman" w:cs="Times New Roman"/>
              </w:rPr>
            </w:pPr>
          </w:p>
        </w:tc>
      </w:tr>
      <w:tr w:rsidR="001B0B70" w14:paraId="5E3ABC88" w14:textId="77777777">
        <w:tc>
          <w:tcPr>
            <w:tcW w:w="2141" w:type="dxa"/>
          </w:tcPr>
          <w:p w14:paraId="00000083" w14:textId="77777777" w:rsidR="001B0B70" w:rsidRDefault="00520A11">
            <w:pPr>
              <w:rPr>
                <w:rFonts w:ascii="Times New Roman" w:eastAsia="Times New Roman" w:hAnsi="Times New Roman" w:cs="Times New Roman"/>
              </w:rPr>
            </w:pPr>
            <w:r>
              <w:rPr>
                <w:rFonts w:ascii="Times New Roman" w:eastAsia="Times New Roman" w:hAnsi="Times New Roman" w:cs="Times New Roman"/>
              </w:rPr>
              <w:t>Link to Global Study</w:t>
            </w:r>
          </w:p>
        </w:tc>
        <w:tc>
          <w:tcPr>
            <w:tcW w:w="6715" w:type="dxa"/>
            <w:gridSpan w:val="2"/>
          </w:tcPr>
          <w:p w14:paraId="00000084" w14:textId="77777777" w:rsidR="001B0B70" w:rsidRDefault="00733669">
            <w:pPr>
              <w:shd w:val="clear" w:color="auto" w:fill="FFFFFF"/>
              <w:rPr>
                <w:rFonts w:ascii="Arial" w:eastAsia="Arial" w:hAnsi="Arial" w:cs="Arial"/>
                <w:color w:val="222222"/>
              </w:rPr>
            </w:pPr>
            <w:hyperlink r:id="rId9">
              <w:r w:rsidR="00520A11">
                <w:rPr>
                  <w:rFonts w:ascii="Arial" w:eastAsia="Arial" w:hAnsi="Arial" w:cs="Arial"/>
                  <w:color w:val="1155CC"/>
                  <w:u w:val="single"/>
                </w:rPr>
                <w:br/>
                <w:t>https://jjimexico.org/ptd-report/</w:t>
              </w:r>
            </w:hyperlink>
          </w:p>
          <w:p w14:paraId="00000085" w14:textId="77777777" w:rsidR="001B0B70" w:rsidRDefault="001B0B70">
            <w:pPr>
              <w:rPr>
                <w:rFonts w:ascii="Times New Roman" w:eastAsia="Times New Roman" w:hAnsi="Times New Roman" w:cs="Times New Roman"/>
              </w:rPr>
            </w:pPr>
          </w:p>
        </w:tc>
      </w:tr>
    </w:tbl>
    <w:p w14:paraId="0000008D" w14:textId="77777777" w:rsidR="001B0B70" w:rsidRDefault="001B0B70">
      <w:pPr>
        <w:rPr>
          <w:rFonts w:ascii="Times New Roman" w:eastAsia="Times New Roman" w:hAnsi="Times New Roman" w:cs="Times New Roman"/>
        </w:rPr>
      </w:pPr>
    </w:p>
    <w:sectPr w:rsidR="001B0B70">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C63F03" w14:textId="77777777" w:rsidR="00DC4863" w:rsidRDefault="00DC4863">
      <w:r>
        <w:separator/>
      </w:r>
    </w:p>
  </w:endnote>
  <w:endnote w:type="continuationSeparator" w:id="0">
    <w:p w14:paraId="1DF25019" w14:textId="77777777" w:rsidR="00DC4863" w:rsidRDefault="00DC4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9D2B89" w14:textId="77777777" w:rsidR="00DC4863" w:rsidRDefault="00DC4863">
      <w:r>
        <w:separator/>
      </w:r>
    </w:p>
  </w:footnote>
  <w:footnote w:type="continuationSeparator" w:id="0">
    <w:p w14:paraId="320FC685" w14:textId="77777777" w:rsidR="00DC4863" w:rsidRDefault="00DC4863">
      <w:r>
        <w:continuationSeparator/>
      </w:r>
    </w:p>
  </w:footnote>
  <w:footnote w:id="1">
    <w:p w14:paraId="0000008E" w14:textId="77777777" w:rsidR="001B0B70" w:rsidRDefault="00520A11">
      <w:pPr>
        <w:rPr>
          <w:sz w:val="20"/>
          <w:szCs w:val="20"/>
        </w:rPr>
      </w:pPr>
      <w:r>
        <w:rPr>
          <w:rStyle w:val="FootnoteReference"/>
        </w:rPr>
        <w:footnoteRef/>
      </w:r>
      <w:r>
        <w:rPr>
          <w:sz w:val="20"/>
          <w:szCs w:val="20"/>
        </w:rPr>
        <w:t xml:space="preserve"> Patrick Webb &amp; William Allen Kritsonis, </w:t>
      </w:r>
      <w:r>
        <w:rPr>
          <w:i/>
          <w:sz w:val="20"/>
          <w:szCs w:val="20"/>
        </w:rPr>
        <w:t>Controlling those Kids: Social Control and the Use of Pretrial Detention among Youth in the United States of America: National Implications</w:t>
      </w:r>
      <w:r>
        <w:rPr>
          <w:sz w:val="20"/>
          <w:szCs w:val="20"/>
        </w:rPr>
        <w:t xml:space="preserve">, </w:t>
      </w:r>
      <w:r>
        <w:rPr>
          <w:smallCaps/>
          <w:sz w:val="20"/>
          <w:szCs w:val="20"/>
        </w:rPr>
        <w:t xml:space="preserve">ERIC </w:t>
      </w:r>
      <w:r>
        <w:rPr>
          <w:sz w:val="20"/>
          <w:szCs w:val="20"/>
        </w:rPr>
        <w:t xml:space="preserve">(Oct. 2006), https://eric.ed.gov/?id=ED493565. </w:t>
      </w:r>
    </w:p>
  </w:footnote>
  <w:footnote w:id="2">
    <w:p w14:paraId="0000008F" w14:textId="77777777" w:rsidR="001B0B70" w:rsidRDefault="00520A11">
      <w:pPr>
        <w:rPr>
          <w:sz w:val="20"/>
          <w:szCs w:val="20"/>
        </w:rPr>
      </w:pPr>
      <w:r>
        <w:rPr>
          <w:rStyle w:val="FootnoteReference"/>
        </w:rPr>
        <w:footnoteRef/>
      </w:r>
      <w:r>
        <w:rPr>
          <w:sz w:val="20"/>
          <w:szCs w:val="20"/>
        </w:rPr>
        <w:t xml:space="preserve"> G.A. Res. 44/25, Convention on the Rights of the Child, art. 37(b) (Nov. 20, 1989) [hereinafter CRC].</w:t>
      </w:r>
    </w:p>
  </w:footnote>
  <w:footnote w:id="3">
    <w:p w14:paraId="00000090" w14:textId="77777777" w:rsidR="001B0B70" w:rsidRDefault="00520A11">
      <w:pPr>
        <w:pBdr>
          <w:top w:val="nil"/>
          <w:left w:val="nil"/>
          <w:bottom w:val="nil"/>
          <w:right w:val="nil"/>
          <w:between w:val="nil"/>
        </w:pBdr>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Comm. on the Rights of the Child, General Comment 10: Children's Rights in Juvenile Justice, § 80, U.N. Doc. CRC/C/GC/10 (Apr. 25, 2007) [hereinafter CRC General Comment 10].</w:t>
      </w:r>
    </w:p>
  </w:footnote>
  <w:footnote w:id="4">
    <w:p w14:paraId="00000091" w14:textId="77777777" w:rsidR="001B0B70" w:rsidRDefault="00520A11">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i/>
          <w:color w:val="000000"/>
          <w:sz w:val="20"/>
          <w:szCs w:val="20"/>
        </w:rPr>
        <w:t xml:space="preserve">Id. </w:t>
      </w:r>
      <w:r>
        <w:rPr>
          <w:rFonts w:ascii="Times New Roman" w:eastAsia="Times New Roman" w:hAnsi="Times New Roman" w:cs="Times New Roman"/>
          <w:color w:val="000000"/>
          <w:sz w:val="20"/>
          <w:szCs w:val="20"/>
        </w:rPr>
        <w:t>¶ 83 (specifying that regular review is “preferably every two weeks”).</w:t>
      </w:r>
    </w:p>
  </w:footnote>
  <w:footnote w:id="5">
    <w:p w14:paraId="00000092" w14:textId="77777777" w:rsidR="001B0B70" w:rsidRDefault="00520A11">
      <w:pPr>
        <w:rPr>
          <w:sz w:val="20"/>
          <w:szCs w:val="20"/>
        </w:rPr>
      </w:pPr>
      <w:r>
        <w:rPr>
          <w:rStyle w:val="FootnoteReference"/>
        </w:rPr>
        <w:footnoteRef/>
      </w:r>
      <w:r>
        <w:rPr>
          <w:sz w:val="20"/>
          <w:szCs w:val="20"/>
        </w:rPr>
        <w:t xml:space="preserve"> Moritz Birk et. al., </w:t>
      </w:r>
      <w:r>
        <w:rPr>
          <w:i/>
          <w:sz w:val="20"/>
          <w:szCs w:val="20"/>
        </w:rPr>
        <w:t>Pretrial Detention and Torture: Why Pretrial Detainees Face the Greatest Risk</w:t>
      </w:r>
      <w:r>
        <w:rPr>
          <w:sz w:val="20"/>
          <w:szCs w:val="20"/>
        </w:rPr>
        <w:t xml:space="preserve">, 27, </w:t>
      </w:r>
      <w:r>
        <w:rPr>
          <w:smallCaps/>
          <w:sz w:val="20"/>
          <w:szCs w:val="20"/>
        </w:rPr>
        <w:t>Open Soc’y Found</w:t>
      </w:r>
      <w:r>
        <w:rPr>
          <w:sz w:val="20"/>
          <w:szCs w:val="20"/>
        </w:rPr>
        <w:t xml:space="preserve">. (2011)), </w:t>
      </w:r>
      <w:hyperlink r:id="rId1">
        <w:r>
          <w:rPr>
            <w:color w:val="000000"/>
            <w:sz w:val="20"/>
            <w:szCs w:val="20"/>
            <w:u w:val="single"/>
          </w:rPr>
          <w:t>https://www.opensocietyfoundations.org/sites/default/files/pretrial-detention-and-torture-06222011.pdf</w:t>
        </w:r>
      </w:hyperlink>
      <w:r>
        <w:rPr>
          <w:sz w:val="20"/>
          <w:szCs w:val="20"/>
        </w:rPr>
        <w:t xml:space="preserve">. </w:t>
      </w:r>
    </w:p>
  </w:footnote>
  <w:footnote w:id="6">
    <w:p w14:paraId="00000093" w14:textId="77777777" w:rsidR="001B0B70" w:rsidRDefault="00520A11">
      <w:pPr>
        <w:rPr>
          <w:sz w:val="20"/>
          <w:szCs w:val="20"/>
        </w:rPr>
      </w:pPr>
      <w:r>
        <w:rPr>
          <w:rStyle w:val="FootnoteReference"/>
        </w:rPr>
        <w:footnoteRef/>
      </w:r>
      <w:r>
        <w:rPr>
          <w:sz w:val="20"/>
          <w:szCs w:val="20"/>
        </w:rPr>
        <w:t xml:space="preserve"> Barry Holman &amp; Jason Ziedenberg. </w:t>
      </w:r>
      <w:r>
        <w:rPr>
          <w:i/>
          <w:sz w:val="20"/>
          <w:szCs w:val="20"/>
        </w:rPr>
        <w:t>The Dangers of Detention: The Impact of Incarcerating Youth in Detention and Other Secure Facilities</w:t>
      </w:r>
      <w:r>
        <w:rPr>
          <w:sz w:val="20"/>
          <w:szCs w:val="20"/>
        </w:rPr>
        <w:t xml:space="preserve">, 3–10, </w:t>
      </w:r>
      <w:r>
        <w:rPr>
          <w:smallCaps/>
          <w:sz w:val="20"/>
          <w:szCs w:val="20"/>
        </w:rPr>
        <w:t>Just. Pol’y Inst.</w:t>
      </w:r>
      <w:r>
        <w:rPr>
          <w:sz w:val="20"/>
          <w:szCs w:val="20"/>
        </w:rPr>
        <w:t xml:space="preserve"> (Nov. 28, 2006), </w:t>
      </w:r>
      <w:hyperlink r:id="rId2">
        <w:r>
          <w:rPr>
            <w:color w:val="000000"/>
            <w:sz w:val="20"/>
            <w:szCs w:val="20"/>
            <w:u w:val="single"/>
          </w:rPr>
          <w:t>http://www.justicepolicy.org/images/upload/06-11_rep_dangersofdetention_jj.pdf</w:t>
        </w:r>
      </w:hyperlink>
      <w:r>
        <w:rPr>
          <w:sz w:val="20"/>
          <w:szCs w:val="20"/>
        </w:rPr>
        <w:t xml:space="preserve">. </w:t>
      </w:r>
    </w:p>
  </w:footnote>
  <w:footnote w:id="7">
    <w:p w14:paraId="00000094" w14:textId="77777777" w:rsidR="001B0B70" w:rsidRDefault="00520A11">
      <w:pPr>
        <w:pBdr>
          <w:top w:val="nil"/>
          <w:left w:val="nil"/>
          <w:bottom w:val="nil"/>
          <w:right w:val="nil"/>
          <w:between w:val="nil"/>
        </w:pBdr>
        <w:jc w:val="both"/>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David E. Arredondo, </w:t>
      </w:r>
      <w:r>
        <w:rPr>
          <w:rFonts w:ascii="Times New Roman" w:eastAsia="Times New Roman" w:hAnsi="Times New Roman" w:cs="Times New Roman"/>
          <w:i/>
          <w:color w:val="000000"/>
          <w:sz w:val="20"/>
          <w:szCs w:val="20"/>
        </w:rPr>
        <w:t>Child Development, Children's Mental Health and the Juvenile Justice System: Principles for Effective Decision-Making</w:t>
      </w:r>
      <w:r>
        <w:rPr>
          <w:rFonts w:ascii="Times New Roman" w:eastAsia="Times New Roman" w:hAnsi="Times New Roman" w:cs="Times New Roman"/>
          <w:color w:val="000000"/>
          <w:sz w:val="20"/>
          <w:szCs w:val="20"/>
        </w:rPr>
        <w:t xml:space="preserve">, 14 </w:t>
      </w:r>
      <w:r>
        <w:rPr>
          <w:rFonts w:ascii="Times New Roman" w:eastAsia="Times New Roman" w:hAnsi="Times New Roman" w:cs="Times New Roman"/>
          <w:smallCaps/>
          <w:color w:val="000000"/>
          <w:sz w:val="20"/>
          <w:szCs w:val="20"/>
        </w:rPr>
        <w:t>Stan. L. &amp; Pol'y Rev</w:t>
      </w:r>
      <w:r>
        <w:rPr>
          <w:rFonts w:ascii="Times New Roman" w:eastAsia="Times New Roman" w:hAnsi="Times New Roman" w:cs="Times New Roman"/>
          <w:color w:val="000000"/>
          <w:sz w:val="20"/>
          <w:szCs w:val="20"/>
        </w:rPr>
        <w:t>. 13, 18–19 (2003).</w:t>
      </w:r>
    </w:p>
  </w:footnote>
  <w:footnote w:id="8">
    <w:p w14:paraId="00000095" w14:textId="77777777" w:rsidR="001B0B70" w:rsidRDefault="00520A11">
      <w:pPr>
        <w:rPr>
          <w:i/>
          <w:sz w:val="20"/>
          <w:szCs w:val="20"/>
        </w:rPr>
      </w:pPr>
      <w:r>
        <w:rPr>
          <w:rStyle w:val="FootnoteReference"/>
        </w:rPr>
        <w:footnoteRef/>
      </w:r>
      <w:r>
        <w:rPr>
          <w:sz w:val="20"/>
          <w:szCs w:val="20"/>
        </w:rPr>
        <w:t xml:space="preserve"> </w:t>
      </w:r>
      <w:r>
        <w:rPr>
          <w:i/>
          <w:sz w:val="20"/>
          <w:szCs w:val="20"/>
        </w:rPr>
        <w:t>E.g</w:t>
      </w:r>
      <w:r>
        <w:rPr>
          <w:sz w:val="20"/>
          <w:szCs w:val="20"/>
        </w:rPr>
        <w:t xml:space="preserve">. Marina Ilminska, </w:t>
      </w:r>
      <w:r>
        <w:rPr>
          <w:i/>
          <w:sz w:val="20"/>
          <w:szCs w:val="20"/>
        </w:rPr>
        <w:t>Pretrial Detention of Juveniles: As Common as It Is Wrong</w:t>
      </w:r>
      <w:r>
        <w:rPr>
          <w:sz w:val="20"/>
          <w:szCs w:val="20"/>
        </w:rPr>
        <w:t xml:space="preserve">, </w:t>
      </w:r>
      <w:r>
        <w:rPr>
          <w:smallCaps/>
          <w:sz w:val="20"/>
          <w:szCs w:val="20"/>
        </w:rPr>
        <w:t>Open Soc’y Found.: Voices</w:t>
      </w:r>
      <w:r>
        <w:rPr>
          <w:sz w:val="20"/>
          <w:szCs w:val="20"/>
        </w:rPr>
        <w:t xml:space="preserve"> (Sept. 1, 2015), </w:t>
      </w:r>
      <w:hyperlink r:id="rId3">
        <w:r>
          <w:rPr>
            <w:color w:val="000000"/>
            <w:sz w:val="20"/>
            <w:szCs w:val="20"/>
            <w:u w:val="single"/>
          </w:rPr>
          <w:t>https://www.opensocietyfoundations.org/voices/pretrial-detention-juveniles-common-it-wrong</w:t>
        </w:r>
      </w:hyperlink>
      <w:r>
        <w:rPr>
          <w:sz w:val="20"/>
          <w:szCs w:val="20"/>
        </w:rPr>
        <w:t xml:space="preserve">. </w:t>
      </w:r>
    </w:p>
  </w:footnote>
  <w:footnote w:id="9">
    <w:p w14:paraId="00000096" w14:textId="77777777" w:rsidR="001B0B70" w:rsidRDefault="00520A11">
      <w:pPr>
        <w:rPr>
          <w:sz w:val="20"/>
          <w:szCs w:val="20"/>
        </w:rPr>
      </w:pPr>
      <w:r>
        <w:rPr>
          <w:rStyle w:val="FootnoteReference"/>
        </w:rPr>
        <w:footnoteRef/>
      </w:r>
      <w:r>
        <w:rPr>
          <w:sz w:val="20"/>
          <w:szCs w:val="20"/>
        </w:rPr>
        <w:t xml:space="preserve"> </w:t>
      </w:r>
      <w:r>
        <w:rPr>
          <w:i/>
          <w:sz w:val="20"/>
          <w:szCs w:val="20"/>
        </w:rPr>
        <w:t>E.g.</w:t>
      </w:r>
      <w:r>
        <w:rPr>
          <w:sz w:val="20"/>
          <w:szCs w:val="20"/>
        </w:rPr>
        <w:t xml:space="preserve">, </w:t>
      </w:r>
      <w:r>
        <w:rPr>
          <w:i/>
          <w:sz w:val="20"/>
          <w:szCs w:val="20"/>
        </w:rPr>
        <w:t>Diagnóstico del Sistema de Justicia Para Adolescentes del Estado de Chihuahua: “Buenas Prácticas para las Alternativas a la Detención”</w:t>
      </w:r>
      <w:r>
        <w:rPr>
          <w:sz w:val="20"/>
          <w:szCs w:val="20"/>
        </w:rPr>
        <w:t xml:space="preserve">, 8–10, </w:t>
      </w:r>
      <w:r>
        <w:rPr>
          <w:smallCaps/>
          <w:sz w:val="20"/>
          <w:szCs w:val="20"/>
        </w:rPr>
        <w:t>Justicia Juvenil Int’l</w:t>
      </w:r>
      <w:r>
        <w:rPr>
          <w:sz w:val="20"/>
          <w:szCs w:val="20"/>
        </w:rPr>
        <w:t xml:space="preserve"> (Sept. 2017) https://jjimexico.org/projects/chihuahua</w:t>
      </w:r>
      <w:r>
        <w:rPr>
          <w:color w:val="FF0000"/>
          <w:sz w:val="20"/>
          <w:szCs w:val="20"/>
        </w:rPr>
        <w:t xml:space="preserve"> </w:t>
      </w:r>
      <w:r>
        <w:rPr>
          <w:sz w:val="20"/>
          <w:szCs w:val="20"/>
        </w:rPr>
        <w:t xml:space="preserve">[hereinafter </w:t>
      </w:r>
      <w:r>
        <w:rPr>
          <w:i/>
          <w:sz w:val="20"/>
          <w:szCs w:val="20"/>
        </w:rPr>
        <w:t>Diagnóstico 2017</w:t>
      </w:r>
      <w:r>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F16C59"/>
    <w:multiLevelType w:val="multilevel"/>
    <w:tmpl w:val="CCC68370"/>
    <w:lvl w:ilvl="0">
      <w:start w:val="1"/>
      <w:numFmt w:val="decimal"/>
      <w:lvlText w:val="%1."/>
      <w:lvlJc w:val="left"/>
      <w:pPr>
        <w:ind w:left="720" w:hanging="360"/>
      </w:pPr>
    </w:lvl>
    <w:lvl w:ilvl="1">
      <w:start w:val="1"/>
      <w:numFmt w:val="bullet"/>
      <w:lvlText w:val="●"/>
      <w:lvlJc w:val="left"/>
      <w:pPr>
        <w:ind w:left="72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8D920D1"/>
    <w:multiLevelType w:val="hybridMultilevel"/>
    <w:tmpl w:val="3866153E"/>
    <w:lvl w:ilvl="0" w:tplc="04090001">
      <w:start w:val="54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B70"/>
    <w:rsid w:val="001B0B70"/>
    <w:rsid w:val="001E1AD3"/>
    <w:rsid w:val="00345A52"/>
    <w:rsid w:val="00520A11"/>
    <w:rsid w:val="00733669"/>
    <w:rsid w:val="00DC4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D2133"/>
  <w15:docId w15:val="{7225E621-BE98-A94A-8DD9-74F0E48F5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customStyle="1" w:styleId="ztplmc">
    <w:name w:val="ztplmc"/>
    <w:basedOn w:val="DefaultParagraphFont"/>
    <w:rsid w:val="00345A52"/>
  </w:style>
  <w:style w:type="character" w:customStyle="1" w:styleId="apple-converted-space">
    <w:name w:val="apple-converted-space"/>
    <w:basedOn w:val="DefaultParagraphFont"/>
    <w:rsid w:val="00345A52"/>
  </w:style>
  <w:style w:type="character" w:customStyle="1" w:styleId="material-icons-extended">
    <w:name w:val="material-icons-extended"/>
    <w:basedOn w:val="DefaultParagraphFont"/>
    <w:rsid w:val="00345A52"/>
  </w:style>
  <w:style w:type="character" w:customStyle="1" w:styleId="jcahz">
    <w:name w:val="jcahz"/>
    <w:basedOn w:val="DefaultParagraphFont"/>
    <w:rsid w:val="00345A52"/>
  </w:style>
  <w:style w:type="character" w:customStyle="1" w:styleId="rynqvb">
    <w:name w:val="rynqvb"/>
    <w:basedOn w:val="DefaultParagraphFont"/>
    <w:rsid w:val="00345A52"/>
  </w:style>
  <w:style w:type="character" w:customStyle="1" w:styleId="zscsvd">
    <w:name w:val="zscsvd"/>
    <w:basedOn w:val="DefaultParagraphFont"/>
    <w:rsid w:val="00345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2058028">
      <w:bodyDiv w:val="1"/>
      <w:marLeft w:val="0"/>
      <w:marRight w:val="0"/>
      <w:marTop w:val="0"/>
      <w:marBottom w:val="0"/>
      <w:divBdr>
        <w:top w:val="none" w:sz="0" w:space="0" w:color="auto"/>
        <w:left w:val="none" w:sz="0" w:space="0" w:color="auto"/>
        <w:bottom w:val="none" w:sz="0" w:space="0" w:color="auto"/>
        <w:right w:val="none" w:sz="0" w:space="0" w:color="auto"/>
      </w:divBdr>
      <w:divsChild>
        <w:div w:id="2005619095">
          <w:marLeft w:val="0"/>
          <w:marRight w:val="0"/>
          <w:marTop w:val="0"/>
          <w:marBottom w:val="0"/>
          <w:divBdr>
            <w:top w:val="none" w:sz="0" w:space="0" w:color="auto"/>
            <w:left w:val="single" w:sz="6" w:space="0" w:color="auto"/>
            <w:bottom w:val="none" w:sz="0" w:space="0" w:color="auto"/>
            <w:right w:val="none" w:sz="0" w:space="0" w:color="auto"/>
          </w:divBdr>
          <w:divsChild>
            <w:div w:id="1062871819">
              <w:marLeft w:val="0"/>
              <w:marRight w:val="0"/>
              <w:marTop w:val="0"/>
              <w:marBottom w:val="0"/>
              <w:divBdr>
                <w:top w:val="none" w:sz="0" w:space="0" w:color="auto"/>
                <w:left w:val="none" w:sz="0" w:space="0" w:color="auto"/>
                <w:bottom w:val="none" w:sz="0" w:space="0" w:color="auto"/>
                <w:right w:val="none" w:sz="0" w:space="0" w:color="auto"/>
              </w:divBdr>
              <w:divsChild>
                <w:div w:id="417942091">
                  <w:marLeft w:val="0"/>
                  <w:marRight w:val="0"/>
                  <w:marTop w:val="0"/>
                  <w:marBottom w:val="0"/>
                  <w:divBdr>
                    <w:top w:val="none" w:sz="0" w:space="0" w:color="auto"/>
                    <w:left w:val="none" w:sz="0" w:space="0" w:color="auto"/>
                    <w:bottom w:val="none" w:sz="0" w:space="0" w:color="auto"/>
                    <w:right w:val="none" w:sz="0" w:space="0" w:color="auto"/>
                  </w:divBdr>
                  <w:divsChild>
                    <w:div w:id="1409691455">
                      <w:marLeft w:val="0"/>
                      <w:marRight w:val="0"/>
                      <w:marTop w:val="0"/>
                      <w:marBottom w:val="0"/>
                      <w:divBdr>
                        <w:top w:val="none" w:sz="0" w:space="0" w:color="auto"/>
                        <w:left w:val="none" w:sz="0" w:space="0" w:color="auto"/>
                        <w:bottom w:val="none" w:sz="0" w:space="0" w:color="auto"/>
                        <w:right w:val="none" w:sz="0" w:space="0" w:color="auto"/>
                      </w:divBdr>
                      <w:divsChild>
                        <w:div w:id="241767646">
                          <w:marLeft w:val="0"/>
                          <w:marRight w:val="0"/>
                          <w:marTop w:val="0"/>
                          <w:marBottom w:val="0"/>
                          <w:divBdr>
                            <w:top w:val="none" w:sz="0" w:space="0" w:color="auto"/>
                            <w:left w:val="none" w:sz="0" w:space="0" w:color="auto"/>
                            <w:bottom w:val="none" w:sz="0" w:space="0" w:color="auto"/>
                            <w:right w:val="none" w:sz="0" w:space="0" w:color="auto"/>
                          </w:divBdr>
                        </w:div>
                        <w:div w:id="1739089025">
                          <w:marLeft w:val="0"/>
                          <w:marRight w:val="0"/>
                          <w:marTop w:val="0"/>
                          <w:marBottom w:val="0"/>
                          <w:divBdr>
                            <w:top w:val="none" w:sz="0" w:space="0" w:color="auto"/>
                            <w:left w:val="none" w:sz="0" w:space="0" w:color="auto"/>
                            <w:bottom w:val="none" w:sz="0" w:space="0" w:color="auto"/>
                            <w:right w:val="none" w:sz="0" w:space="0" w:color="auto"/>
                          </w:divBdr>
                          <w:divsChild>
                            <w:div w:id="1344824470">
                              <w:marLeft w:val="0"/>
                              <w:marRight w:val="0"/>
                              <w:marTop w:val="0"/>
                              <w:marBottom w:val="0"/>
                              <w:divBdr>
                                <w:top w:val="none" w:sz="0" w:space="0" w:color="auto"/>
                                <w:left w:val="none" w:sz="0" w:space="0" w:color="auto"/>
                                <w:bottom w:val="none" w:sz="0" w:space="0" w:color="auto"/>
                                <w:right w:val="none" w:sz="0" w:space="0" w:color="auto"/>
                              </w:divBdr>
                              <w:divsChild>
                                <w:div w:id="1662733970">
                                  <w:marLeft w:val="0"/>
                                  <w:marRight w:val="0"/>
                                  <w:marTop w:val="0"/>
                                  <w:marBottom w:val="0"/>
                                  <w:divBdr>
                                    <w:top w:val="none" w:sz="0" w:space="0" w:color="auto"/>
                                    <w:left w:val="none" w:sz="0" w:space="0" w:color="auto"/>
                                    <w:bottom w:val="none" w:sz="0" w:space="0" w:color="auto"/>
                                    <w:right w:val="none" w:sz="0" w:space="0" w:color="auto"/>
                                  </w:divBdr>
                                  <w:divsChild>
                                    <w:div w:id="1216744144">
                                      <w:marLeft w:val="0"/>
                                      <w:marRight w:val="0"/>
                                      <w:marTop w:val="100"/>
                                      <w:marBottom w:val="0"/>
                                      <w:divBdr>
                                        <w:top w:val="none" w:sz="0" w:space="0" w:color="auto"/>
                                        <w:left w:val="none" w:sz="0" w:space="0" w:color="auto"/>
                                        <w:bottom w:val="none" w:sz="0" w:space="0" w:color="auto"/>
                                        <w:right w:val="none" w:sz="0" w:space="0" w:color="auto"/>
                                      </w:divBdr>
                                      <w:divsChild>
                                        <w:div w:id="1135951775">
                                          <w:marLeft w:val="0"/>
                                          <w:marRight w:val="0"/>
                                          <w:marTop w:val="0"/>
                                          <w:marBottom w:val="0"/>
                                          <w:divBdr>
                                            <w:top w:val="none" w:sz="0" w:space="0" w:color="auto"/>
                                            <w:left w:val="none" w:sz="0" w:space="0" w:color="auto"/>
                                            <w:bottom w:val="none" w:sz="0" w:space="0" w:color="auto"/>
                                            <w:right w:val="none" w:sz="0" w:space="0" w:color="auto"/>
                                          </w:divBdr>
                                          <w:divsChild>
                                            <w:div w:id="889343147">
                                              <w:marLeft w:val="0"/>
                                              <w:marRight w:val="0"/>
                                              <w:marTop w:val="0"/>
                                              <w:marBottom w:val="0"/>
                                              <w:divBdr>
                                                <w:top w:val="none" w:sz="0" w:space="0" w:color="auto"/>
                                                <w:left w:val="none" w:sz="0" w:space="0" w:color="auto"/>
                                                <w:bottom w:val="none" w:sz="0" w:space="0" w:color="auto"/>
                                                <w:right w:val="none" w:sz="0" w:space="0" w:color="auto"/>
                                              </w:divBdr>
                                              <w:divsChild>
                                                <w:div w:id="604460002">
                                                  <w:marLeft w:val="0"/>
                                                  <w:marRight w:val="0"/>
                                                  <w:marTop w:val="0"/>
                                                  <w:marBottom w:val="0"/>
                                                  <w:divBdr>
                                                    <w:top w:val="none" w:sz="0" w:space="0" w:color="auto"/>
                                                    <w:left w:val="none" w:sz="0" w:space="0" w:color="auto"/>
                                                    <w:bottom w:val="none" w:sz="0" w:space="0" w:color="auto"/>
                                                    <w:right w:val="none" w:sz="0" w:space="0" w:color="auto"/>
                                                  </w:divBdr>
                                                  <w:divsChild>
                                                    <w:div w:id="6504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32995">
                                              <w:marLeft w:val="0"/>
                                              <w:marRight w:val="0"/>
                                              <w:marTop w:val="0"/>
                                              <w:marBottom w:val="0"/>
                                              <w:divBdr>
                                                <w:top w:val="none" w:sz="0" w:space="0" w:color="auto"/>
                                                <w:left w:val="none" w:sz="0" w:space="0" w:color="auto"/>
                                                <w:bottom w:val="none" w:sz="0" w:space="0" w:color="auto"/>
                                                <w:right w:val="none" w:sz="0" w:space="0" w:color="auto"/>
                                              </w:divBdr>
                                              <w:divsChild>
                                                <w:div w:id="1484394370">
                                                  <w:marLeft w:val="0"/>
                                                  <w:marRight w:val="0"/>
                                                  <w:marTop w:val="0"/>
                                                  <w:marBottom w:val="0"/>
                                                  <w:divBdr>
                                                    <w:top w:val="none" w:sz="0" w:space="0" w:color="auto"/>
                                                    <w:left w:val="none" w:sz="0" w:space="0" w:color="auto"/>
                                                    <w:bottom w:val="none" w:sz="0" w:space="0" w:color="auto"/>
                                                    <w:right w:val="none" w:sz="0" w:space="0" w:color="auto"/>
                                                  </w:divBdr>
                                                </w:div>
                                                <w:div w:id="1169325445">
                                                  <w:marLeft w:val="0"/>
                                                  <w:marRight w:val="0"/>
                                                  <w:marTop w:val="0"/>
                                                  <w:marBottom w:val="0"/>
                                                  <w:divBdr>
                                                    <w:top w:val="none" w:sz="0" w:space="0" w:color="auto"/>
                                                    <w:left w:val="none" w:sz="0" w:space="0" w:color="auto"/>
                                                    <w:bottom w:val="none" w:sz="0" w:space="0" w:color="auto"/>
                                                    <w:right w:val="none" w:sz="0" w:space="0" w:color="auto"/>
                                                  </w:divBdr>
                                                  <w:divsChild>
                                                    <w:div w:id="361056259">
                                                      <w:marLeft w:val="0"/>
                                                      <w:marRight w:val="0"/>
                                                      <w:marTop w:val="0"/>
                                                      <w:marBottom w:val="0"/>
                                                      <w:divBdr>
                                                        <w:top w:val="none" w:sz="0" w:space="0" w:color="auto"/>
                                                        <w:left w:val="none" w:sz="0" w:space="0" w:color="auto"/>
                                                        <w:bottom w:val="none" w:sz="0" w:space="0" w:color="auto"/>
                                                        <w:right w:val="none" w:sz="0" w:space="0" w:color="auto"/>
                                                      </w:divBdr>
                                                      <w:divsChild>
                                                        <w:div w:id="1590697486">
                                                          <w:marLeft w:val="0"/>
                                                          <w:marRight w:val="0"/>
                                                          <w:marTop w:val="0"/>
                                                          <w:marBottom w:val="0"/>
                                                          <w:divBdr>
                                                            <w:top w:val="none" w:sz="0" w:space="0" w:color="auto"/>
                                                            <w:left w:val="none" w:sz="0" w:space="0" w:color="auto"/>
                                                            <w:bottom w:val="none" w:sz="0" w:space="0" w:color="auto"/>
                                                            <w:right w:val="none" w:sz="0" w:space="0" w:color="auto"/>
                                                          </w:divBdr>
                                                          <w:divsChild>
                                                            <w:div w:id="208413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opensocietyfoundations.org/voices/pretrial-detention-juveniles-common-it-wrong" TargetMode="External"/><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xltQtMEjDTEkgOtDz2+3YpS97g==">AMUW2mW1yGlzEFqD3EtyLF/QV+aPu+GcDxuug9q64sFopBiSXHecqf/NPGPjmO4ph+C4swyAVKvSyYB5j2m6mvfK4gLtpRGBVHD9QLCya4fY3XjqNGaHz9edibeHLyeLkIlHc1R3UopuU0Pet/OuPre5NIdgFcSyBFKKiwoh4MtKhaN090lRdm9zZYtQ/Gra7xxBav0MID6rwh+G0GW0sGrJS/z8jefsfQ3SfjjbwoTUpdjsOhd4QUZLt0Q5ED+/Scy2cXDhZ8Svp05+XHjkEyxoYlYejhknLB/BPtOM/GM4bNxFh3zasGlqVMqsyJzRh2ZnZv/3RAQYVq1DmGywot+DDRyXoGSOxFg5WUceBSABCiV1epT/+qPJs1Q0B6619PH4rRuOur/BNHaEbTgHo0BP23/wWdgvT7ogSGK/YgYRNN40EKrGu4di+aWa/7EC9tl+exslQHxbtIrKHUtyoBqN7XO9on8EceQY2hQb9fjzqggTsOOQewxCc0MfPWr3GZo3uWPZLG27iEo5EaEFqTMfuTnkaaoTIs/rp2mhwV3w80flGjtTO7z4NAzqPcy6htWwZl9nMIeMFv4AsGOyDMxiV3/Fzi0NTdRlQr8shjnXup5Fk1c7mAk3n9k6USz0eSJvIKfcAstJAkBjxrwwG28D/aB2x4P1Qfq7KVl3XmXLcU/fkhh963afEAjlwp1lRDf/kWGBNMQhX4rq+4c8IOPcy1wVvjP8FBmcJGYoEp9/zJ6fepNl7HJ/GOn0R8LvzqroeNOnu+D3kh4LDn9uWQrg+o41G34vno7IDKgugEZU3bPykavVtav52RAsQUOzkHyEKkZINFlUU+DFby+8WZHAqWBSG4arIM4QqkmUMgYnBOzENNZKOw0kyMkvJJTVfCW6awlXV37WCIfhWCYvtfgkc3co/jPnq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A861E0-1D4A-49EA-84A7-936E7C630D0D}"/>
</file>

<file path=customXml/itemProps3.xml><?xml version="1.0" encoding="utf-8"?>
<ds:datastoreItem xmlns:ds="http://schemas.openxmlformats.org/officeDocument/2006/customXml" ds:itemID="{2E86A853-AE20-47C0-AEA2-9A5D328182F1}"/>
</file>

<file path=customXml/itemProps4.xml><?xml version="1.0" encoding="utf-8"?>
<ds:datastoreItem xmlns:ds="http://schemas.openxmlformats.org/officeDocument/2006/customXml" ds:itemID="{E33359A0-1D0E-43A7-A437-E4152E55EB11}"/>
</file>

<file path=docProps/app.xml><?xml version="1.0" encoding="utf-8"?>
<Properties xmlns="http://schemas.openxmlformats.org/officeDocument/2006/extended-properties" xmlns:vt="http://schemas.openxmlformats.org/officeDocument/2006/docPropsVTypes">
  <Template>Normal.dotm</Template>
  <TotalTime>0</TotalTime>
  <Pages>3</Pages>
  <Words>1459</Words>
  <Characters>8321</Characters>
  <Application>Microsoft Office Word</Application>
  <DocSecurity>0</DocSecurity>
  <Lines>69</Lines>
  <Paragraphs>19</Paragraphs>
  <ScaleCrop>false</ScaleCrop>
  <Company/>
  <LinksUpToDate>false</LinksUpToDate>
  <CharactersWithSpaces>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Sarahi Garcia</dc:creator>
  <cp:lastModifiedBy>FLECHE Isabelle</cp:lastModifiedBy>
  <cp:revision>2</cp:revision>
  <dcterms:created xsi:type="dcterms:W3CDTF">2022-11-11T16:07:00Z</dcterms:created>
  <dcterms:modified xsi:type="dcterms:W3CDTF">2022-11-11T16:07:00Z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