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9C4" w:rsidRDefault="007E39C4" w:rsidP="007E39C4">
      <w:pPr>
        <w:jc w:val="center"/>
        <w:rPr>
          <w:b/>
        </w:rPr>
      </w:pPr>
    </w:p>
    <w:p w:rsidR="007E39C4" w:rsidRDefault="007E39C4" w:rsidP="007E39C4">
      <w:pPr>
        <w:jc w:val="center"/>
        <w:rPr>
          <w:b/>
        </w:rPr>
      </w:pPr>
      <w:r>
        <w:rPr>
          <w:b/>
        </w:rPr>
        <w:t>INFORMACIÓN ADICIONAL PROPORCIONADA POR ESPAÑA TRAS LA PRESENTACIÓN DEL IX INFORME PERIÓDICO ANTE EL COMITÉ CEDAW</w:t>
      </w:r>
    </w:p>
    <w:p w:rsidR="001C7875" w:rsidRPr="00B123A3" w:rsidRDefault="001C7875" w:rsidP="001C7875">
      <w:pPr>
        <w:rPr>
          <w:rFonts w:asciiTheme="majorHAnsi" w:hAnsiTheme="majorHAnsi" w:cstheme="majorHAnsi"/>
          <w:b/>
        </w:rPr>
      </w:pPr>
    </w:p>
    <w:p w:rsidR="008A7ED0" w:rsidRPr="008A7ED0" w:rsidRDefault="008A79BE" w:rsidP="008A7ED0">
      <w:pPr>
        <w:pStyle w:val="Prrafodelista"/>
        <w:numPr>
          <w:ilvl w:val="0"/>
          <w:numId w:val="7"/>
        </w:numPr>
        <w:jc w:val="both"/>
        <w:rPr>
          <w:rFonts w:asciiTheme="majorHAnsi" w:hAnsiTheme="majorHAnsi" w:cstheme="majorHAnsi"/>
          <w:b/>
          <w:u w:val="single"/>
        </w:rPr>
      </w:pPr>
      <w:r w:rsidRPr="008A7ED0">
        <w:rPr>
          <w:rFonts w:asciiTheme="majorHAnsi" w:hAnsiTheme="majorHAnsi" w:cstheme="majorHAnsi"/>
          <w:b/>
          <w:u w:val="single"/>
        </w:rPr>
        <w:t>Prostitución</w:t>
      </w:r>
    </w:p>
    <w:p w:rsidR="00B5357A" w:rsidRDefault="008A7ED0" w:rsidP="008A7ED0">
      <w:pPr>
        <w:spacing w:after="0" w:line="240" w:lineRule="auto"/>
        <w:jc w:val="both"/>
        <w:rPr>
          <w:rFonts w:asciiTheme="majorHAnsi" w:hAnsiTheme="majorHAnsi" w:cstheme="majorHAnsi"/>
          <w:i/>
        </w:rPr>
      </w:pPr>
      <w:r w:rsidRPr="00F61C6A">
        <w:rPr>
          <w:rFonts w:asciiTheme="majorHAnsi" w:eastAsia="Times New Roman" w:hAnsiTheme="majorHAnsi" w:cstheme="majorHAnsi"/>
          <w:color w:val="000000"/>
        </w:rPr>
        <w:t xml:space="preserve">En el marco del mandato del artículo 6 de la CEDAW </w:t>
      </w:r>
      <w:r>
        <w:rPr>
          <w:rFonts w:asciiTheme="majorHAnsi" w:eastAsia="Times New Roman" w:hAnsiTheme="majorHAnsi" w:cstheme="majorHAnsi"/>
          <w:color w:val="000000"/>
        </w:rPr>
        <w:t>y de las recomendaciones de 2015 del Comité,</w:t>
      </w:r>
      <w:r w:rsidRPr="00F61C6A">
        <w:rPr>
          <w:rFonts w:asciiTheme="majorHAnsi" w:eastAsia="Times New Roman" w:hAnsiTheme="majorHAnsi" w:cstheme="majorHAnsi"/>
          <w:color w:val="000000"/>
        </w:rPr>
        <w:t xml:space="preserve"> queremos informar al Comité de la siguiente reforma del Código Penal contenida en </w:t>
      </w:r>
      <w:r w:rsidRPr="008A7ED0">
        <w:rPr>
          <w:rFonts w:asciiTheme="majorHAnsi" w:eastAsia="Times New Roman" w:hAnsiTheme="majorHAnsi" w:cstheme="majorHAnsi"/>
          <w:color w:val="000000"/>
        </w:rPr>
        <w:t xml:space="preserve">el Anteproyecto de Ley Orgánica integral contra la trata y </w:t>
      </w:r>
      <w:r>
        <w:rPr>
          <w:rFonts w:asciiTheme="majorHAnsi" w:eastAsia="Times New Roman" w:hAnsiTheme="majorHAnsi" w:cstheme="majorHAnsi"/>
          <w:color w:val="000000"/>
        </w:rPr>
        <w:t>la explotación de seres humanos</w:t>
      </w:r>
      <w:r w:rsidRPr="008A7ED0">
        <w:rPr>
          <w:rFonts w:asciiTheme="majorHAnsi" w:hAnsiTheme="majorHAnsi" w:cstheme="majorHAnsi"/>
        </w:rPr>
        <w:t>:</w:t>
      </w:r>
      <w:r>
        <w:rPr>
          <w:rFonts w:asciiTheme="majorHAnsi" w:hAnsiTheme="majorHAnsi" w:cstheme="majorHAnsi"/>
        </w:rPr>
        <w:t xml:space="preserve"> </w:t>
      </w:r>
      <w:r w:rsidRPr="008A7ED0">
        <w:rPr>
          <w:rFonts w:asciiTheme="majorHAnsi" w:hAnsiTheme="majorHAnsi" w:cstheme="majorHAnsi"/>
        </w:rPr>
        <w:t xml:space="preserve">cometerá esta delito </w:t>
      </w:r>
      <w:r w:rsidRPr="00F61C6A">
        <w:rPr>
          <w:rFonts w:asciiTheme="majorHAnsi" w:hAnsiTheme="majorHAnsi" w:cstheme="majorHAnsi"/>
        </w:rPr>
        <w:t xml:space="preserve">quien, </w:t>
      </w:r>
      <w:r w:rsidRPr="00743CB6">
        <w:rPr>
          <w:rFonts w:asciiTheme="majorHAnsi" w:hAnsiTheme="majorHAnsi" w:cstheme="majorHAnsi"/>
          <w:b/>
        </w:rPr>
        <w:t>empleando violencia, intimidación o engaño, o abusando de una situación de superioridad o de necesidad o de vulnerabilidad de la víctima, la capte, traslade, acoja, entregue o transfiera el control sobre ella, con la finalidad de someterla a explotación en forma de explotación sexual</w:t>
      </w:r>
      <w:r w:rsidRPr="008A7ED0">
        <w:rPr>
          <w:rFonts w:asciiTheme="majorHAnsi" w:hAnsiTheme="majorHAnsi" w:cstheme="majorHAnsi"/>
        </w:rPr>
        <w:t>, entendiéndose que hay vulnerabilidad cuando la víctima no tiene alternativa. El consentimiento de la víctima será irrelevante.</w:t>
      </w:r>
      <w:r w:rsidRPr="00F61C6A">
        <w:rPr>
          <w:rFonts w:asciiTheme="majorHAnsi" w:hAnsiTheme="majorHAnsi" w:cstheme="majorHAnsi"/>
          <w:i/>
        </w:rPr>
        <w:t xml:space="preserve"> </w:t>
      </w:r>
    </w:p>
    <w:p w:rsidR="00B5357A" w:rsidRDefault="00B5357A" w:rsidP="008A7ED0">
      <w:pPr>
        <w:spacing w:after="0" w:line="240" w:lineRule="auto"/>
        <w:jc w:val="both"/>
        <w:rPr>
          <w:rFonts w:asciiTheme="majorHAnsi" w:hAnsiTheme="majorHAnsi" w:cstheme="majorHAnsi"/>
          <w:i/>
        </w:rPr>
      </w:pPr>
    </w:p>
    <w:p w:rsidR="008A7ED0" w:rsidRPr="00B5357A" w:rsidRDefault="008A7ED0" w:rsidP="008A7ED0">
      <w:pPr>
        <w:spacing w:after="0" w:line="240" w:lineRule="auto"/>
        <w:jc w:val="both"/>
        <w:rPr>
          <w:rFonts w:asciiTheme="majorHAnsi" w:hAnsiTheme="majorHAnsi" w:cstheme="majorHAnsi"/>
          <w:b/>
        </w:rPr>
      </w:pPr>
      <w:r w:rsidRPr="008A7ED0">
        <w:rPr>
          <w:rFonts w:asciiTheme="majorHAnsi" w:hAnsiTheme="majorHAnsi" w:cstheme="majorHAnsi"/>
        </w:rPr>
        <w:t xml:space="preserve">Asimismo, </w:t>
      </w:r>
      <w:r>
        <w:rPr>
          <w:rFonts w:asciiTheme="majorHAnsi" w:hAnsiTheme="majorHAnsi" w:cstheme="majorHAnsi"/>
        </w:rPr>
        <w:t>se</w:t>
      </w:r>
      <w:r w:rsidRPr="008A7ED0">
        <w:rPr>
          <w:rFonts w:asciiTheme="majorHAnsi" w:hAnsiTheme="majorHAnsi" w:cstheme="majorHAnsi"/>
        </w:rPr>
        <w:t xml:space="preserve"> castiga </w:t>
      </w:r>
      <w:r w:rsidR="00B5357A">
        <w:rPr>
          <w:sz w:val="23"/>
          <w:szCs w:val="23"/>
        </w:rPr>
        <w:t xml:space="preserve">como autor del delito de trabajos o servicios forzosos </w:t>
      </w:r>
      <w:r w:rsidR="00B5357A">
        <w:rPr>
          <w:sz w:val="23"/>
          <w:szCs w:val="23"/>
        </w:rPr>
        <w:t>a</w:t>
      </w:r>
      <w:r w:rsidR="00B5357A">
        <w:rPr>
          <w:sz w:val="23"/>
          <w:szCs w:val="23"/>
        </w:rPr>
        <w:t xml:space="preserve"> quien, ejerciendo sobre una persona un poder de disposición o control, y empleando violencia, intimidación o engaño, o abusando de una situación de superioridad o de necesidad o de vulnerabilidad de la víctima, la obligue a realizar cualquier trabajo o servicio, </w:t>
      </w:r>
      <w:r w:rsidR="00B5357A" w:rsidRPr="00B5357A">
        <w:rPr>
          <w:b/>
          <w:sz w:val="23"/>
          <w:szCs w:val="23"/>
        </w:rPr>
        <w:t>incluyendo prestaciones o actividades de naturaleza sexual</w:t>
      </w:r>
      <w:r w:rsidR="00B5357A">
        <w:rPr>
          <w:sz w:val="23"/>
          <w:szCs w:val="23"/>
        </w:rPr>
        <w:t>.</w:t>
      </w:r>
      <w:r w:rsidR="00B5357A">
        <w:rPr>
          <w:rFonts w:asciiTheme="majorHAnsi" w:hAnsiTheme="majorHAnsi" w:cstheme="majorHAnsi"/>
          <w:b/>
        </w:rPr>
        <w:t xml:space="preserve"> Además, se castiga a quien </w:t>
      </w:r>
      <w:r w:rsidRPr="008A7ED0">
        <w:rPr>
          <w:rFonts w:asciiTheme="majorHAnsi" w:hAnsiTheme="majorHAnsi" w:cstheme="majorHAnsi"/>
          <w:b/>
        </w:rPr>
        <w:t>sin haber intervenido como autor o partícipe, haga uso</w:t>
      </w:r>
      <w:r w:rsidRPr="008A7ED0">
        <w:rPr>
          <w:rFonts w:asciiTheme="majorHAnsi" w:hAnsiTheme="majorHAnsi" w:cstheme="majorHAnsi"/>
        </w:rPr>
        <w:t xml:space="preserve"> de los servicios</w:t>
      </w:r>
      <w:r>
        <w:rPr>
          <w:rFonts w:asciiTheme="majorHAnsi" w:hAnsiTheme="majorHAnsi" w:cstheme="majorHAnsi"/>
        </w:rPr>
        <w:t xml:space="preserve">, y a quien </w:t>
      </w:r>
      <w:r w:rsidRPr="0032630F">
        <w:rPr>
          <w:rFonts w:asciiTheme="majorHAnsi" w:hAnsiTheme="majorHAnsi" w:cstheme="majorHAnsi"/>
          <w:b/>
        </w:rPr>
        <w:t>sin haber intervenido como autor o partícipe,</w:t>
      </w:r>
      <w:r w:rsidRPr="0032630F">
        <w:rPr>
          <w:rFonts w:asciiTheme="majorHAnsi" w:hAnsiTheme="majorHAnsi" w:cstheme="majorHAnsi"/>
        </w:rPr>
        <w:t xml:space="preserve"> promueva, favo</w:t>
      </w:r>
      <w:r>
        <w:rPr>
          <w:rFonts w:asciiTheme="majorHAnsi" w:hAnsiTheme="majorHAnsi" w:cstheme="majorHAnsi"/>
        </w:rPr>
        <w:t xml:space="preserve">rezca o facilite la comisión del delito </w:t>
      </w:r>
      <w:r w:rsidRPr="0032630F">
        <w:rPr>
          <w:rFonts w:asciiTheme="majorHAnsi" w:hAnsiTheme="majorHAnsi" w:cstheme="majorHAnsi"/>
        </w:rPr>
        <w:t xml:space="preserve">mediante el </w:t>
      </w:r>
      <w:r w:rsidRPr="0032630F">
        <w:rPr>
          <w:rFonts w:asciiTheme="majorHAnsi" w:hAnsiTheme="majorHAnsi" w:cstheme="majorHAnsi"/>
          <w:b/>
        </w:rPr>
        <w:t>alquiler o puesta a disposición de locales de negocio</w:t>
      </w:r>
      <w:r w:rsidRPr="0032630F">
        <w:rPr>
          <w:rFonts w:asciiTheme="majorHAnsi" w:hAnsiTheme="majorHAnsi" w:cstheme="majorHAnsi"/>
        </w:rPr>
        <w:t>.</w:t>
      </w:r>
    </w:p>
    <w:p w:rsidR="00B123A3" w:rsidRPr="00B123A3" w:rsidRDefault="00B123A3" w:rsidP="00B123A3">
      <w:pPr>
        <w:pStyle w:val="Prrafodelista"/>
        <w:jc w:val="both"/>
        <w:rPr>
          <w:rFonts w:asciiTheme="majorHAnsi" w:hAnsiTheme="majorHAnsi" w:cstheme="majorHAnsi"/>
          <w:b/>
          <w:color w:val="FF0000"/>
          <w:u w:val="single"/>
        </w:rPr>
      </w:pPr>
    </w:p>
    <w:p w:rsidR="00C6268B" w:rsidRPr="00E271DA" w:rsidRDefault="00C6268B" w:rsidP="001C7875">
      <w:pPr>
        <w:pStyle w:val="Prrafodelista"/>
        <w:numPr>
          <w:ilvl w:val="0"/>
          <w:numId w:val="7"/>
        </w:numPr>
        <w:rPr>
          <w:rFonts w:asciiTheme="majorHAnsi" w:hAnsiTheme="majorHAnsi" w:cstheme="majorHAnsi"/>
          <w:b/>
          <w:u w:val="single"/>
        </w:rPr>
      </w:pPr>
      <w:r w:rsidRPr="00E271DA">
        <w:rPr>
          <w:rFonts w:asciiTheme="majorHAnsi" w:hAnsiTheme="majorHAnsi" w:cstheme="majorHAnsi"/>
          <w:b/>
          <w:u w:val="single"/>
        </w:rPr>
        <w:t>Derechos hereditarios del cónyuge</w:t>
      </w:r>
    </w:p>
    <w:p w:rsidR="00B66856" w:rsidRPr="00B66856" w:rsidRDefault="00B66856" w:rsidP="00B66856">
      <w:pPr>
        <w:jc w:val="both"/>
        <w:rPr>
          <w:rFonts w:asciiTheme="majorHAnsi" w:hAnsiTheme="majorHAnsi" w:cstheme="majorHAnsi"/>
        </w:rPr>
      </w:pPr>
      <w:r w:rsidRPr="00B66856">
        <w:rPr>
          <w:rFonts w:asciiTheme="majorHAnsi" w:hAnsiTheme="majorHAnsi" w:cstheme="majorHAnsi"/>
        </w:rPr>
        <w:t>El cónyuge condenado por sentencia firme por asesinato u homicidio de violencia de género de su cónyuge causante de los derechos hereditarios, no puede heredar, porque existe una causa de indignidad para ello, según los artículos 756.1, 852, 855.4 del Código Civil.</w:t>
      </w:r>
    </w:p>
    <w:p w:rsidR="00B66856" w:rsidRPr="00B66856" w:rsidRDefault="00B66856" w:rsidP="00B66856">
      <w:pPr>
        <w:jc w:val="both"/>
        <w:rPr>
          <w:rFonts w:asciiTheme="majorHAnsi" w:hAnsiTheme="majorHAnsi" w:cstheme="majorHAnsi"/>
        </w:rPr>
      </w:pPr>
      <w:r w:rsidRPr="00B66856">
        <w:rPr>
          <w:rFonts w:asciiTheme="majorHAnsi" w:hAnsiTheme="majorHAnsi" w:cstheme="majorHAnsi"/>
        </w:rPr>
        <w:t>Además, la Ley Orgánica 2/2022, de 21 de marzo, de mejora de la protección de las personas huérfanas víctimas de la violencia de género, mejora los trámites sucesorios que deben realizar las huérfanas y huérfanos de la violencia de género y sus familias en atención a su especial vulnerabilidad. Atribuye a los Juzgados de Violencia sobre la Mujer la competencia sobre los procedimientos de liquidación del régimen económico matrimonial instados por los herederos de la mujer víctimas de violencia de género; adopta medidas específicas para la tramitación de la liquidación del régimen económico matrimonial; exime del pago de ciertos impuestos a los herederos; y mejora las pensiones de orfandad de las hijas e hijos de víctimas de violencia de género.</w:t>
      </w:r>
    </w:p>
    <w:p w:rsidR="00B66856" w:rsidRPr="00B66856" w:rsidRDefault="00B66856" w:rsidP="00B66856">
      <w:pPr>
        <w:jc w:val="both"/>
        <w:rPr>
          <w:rFonts w:asciiTheme="majorHAnsi" w:hAnsiTheme="majorHAnsi" w:cstheme="majorHAnsi"/>
        </w:rPr>
      </w:pPr>
      <w:r w:rsidRPr="00B66856">
        <w:rPr>
          <w:rFonts w:asciiTheme="majorHAnsi" w:hAnsiTheme="majorHAnsi" w:cstheme="majorHAnsi"/>
        </w:rPr>
        <w:t>Todo ello, refuerza la protección de las huérfanas y huérfanos que establece la Ley Orgánica 1/2004, de Violencia de Género, que determina la pérdida de la pensión de viudedad por quien es condenado, por sentencia firme, por la comisión de un delito doloso de homicidio o de lesiones, cuando la víctima de dichos delitos fuera la causante de la pensión. En estos casos, la pensión de viudedad que hubiera debido reconocerse incrementará las pensiones de orfandad.</w:t>
      </w:r>
    </w:p>
    <w:p w:rsidR="00C6268B" w:rsidRPr="008A79BE" w:rsidRDefault="00C6268B" w:rsidP="001C7875">
      <w:pPr>
        <w:pStyle w:val="Prrafodelista"/>
        <w:numPr>
          <w:ilvl w:val="0"/>
          <w:numId w:val="7"/>
        </w:numPr>
        <w:rPr>
          <w:rFonts w:asciiTheme="majorHAnsi" w:hAnsiTheme="majorHAnsi" w:cstheme="majorHAnsi"/>
          <w:b/>
          <w:u w:val="single"/>
        </w:rPr>
      </w:pPr>
      <w:r w:rsidRPr="008A79BE">
        <w:rPr>
          <w:rFonts w:asciiTheme="majorHAnsi" w:hAnsiTheme="majorHAnsi" w:cstheme="majorHAnsi"/>
          <w:b/>
          <w:u w:val="single"/>
        </w:rPr>
        <w:t>Datos sobre participación de las mujeres</w:t>
      </w:r>
    </w:p>
    <w:p w:rsidR="00B66856" w:rsidRPr="008A79BE" w:rsidRDefault="008A79BE" w:rsidP="00B66856">
      <w:pPr>
        <w:jc w:val="both"/>
        <w:rPr>
          <w:rFonts w:asciiTheme="majorHAnsi" w:hAnsiTheme="majorHAnsi" w:cstheme="majorHAnsi"/>
          <w:b/>
        </w:rPr>
      </w:pPr>
      <w:r w:rsidRPr="008A79BE">
        <w:rPr>
          <w:rFonts w:asciiTheme="majorHAnsi" w:hAnsiTheme="majorHAnsi" w:cstheme="majorHAnsi"/>
          <w:b/>
        </w:rPr>
        <w:t>Ámbito judicial</w:t>
      </w:r>
    </w:p>
    <w:p w:rsidR="00B66856" w:rsidRPr="00B66856" w:rsidRDefault="00B66856" w:rsidP="00B66856">
      <w:pPr>
        <w:pStyle w:val="Default"/>
        <w:jc w:val="both"/>
        <w:rPr>
          <w:rFonts w:asciiTheme="majorHAnsi" w:hAnsiTheme="majorHAnsi" w:cstheme="majorHAnsi"/>
          <w:sz w:val="22"/>
          <w:szCs w:val="22"/>
        </w:rPr>
      </w:pPr>
      <w:r w:rsidRPr="00B66856">
        <w:rPr>
          <w:rFonts w:asciiTheme="majorHAnsi" w:hAnsiTheme="majorHAnsi" w:cstheme="majorHAnsi"/>
          <w:sz w:val="22"/>
          <w:szCs w:val="22"/>
        </w:rPr>
        <w:lastRenderedPageBreak/>
        <w:t>De acuerdo con el informe sobre estructura demográfica que anualmente elabora el Servicio de Estadística del</w:t>
      </w:r>
      <w:r w:rsidR="00911328">
        <w:rPr>
          <w:rFonts w:asciiTheme="majorHAnsi" w:hAnsiTheme="majorHAnsi" w:cstheme="majorHAnsi"/>
          <w:sz w:val="22"/>
          <w:szCs w:val="22"/>
        </w:rPr>
        <w:t xml:space="preserve"> Consejo General del Poder Judicial</w:t>
      </w:r>
      <w:r w:rsidRPr="00B66856">
        <w:rPr>
          <w:rFonts w:asciiTheme="majorHAnsi" w:hAnsiTheme="majorHAnsi" w:cstheme="majorHAnsi"/>
          <w:sz w:val="22"/>
          <w:szCs w:val="22"/>
        </w:rPr>
        <w:t xml:space="preserve"> </w:t>
      </w:r>
      <w:r w:rsidR="00911328">
        <w:rPr>
          <w:rFonts w:asciiTheme="majorHAnsi" w:hAnsiTheme="majorHAnsi" w:cstheme="majorHAnsi"/>
          <w:sz w:val="22"/>
          <w:szCs w:val="22"/>
        </w:rPr>
        <w:t>(</w:t>
      </w:r>
      <w:r w:rsidRPr="00B66856">
        <w:rPr>
          <w:rFonts w:asciiTheme="majorHAnsi" w:hAnsiTheme="majorHAnsi" w:cstheme="majorHAnsi"/>
          <w:sz w:val="22"/>
          <w:szCs w:val="22"/>
        </w:rPr>
        <w:t>CGPJ</w:t>
      </w:r>
      <w:r w:rsidR="00911328">
        <w:rPr>
          <w:rFonts w:asciiTheme="majorHAnsi" w:hAnsiTheme="majorHAnsi" w:cstheme="majorHAnsi"/>
          <w:sz w:val="22"/>
          <w:szCs w:val="22"/>
        </w:rPr>
        <w:t>)</w:t>
      </w:r>
      <w:r w:rsidRPr="00B66856">
        <w:rPr>
          <w:rFonts w:asciiTheme="majorHAnsi" w:hAnsiTheme="majorHAnsi" w:cstheme="majorHAnsi"/>
          <w:sz w:val="22"/>
          <w:szCs w:val="22"/>
        </w:rPr>
        <w:t>, a 1 de enero de 2023</w:t>
      </w:r>
      <w:r w:rsidR="00911328">
        <w:rPr>
          <w:rFonts w:asciiTheme="majorHAnsi" w:hAnsiTheme="majorHAnsi" w:cstheme="majorHAnsi"/>
          <w:sz w:val="22"/>
          <w:szCs w:val="22"/>
        </w:rPr>
        <w:t>,</w:t>
      </w:r>
      <w:r w:rsidRPr="00B66856">
        <w:rPr>
          <w:rFonts w:asciiTheme="majorHAnsi" w:hAnsiTheme="majorHAnsi" w:cstheme="majorHAnsi"/>
          <w:sz w:val="22"/>
          <w:szCs w:val="22"/>
        </w:rPr>
        <w:t xml:space="preserve"> la Carrera Judicial estaba compuesta por 5.343 miembros en activo, de los que 3.003 son mujeres (el 56,2%) y 2.340 hombres (43,8%). </w:t>
      </w:r>
    </w:p>
    <w:p w:rsidR="00B66856" w:rsidRPr="00B66856" w:rsidRDefault="00B66856" w:rsidP="00B66856">
      <w:pPr>
        <w:pStyle w:val="Default"/>
        <w:jc w:val="both"/>
        <w:rPr>
          <w:rFonts w:asciiTheme="majorHAnsi" w:hAnsiTheme="majorHAnsi" w:cstheme="majorHAnsi"/>
          <w:sz w:val="22"/>
          <w:szCs w:val="22"/>
        </w:rPr>
      </w:pPr>
    </w:p>
    <w:p w:rsidR="00B66856" w:rsidRPr="00B66856" w:rsidRDefault="00B66856" w:rsidP="00B66856">
      <w:pPr>
        <w:pStyle w:val="Default"/>
        <w:jc w:val="both"/>
        <w:rPr>
          <w:rFonts w:asciiTheme="majorHAnsi" w:hAnsiTheme="majorHAnsi" w:cstheme="majorHAnsi"/>
          <w:sz w:val="22"/>
          <w:szCs w:val="22"/>
        </w:rPr>
      </w:pPr>
      <w:r w:rsidRPr="00B66856">
        <w:rPr>
          <w:rFonts w:asciiTheme="majorHAnsi" w:hAnsiTheme="majorHAnsi" w:cstheme="majorHAnsi"/>
          <w:sz w:val="22"/>
          <w:szCs w:val="22"/>
        </w:rPr>
        <w:t>En cuanto a la distribución de mujeres y hombres en los distintos órganos que integran la Judicatura, encontramos que con carácter general la proporción de mujeres supera a la de hombres en los órganos judiciales de menor rango (órganos unipersonales en general, y Juzgados de Violencia sobre la Mujer y Juzgados de Primera Instancia e Instrucción en particular, donde la proporc</w:t>
      </w:r>
      <w:r w:rsidR="00911328">
        <w:rPr>
          <w:rFonts w:asciiTheme="majorHAnsi" w:hAnsiTheme="majorHAnsi" w:cstheme="majorHAnsi"/>
          <w:sz w:val="22"/>
          <w:szCs w:val="22"/>
        </w:rPr>
        <w:t xml:space="preserve">ión de mujeres supera el 66,7%). Dicho porcentaje </w:t>
      </w:r>
      <w:r w:rsidRPr="00B66856">
        <w:rPr>
          <w:rFonts w:asciiTheme="majorHAnsi" w:hAnsiTheme="majorHAnsi" w:cstheme="majorHAnsi"/>
          <w:sz w:val="22"/>
          <w:szCs w:val="22"/>
        </w:rPr>
        <w:t xml:space="preserve">disminuye a rangos entre el 40% y el 43% en órganos colegiados de mayor categoría (Audiencias Provinciales, Tribunales Superiores de Justicia, y Audiencia Nacional), y cae drásticamente en los cargos de nombramiento discrecional – Presidencia, Presidencias de Sala y miembros del Tribunal Supremo, Presidencias y Presidencias de Sala de la Audiencia Nacional y de los Tribunales Superiores de Justicia, y Presidencias de Audiencia Nacional – donde los porcentajes de representación femenina se encuentran por debajo del 35% con la única excepción de las Presidencias de Salas de lo Social de los Tribunales Superiores de Justicia (47,37 %). </w:t>
      </w:r>
    </w:p>
    <w:p w:rsidR="00B66856" w:rsidRPr="00B66856" w:rsidRDefault="00B66856" w:rsidP="00B66856">
      <w:pPr>
        <w:pStyle w:val="Default"/>
        <w:jc w:val="both"/>
        <w:rPr>
          <w:rFonts w:asciiTheme="majorHAnsi" w:hAnsiTheme="majorHAnsi" w:cstheme="majorHAnsi"/>
          <w:sz w:val="22"/>
          <w:szCs w:val="22"/>
        </w:rPr>
      </w:pPr>
    </w:p>
    <w:p w:rsidR="00911328" w:rsidRDefault="00B66856" w:rsidP="00B66856">
      <w:pPr>
        <w:pStyle w:val="a0"/>
        <w:shd w:val="clear" w:color="auto" w:fill="FFFFFF"/>
        <w:spacing w:before="0" w:beforeAutospacing="0" w:after="158" w:afterAutospacing="0"/>
        <w:jc w:val="both"/>
        <w:rPr>
          <w:rFonts w:asciiTheme="majorHAnsi" w:hAnsiTheme="majorHAnsi" w:cstheme="majorHAnsi"/>
          <w:sz w:val="22"/>
          <w:szCs w:val="22"/>
        </w:rPr>
      </w:pPr>
      <w:r w:rsidRPr="00B66856">
        <w:rPr>
          <w:rFonts w:asciiTheme="majorHAnsi" w:hAnsiTheme="majorHAnsi" w:cstheme="majorHAnsi"/>
          <w:sz w:val="22"/>
          <w:szCs w:val="22"/>
        </w:rPr>
        <w:t>De acuerdo con los datos proporcionados por el Sistema Integrado de Gestión del Servicio de Personal Judicial (SIGOC) en febrero de 2022, la composición del Tribunal Supremo y los órganos de gobierno de Tribunales colegiados (sin incluir a los Jueces de Adscripción Territorial ni a los Ju</w:t>
      </w:r>
      <w:r w:rsidR="00911328">
        <w:rPr>
          <w:rFonts w:asciiTheme="majorHAnsi" w:hAnsiTheme="majorHAnsi" w:cstheme="majorHAnsi"/>
          <w:sz w:val="22"/>
          <w:szCs w:val="22"/>
        </w:rPr>
        <w:t>eces de apoyo), es la siguiente:</w:t>
      </w:r>
      <w:r w:rsidRPr="00B66856">
        <w:rPr>
          <w:rFonts w:asciiTheme="majorHAnsi" w:hAnsiTheme="majorHAnsi" w:cstheme="majorHAnsi"/>
          <w:sz w:val="22"/>
          <w:szCs w:val="22"/>
        </w:rPr>
        <w:t xml:space="preserve"> </w:t>
      </w:r>
    </w:p>
    <w:p w:rsidR="00911328" w:rsidRDefault="00911328" w:rsidP="00911328">
      <w:pPr>
        <w:pStyle w:val="a0"/>
        <w:numPr>
          <w:ilvl w:val="0"/>
          <w:numId w:val="10"/>
        </w:numPr>
        <w:shd w:val="clear" w:color="auto" w:fill="FFFFFF"/>
        <w:spacing w:before="0" w:beforeAutospacing="0" w:after="158" w:afterAutospacing="0"/>
        <w:jc w:val="both"/>
        <w:rPr>
          <w:rFonts w:asciiTheme="majorHAnsi" w:hAnsiTheme="majorHAnsi" w:cstheme="majorHAnsi"/>
          <w:sz w:val="22"/>
          <w:szCs w:val="22"/>
        </w:rPr>
      </w:pPr>
      <w:r>
        <w:rPr>
          <w:rFonts w:asciiTheme="majorHAnsi" w:hAnsiTheme="majorHAnsi" w:cstheme="majorHAnsi"/>
          <w:sz w:val="22"/>
          <w:szCs w:val="22"/>
        </w:rPr>
        <w:t>E</w:t>
      </w:r>
      <w:r w:rsidR="00B66856" w:rsidRPr="00B66856">
        <w:rPr>
          <w:rFonts w:asciiTheme="majorHAnsi" w:hAnsiTheme="majorHAnsi" w:cstheme="majorHAnsi"/>
          <w:sz w:val="22"/>
          <w:szCs w:val="22"/>
        </w:rPr>
        <w:t>l Tribunal Supremo está integrado por tan solo 15 mujeres (23,08%) frente a 50 hombres (76,92%), y ninguna de ellas ocupa puesto de carácter gubernativo alguno (es decir el 100% de las Presidencias de sal</w:t>
      </w:r>
      <w:r>
        <w:rPr>
          <w:rFonts w:asciiTheme="majorHAnsi" w:hAnsiTheme="majorHAnsi" w:cstheme="majorHAnsi"/>
          <w:sz w:val="22"/>
          <w:szCs w:val="22"/>
        </w:rPr>
        <w:t xml:space="preserve">a están ocupadas por hombres); </w:t>
      </w:r>
    </w:p>
    <w:p w:rsidR="00911328" w:rsidRDefault="00911328" w:rsidP="00911328">
      <w:pPr>
        <w:pStyle w:val="a0"/>
        <w:numPr>
          <w:ilvl w:val="0"/>
          <w:numId w:val="10"/>
        </w:numPr>
        <w:shd w:val="clear" w:color="auto" w:fill="FFFFFF"/>
        <w:spacing w:before="0" w:beforeAutospacing="0" w:after="158" w:afterAutospacing="0"/>
        <w:jc w:val="both"/>
        <w:rPr>
          <w:rFonts w:asciiTheme="majorHAnsi" w:hAnsiTheme="majorHAnsi" w:cstheme="majorHAnsi"/>
          <w:sz w:val="22"/>
          <w:szCs w:val="22"/>
        </w:rPr>
      </w:pPr>
      <w:r>
        <w:rPr>
          <w:rFonts w:asciiTheme="majorHAnsi" w:hAnsiTheme="majorHAnsi" w:cstheme="majorHAnsi"/>
          <w:sz w:val="22"/>
          <w:szCs w:val="22"/>
        </w:rPr>
        <w:t>T</w:t>
      </w:r>
      <w:r w:rsidR="00B66856" w:rsidRPr="00B66856">
        <w:rPr>
          <w:rFonts w:asciiTheme="majorHAnsi" w:hAnsiTheme="majorHAnsi" w:cstheme="majorHAnsi"/>
          <w:sz w:val="22"/>
          <w:szCs w:val="22"/>
        </w:rPr>
        <w:t xml:space="preserve">an solo dos de los diecisiete Tribunales Superiores de Justicia existentes en la actualidad se encuentra presidido por una mujer (11,7%) frente a 15 Presidencias de Tribunal ocupadas por hombres (88,2%), pese a que estos Tribunales se encuentran ya servidos por mujeres en un 40,63%; </w:t>
      </w:r>
    </w:p>
    <w:p w:rsidR="00B66856" w:rsidRPr="00B66856" w:rsidRDefault="00911328" w:rsidP="00911328">
      <w:pPr>
        <w:pStyle w:val="a0"/>
        <w:numPr>
          <w:ilvl w:val="0"/>
          <w:numId w:val="10"/>
        </w:numPr>
        <w:shd w:val="clear" w:color="auto" w:fill="FFFFFF"/>
        <w:spacing w:before="0" w:beforeAutospacing="0" w:after="158" w:afterAutospacing="0"/>
        <w:jc w:val="both"/>
        <w:rPr>
          <w:rFonts w:asciiTheme="majorHAnsi" w:hAnsiTheme="majorHAnsi" w:cstheme="majorHAnsi"/>
          <w:sz w:val="22"/>
          <w:szCs w:val="22"/>
        </w:rPr>
      </w:pPr>
      <w:r>
        <w:rPr>
          <w:rFonts w:asciiTheme="majorHAnsi" w:hAnsiTheme="majorHAnsi" w:cstheme="majorHAnsi"/>
          <w:sz w:val="22"/>
          <w:szCs w:val="22"/>
        </w:rPr>
        <w:t>T</w:t>
      </w:r>
      <w:r w:rsidR="00B66856" w:rsidRPr="00B66856">
        <w:rPr>
          <w:rFonts w:asciiTheme="majorHAnsi" w:hAnsiTheme="majorHAnsi" w:cstheme="majorHAnsi"/>
          <w:sz w:val="22"/>
          <w:szCs w:val="22"/>
        </w:rPr>
        <w:t>an sólo 8 (19,00%) de las 42 Presidencias de Audiencia Provincial existentes en la actualidad vienen ocupadas por mujeres, estando 32 Presidencias (80,00%) ocupadas por hombres, pese a que en la actualidad las Audiencias Provinciales estén servidas por un 42% de Magistradas.</w:t>
      </w:r>
    </w:p>
    <w:p w:rsidR="00B123A3" w:rsidRDefault="00B66856" w:rsidP="00B5357A">
      <w:pPr>
        <w:pStyle w:val="a0"/>
        <w:shd w:val="clear" w:color="auto" w:fill="FFFFFF"/>
        <w:spacing w:before="0" w:beforeAutospacing="0" w:after="158" w:afterAutospacing="0"/>
        <w:jc w:val="both"/>
        <w:rPr>
          <w:rFonts w:asciiTheme="majorHAnsi" w:hAnsiTheme="majorHAnsi" w:cstheme="majorHAnsi"/>
          <w:b/>
          <w:lang w:eastAsia="en-US"/>
        </w:rPr>
      </w:pPr>
      <w:r w:rsidRPr="00B66856">
        <w:rPr>
          <w:rFonts w:asciiTheme="majorHAnsi" w:hAnsiTheme="majorHAnsi" w:cstheme="majorHAnsi"/>
          <w:sz w:val="22"/>
          <w:szCs w:val="22"/>
        </w:rPr>
        <w:t>Precisamente con el propósito de conocer las causas de este fenómeno y lograr la paridad en los puestos de más alto rango en la Carrera Judicial, el II Plan de Igualdad de la Carrera Judicial, aprobado por el Pleno del CGPJ el 30 de enero de 2020</w:t>
      </w:r>
      <w:r w:rsidR="00B5357A">
        <w:rPr>
          <w:rFonts w:asciiTheme="majorHAnsi" w:hAnsiTheme="majorHAnsi" w:cstheme="majorHAnsi"/>
          <w:sz w:val="22"/>
          <w:szCs w:val="22"/>
        </w:rPr>
        <w:t>, hace frente a este reto</w:t>
      </w:r>
      <w:bookmarkStart w:id="0" w:name="_GoBack"/>
      <w:bookmarkEnd w:id="0"/>
      <w:r w:rsidR="00B5357A">
        <w:rPr>
          <w:rFonts w:asciiTheme="majorHAnsi" w:hAnsiTheme="majorHAnsi" w:cstheme="majorHAnsi"/>
          <w:sz w:val="22"/>
          <w:szCs w:val="22"/>
        </w:rPr>
        <w:t>.</w:t>
      </w:r>
    </w:p>
    <w:p w:rsidR="007C48EA" w:rsidRPr="00B66856" w:rsidRDefault="00E271DA" w:rsidP="007C48EA">
      <w:pPr>
        <w:rPr>
          <w:rFonts w:asciiTheme="majorHAnsi" w:hAnsiTheme="majorHAnsi" w:cstheme="majorHAnsi"/>
          <w:b/>
          <w:lang w:eastAsia="en-US"/>
        </w:rPr>
      </w:pPr>
      <w:r>
        <w:rPr>
          <w:rFonts w:asciiTheme="majorHAnsi" w:hAnsiTheme="majorHAnsi" w:cstheme="majorHAnsi"/>
          <w:b/>
          <w:lang w:eastAsia="en-US"/>
        </w:rPr>
        <w:t xml:space="preserve">Mujeres con discapacidad </w:t>
      </w:r>
      <w:r w:rsidR="007C48EA" w:rsidRPr="00B66856">
        <w:rPr>
          <w:rFonts w:asciiTheme="majorHAnsi" w:hAnsiTheme="majorHAnsi" w:cstheme="majorHAnsi"/>
          <w:b/>
          <w:lang w:eastAsia="en-US"/>
        </w:rPr>
        <w:t>en e</w:t>
      </w:r>
      <w:r>
        <w:rPr>
          <w:rFonts w:asciiTheme="majorHAnsi" w:hAnsiTheme="majorHAnsi" w:cstheme="majorHAnsi"/>
          <w:b/>
          <w:lang w:eastAsia="en-US"/>
        </w:rPr>
        <w:t>l poder ejecutivo y legislativo</w:t>
      </w:r>
    </w:p>
    <w:p w:rsidR="007C48EA" w:rsidRPr="00B66856" w:rsidRDefault="007C48EA" w:rsidP="007C48EA">
      <w:pPr>
        <w:jc w:val="both"/>
        <w:rPr>
          <w:rFonts w:asciiTheme="majorHAnsi" w:hAnsiTheme="majorHAnsi" w:cstheme="majorHAnsi"/>
          <w:lang w:eastAsia="en-US"/>
        </w:rPr>
      </w:pPr>
      <w:r w:rsidRPr="00B66856">
        <w:rPr>
          <w:rFonts w:asciiTheme="majorHAnsi" w:hAnsiTheme="majorHAnsi" w:cstheme="majorHAnsi"/>
          <w:lang w:eastAsia="en-US"/>
        </w:rPr>
        <w:t>En España</w:t>
      </w:r>
      <w:r w:rsidR="00911328">
        <w:rPr>
          <w:rFonts w:asciiTheme="majorHAnsi" w:hAnsiTheme="majorHAnsi" w:cstheme="majorHAnsi"/>
          <w:lang w:eastAsia="en-US"/>
        </w:rPr>
        <w:t>,</w:t>
      </w:r>
      <w:r w:rsidRPr="00B66856">
        <w:rPr>
          <w:rFonts w:asciiTheme="majorHAnsi" w:hAnsiTheme="majorHAnsi" w:cstheme="majorHAnsi"/>
          <w:lang w:eastAsia="en-US"/>
        </w:rPr>
        <w:t xml:space="preserve"> a día de hoy</w:t>
      </w:r>
      <w:r w:rsidR="00911328">
        <w:rPr>
          <w:rFonts w:asciiTheme="majorHAnsi" w:hAnsiTheme="majorHAnsi" w:cstheme="majorHAnsi"/>
          <w:lang w:eastAsia="en-US"/>
        </w:rPr>
        <w:t>,</w:t>
      </w:r>
      <w:r w:rsidRPr="00B66856">
        <w:rPr>
          <w:rFonts w:asciiTheme="majorHAnsi" w:hAnsiTheme="majorHAnsi" w:cstheme="majorHAnsi"/>
          <w:lang w:eastAsia="en-US"/>
        </w:rPr>
        <w:t xml:space="preserve"> hay tres mujeres con discapacidad en puesto de responsabilidad política, dos de ellas son diputadas de parlamento</w:t>
      </w:r>
      <w:r w:rsidR="00911328">
        <w:rPr>
          <w:rFonts w:asciiTheme="majorHAnsi" w:hAnsiTheme="majorHAnsi" w:cstheme="majorHAnsi"/>
          <w:lang w:eastAsia="en-US"/>
        </w:rPr>
        <w:t>s</w:t>
      </w:r>
      <w:r w:rsidRPr="00B66856">
        <w:rPr>
          <w:rFonts w:asciiTheme="majorHAnsi" w:hAnsiTheme="majorHAnsi" w:cstheme="majorHAnsi"/>
          <w:lang w:eastAsia="en-US"/>
        </w:rPr>
        <w:t xml:space="preserve"> autonómicos (en Las Cortes de Castilla y León y </w:t>
      </w:r>
      <w:proofErr w:type="spellStart"/>
      <w:r w:rsidRPr="00B66856">
        <w:rPr>
          <w:rFonts w:asciiTheme="majorHAnsi" w:hAnsiTheme="majorHAnsi" w:cstheme="majorHAnsi"/>
          <w:lang w:eastAsia="en-US"/>
        </w:rPr>
        <w:t>Corts</w:t>
      </w:r>
      <w:proofErr w:type="spellEnd"/>
      <w:r w:rsidRPr="00B66856">
        <w:rPr>
          <w:rFonts w:asciiTheme="majorHAnsi" w:hAnsiTheme="majorHAnsi" w:cstheme="majorHAnsi"/>
          <w:lang w:eastAsia="en-US"/>
        </w:rPr>
        <w:t xml:space="preserve"> de Valencia) y la tercera es alcaldesa de un pueblo de Toledo.  Desde el Ministerio de Derechos Sociales</w:t>
      </w:r>
      <w:r w:rsidR="00911328">
        <w:rPr>
          <w:rFonts w:asciiTheme="majorHAnsi" w:hAnsiTheme="majorHAnsi" w:cstheme="majorHAnsi"/>
          <w:lang w:eastAsia="en-US"/>
        </w:rPr>
        <w:t xml:space="preserve"> y Agenda 2030</w:t>
      </w:r>
      <w:r w:rsidRPr="00B66856">
        <w:rPr>
          <w:rFonts w:asciiTheme="majorHAnsi" w:hAnsiTheme="majorHAnsi" w:cstheme="majorHAnsi"/>
          <w:lang w:eastAsia="en-US"/>
        </w:rPr>
        <w:t xml:space="preserve"> </w:t>
      </w:r>
      <w:r w:rsidR="00911328">
        <w:rPr>
          <w:rFonts w:asciiTheme="majorHAnsi" w:hAnsiTheme="majorHAnsi" w:cstheme="majorHAnsi"/>
          <w:lang w:eastAsia="en-US"/>
        </w:rPr>
        <w:t>se han puesto</w:t>
      </w:r>
      <w:r w:rsidRPr="00B66856">
        <w:rPr>
          <w:rFonts w:asciiTheme="majorHAnsi" w:hAnsiTheme="majorHAnsi" w:cstheme="majorHAnsi"/>
          <w:lang w:eastAsia="en-US"/>
        </w:rPr>
        <w:t xml:space="preserve"> en marcha medidas que faciliten y allanen el camino de las mujeres con discapacidad a la vida pública, a través de:</w:t>
      </w:r>
    </w:p>
    <w:p w:rsidR="007C48EA" w:rsidRPr="00B66856" w:rsidRDefault="007C48EA" w:rsidP="007C48EA">
      <w:pPr>
        <w:numPr>
          <w:ilvl w:val="0"/>
          <w:numId w:val="3"/>
        </w:numPr>
        <w:spacing w:after="0" w:line="240" w:lineRule="auto"/>
        <w:jc w:val="both"/>
        <w:rPr>
          <w:rFonts w:asciiTheme="majorHAnsi" w:eastAsia="Times New Roman" w:hAnsiTheme="majorHAnsi" w:cstheme="majorHAnsi"/>
          <w:lang w:eastAsia="en-US"/>
        </w:rPr>
      </w:pPr>
      <w:r w:rsidRPr="00B66856">
        <w:rPr>
          <w:rFonts w:asciiTheme="majorHAnsi" w:eastAsia="Times New Roman" w:hAnsiTheme="majorHAnsi" w:cstheme="majorHAnsi"/>
          <w:lang w:eastAsia="en-US"/>
        </w:rPr>
        <w:t>Cambios normativos como la Ley 8/2021, de 2 de junio, por la que se reforma la legislación civil y procesal para el apoyo a las personas con discapacidad en el ejercicio de su capacidad jurídica, o una Ley que regula la Accesibilidad cognitiva</w:t>
      </w:r>
    </w:p>
    <w:p w:rsidR="007C48EA" w:rsidRPr="00B66856" w:rsidRDefault="007C48EA" w:rsidP="007C48EA">
      <w:pPr>
        <w:numPr>
          <w:ilvl w:val="0"/>
          <w:numId w:val="3"/>
        </w:numPr>
        <w:spacing w:after="0" w:line="240" w:lineRule="auto"/>
        <w:jc w:val="both"/>
        <w:rPr>
          <w:rFonts w:asciiTheme="majorHAnsi" w:eastAsia="Times New Roman" w:hAnsiTheme="majorHAnsi" w:cstheme="majorHAnsi"/>
          <w:lang w:eastAsia="en-US"/>
        </w:rPr>
      </w:pPr>
      <w:r w:rsidRPr="00B66856">
        <w:rPr>
          <w:rFonts w:asciiTheme="majorHAnsi" w:eastAsia="Times New Roman" w:hAnsiTheme="majorHAnsi" w:cstheme="majorHAnsi"/>
          <w:lang w:eastAsia="en-US"/>
        </w:rPr>
        <w:t>Capacitación con un curso específico y en formatos accesibles para formar a las mujeres con discapacidad en la defensa de sus derechos.</w:t>
      </w:r>
    </w:p>
    <w:p w:rsidR="007C48EA" w:rsidRPr="00B66856" w:rsidRDefault="007C48EA" w:rsidP="007C48EA">
      <w:pPr>
        <w:numPr>
          <w:ilvl w:val="0"/>
          <w:numId w:val="3"/>
        </w:numPr>
        <w:spacing w:after="0" w:line="240" w:lineRule="auto"/>
        <w:jc w:val="both"/>
        <w:rPr>
          <w:rFonts w:asciiTheme="majorHAnsi" w:eastAsia="Times New Roman" w:hAnsiTheme="majorHAnsi" w:cstheme="majorHAnsi"/>
          <w:lang w:eastAsia="en-US"/>
        </w:rPr>
      </w:pPr>
      <w:r w:rsidRPr="00B66856">
        <w:rPr>
          <w:rFonts w:asciiTheme="majorHAnsi" w:eastAsia="Times New Roman" w:hAnsiTheme="majorHAnsi" w:cstheme="majorHAnsi"/>
          <w:lang w:eastAsia="en-US"/>
        </w:rPr>
        <w:lastRenderedPageBreak/>
        <w:t>Participación, incorporando la voz de las mujeres con discapacidad en órganos colegiados de la Administración como el Consejo Nacional de la Discapacidad o el Observatorio de Violencia y Consejo de Participación de Mujeres del Ministerio de Igualdad</w:t>
      </w:r>
    </w:p>
    <w:p w:rsidR="007C48EA" w:rsidRPr="00B66856" w:rsidRDefault="007C48EA" w:rsidP="007C48EA">
      <w:pPr>
        <w:numPr>
          <w:ilvl w:val="0"/>
          <w:numId w:val="3"/>
        </w:numPr>
        <w:spacing w:after="0" w:line="240" w:lineRule="auto"/>
        <w:jc w:val="both"/>
        <w:rPr>
          <w:rFonts w:asciiTheme="majorHAnsi" w:eastAsia="Times New Roman" w:hAnsiTheme="majorHAnsi" w:cstheme="majorHAnsi"/>
          <w:lang w:eastAsia="en-US"/>
        </w:rPr>
      </w:pPr>
      <w:r w:rsidRPr="00B66856">
        <w:rPr>
          <w:rFonts w:asciiTheme="majorHAnsi" w:eastAsia="Times New Roman" w:hAnsiTheme="majorHAnsi" w:cstheme="majorHAnsi"/>
          <w:lang w:eastAsia="en-US"/>
        </w:rPr>
        <w:t>Apoyando presupuestariamente a las organizaciones de mujeres con discapacidad.</w:t>
      </w:r>
    </w:p>
    <w:p w:rsidR="007C48EA" w:rsidRPr="00B66856" w:rsidRDefault="007C48EA" w:rsidP="007C48EA">
      <w:pPr>
        <w:numPr>
          <w:ilvl w:val="0"/>
          <w:numId w:val="3"/>
        </w:numPr>
        <w:spacing w:after="0" w:line="240" w:lineRule="auto"/>
        <w:jc w:val="both"/>
        <w:rPr>
          <w:rFonts w:asciiTheme="majorHAnsi" w:eastAsia="Times New Roman" w:hAnsiTheme="majorHAnsi" w:cstheme="majorHAnsi"/>
          <w:lang w:eastAsia="en-US"/>
        </w:rPr>
      </w:pPr>
      <w:r w:rsidRPr="00B66856">
        <w:rPr>
          <w:rFonts w:asciiTheme="majorHAnsi" w:eastAsia="Times New Roman" w:hAnsiTheme="majorHAnsi" w:cstheme="majorHAnsi"/>
          <w:lang w:eastAsia="en-US"/>
        </w:rPr>
        <w:t>Con inversión, destinando 200 millones de euros para que las instituciones públicas sean accesibles y aseguren un buen desempeño de las mujeres con discapacidad en espacios de decisión.</w:t>
      </w:r>
    </w:p>
    <w:p w:rsidR="007C48EA" w:rsidRPr="00B66856" w:rsidRDefault="007C48EA" w:rsidP="007C48EA">
      <w:pPr>
        <w:jc w:val="both"/>
        <w:rPr>
          <w:rFonts w:asciiTheme="majorHAnsi" w:hAnsiTheme="majorHAnsi" w:cstheme="majorHAnsi"/>
          <w:lang w:eastAsia="en-US"/>
        </w:rPr>
      </w:pPr>
    </w:p>
    <w:p w:rsidR="007C48EA" w:rsidRPr="00E271DA" w:rsidRDefault="00E271DA" w:rsidP="007C48EA">
      <w:pPr>
        <w:jc w:val="both"/>
        <w:rPr>
          <w:rFonts w:asciiTheme="majorHAnsi" w:hAnsiTheme="majorHAnsi" w:cstheme="majorHAnsi"/>
          <w:b/>
        </w:rPr>
      </w:pPr>
      <w:r w:rsidRPr="00E271DA">
        <w:rPr>
          <w:rFonts w:asciiTheme="majorHAnsi" w:hAnsiTheme="majorHAnsi" w:cstheme="majorHAnsi"/>
          <w:b/>
        </w:rPr>
        <w:t>Mujeres embajadoras y cónsules</w:t>
      </w:r>
    </w:p>
    <w:p w:rsidR="00E271DA" w:rsidRPr="00397EB0" w:rsidRDefault="00E271DA" w:rsidP="00911328">
      <w:pPr>
        <w:pStyle w:val="Prrafodelista"/>
        <w:numPr>
          <w:ilvl w:val="0"/>
          <w:numId w:val="9"/>
        </w:numPr>
        <w:jc w:val="both"/>
        <w:rPr>
          <w:lang w:val="es-ES_tradnl"/>
        </w:rPr>
      </w:pPr>
      <w:r w:rsidRPr="00397EB0">
        <w:rPr>
          <w:lang w:val="es-ES_tradnl"/>
        </w:rPr>
        <w:t xml:space="preserve">El número de </w:t>
      </w:r>
      <w:r w:rsidRPr="00397EB0">
        <w:rPr>
          <w:b/>
          <w:lang w:val="es-ES_tradnl"/>
        </w:rPr>
        <w:t>mujeres diplomáticas</w:t>
      </w:r>
      <w:r w:rsidRPr="00397EB0">
        <w:rPr>
          <w:lang w:val="es-ES_tradnl"/>
        </w:rPr>
        <w:t xml:space="preserve"> en 2023 es del 30,7 %. En 2018 era el 26%. La promoción del 2021 fue la primera paritaria. En el 2022 las mujeres diplomáticas superan por primera vez a los hombres 21 mujeres/14 hombres.</w:t>
      </w:r>
    </w:p>
    <w:p w:rsidR="00E271DA" w:rsidRPr="00397EB0" w:rsidRDefault="00E271DA" w:rsidP="00911328">
      <w:pPr>
        <w:pStyle w:val="Prrafodelista"/>
        <w:numPr>
          <w:ilvl w:val="0"/>
          <w:numId w:val="9"/>
        </w:numPr>
        <w:jc w:val="both"/>
        <w:rPr>
          <w:lang w:val="es-ES_tradnl"/>
        </w:rPr>
      </w:pPr>
      <w:r w:rsidRPr="00397EB0">
        <w:rPr>
          <w:b/>
          <w:lang w:val="es-ES_tradnl"/>
        </w:rPr>
        <w:t>Número de Embajadoras</w:t>
      </w:r>
      <w:r w:rsidRPr="00397EB0">
        <w:rPr>
          <w:lang w:val="es-ES_tradnl"/>
        </w:rPr>
        <w:t>: 32 en 2023. Representan el 25.4% del total. En 2018 el número de mujeres embajadoras era del 14%.</w:t>
      </w:r>
    </w:p>
    <w:p w:rsidR="00E271DA" w:rsidRPr="00397EB0" w:rsidRDefault="00E271DA" w:rsidP="00911328">
      <w:pPr>
        <w:pStyle w:val="Prrafodelista"/>
        <w:numPr>
          <w:ilvl w:val="0"/>
          <w:numId w:val="9"/>
        </w:numPr>
        <w:jc w:val="both"/>
        <w:rPr>
          <w:lang w:val="es-ES_tradnl"/>
        </w:rPr>
      </w:pPr>
      <w:r w:rsidRPr="00397EB0">
        <w:rPr>
          <w:b/>
          <w:lang w:val="es-ES_tradnl"/>
        </w:rPr>
        <w:t>Número de mujeres</w:t>
      </w:r>
      <w:r w:rsidRPr="00397EB0">
        <w:rPr>
          <w:lang w:val="es-ES_tradnl"/>
        </w:rPr>
        <w:t xml:space="preserve"> Cónsul General: 16 mujeres de 88 (86 Consulados generales + 2 Consulados).  El 18.18 % del total.</w:t>
      </w:r>
    </w:p>
    <w:p w:rsidR="00417E65" w:rsidRDefault="00417E65" w:rsidP="007C48EA">
      <w:pPr>
        <w:jc w:val="both"/>
        <w:rPr>
          <w:rFonts w:asciiTheme="majorHAnsi" w:hAnsiTheme="majorHAnsi" w:cstheme="majorHAnsi"/>
          <w:b/>
        </w:rPr>
      </w:pPr>
      <w:r w:rsidRPr="00417E65">
        <w:rPr>
          <w:rFonts w:asciiTheme="majorHAnsi" w:hAnsiTheme="majorHAnsi" w:cstheme="majorHAnsi"/>
          <w:b/>
        </w:rPr>
        <w:t>Ámbito educativo</w:t>
      </w:r>
    </w:p>
    <w:p w:rsidR="00417E65" w:rsidRPr="00417E65" w:rsidRDefault="00417E65" w:rsidP="00417E65">
      <w:pPr>
        <w:jc w:val="both"/>
        <w:rPr>
          <w:rFonts w:asciiTheme="majorHAnsi" w:hAnsiTheme="majorHAnsi" w:cstheme="majorHAnsi"/>
        </w:rPr>
      </w:pPr>
      <w:r w:rsidRPr="00417E65">
        <w:rPr>
          <w:rFonts w:asciiTheme="majorHAnsi" w:hAnsiTheme="majorHAnsi" w:cstheme="majorHAnsi"/>
        </w:rPr>
        <w:t>En el año 2022 el porcentaje de rectoras ha sido del 25,3%, si lo comparamos con el año 2016, en el que dicho porcentaje fue del 9,6%, la brecha se ha reducido en 15,6 puntos porcentuales.</w:t>
      </w:r>
    </w:p>
    <w:p w:rsidR="00417E65" w:rsidRDefault="00417E65" w:rsidP="00417E65">
      <w:pPr>
        <w:jc w:val="both"/>
        <w:rPr>
          <w:rFonts w:asciiTheme="majorHAnsi" w:hAnsiTheme="majorHAnsi" w:cstheme="majorHAnsi"/>
        </w:rPr>
      </w:pPr>
      <w:r w:rsidRPr="00417E65">
        <w:rPr>
          <w:rFonts w:asciiTheme="majorHAnsi" w:hAnsiTheme="majorHAnsi" w:cstheme="majorHAnsi"/>
        </w:rPr>
        <w:t>A día de hoy todavía solo 1 de cada 4 rectores es una mujer.</w:t>
      </w:r>
    </w:p>
    <w:p w:rsidR="00417E65" w:rsidRDefault="00417E65" w:rsidP="00417E65">
      <w:pPr>
        <w:jc w:val="both"/>
        <w:rPr>
          <w:rFonts w:asciiTheme="majorHAnsi" w:hAnsiTheme="majorHAnsi" w:cstheme="majorHAnsi"/>
        </w:rPr>
      </w:pPr>
      <w:r w:rsidRPr="00417E65">
        <w:rPr>
          <w:rFonts w:asciiTheme="majorHAnsi" w:hAnsiTheme="majorHAnsi" w:cstheme="majorHAnsi"/>
        </w:rPr>
        <w:t>En el año 2022, el porcentaje de académicas numerarias en el conjunto de Reales Academias ascendió 6 décimas respecto a 2021 (de 13,7% a 14,3%). Se trata de un porcentaje bastante bajo aunque con una lenta tendencia al alza.</w:t>
      </w:r>
    </w:p>
    <w:p w:rsidR="00417E65" w:rsidRDefault="00417E65" w:rsidP="00417E65">
      <w:pPr>
        <w:jc w:val="both"/>
        <w:rPr>
          <w:rFonts w:asciiTheme="majorHAnsi" w:hAnsiTheme="majorHAnsi" w:cstheme="majorHAnsi"/>
          <w:b/>
        </w:rPr>
      </w:pPr>
      <w:r>
        <w:rPr>
          <w:rFonts w:asciiTheme="majorHAnsi" w:hAnsiTheme="majorHAnsi" w:cstheme="majorHAnsi"/>
          <w:b/>
        </w:rPr>
        <w:t>Gobiernos locales</w:t>
      </w:r>
    </w:p>
    <w:p w:rsidR="00417E65" w:rsidRDefault="00417E65" w:rsidP="00417E65">
      <w:pPr>
        <w:jc w:val="both"/>
        <w:rPr>
          <w:rFonts w:asciiTheme="majorHAnsi" w:hAnsiTheme="majorHAnsi" w:cstheme="majorHAnsi"/>
        </w:rPr>
      </w:pPr>
      <w:r w:rsidRPr="00417E65">
        <w:rPr>
          <w:rFonts w:asciiTheme="majorHAnsi" w:hAnsiTheme="majorHAnsi" w:cstheme="majorHAnsi"/>
        </w:rPr>
        <w:t>El porcentaje de mujeres que ostentan alcaldías en el año 2022 es del 22,3%.</w:t>
      </w:r>
    </w:p>
    <w:p w:rsidR="00417E65" w:rsidRDefault="00417E65" w:rsidP="00417E65">
      <w:pPr>
        <w:jc w:val="both"/>
        <w:rPr>
          <w:rFonts w:asciiTheme="majorHAnsi" w:hAnsiTheme="majorHAnsi" w:cstheme="majorHAnsi"/>
          <w:b/>
        </w:rPr>
      </w:pPr>
      <w:r>
        <w:rPr>
          <w:rFonts w:asciiTheme="majorHAnsi" w:hAnsiTheme="majorHAnsi" w:cstheme="majorHAnsi"/>
          <w:b/>
        </w:rPr>
        <w:t>Poder económico</w:t>
      </w:r>
    </w:p>
    <w:p w:rsidR="00417E65" w:rsidRPr="00417E65" w:rsidRDefault="00417E65" w:rsidP="00417E65">
      <w:pPr>
        <w:jc w:val="both"/>
        <w:rPr>
          <w:rFonts w:asciiTheme="majorHAnsi" w:hAnsiTheme="majorHAnsi" w:cstheme="majorHAnsi"/>
        </w:rPr>
      </w:pPr>
      <w:r w:rsidRPr="00417E65">
        <w:rPr>
          <w:rFonts w:asciiTheme="majorHAnsi" w:hAnsiTheme="majorHAnsi" w:cstheme="majorHAnsi"/>
        </w:rPr>
        <w:t>En el año 2022, el porcentaje de mujeres en el conjunto de Consejos de Administración de las empresas que forman parte del Ibex-35 ha sido del 33,7%, porcentaje 3 puntos superior al del año anterior.</w:t>
      </w:r>
    </w:p>
    <w:p w:rsidR="00417E65" w:rsidRPr="00417E65" w:rsidRDefault="00417E65" w:rsidP="00417E65">
      <w:pPr>
        <w:jc w:val="both"/>
        <w:rPr>
          <w:rFonts w:asciiTheme="majorHAnsi" w:hAnsiTheme="majorHAnsi" w:cstheme="majorHAnsi"/>
        </w:rPr>
      </w:pPr>
      <w:r w:rsidRPr="00417E65">
        <w:rPr>
          <w:rFonts w:asciiTheme="majorHAnsi" w:hAnsiTheme="majorHAnsi" w:cstheme="majorHAnsi"/>
        </w:rPr>
        <w:t>En los últimos 10 años casi se ha triplicado la presencia femenina, desde el 11,7% en 2012 al 33,7% en este último año.</w:t>
      </w:r>
    </w:p>
    <w:p w:rsidR="00417E65" w:rsidRPr="00417E65" w:rsidRDefault="00417E65" w:rsidP="00417E65">
      <w:pPr>
        <w:jc w:val="both"/>
        <w:rPr>
          <w:rFonts w:asciiTheme="majorHAnsi" w:hAnsiTheme="majorHAnsi" w:cstheme="majorHAnsi"/>
        </w:rPr>
      </w:pPr>
      <w:r w:rsidRPr="00417E65">
        <w:rPr>
          <w:rFonts w:asciiTheme="majorHAnsi" w:hAnsiTheme="majorHAnsi" w:cstheme="majorHAnsi"/>
        </w:rPr>
        <w:t>El reparto es diferente en función de la responsabilidad, mientras que el porcentaje de consejeras, en los consejos de administración de las empresas del IBEX, es del 35,7%, en la presidencia de las mismas, la presencia de mujeres es de tan solo el 8,8%.</w:t>
      </w:r>
    </w:p>
    <w:sectPr w:rsidR="00417E65" w:rsidRPr="00417E65" w:rsidSect="00DE0B28">
      <w:pgSz w:w="11906" w:h="16838"/>
      <w:pgMar w:top="1417" w:right="1701" w:bottom="1417" w:left="1701"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61C40"/>
    <w:multiLevelType w:val="hybridMultilevel"/>
    <w:tmpl w:val="A0E4E4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BE51AA"/>
    <w:multiLevelType w:val="hybridMultilevel"/>
    <w:tmpl w:val="5DBA3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1D1E76"/>
    <w:multiLevelType w:val="hybridMultilevel"/>
    <w:tmpl w:val="E0EEC444"/>
    <w:lvl w:ilvl="0" w:tplc="D40C7BEE">
      <w:start w:val="1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0442C52"/>
    <w:multiLevelType w:val="hybridMultilevel"/>
    <w:tmpl w:val="02EE9C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3D87D4C"/>
    <w:multiLevelType w:val="hybridMultilevel"/>
    <w:tmpl w:val="3BFE00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3815BC"/>
    <w:multiLevelType w:val="hybridMultilevel"/>
    <w:tmpl w:val="E6EC83F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55E456DE"/>
    <w:multiLevelType w:val="hybridMultilevel"/>
    <w:tmpl w:val="6C600D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B7C7B3E"/>
    <w:multiLevelType w:val="hybridMultilevel"/>
    <w:tmpl w:val="6A108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26C15CC"/>
    <w:multiLevelType w:val="hybridMultilevel"/>
    <w:tmpl w:val="5FF6E16C"/>
    <w:lvl w:ilvl="0" w:tplc="E6608226">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67014FE6"/>
    <w:multiLevelType w:val="hybridMultilevel"/>
    <w:tmpl w:val="2CDA1B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8"/>
  </w:num>
  <w:num w:numId="5">
    <w:abstractNumId w:val="4"/>
  </w:num>
  <w:num w:numId="6">
    <w:abstractNumId w:val="5"/>
  </w:num>
  <w:num w:numId="7">
    <w:abstractNumId w:val="9"/>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FF5"/>
    <w:rsid w:val="000D242A"/>
    <w:rsid w:val="001C7875"/>
    <w:rsid w:val="00257FF5"/>
    <w:rsid w:val="00417E65"/>
    <w:rsid w:val="004633C6"/>
    <w:rsid w:val="00613083"/>
    <w:rsid w:val="00677FBC"/>
    <w:rsid w:val="00743CB6"/>
    <w:rsid w:val="007C48EA"/>
    <w:rsid w:val="007E39C4"/>
    <w:rsid w:val="008A79BE"/>
    <w:rsid w:val="008A7ED0"/>
    <w:rsid w:val="00911328"/>
    <w:rsid w:val="00AA05F6"/>
    <w:rsid w:val="00B123A3"/>
    <w:rsid w:val="00B5357A"/>
    <w:rsid w:val="00B66856"/>
    <w:rsid w:val="00C6268B"/>
    <w:rsid w:val="00DE0B28"/>
    <w:rsid w:val="00E271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B7A19"/>
  <w15:docId w15:val="{E00A0A2E-281D-48AA-8BDD-280A0ECEF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styleId="Prrafodelista">
    <w:name w:val="List Paragraph"/>
    <w:basedOn w:val="Normal"/>
    <w:uiPriority w:val="34"/>
    <w:qFormat/>
    <w:rsid w:val="00AA05F6"/>
    <w:pPr>
      <w:ind w:left="720"/>
      <w:contextualSpacing/>
    </w:pPr>
  </w:style>
  <w:style w:type="paragraph" w:customStyle="1" w:styleId="a0">
    <w:name w:val="a"/>
    <w:basedOn w:val="Normal"/>
    <w:rsid w:val="001C7875"/>
    <w:pPr>
      <w:spacing w:before="100" w:beforeAutospacing="1" w:after="100" w:afterAutospacing="1" w:line="240" w:lineRule="auto"/>
    </w:pPr>
    <w:rPr>
      <w:rFonts w:ascii="Times New Roman" w:eastAsia="Times New Roman" w:hAnsi="Times New Roman" w:cs="Times New Roman"/>
      <w:sz w:val="24"/>
      <w:szCs w:val="24"/>
    </w:rPr>
  </w:style>
  <w:style w:type="paragraph" w:styleId="Piedepgina">
    <w:name w:val="footer"/>
    <w:basedOn w:val="Normal"/>
    <w:link w:val="PiedepginaCar"/>
    <w:uiPriority w:val="99"/>
    <w:unhideWhenUsed/>
    <w:rsid w:val="001C7875"/>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1C7875"/>
    <w:rPr>
      <w:rFonts w:asciiTheme="minorHAnsi" w:eastAsiaTheme="minorHAnsi" w:hAnsiTheme="minorHAnsi" w:cstheme="minorBidi"/>
      <w:lang w:eastAsia="en-US"/>
    </w:rPr>
  </w:style>
  <w:style w:type="paragraph" w:customStyle="1" w:styleId="Default">
    <w:name w:val="Default"/>
    <w:rsid w:val="00B66856"/>
    <w:pPr>
      <w:autoSpaceDE w:val="0"/>
      <w:autoSpaceDN w:val="0"/>
      <w:adjustRightInd w:val="0"/>
      <w:spacing w:after="0" w:line="240" w:lineRule="auto"/>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7555">
      <w:bodyDiv w:val="1"/>
      <w:marLeft w:val="0"/>
      <w:marRight w:val="0"/>
      <w:marTop w:val="0"/>
      <w:marBottom w:val="0"/>
      <w:divBdr>
        <w:top w:val="none" w:sz="0" w:space="0" w:color="auto"/>
        <w:left w:val="none" w:sz="0" w:space="0" w:color="auto"/>
        <w:bottom w:val="none" w:sz="0" w:space="0" w:color="auto"/>
        <w:right w:val="none" w:sz="0" w:space="0" w:color="auto"/>
      </w:divBdr>
    </w:div>
    <w:div w:id="6639693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1375</Words>
  <Characters>7565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MINISTERIO DE SANIDAD, CONSUMO Y BIENESTAR SOCIAL</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Panera Fernández. Marta</dc:creator>
  <cp:lastModifiedBy>Castellanos Segado. Clara</cp:lastModifiedBy>
  <cp:revision>12</cp:revision>
  <dcterms:created xsi:type="dcterms:W3CDTF">2023-05-17T09:55:00Z</dcterms:created>
  <dcterms:modified xsi:type="dcterms:W3CDTF">2023-05-17T15:01:00Z</dcterms:modified>
</cp:coreProperties>
</file>