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90FD98" w14:textId="69B66E58" w:rsidR="00F35680" w:rsidRPr="004C179E" w:rsidRDefault="007E5FDB" w:rsidP="00F91F84">
      <w:pPr>
        <w:pBdr>
          <w:top w:val="single" w:sz="4" w:space="1" w:color="auto"/>
          <w:left w:val="single" w:sz="4" w:space="4" w:color="auto"/>
          <w:bottom w:val="single" w:sz="4" w:space="1" w:color="auto"/>
          <w:right w:val="single" w:sz="4" w:space="4" w:color="auto"/>
        </w:pBdr>
        <w:shd w:val="clear" w:color="auto" w:fill="D9F2D0" w:themeFill="accent6" w:themeFillTint="33"/>
        <w:jc w:val="center"/>
        <w:rPr>
          <w:rFonts w:asciiTheme="majorBidi" w:hAnsiTheme="majorBidi" w:cstheme="majorBidi"/>
          <w:b/>
          <w:bCs/>
          <w:color w:val="3A7C22" w:themeColor="accent6" w:themeShade="BF"/>
          <w:sz w:val="28"/>
          <w:szCs w:val="28"/>
          <w:lang w:bidi="ar-EG"/>
        </w:rPr>
      </w:pPr>
      <w:proofErr w:type="spellStart"/>
      <w:r w:rsidRPr="004C179E">
        <w:rPr>
          <w:rFonts w:asciiTheme="majorBidi" w:hAnsiTheme="majorBidi" w:cstheme="majorBidi"/>
          <w:b/>
          <w:bCs/>
          <w:color w:val="3A7C22" w:themeColor="accent6" w:themeShade="BF"/>
          <w:sz w:val="28"/>
          <w:szCs w:val="28"/>
          <w:lang w:bidi="ar-EG"/>
        </w:rPr>
        <w:t>Elizka</w:t>
      </w:r>
      <w:proofErr w:type="spellEnd"/>
      <w:r w:rsidR="00F35680" w:rsidRPr="004C179E">
        <w:rPr>
          <w:rFonts w:asciiTheme="majorBidi" w:hAnsiTheme="majorBidi" w:cstheme="majorBidi"/>
          <w:b/>
          <w:bCs/>
          <w:color w:val="3A7C22" w:themeColor="accent6" w:themeShade="BF"/>
          <w:sz w:val="28"/>
          <w:szCs w:val="28"/>
          <w:lang w:bidi="ar-EG"/>
        </w:rPr>
        <w:t xml:space="preserve"> Relief Foundation</w:t>
      </w:r>
      <w:r w:rsidR="004C179E" w:rsidRPr="004C179E">
        <w:rPr>
          <w:rFonts w:asciiTheme="majorBidi" w:hAnsiTheme="majorBidi" w:cstheme="majorBidi"/>
          <w:b/>
          <w:bCs/>
          <w:color w:val="3A7C22" w:themeColor="accent6" w:themeShade="BF"/>
          <w:sz w:val="28"/>
          <w:szCs w:val="28"/>
          <w:lang w:bidi="ar-EG"/>
        </w:rPr>
        <w:t>’ Report to The</w:t>
      </w:r>
      <w:bookmarkStart w:id="0" w:name="OLE_LINK26"/>
      <w:r w:rsidR="004C179E" w:rsidRPr="004C179E">
        <w:rPr>
          <w:rFonts w:asciiTheme="majorBidi" w:hAnsiTheme="majorBidi" w:cstheme="majorBidi"/>
          <w:b/>
          <w:bCs/>
          <w:color w:val="3A7C22" w:themeColor="accent6" w:themeShade="BF"/>
          <w:sz w:val="28"/>
          <w:szCs w:val="28"/>
          <w:lang w:bidi="ar-EG"/>
        </w:rPr>
        <w:t xml:space="preserve"> </w:t>
      </w:r>
      <w:r w:rsidR="00F35680" w:rsidRPr="004C179E">
        <w:rPr>
          <w:rFonts w:asciiTheme="majorBidi" w:hAnsiTheme="majorBidi" w:cstheme="majorBidi"/>
          <w:b/>
          <w:bCs/>
          <w:color w:val="3A7C22" w:themeColor="accent6" w:themeShade="BF"/>
          <w:sz w:val="28"/>
          <w:szCs w:val="28"/>
          <w:lang w:bidi="ar-EG"/>
        </w:rPr>
        <w:t>Committee on Economic, Social</w:t>
      </w:r>
      <w:r w:rsidR="00C0113F" w:rsidRPr="004C179E">
        <w:rPr>
          <w:rFonts w:asciiTheme="majorBidi" w:hAnsiTheme="majorBidi" w:cstheme="majorBidi"/>
          <w:b/>
          <w:bCs/>
          <w:color w:val="3A7C22" w:themeColor="accent6" w:themeShade="BF"/>
          <w:sz w:val="28"/>
          <w:szCs w:val="28"/>
          <w:lang w:bidi="ar-EG"/>
        </w:rPr>
        <w:t>,</w:t>
      </w:r>
      <w:r w:rsidR="00F35680" w:rsidRPr="004C179E">
        <w:rPr>
          <w:rFonts w:asciiTheme="majorBidi" w:hAnsiTheme="majorBidi" w:cstheme="majorBidi"/>
          <w:b/>
          <w:bCs/>
          <w:color w:val="3A7C22" w:themeColor="accent6" w:themeShade="BF"/>
          <w:sz w:val="28"/>
          <w:szCs w:val="28"/>
          <w:lang w:bidi="ar-EG"/>
        </w:rPr>
        <w:t xml:space="preserve"> and Cultural Rights</w:t>
      </w:r>
    </w:p>
    <w:bookmarkEnd w:id="0"/>
    <w:p w14:paraId="585DA974" w14:textId="2E77DEF4" w:rsidR="00F35680" w:rsidRPr="00F91F84" w:rsidRDefault="00F35680" w:rsidP="00F91F84">
      <w:pPr>
        <w:pBdr>
          <w:top w:val="single" w:sz="4" w:space="1" w:color="auto"/>
          <w:left w:val="single" w:sz="4" w:space="4" w:color="auto"/>
          <w:bottom w:val="single" w:sz="4" w:space="1" w:color="auto"/>
          <w:right w:val="single" w:sz="4" w:space="4" w:color="auto"/>
        </w:pBdr>
        <w:shd w:val="clear" w:color="auto" w:fill="D9F2D0" w:themeFill="accent6" w:themeFillTint="33"/>
        <w:jc w:val="center"/>
        <w:rPr>
          <w:rFonts w:asciiTheme="majorBidi" w:hAnsiTheme="majorBidi" w:cstheme="majorBidi"/>
          <w:b/>
          <w:bCs/>
          <w:sz w:val="28"/>
          <w:szCs w:val="28"/>
          <w:lang w:bidi="ar-EG"/>
        </w:rPr>
      </w:pPr>
      <w:r w:rsidRPr="00F91F84">
        <w:rPr>
          <w:rFonts w:asciiTheme="majorBidi" w:hAnsiTheme="majorBidi" w:cstheme="majorBidi"/>
          <w:b/>
          <w:bCs/>
          <w:sz w:val="28"/>
          <w:szCs w:val="28"/>
          <w:lang w:bidi="ar-EG"/>
        </w:rPr>
        <w:t>Regarding Egypt</w:t>
      </w:r>
      <w:r w:rsidR="004C179E" w:rsidRPr="00F91F84">
        <w:rPr>
          <w:rFonts w:asciiTheme="majorBidi" w:hAnsiTheme="majorBidi" w:cstheme="majorBidi"/>
          <w:b/>
          <w:bCs/>
          <w:sz w:val="28"/>
          <w:szCs w:val="28"/>
          <w:lang w:bidi="ar-EG"/>
        </w:rPr>
        <w:t xml:space="preserve"> under the list of issues</w:t>
      </w:r>
    </w:p>
    <w:p w14:paraId="1C3A9CF0" w14:textId="4FFC9820" w:rsidR="00F35680" w:rsidRPr="00F35680" w:rsidRDefault="007E5FDB" w:rsidP="0011132F">
      <w:pPr>
        <w:jc w:val="both"/>
        <w:rPr>
          <w:rFonts w:asciiTheme="majorBidi" w:hAnsiTheme="majorBidi" w:cstheme="majorBidi"/>
          <w:lang w:bidi="ar-EG"/>
        </w:rPr>
      </w:pPr>
      <w:bookmarkStart w:id="1" w:name="OLE_LINK27"/>
      <w:r w:rsidRPr="00C0113F">
        <w:rPr>
          <w:rFonts w:asciiTheme="majorBidi" w:hAnsiTheme="majorBidi" w:cstheme="majorBidi"/>
          <w:lang w:bidi="ar-EG"/>
        </w:rPr>
        <w:t>Elizka</w:t>
      </w:r>
      <w:r w:rsidR="00F35680" w:rsidRPr="00F35680">
        <w:rPr>
          <w:rFonts w:asciiTheme="majorBidi" w:hAnsiTheme="majorBidi" w:cstheme="majorBidi"/>
          <w:lang w:bidi="ar-EG"/>
        </w:rPr>
        <w:t xml:space="preserve"> Relief Foundation </w:t>
      </w:r>
      <w:bookmarkEnd w:id="1"/>
      <w:r w:rsidR="00F35680" w:rsidRPr="00F35680">
        <w:rPr>
          <w:rFonts w:asciiTheme="majorBidi" w:hAnsiTheme="majorBidi" w:cstheme="majorBidi"/>
          <w:lang w:bidi="ar-EG"/>
        </w:rPr>
        <w:t>presents this report in advance of the 79</w:t>
      </w:r>
      <w:r w:rsidR="00F35680" w:rsidRPr="004C179E">
        <w:rPr>
          <w:rFonts w:asciiTheme="majorBidi" w:hAnsiTheme="majorBidi" w:cstheme="majorBidi"/>
          <w:vertAlign w:val="superscript"/>
          <w:lang w:bidi="ar-EG"/>
        </w:rPr>
        <w:t>th</w:t>
      </w:r>
      <w:r w:rsidR="00F35680" w:rsidRPr="00F35680">
        <w:rPr>
          <w:rFonts w:asciiTheme="majorBidi" w:hAnsiTheme="majorBidi" w:cstheme="majorBidi"/>
          <w:lang w:bidi="ar-EG"/>
        </w:rPr>
        <w:t xml:space="preserve"> session of the Committee on Economic, Social</w:t>
      </w:r>
      <w:r w:rsidRPr="00C0113F">
        <w:rPr>
          <w:rFonts w:asciiTheme="majorBidi" w:hAnsiTheme="majorBidi" w:cstheme="majorBidi"/>
          <w:lang w:bidi="ar-EG"/>
        </w:rPr>
        <w:t>,</w:t>
      </w:r>
      <w:r w:rsidR="00F35680" w:rsidRPr="00F35680">
        <w:rPr>
          <w:rFonts w:asciiTheme="majorBidi" w:hAnsiTheme="majorBidi" w:cstheme="majorBidi"/>
          <w:lang w:bidi="ar-EG"/>
        </w:rPr>
        <w:t xml:space="preserve"> and Cultural Rights</w:t>
      </w:r>
      <w:r w:rsidRPr="00C0113F">
        <w:rPr>
          <w:rFonts w:asciiTheme="majorBidi" w:hAnsiTheme="majorBidi" w:cstheme="majorBidi"/>
          <w:lang w:bidi="ar-EG"/>
        </w:rPr>
        <w:t xml:space="preserve"> (CESCR)</w:t>
      </w:r>
      <w:r w:rsidR="00F35680" w:rsidRPr="00F35680">
        <w:rPr>
          <w:rFonts w:asciiTheme="majorBidi" w:hAnsiTheme="majorBidi" w:cstheme="majorBidi"/>
          <w:lang w:bidi="ar-EG"/>
        </w:rPr>
        <w:t xml:space="preserve">, which is set to review the compliance of the Egyptian government with the provisions of the International Covenant on Economic, Social, and Cultural Rights, ratified by Egypt on January 14, 1982. </w:t>
      </w:r>
      <w:r w:rsidR="00096595" w:rsidRPr="00C0113F">
        <w:rPr>
          <w:rFonts w:asciiTheme="majorBidi" w:hAnsiTheme="majorBidi" w:cstheme="majorBidi"/>
          <w:lang w:bidi="ar-EG"/>
        </w:rPr>
        <w:t>Elizka</w:t>
      </w:r>
      <w:r w:rsidR="00F35680" w:rsidRPr="00F35680">
        <w:rPr>
          <w:rFonts w:asciiTheme="majorBidi" w:hAnsiTheme="majorBidi" w:cstheme="majorBidi"/>
          <w:lang w:bidi="ar-EG"/>
        </w:rPr>
        <w:t xml:space="preserve"> appreciates the positive developments related to economic, social, and cultural rights in Egypt. The government's 2024-2027 work program emphasizes the continuation of efforts to strengthen these rights, including equitable geographic developmental distribution and support for achieving development in border provinces, ensuring their integration into major national projects</w:t>
      </w:r>
      <w:r w:rsidRPr="00C0113F">
        <w:rPr>
          <w:rFonts w:asciiTheme="majorBidi" w:hAnsiTheme="majorBidi" w:cstheme="majorBidi"/>
          <w:lang w:bidi="ar-EG"/>
        </w:rPr>
        <w:t>,</w:t>
      </w:r>
      <w:r w:rsidR="00F35680" w:rsidRPr="00F35680">
        <w:rPr>
          <w:rFonts w:asciiTheme="majorBidi" w:hAnsiTheme="majorBidi" w:cstheme="majorBidi"/>
          <w:lang w:bidi="ar-EG"/>
        </w:rPr>
        <w:t xml:space="preserve"> and guaranteeing everyone's right to development without discrimination.</w:t>
      </w:r>
    </w:p>
    <w:p w14:paraId="0FA355D8" w14:textId="6081615C" w:rsidR="00F35680" w:rsidRPr="00F35680" w:rsidRDefault="00F35680" w:rsidP="0011132F">
      <w:pPr>
        <w:jc w:val="both"/>
        <w:rPr>
          <w:rFonts w:asciiTheme="majorBidi" w:hAnsiTheme="majorBidi" w:cstheme="majorBidi"/>
          <w:lang w:bidi="ar-EG"/>
        </w:rPr>
      </w:pPr>
      <w:r w:rsidRPr="00F35680">
        <w:rPr>
          <w:rFonts w:asciiTheme="majorBidi" w:hAnsiTheme="majorBidi" w:cstheme="majorBidi"/>
          <w:lang w:bidi="ar-EG"/>
        </w:rPr>
        <w:t>Egypt has adopted an economic reform program based on three pillars, one of which is enhancing the social protection network to provide support for the most impoverished segments of society and improve living conditions. Ensuring sustainable economic growth capable of creating decent job opportunities, reducing unemployment rates, and improving citizens' lives is another key goal. However, concerns remain regarding the implementation of specific provisions of the Covenant, particularly related to working under satisfactory conditions, social security, and cultural rights</w:t>
      </w:r>
      <w:r w:rsidR="008B496B" w:rsidRPr="00C0113F">
        <w:rPr>
          <w:rFonts w:asciiTheme="majorBidi" w:hAnsiTheme="majorBidi" w:cstheme="majorBidi"/>
          <w:lang w:bidi="ar-EG"/>
        </w:rPr>
        <w:t xml:space="preserve">, </w:t>
      </w:r>
      <w:r w:rsidRPr="00F35680">
        <w:rPr>
          <w:rFonts w:asciiTheme="majorBidi" w:hAnsiTheme="majorBidi" w:cstheme="majorBidi"/>
          <w:lang w:bidi="ar-EG"/>
        </w:rPr>
        <w:t xml:space="preserve">issues that </w:t>
      </w:r>
      <w:r w:rsidR="00096595" w:rsidRPr="00C0113F">
        <w:rPr>
          <w:rFonts w:asciiTheme="majorBidi" w:hAnsiTheme="majorBidi" w:cstheme="majorBidi"/>
          <w:lang w:bidi="ar-EG"/>
        </w:rPr>
        <w:t>Elizka</w:t>
      </w:r>
      <w:r w:rsidRPr="00F35680">
        <w:rPr>
          <w:rFonts w:asciiTheme="majorBidi" w:hAnsiTheme="majorBidi" w:cstheme="majorBidi"/>
          <w:lang w:bidi="ar-EG"/>
        </w:rPr>
        <w:t xml:space="preserve"> focuses on in this report.</w:t>
      </w:r>
    </w:p>
    <w:p w14:paraId="0820EADB" w14:textId="1476ABDC" w:rsidR="00F35680" w:rsidRPr="00F91F84" w:rsidRDefault="00F35680" w:rsidP="00F91F84">
      <w:pPr>
        <w:pStyle w:val="ListParagraph"/>
        <w:numPr>
          <w:ilvl w:val="0"/>
          <w:numId w:val="9"/>
        </w:numPr>
        <w:pBdr>
          <w:top w:val="single" w:sz="4" w:space="1" w:color="auto"/>
          <w:left w:val="single" w:sz="4" w:space="4" w:color="auto"/>
          <w:bottom w:val="single" w:sz="4" w:space="1" w:color="auto"/>
          <w:right w:val="single" w:sz="4" w:space="4" w:color="auto"/>
        </w:pBdr>
        <w:shd w:val="clear" w:color="auto" w:fill="D9F2D0" w:themeFill="accent6" w:themeFillTint="33"/>
        <w:jc w:val="both"/>
        <w:rPr>
          <w:rFonts w:asciiTheme="majorBidi" w:hAnsiTheme="majorBidi" w:cstheme="majorBidi"/>
          <w:b/>
          <w:bCs/>
          <w:sz w:val="28"/>
          <w:szCs w:val="28"/>
          <w:lang w:bidi="ar-EG"/>
        </w:rPr>
      </w:pPr>
      <w:r w:rsidRPr="00F91F84">
        <w:rPr>
          <w:rFonts w:asciiTheme="majorBidi" w:hAnsiTheme="majorBidi" w:cstheme="majorBidi"/>
          <w:b/>
          <w:bCs/>
          <w:sz w:val="28"/>
          <w:szCs w:val="28"/>
          <w:lang w:bidi="ar-EG"/>
        </w:rPr>
        <w:t>Working Under Satisfactory Conditions – Article 7</w:t>
      </w:r>
    </w:p>
    <w:p w14:paraId="71DE8D8D" w14:textId="1D8AF8EC" w:rsidR="00F35680" w:rsidRPr="00F35680" w:rsidRDefault="00F35680" w:rsidP="0011132F">
      <w:pPr>
        <w:jc w:val="both"/>
        <w:rPr>
          <w:rFonts w:asciiTheme="majorBidi" w:hAnsiTheme="majorBidi" w:cstheme="majorBidi"/>
          <w:lang w:bidi="ar-EG"/>
        </w:rPr>
      </w:pPr>
      <w:r w:rsidRPr="00F35680">
        <w:rPr>
          <w:rFonts w:asciiTheme="majorBidi" w:hAnsiTheme="majorBidi" w:cstheme="majorBidi"/>
          <w:lang w:bidi="ar-EG"/>
        </w:rPr>
        <w:t xml:space="preserve">The Labour Law No. 14 of 2025 came into effect on September 1, 2025, replacing Labour Law No. 12 of 2003, marking a significant legislative shift towards developing the working environment in Egypt. </w:t>
      </w:r>
      <w:r w:rsidR="00096595" w:rsidRPr="00C0113F">
        <w:rPr>
          <w:rFonts w:asciiTheme="majorBidi" w:hAnsiTheme="majorBidi" w:cstheme="majorBidi"/>
          <w:lang w:bidi="ar-EG"/>
        </w:rPr>
        <w:t>Elizka</w:t>
      </w:r>
      <w:r w:rsidRPr="00F35680">
        <w:rPr>
          <w:rFonts w:asciiTheme="majorBidi" w:hAnsiTheme="majorBidi" w:cstheme="majorBidi"/>
          <w:lang w:bidi="ar-EG"/>
        </w:rPr>
        <w:t xml:space="preserve"> believes that the law has represented a positive direction towards comprehensive reforms in the labor sector, introducing advanced mechanisms for resolving labor disputes and enhancing occupational health and safety standards.</w:t>
      </w:r>
    </w:p>
    <w:p w14:paraId="01E94AB2" w14:textId="02656C69" w:rsidR="00F35680" w:rsidRPr="00F35680" w:rsidRDefault="00096595" w:rsidP="0011132F">
      <w:pPr>
        <w:jc w:val="both"/>
        <w:rPr>
          <w:rFonts w:asciiTheme="majorBidi" w:hAnsiTheme="majorBidi" w:cstheme="majorBidi"/>
          <w:lang w:bidi="ar-EG"/>
        </w:rPr>
      </w:pPr>
      <w:r w:rsidRPr="00C0113F">
        <w:rPr>
          <w:rFonts w:asciiTheme="majorBidi" w:hAnsiTheme="majorBidi" w:cstheme="majorBidi"/>
          <w:lang w:bidi="ar-EG"/>
        </w:rPr>
        <w:t>Elizka</w:t>
      </w:r>
      <w:r w:rsidR="00F35680" w:rsidRPr="00F35680">
        <w:rPr>
          <w:rFonts w:asciiTheme="majorBidi" w:hAnsiTheme="majorBidi" w:cstheme="majorBidi"/>
          <w:lang w:bidi="ar-EG"/>
        </w:rPr>
        <w:t xml:space="preserve"> appreciates the substantial reforms outlined in the law aimed at protecting workers' rights and clarifying employers' obligations, aligning with Egypt's commitments under international labor conventions. Among these positives is the provision for a mandatory annual wage increase of no less than 3% of the socially insured wage, with specific temporary exemptions available. The law also requires employers to provide a detailed statement to the relevant authorities within 30 days from the law's enactment date, including information about workers and their salaries, with an annual update in January for any changes, a step that will enhance transparency and ensure employers' compliance with agreed legal wages. Additionally, the rights of working women have seen significant improvements in the new law, with paid maternity leave extended to four months compared to three months in the previous law, without </w:t>
      </w:r>
      <w:r w:rsidR="00F35680" w:rsidRPr="00F35680">
        <w:rPr>
          <w:rFonts w:asciiTheme="majorBidi" w:hAnsiTheme="majorBidi" w:cstheme="majorBidi"/>
          <w:lang w:bidi="ar-EG"/>
        </w:rPr>
        <w:lastRenderedPageBreak/>
        <w:t>stipulating a minimum service duration, and allowing the use of this leave three times during the service period. Furthermore, the law grants working women with at least one year of service in an enterprise with 50 or more workers the right to unpaid childcare leave for up to two years, with a maximum of three instances, which is a positive development in supporting work-life balance.</w:t>
      </w:r>
      <w:r w:rsidR="00714304" w:rsidRPr="00C0113F">
        <w:rPr>
          <w:rStyle w:val="FootnoteReference"/>
          <w:rFonts w:asciiTheme="majorBidi" w:hAnsiTheme="majorBidi" w:cstheme="majorBidi"/>
          <w:lang w:bidi="ar-EG"/>
        </w:rPr>
        <w:footnoteReference w:id="1"/>
      </w:r>
    </w:p>
    <w:p w14:paraId="6DE33480" w14:textId="77777777" w:rsidR="00F35680" w:rsidRPr="00F35680" w:rsidRDefault="00F35680" w:rsidP="0011132F">
      <w:pPr>
        <w:jc w:val="both"/>
        <w:rPr>
          <w:rFonts w:asciiTheme="majorBidi" w:hAnsiTheme="majorBidi" w:cstheme="majorBidi"/>
          <w:lang w:bidi="ar-EG"/>
        </w:rPr>
      </w:pPr>
      <w:r w:rsidRPr="00F35680">
        <w:rPr>
          <w:rFonts w:asciiTheme="majorBidi" w:hAnsiTheme="majorBidi" w:cstheme="majorBidi"/>
          <w:lang w:bidi="ar-EG"/>
        </w:rPr>
        <w:t>However, these positive developments do not negate the fundamental shortcomings represented by the absence of legal protection for domestic workers, a category highly vulnerable to exploitation and abusive practices. As of the writing of this report, the provisions of Egyptian labour law do not cover this category of domestic workers, leaving them outside the formal protections afforded to other worker categories. Various reports indicate different forms of exploitation, including forced labor and wage withholding, amid the absence of effective oversight mechanisms. Although the National Human Rights Strategy, launched four years ago, aimed to issue a separate law to regulate the status of domestic workers, this law has not been enacted, despite government statements indicating that a draft law for domestic workers is ready.</w:t>
      </w:r>
    </w:p>
    <w:p w14:paraId="4062084A" w14:textId="66BE0070" w:rsidR="00F35680" w:rsidRPr="00A150D4" w:rsidRDefault="00F35680" w:rsidP="0011132F">
      <w:pPr>
        <w:jc w:val="both"/>
        <w:rPr>
          <w:rFonts w:asciiTheme="majorBidi" w:hAnsiTheme="majorBidi" w:cstheme="majorBidi"/>
          <w:b/>
          <w:bCs/>
          <w:lang w:bidi="ar-EG"/>
        </w:rPr>
      </w:pPr>
      <w:r w:rsidRPr="00A150D4">
        <w:rPr>
          <w:rFonts w:asciiTheme="majorBidi" w:hAnsiTheme="majorBidi" w:cstheme="majorBidi"/>
          <w:b/>
          <w:bCs/>
          <w:lang w:bidi="ar-EG"/>
        </w:rPr>
        <w:t xml:space="preserve">We encourage </w:t>
      </w:r>
      <w:r w:rsidR="004219A7" w:rsidRPr="00A150D4">
        <w:rPr>
          <w:rFonts w:asciiTheme="majorBidi" w:hAnsiTheme="majorBidi" w:cstheme="majorBidi"/>
          <w:b/>
          <w:bCs/>
          <w:lang w:bidi="ar-EG"/>
        </w:rPr>
        <w:t xml:space="preserve">CESCR </w:t>
      </w:r>
      <w:r w:rsidRPr="00A150D4">
        <w:rPr>
          <w:rFonts w:asciiTheme="majorBidi" w:hAnsiTheme="majorBidi" w:cstheme="majorBidi"/>
          <w:b/>
          <w:bCs/>
          <w:lang w:bidi="ar-EG"/>
        </w:rPr>
        <w:t>to pose the following questions:</w:t>
      </w:r>
    </w:p>
    <w:p w14:paraId="0BE4DE1F" w14:textId="77777777" w:rsidR="00F35680" w:rsidRPr="00F35680" w:rsidRDefault="00F35680" w:rsidP="0011132F">
      <w:pPr>
        <w:numPr>
          <w:ilvl w:val="0"/>
          <w:numId w:val="5"/>
        </w:numPr>
        <w:jc w:val="both"/>
        <w:rPr>
          <w:rFonts w:asciiTheme="majorBidi" w:hAnsiTheme="majorBidi" w:cstheme="majorBidi"/>
          <w:lang w:bidi="ar-EG"/>
        </w:rPr>
      </w:pPr>
      <w:r w:rsidRPr="00F35680">
        <w:rPr>
          <w:rFonts w:asciiTheme="majorBidi" w:hAnsiTheme="majorBidi" w:cstheme="majorBidi"/>
          <w:lang w:bidi="ar-EG"/>
        </w:rPr>
        <w:t>What are the reasons for the exclusion of domestic workers from the scope of Labour Law No. 14 of 2025, and are there plans or legislative projects to include them under legal protection?</w:t>
      </w:r>
    </w:p>
    <w:p w14:paraId="6629F991" w14:textId="77777777" w:rsidR="00F35680" w:rsidRPr="00F35680" w:rsidRDefault="00F35680" w:rsidP="0011132F">
      <w:pPr>
        <w:numPr>
          <w:ilvl w:val="0"/>
          <w:numId w:val="5"/>
        </w:numPr>
        <w:jc w:val="both"/>
        <w:rPr>
          <w:rFonts w:asciiTheme="majorBidi" w:hAnsiTheme="majorBidi" w:cstheme="majorBidi"/>
          <w:lang w:bidi="ar-EG"/>
        </w:rPr>
      </w:pPr>
      <w:r w:rsidRPr="00F35680">
        <w:rPr>
          <w:rFonts w:asciiTheme="majorBidi" w:hAnsiTheme="majorBidi" w:cstheme="majorBidi"/>
          <w:lang w:bidi="ar-EG"/>
        </w:rPr>
        <w:t>When will the draft law on the status of domestic workers be submitted to the House of Representatives, and have stakeholders, including civil society organizations, been consulted in preparing the draft law?</w:t>
      </w:r>
    </w:p>
    <w:p w14:paraId="07936AD3" w14:textId="4C3BA080" w:rsidR="004638FE" w:rsidRPr="00C0113F" w:rsidRDefault="00F35680" w:rsidP="00714304">
      <w:pPr>
        <w:numPr>
          <w:ilvl w:val="0"/>
          <w:numId w:val="5"/>
        </w:numPr>
        <w:jc w:val="both"/>
        <w:rPr>
          <w:rFonts w:asciiTheme="majorBidi" w:hAnsiTheme="majorBidi" w:cstheme="majorBidi"/>
          <w:rtl/>
          <w:lang w:bidi="ar-EG"/>
        </w:rPr>
      </w:pPr>
      <w:r w:rsidRPr="00F35680">
        <w:rPr>
          <w:rFonts w:asciiTheme="majorBidi" w:hAnsiTheme="majorBidi" w:cstheme="majorBidi"/>
          <w:lang w:bidi="ar-EG"/>
        </w:rPr>
        <w:t>How does the government handle complaints from domestic workers, and is there a mechanism for inspecting the conditions of these workers?</w:t>
      </w:r>
    </w:p>
    <w:p w14:paraId="0230509A" w14:textId="0B0EC611" w:rsidR="00F91D12" w:rsidRPr="00F45A34" w:rsidRDefault="00F91D12" w:rsidP="00F45A34">
      <w:pPr>
        <w:pStyle w:val="ListParagraph"/>
        <w:numPr>
          <w:ilvl w:val="0"/>
          <w:numId w:val="9"/>
        </w:numPr>
        <w:pBdr>
          <w:top w:val="single" w:sz="4" w:space="1" w:color="auto"/>
          <w:left w:val="single" w:sz="4" w:space="4" w:color="auto"/>
          <w:bottom w:val="single" w:sz="4" w:space="1" w:color="auto"/>
          <w:right w:val="single" w:sz="4" w:space="4" w:color="auto"/>
        </w:pBdr>
        <w:shd w:val="clear" w:color="auto" w:fill="D9F2D0" w:themeFill="accent6" w:themeFillTint="33"/>
        <w:jc w:val="both"/>
        <w:rPr>
          <w:rFonts w:asciiTheme="majorBidi" w:hAnsiTheme="majorBidi" w:cstheme="majorBidi"/>
          <w:b/>
          <w:bCs/>
          <w:sz w:val="28"/>
          <w:szCs w:val="28"/>
          <w:lang w:bidi="ar-EG"/>
        </w:rPr>
      </w:pPr>
      <w:r w:rsidRPr="00F45A34">
        <w:rPr>
          <w:rFonts w:asciiTheme="majorBidi" w:hAnsiTheme="majorBidi" w:cstheme="majorBidi"/>
          <w:b/>
          <w:bCs/>
          <w:sz w:val="28"/>
          <w:szCs w:val="28"/>
          <w:lang w:bidi="ar-EG"/>
        </w:rPr>
        <w:t>Social Security – Article 9</w:t>
      </w:r>
    </w:p>
    <w:p w14:paraId="1290D9AC" w14:textId="5CFE59E5" w:rsidR="00F91D12" w:rsidRPr="00F91D12" w:rsidRDefault="00F91D12" w:rsidP="0011132F">
      <w:pPr>
        <w:jc w:val="both"/>
        <w:rPr>
          <w:rFonts w:asciiTheme="majorBidi" w:hAnsiTheme="majorBidi" w:cstheme="majorBidi"/>
          <w:lang w:bidi="ar-EG"/>
        </w:rPr>
      </w:pPr>
      <w:r w:rsidRPr="00F91D12">
        <w:rPr>
          <w:rFonts w:asciiTheme="majorBidi" w:hAnsiTheme="majorBidi" w:cstheme="majorBidi"/>
          <w:lang w:bidi="ar-EG"/>
        </w:rPr>
        <w:t>The Egyptian Constitution guarantees the right to social security and the provision of social insurance services in Article 17.</w:t>
      </w:r>
      <w:r w:rsidR="002620F4" w:rsidRPr="00C0113F">
        <w:rPr>
          <w:rStyle w:val="FootnoteReference"/>
          <w:rFonts w:asciiTheme="majorBidi" w:hAnsiTheme="majorBidi" w:cstheme="majorBidi"/>
          <w:lang w:bidi="ar-EG"/>
        </w:rPr>
        <w:footnoteReference w:id="2"/>
      </w:r>
      <w:r w:rsidRPr="00F91D12">
        <w:rPr>
          <w:rFonts w:asciiTheme="majorBidi" w:hAnsiTheme="majorBidi" w:cstheme="majorBidi"/>
          <w:lang w:bidi="ar-EG"/>
        </w:rPr>
        <w:t xml:space="preserve"> The year 2025 witnessed positive developments regarding the enhancement of social security in line with Article 9 of the Covenant, particularly at the legislative level. The new Social Security Law No. 12 of 2025 was issued in April 2025, allowing for a more comprehensive and sustainable social safety net by transforming social assistance into a social right, broadening the base of beneficiaries of social protection programs, enhancing financial sustainability, and supporting the elderly, women heads of households, and </w:t>
      </w:r>
      <w:r w:rsidRPr="00F91D12">
        <w:rPr>
          <w:rFonts w:asciiTheme="majorBidi" w:hAnsiTheme="majorBidi" w:cstheme="majorBidi"/>
          <w:lang w:bidi="ar-EG"/>
        </w:rPr>
        <w:lastRenderedPageBreak/>
        <w:t>persons with disabilities.</w:t>
      </w:r>
      <w:r w:rsidR="00330D42" w:rsidRPr="00C0113F">
        <w:rPr>
          <w:rStyle w:val="FootnoteReference"/>
          <w:rFonts w:asciiTheme="majorBidi" w:hAnsiTheme="majorBidi" w:cstheme="majorBidi"/>
          <w:lang w:bidi="ar-EG"/>
        </w:rPr>
        <w:footnoteReference w:id="3"/>
      </w:r>
      <w:r w:rsidRPr="00F91D12">
        <w:rPr>
          <w:rFonts w:asciiTheme="majorBidi" w:hAnsiTheme="majorBidi" w:cstheme="majorBidi"/>
          <w:lang w:bidi="ar-EG"/>
        </w:rPr>
        <w:t xml:space="preserve"> The Social Security Law also extends to non-Egyptians, enabling them to receive social assistance if they meet certain criteria, thus widening the pool of beneficiaries under the law.</w:t>
      </w:r>
      <w:r w:rsidR="009A3C8E" w:rsidRPr="00C0113F">
        <w:rPr>
          <w:rStyle w:val="FootnoteReference"/>
          <w:rFonts w:asciiTheme="majorBidi" w:hAnsiTheme="majorBidi" w:cstheme="majorBidi"/>
          <w:lang w:bidi="ar-EG"/>
        </w:rPr>
        <w:footnoteReference w:id="4"/>
      </w:r>
    </w:p>
    <w:p w14:paraId="59FB5807" w14:textId="77777777" w:rsidR="00F91D12" w:rsidRPr="00F91D12" w:rsidRDefault="00F91D12" w:rsidP="0011132F">
      <w:pPr>
        <w:jc w:val="both"/>
        <w:rPr>
          <w:rFonts w:asciiTheme="majorBidi" w:hAnsiTheme="majorBidi" w:cstheme="majorBidi"/>
          <w:lang w:bidi="ar-EG"/>
        </w:rPr>
      </w:pPr>
      <w:r w:rsidRPr="00F91D12">
        <w:rPr>
          <w:rFonts w:asciiTheme="majorBidi" w:hAnsiTheme="majorBidi" w:cstheme="majorBidi"/>
          <w:lang w:bidi="ar-EG"/>
        </w:rPr>
        <w:t>Additionally, the Egyptian government increased public spending allocations for social protection programs to reach 635.9 billion Egyptian pounds in the budget for the fiscal year 2024/2025, which includes food support, social and health insurance, social housing, and cash transfer programs.</w:t>
      </w:r>
    </w:p>
    <w:p w14:paraId="1A6CEC65" w14:textId="3C013D95" w:rsidR="00F91D12" w:rsidRPr="00F91D12" w:rsidRDefault="00F91D12" w:rsidP="00BD1804">
      <w:pPr>
        <w:jc w:val="both"/>
        <w:rPr>
          <w:rFonts w:asciiTheme="majorBidi" w:hAnsiTheme="majorBidi" w:cstheme="majorBidi"/>
          <w:lang w:bidi="ar-EG"/>
        </w:rPr>
      </w:pPr>
      <w:r w:rsidRPr="00F91D12">
        <w:rPr>
          <w:rFonts w:asciiTheme="majorBidi" w:hAnsiTheme="majorBidi" w:cstheme="majorBidi"/>
          <w:lang w:bidi="ar-EG"/>
        </w:rPr>
        <w:t xml:space="preserve">On another front, the government continued its social protection initiative, "Takaful and Karama," which began in 2015. This program consists of two components: the Takaful program, which is a cash transfer program conditioned on the regular </w:t>
      </w:r>
      <w:proofErr w:type="spellStart"/>
      <w:r w:rsidRPr="00F91D12">
        <w:rPr>
          <w:rFonts w:asciiTheme="majorBidi" w:hAnsiTheme="majorBidi" w:cstheme="majorBidi"/>
          <w:lang w:bidi="ar-EG"/>
        </w:rPr>
        <w:t>enrollment</w:t>
      </w:r>
      <w:proofErr w:type="spellEnd"/>
      <w:r w:rsidRPr="00F91D12">
        <w:rPr>
          <w:rFonts w:asciiTheme="majorBidi" w:hAnsiTheme="majorBidi" w:cstheme="majorBidi"/>
          <w:lang w:bidi="ar-EG"/>
        </w:rPr>
        <w:t xml:space="preserve"> of children under 18 in school and their access to healthcare services, primarily targeting poor families, especially women.</w:t>
      </w:r>
      <w:r w:rsidR="00BD1804">
        <w:rPr>
          <w:rFonts w:asciiTheme="majorBidi" w:hAnsiTheme="majorBidi" w:cstheme="majorBidi"/>
          <w:lang w:bidi="ar-EG"/>
        </w:rPr>
        <w:t xml:space="preserve"> </w:t>
      </w:r>
      <w:r w:rsidRPr="00F91D12">
        <w:rPr>
          <w:rFonts w:asciiTheme="majorBidi" w:hAnsiTheme="majorBidi" w:cstheme="majorBidi"/>
          <w:lang w:bidi="ar-EG"/>
        </w:rPr>
        <w:t>The second component, the Karama program, represents unconditional cash transfers for the elderly poor and persons with disabilities. Together, about 2.5 million families, comprising 9.3 million individuals, benefited from both programs, with a budget of 6.7 billion Egyptian pounds in 2015. The beneficiary base of this program has evolved since its launch, with cash assistance for the Takaful and Karama program increasing by 25% as of April 2025, reaching approximately 4.7 million families covered by the program by September 2025, compared to about 2.5 million families in 2015. Nevertheless, the initiative did not fully cover all families experiencing poverty, estimated at about 11.8 million families, which accounts for around 42.5 million citizens according to comprehensive government data on poor families in Egypt.</w:t>
      </w:r>
    </w:p>
    <w:p w14:paraId="5FB5AF16" w14:textId="53B3BD8E" w:rsidR="00F91D12" w:rsidRPr="00F91D12" w:rsidRDefault="00F91D12" w:rsidP="0011132F">
      <w:pPr>
        <w:jc w:val="both"/>
        <w:rPr>
          <w:rFonts w:asciiTheme="majorBidi" w:hAnsiTheme="majorBidi" w:cstheme="majorBidi"/>
          <w:lang w:bidi="ar-EG"/>
        </w:rPr>
      </w:pPr>
      <w:r w:rsidRPr="00F91D12">
        <w:rPr>
          <w:rFonts w:asciiTheme="majorBidi" w:hAnsiTheme="majorBidi" w:cstheme="majorBidi"/>
          <w:lang w:bidi="ar-EG"/>
        </w:rPr>
        <w:t>Furthermore, the government raised the minimum wage for social insurance contributions to 2,300 Egyptian pounds and the maximum to 14,500 Egyptian pounds starting January 2025, requiring employers to update employees' salary data and submit the necessary official forms, with penalties for violators. This ensures the expansion of the beneficiary base of social insurance, improves and sustains entitlements, and enhances the financial protection of workers and their families, thereby providing a more effective and stable social safety net.</w:t>
      </w:r>
      <w:r w:rsidR="00330D42" w:rsidRPr="00C0113F">
        <w:rPr>
          <w:rStyle w:val="FootnoteReference"/>
          <w:rFonts w:asciiTheme="majorBidi" w:hAnsiTheme="majorBidi" w:cstheme="majorBidi"/>
          <w:lang w:bidi="ar-EG"/>
        </w:rPr>
        <w:footnoteReference w:id="5"/>
      </w:r>
    </w:p>
    <w:p w14:paraId="580ADB5F" w14:textId="2C979EA7" w:rsidR="00F91D12" w:rsidRPr="00F91D12" w:rsidRDefault="00F91D12" w:rsidP="0011132F">
      <w:pPr>
        <w:jc w:val="both"/>
        <w:rPr>
          <w:rFonts w:asciiTheme="majorBidi" w:hAnsiTheme="majorBidi" w:cstheme="majorBidi"/>
          <w:lang w:bidi="ar-EG"/>
        </w:rPr>
      </w:pPr>
      <w:r w:rsidRPr="00F91D12">
        <w:rPr>
          <w:rFonts w:asciiTheme="majorBidi" w:hAnsiTheme="majorBidi" w:cstheme="majorBidi"/>
          <w:lang w:bidi="ar-EG"/>
        </w:rPr>
        <w:t>To improve living standards, the President issued Decision No. 325 of 2025 related to increasing pensions starting July 1, 2025. Article 1 of the decision states that pensions due will increase by 15% beginning July 1, 2025, with an expected benefit for 13 million people.</w:t>
      </w:r>
      <w:r w:rsidR="002620F4" w:rsidRPr="00C0113F">
        <w:rPr>
          <w:rStyle w:val="FootnoteReference"/>
          <w:rFonts w:asciiTheme="majorBidi" w:hAnsiTheme="majorBidi" w:cstheme="majorBidi"/>
          <w:lang w:bidi="ar-EG"/>
        </w:rPr>
        <w:footnoteReference w:id="6"/>
      </w:r>
    </w:p>
    <w:p w14:paraId="338EB96F" w14:textId="77777777" w:rsidR="00F91D12" w:rsidRPr="00F91D12" w:rsidRDefault="00F91D12" w:rsidP="0011132F">
      <w:pPr>
        <w:jc w:val="both"/>
        <w:rPr>
          <w:rFonts w:asciiTheme="majorBidi" w:hAnsiTheme="majorBidi" w:cstheme="majorBidi"/>
          <w:lang w:bidi="ar-EG"/>
        </w:rPr>
      </w:pPr>
      <w:r w:rsidRPr="00F91D12">
        <w:rPr>
          <w:rFonts w:asciiTheme="majorBidi" w:hAnsiTheme="majorBidi" w:cstheme="majorBidi"/>
          <w:lang w:bidi="ar-EG"/>
        </w:rPr>
        <w:t xml:space="preserve">Despite these positive developments, there remain several significant challenges limiting the effectiveness of the social security system in Egypt. These include high poverty levels among some families, as well as high inflation rates, which reached 40% in 2023 and 30% in 2024. </w:t>
      </w:r>
      <w:r w:rsidRPr="00F91D12">
        <w:rPr>
          <w:rFonts w:asciiTheme="majorBidi" w:hAnsiTheme="majorBidi" w:cstheme="majorBidi"/>
          <w:lang w:bidi="ar-EG"/>
        </w:rPr>
        <w:lastRenderedPageBreak/>
        <w:t xml:space="preserve">These factors directly affect the ability of social programs to provide effective protection for citizens. Additionally, the erosion of cash assistance value due to inflation and rising prices of essential goods and services has increased poverty rates, limiting the impact of cash transfers as a social security tool. The shift from in-kind support programs, such as food vouchers and school meals, to cash support programs may also present an additional challenge under current economic conditions, including rising prices and malnutrition among children, with 12.7 million children suffering from malnutrition and various forms of </w:t>
      </w:r>
      <w:proofErr w:type="spellStart"/>
      <w:r w:rsidRPr="00F91D12">
        <w:rPr>
          <w:rFonts w:asciiTheme="majorBidi" w:hAnsiTheme="majorBidi" w:cstheme="majorBidi"/>
          <w:lang w:bidi="ar-EG"/>
        </w:rPr>
        <w:t>anemia</w:t>
      </w:r>
      <w:proofErr w:type="spellEnd"/>
      <w:r w:rsidRPr="00F91D12">
        <w:rPr>
          <w:rFonts w:asciiTheme="majorBidi" w:hAnsiTheme="majorBidi" w:cstheme="majorBidi"/>
          <w:lang w:bidi="ar-EG"/>
        </w:rPr>
        <w:t>, obesity, and stunting.</w:t>
      </w:r>
    </w:p>
    <w:p w14:paraId="312E6F14" w14:textId="3F957251" w:rsidR="0011132F" w:rsidRPr="00A150D4" w:rsidRDefault="0011132F" w:rsidP="0011132F">
      <w:pPr>
        <w:jc w:val="both"/>
        <w:rPr>
          <w:rFonts w:asciiTheme="majorBidi" w:hAnsiTheme="majorBidi" w:cstheme="majorBidi"/>
          <w:b/>
          <w:bCs/>
          <w:lang w:bidi="ar-EG"/>
        </w:rPr>
      </w:pPr>
      <w:r w:rsidRPr="00A150D4">
        <w:rPr>
          <w:rFonts w:asciiTheme="majorBidi" w:hAnsiTheme="majorBidi" w:cstheme="majorBidi"/>
          <w:b/>
          <w:bCs/>
          <w:lang w:bidi="ar-EG"/>
        </w:rPr>
        <w:t xml:space="preserve">We encourage </w:t>
      </w:r>
      <w:r w:rsidR="004219A7" w:rsidRPr="00A150D4">
        <w:rPr>
          <w:rFonts w:asciiTheme="majorBidi" w:hAnsiTheme="majorBidi" w:cstheme="majorBidi"/>
          <w:b/>
          <w:bCs/>
          <w:lang w:bidi="ar-EG"/>
        </w:rPr>
        <w:t xml:space="preserve">CESCR </w:t>
      </w:r>
      <w:r w:rsidRPr="00A150D4">
        <w:rPr>
          <w:rFonts w:asciiTheme="majorBidi" w:hAnsiTheme="majorBidi" w:cstheme="majorBidi"/>
          <w:b/>
          <w:bCs/>
          <w:lang w:bidi="ar-EG"/>
        </w:rPr>
        <w:t>to pose the following questions:</w:t>
      </w:r>
    </w:p>
    <w:p w14:paraId="5D681925" w14:textId="77777777" w:rsidR="0011132F" w:rsidRPr="0011132F" w:rsidRDefault="0011132F" w:rsidP="0011132F">
      <w:pPr>
        <w:numPr>
          <w:ilvl w:val="0"/>
          <w:numId w:val="6"/>
        </w:numPr>
        <w:jc w:val="both"/>
        <w:rPr>
          <w:rFonts w:asciiTheme="majorBidi" w:hAnsiTheme="majorBidi" w:cstheme="majorBidi"/>
          <w:lang w:bidi="ar-EG"/>
        </w:rPr>
      </w:pPr>
      <w:r w:rsidRPr="0011132F">
        <w:rPr>
          <w:rFonts w:asciiTheme="majorBidi" w:hAnsiTheme="majorBidi" w:cstheme="majorBidi"/>
          <w:lang w:bidi="ar-EG"/>
        </w:rPr>
        <w:t>What is the government's plan to cover all impoverished families under social protection programs?</w:t>
      </w:r>
    </w:p>
    <w:p w14:paraId="08BD76BD" w14:textId="310E3585" w:rsidR="0011132F" w:rsidRPr="0011132F" w:rsidRDefault="0011132F" w:rsidP="002620F4">
      <w:pPr>
        <w:numPr>
          <w:ilvl w:val="0"/>
          <w:numId w:val="6"/>
        </w:numPr>
        <w:jc w:val="both"/>
        <w:rPr>
          <w:rFonts w:asciiTheme="majorBidi" w:hAnsiTheme="majorBidi" w:cstheme="majorBidi"/>
          <w:lang w:bidi="ar-EG"/>
        </w:rPr>
      </w:pPr>
      <w:r w:rsidRPr="0011132F">
        <w:rPr>
          <w:rFonts w:asciiTheme="majorBidi" w:hAnsiTheme="majorBidi" w:cstheme="majorBidi"/>
          <w:lang w:bidi="ar-EG"/>
        </w:rPr>
        <w:t xml:space="preserve">Has the government </w:t>
      </w:r>
      <w:r w:rsidR="002620F4" w:rsidRPr="00C0113F">
        <w:rPr>
          <w:rFonts w:asciiTheme="majorBidi" w:hAnsiTheme="majorBidi" w:cstheme="majorBidi"/>
          <w:lang w:bidi="ar-EG"/>
        </w:rPr>
        <w:t>assessed</w:t>
      </w:r>
      <w:r w:rsidRPr="0011132F">
        <w:rPr>
          <w:rFonts w:asciiTheme="majorBidi" w:hAnsiTheme="majorBidi" w:cstheme="majorBidi"/>
          <w:lang w:bidi="ar-EG"/>
        </w:rPr>
        <w:t xml:space="preserve"> the impact of the shift from in-kind support to cash support on the poor?</w:t>
      </w:r>
    </w:p>
    <w:p w14:paraId="6780ECD3" w14:textId="1E75E0AB" w:rsidR="0011132F" w:rsidRPr="00A150D4" w:rsidRDefault="0011132F" w:rsidP="00A150D4">
      <w:pPr>
        <w:pStyle w:val="ListParagraph"/>
        <w:numPr>
          <w:ilvl w:val="0"/>
          <w:numId w:val="9"/>
        </w:numPr>
        <w:pBdr>
          <w:top w:val="single" w:sz="4" w:space="1" w:color="auto"/>
          <w:left w:val="single" w:sz="4" w:space="4" w:color="auto"/>
          <w:bottom w:val="single" w:sz="4" w:space="1" w:color="auto"/>
          <w:right w:val="single" w:sz="4" w:space="4" w:color="auto"/>
        </w:pBdr>
        <w:shd w:val="clear" w:color="auto" w:fill="D9F2D0" w:themeFill="accent6" w:themeFillTint="33"/>
        <w:jc w:val="both"/>
        <w:rPr>
          <w:rFonts w:asciiTheme="majorBidi" w:hAnsiTheme="majorBidi" w:cstheme="majorBidi"/>
          <w:b/>
          <w:bCs/>
          <w:sz w:val="28"/>
          <w:szCs w:val="28"/>
          <w:lang w:bidi="ar-EG"/>
        </w:rPr>
      </w:pPr>
      <w:r w:rsidRPr="00A150D4">
        <w:rPr>
          <w:rFonts w:asciiTheme="majorBidi" w:hAnsiTheme="majorBidi" w:cstheme="majorBidi"/>
          <w:b/>
          <w:bCs/>
          <w:sz w:val="28"/>
          <w:szCs w:val="28"/>
          <w:lang w:bidi="ar-EG"/>
        </w:rPr>
        <w:t>Cultural Rights – Article 15</w:t>
      </w:r>
    </w:p>
    <w:p w14:paraId="580A5562" w14:textId="553E36AA" w:rsidR="0011132F" w:rsidRPr="0011132F" w:rsidRDefault="0011132F" w:rsidP="0011132F">
      <w:pPr>
        <w:jc w:val="both"/>
        <w:rPr>
          <w:rFonts w:asciiTheme="majorBidi" w:hAnsiTheme="majorBidi" w:cstheme="majorBidi"/>
          <w:lang w:bidi="ar-EG"/>
        </w:rPr>
      </w:pPr>
      <w:r w:rsidRPr="0011132F">
        <w:rPr>
          <w:rFonts w:asciiTheme="majorBidi" w:hAnsiTheme="majorBidi" w:cstheme="majorBidi"/>
          <w:lang w:bidi="ar-EG"/>
        </w:rPr>
        <w:t>Culture is a right for every citizen under Article 48 of the Egyptian Constitution,</w:t>
      </w:r>
      <w:r w:rsidR="006D50D4" w:rsidRPr="00C0113F">
        <w:rPr>
          <w:rStyle w:val="FootnoteReference"/>
          <w:rFonts w:asciiTheme="majorBidi" w:hAnsiTheme="majorBidi" w:cstheme="majorBidi"/>
          <w:lang w:bidi="ar-EG"/>
        </w:rPr>
        <w:footnoteReference w:id="7"/>
      </w:r>
      <w:r w:rsidRPr="0011132F">
        <w:rPr>
          <w:rFonts w:asciiTheme="majorBidi" w:hAnsiTheme="majorBidi" w:cstheme="majorBidi"/>
          <w:lang w:bidi="ar-EG"/>
        </w:rPr>
        <w:t xml:space="preserve"> which ensures the availability of cultural materials of all kinds to different segments of society.</w:t>
      </w:r>
      <w:r w:rsidR="006D50D4" w:rsidRPr="00C0113F">
        <w:rPr>
          <w:rStyle w:val="FootnoteReference"/>
          <w:rFonts w:asciiTheme="majorBidi" w:hAnsiTheme="majorBidi" w:cstheme="majorBidi"/>
          <w:lang w:bidi="ar-EG"/>
        </w:rPr>
        <w:footnoteReference w:id="8"/>
      </w:r>
      <w:r w:rsidRPr="0011132F">
        <w:rPr>
          <w:rFonts w:asciiTheme="majorBidi" w:hAnsiTheme="majorBidi" w:cstheme="majorBidi"/>
          <w:lang w:bidi="ar-EG"/>
        </w:rPr>
        <w:t xml:space="preserve"> Egypt has allocated a sub-item for cultural rights within the National Human Rights Strategy,</w:t>
      </w:r>
      <w:r w:rsidR="006D50D4" w:rsidRPr="00C0113F">
        <w:rPr>
          <w:rStyle w:val="FootnoteReference"/>
          <w:rFonts w:asciiTheme="majorBidi" w:hAnsiTheme="majorBidi" w:cstheme="majorBidi"/>
          <w:lang w:bidi="ar-EG"/>
        </w:rPr>
        <w:footnoteReference w:id="9"/>
      </w:r>
      <w:r w:rsidRPr="0011132F">
        <w:rPr>
          <w:rFonts w:asciiTheme="majorBidi" w:hAnsiTheme="majorBidi" w:cstheme="majorBidi"/>
          <w:lang w:bidi="ar-EG"/>
        </w:rPr>
        <w:t xml:space="preserve"> aiming to distribute cultural services evenly across the nation, particularly in remote, border, and underserved areas. Additionally, the strategy seeks to promote cultural industries, enhance funding mechanisms, and provide more support to cultural palaces to enable them to </w:t>
      </w:r>
      <w:proofErr w:type="spellStart"/>
      <w:r w:rsidRPr="0011132F">
        <w:rPr>
          <w:rFonts w:asciiTheme="majorBidi" w:hAnsiTheme="majorBidi" w:cstheme="majorBidi"/>
          <w:lang w:bidi="ar-EG"/>
        </w:rPr>
        <w:t>fulfill</w:t>
      </w:r>
      <w:proofErr w:type="spellEnd"/>
      <w:r w:rsidRPr="0011132F">
        <w:rPr>
          <w:rFonts w:asciiTheme="majorBidi" w:hAnsiTheme="majorBidi" w:cstheme="majorBidi"/>
          <w:lang w:bidi="ar-EG"/>
        </w:rPr>
        <w:t xml:space="preserve"> their roles. Under the "Decent Life" initiative, the government established and developed 14 cultural palaces and houses of culture in the villages included in the first phase.</w:t>
      </w:r>
    </w:p>
    <w:p w14:paraId="1F7A7EAC" w14:textId="451E90AC" w:rsidR="0011132F" w:rsidRPr="0011132F" w:rsidRDefault="0011132F" w:rsidP="0011132F">
      <w:pPr>
        <w:jc w:val="both"/>
        <w:rPr>
          <w:rFonts w:asciiTheme="majorBidi" w:hAnsiTheme="majorBidi" w:cstheme="majorBidi"/>
          <w:lang w:bidi="ar-EG"/>
        </w:rPr>
      </w:pPr>
      <w:r w:rsidRPr="0011132F">
        <w:rPr>
          <w:rFonts w:asciiTheme="majorBidi" w:hAnsiTheme="majorBidi" w:cstheme="majorBidi"/>
          <w:lang w:bidi="ar-EG"/>
        </w:rPr>
        <w:t>On another note, government reports indicated that the Ministry executed over 90,000 cultural and artistic activities that benefited about 4 million citizens across various governorates, according to data from 2024. In the framework of preserving national heritage and enabling all community segments to access knowledge and cultural activities—including youth, students, and visitors from diverse social strata and geographic regions—Egypt opened the Grand Egyptian Museum in November 2025. This museum serves as a cultural platform allowing both citizens and non-citizens to engage with Egypt's rich heritage and historical arts through expanded exhibition halls, interactive displays, and educational and research facilities. This supports the right to participate in cultural life and enhances scientific research and historical education, contributing to cultural awareness and the dissemination of culture among different community segments.</w:t>
      </w:r>
      <w:r w:rsidR="00C0113F" w:rsidRPr="00C0113F">
        <w:rPr>
          <w:rStyle w:val="FootnoteReference"/>
          <w:rFonts w:asciiTheme="majorBidi" w:hAnsiTheme="majorBidi" w:cstheme="majorBidi"/>
          <w:lang w:bidi="ar-EG"/>
        </w:rPr>
        <w:footnoteReference w:id="10"/>
      </w:r>
    </w:p>
    <w:p w14:paraId="395A5FCE" w14:textId="384B344C" w:rsidR="0011132F" w:rsidRPr="0011132F" w:rsidRDefault="0011132F" w:rsidP="0011132F">
      <w:pPr>
        <w:jc w:val="both"/>
        <w:rPr>
          <w:rFonts w:asciiTheme="majorBidi" w:hAnsiTheme="majorBidi" w:cstheme="majorBidi"/>
          <w:lang w:bidi="ar-EG"/>
        </w:rPr>
      </w:pPr>
      <w:r w:rsidRPr="0011132F">
        <w:rPr>
          <w:rFonts w:asciiTheme="majorBidi" w:hAnsiTheme="majorBidi" w:cstheme="majorBidi"/>
          <w:lang w:bidi="ar-EG"/>
        </w:rPr>
        <w:lastRenderedPageBreak/>
        <w:t>Despite these positive developments, the Egyptian Ministry of Culture decided in May 2025 to close about 120 cultural units, including literary clubs, libraries, and cultural palaces in several Egyptian governorates.</w:t>
      </w:r>
      <w:r w:rsidR="00C0113F" w:rsidRPr="00C0113F">
        <w:rPr>
          <w:rStyle w:val="FootnoteReference"/>
          <w:rFonts w:asciiTheme="majorBidi" w:hAnsiTheme="majorBidi" w:cstheme="majorBidi"/>
          <w:lang w:bidi="ar-EG"/>
        </w:rPr>
        <w:footnoteReference w:id="11"/>
      </w:r>
      <w:r w:rsidRPr="0011132F">
        <w:rPr>
          <w:rFonts w:asciiTheme="majorBidi" w:hAnsiTheme="majorBidi" w:cstheme="majorBidi"/>
          <w:lang w:bidi="ar-EG"/>
        </w:rPr>
        <w:t xml:space="preserve"> The Ministry justified this decision by citing the ineffectiveness of these cultural units and their limited roles.</w:t>
      </w:r>
      <w:r w:rsidR="00C0113F" w:rsidRPr="00C0113F">
        <w:rPr>
          <w:rStyle w:val="FootnoteReference"/>
          <w:rFonts w:asciiTheme="majorBidi" w:hAnsiTheme="majorBidi" w:cstheme="majorBidi"/>
          <w:lang w:bidi="ar-EG"/>
        </w:rPr>
        <w:footnoteReference w:id="12"/>
      </w:r>
      <w:r w:rsidRPr="0011132F">
        <w:rPr>
          <w:rFonts w:asciiTheme="majorBidi" w:hAnsiTheme="majorBidi" w:cstheme="majorBidi"/>
          <w:lang w:bidi="ar-EG"/>
        </w:rPr>
        <w:t xml:space="preserve"> Overall, </w:t>
      </w:r>
      <w:r w:rsidR="00096595" w:rsidRPr="00C0113F">
        <w:rPr>
          <w:rFonts w:asciiTheme="majorBidi" w:hAnsiTheme="majorBidi" w:cstheme="majorBidi"/>
          <w:lang w:bidi="ar-EG"/>
        </w:rPr>
        <w:t>Elizka</w:t>
      </w:r>
      <w:r w:rsidRPr="0011132F">
        <w:rPr>
          <w:rFonts w:asciiTheme="majorBidi" w:hAnsiTheme="majorBidi" w:cstheme="majorBidi"/>
          <w:lang w:bidi="ar-EG"/>
        </w:rPr>
        <w:t xml:space="preserve"> noted the significant challenges facing the General Authority for Cultural Palaces, chief among them being the limited budget allocated for cultural activities, which does not exceed 87 million Egyptian pounds annually, alongside a shortage of specialized personnel in cultural and artistic fields. Moreover, </w:t>
      </w:r>
      <w:r w:rsidR="00096595" w:rsidRPr="00C0113F">
        <w:rPr>
          <w:rFonts w:asciiTheme="majorBidi" w:hAnsiTheme="majorBidi" w:cstheme="majorBidi"/>
          <w:lang w:bidi="ar-EG"/>
        </w:rPr>
        <w:t>Elizka</w:t>
      </w:r>
      <w:r w:rsidRPr="0011132F">
        <w:rPr>
          <w:rFonts w:asciiTheme="majorBidi" w:hAnsiTheme="majorBidi" w:cstheme="majorBidi"/>
          <w:lang w:bidi="ar-EG"/>
        </w:rPr>
        <w:t xml:space="preserve"> observed further challenges hindering the implementation of Article 15 of the Covenant, such as the lack of cultural infrastructure in remote areas. Many of these areas lack cultural centers and public libraries, limiting citizens' ability to access cultural and artistic activities.</w:t>
      </w:r>
    </w:p>
    <w:p w14:paraId="5B1A3B13" w14:textId="57D60355" w:rsidR="0011132F" w:rsidRPr="00631325" w:rsidRDefault="0011132F" w:rsidP="0011132F">
      <w:pPr>
        <w:jc w:val="both"/>
        <w:rPr>
          <w:rFonts w:asciiTheme="majorBidi" w:hAnsiTheme="majorBidi" w:cstheme="majorBidi"/>
          <w:b/>
          <w:bCs/>
          <w:lang w:bidi="ar-EG"/>
        </w:rPr>
      </w:pPr>
      <w:r w:rsidRPr="00631325">
        <w:rPr>
          <w:rFonts w:asciiTheme="majorBidi" w:hAnsiTheme="majorBidi" w:cstheme="majorBidi"/>
          <w:b/>
          <w:bCs/>
          <w:lang w:bidi="ar-EG"/>
        </w:rPr>
        <w:t xml:space="preserve">We encourage </w:t>
      </w:r>
      <w:r w:rsidR="004219A7" w:rsidRPr="00631325">
        <w:rPr>
          <w:rFonts w:asciiTheme="majorBidi" w:hAnsiTheme="majorBidi" w:cstheme="majorBidi"/>
          <w:b/>
          <w:bCs/>
          <w:lang w:bidi="ar-EG"/>
        </w:rPr>
        <w:t>CESCR</w:t>
      </w:r>
      <w:r w:rsidR="004219A7" w:rsidRPr="00631325">
        <w:rPr>
          <w:rFonts w:asciiTheme="majorBidi" w:hAnsiTheme="majorBidi" w:cstheme="majorBidi"/>
          <w:lang w:bidi="ar-EG"/>
        </w:rPr>
        <w:t xml:space="preserve"> </w:t>
      </w:r>
      <w:r w:rsidRPr="00631325">
        <w:rPr>
          <w:rFonts w:asciiTheme="majorBidi" w:hAnsiTheme="majorBidi" w:cstheme="majorBidi"/>
          <w:b/>
          <w:bCs/>
          <w:lang w:bidi="ar-EG"/>
        </w:rPr>
        <w:t>to pose the following questions:</w:t>
      </w:r>
    </w:p>
    <w:p w14:paraId="18592E8F" w14:textId="77777777" w:rsidR="0011132F" w:rsidRPr="0011132F" w:rsidRDefault="0011132F" w:rsidP="0011132F">
      <w:pPr>
        <w:numPr>
          <w:ilvl w:val="0"/>
          <w:numId w:val="7"/>
        </w:numPr>
        <w:jc w:val="both"/>
        <w:rPr>
          <w:rFonts w:asciiTheme="majorBidi" w:hAnsiTheme="majorBidi" w:cstheme="majorBidi"/>
          <w:lang w:bidi="ar-EG"/>
        </w:rPr>
      </w:pPr>
      <w:r w:rsidRPr="0011132F">
        <w:rPr>
          <w:rFonts w:asciiTheme="majorBidi" w:hAnsiTheme="majorBidi" w:cstheme="majorBidi"/>
          <w:lang w:bidi="ar-EG"/>
        </w:rPr>
        <w:t>What is the government's plan to secure more funding from the ministry and externally to operate cultural palaces?</w:t>
      </w:r>
    </w:p>
    <w:p w14:paraId="305BD195" w14:textId="77777777" w:rsidR="0011132F" w:rsidRPr="0011132F" w:rsidRDefault="0011132F" w:rsidP="0011132F">
      <w:pPr>
        <w:numPr>
          <w:ilvl w:val="0"/>
          <w:numId w:val="7"/>
        </w:numPr>
        <w:jc w:val="both"/>
        <w:rPr>
          <w:rFonts w:asciiTheme="majorBidi" w:hAnsiTheme="majorBidi" w:cstheme="majorBidi"/>
          <w:lang w:bidi="ar-EG"/>
        </w:rPr>
      </w:pPr>
      <w:r w:rsidRPr="0011132F">
        <w:rPr>
          <w:rFonts w:asciiTheme="majorBidi" w:hAnsiTheme="majorBidi" w:cstheme="majorBidi"/>
          <w:lang w:bidi="ar-EG"/>
        </w:rPr>
        <w:t>Is there any intention to reconsider the decision to close cultural units made in May 2025 and reopen them to the public?</w:t>
      </w:r>
    </w:p>
    <w:p w14:paraId="2DC45094" w14:textId="6D5DC6F4" w:rsidR="00F91D12" w:rsidRPr="00C0113F" w:rsidRDefault="0011132F" w:rsidP="00C0113F">
      <w:pPr>
        <w:numPr>
          <w:ilvl w:val="0"/>
          <w:numId w:val="7"/>
        </w:numPr>
        <w:jc w:val="both"/>
        <w:rPr>
          <w:rFonts w:asciiTheme="majorBidi" w:hAnsiTheme="majorBidi" w:cstheme="majorBidi"/>
          <w:rtl/>
          <w:lang w:bidi="ar-EG"/>
        </w:rPr>
      </w:pPr>
      <w:r w:rsidRPr="0011132F">
        <w:rPr>
          <w:rFonts w:asciiTheme="majorBidi" w:hAnsiTheme="majorBidi" w:cstheme="majorBidi"/>
          <w:lang w:bidi="ar-EG"/>
        </w:rPr>
        <w:t>What cultural activities has the government conducted in border and remote areas, and what impact have they had on the residents of these areas?</w:t>
      </w:r>
    </w:p>
    <w:sectPr w:rsidR="00F91D12" w:rsidRPr="00C0113F">
      <w:headerReference w:type="default" r:id="rId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07BC2A" w14:textId="77777777" w:rsidR="00FE6613" w:rsidRDefault="00FE6613" w:rsidP="004219A7">
      <w:pPr>
        <w:spacing w:after="0" w:line="240" w:lineRule="auto"/>
      </w:pPr>
      <w:r>
        <w:separator/>
      </w:r>
    </w:p>
  </w:endnote>
  <w:endnote w:type="continuationSeparator" w:id="0">
    <w:p w14:paraId="512C0545" w14:textId="77777777" w:rsidR="00FE6613" w:rsidRDefault="00FE6613" w:rsidP="004219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A5386C" w14:textId="77777777" w:rsidR="00FE6613" w:rsidRDefault="00FE6613" w:rsidP="004219A7">
      <w:pPr>
        <w:spacing w:after="0" w:line="240" w:lineRule="auto"/>
      </w:pPr>
      <w:r>
        <w:separator/>
      </w:r>
    </w:p>
  </w:footnote>
  <w:footnote w:type="continuationSeparator" w:id="0">
    <w:p w14:paraId="6987A427" w14:textId="77777777" w:rsidR="00FE6613" w:rsidRDefault="00FE6613" w:rsidP="004219A7">
      <w:pPr>
        <w:spacing w:after="0" w:line="240" w:lineRule="auto"/>
      </w:pPr>
      <w:r>
        <w:continuationSeparator/>
      </w:r>
    </w:p>
  </w:footnote>
  <w:footnote w:id="1">
    <w:p w14:paraId="07FCB118" w14:textId="5338A929" w:rsidR="00714304" w:rsidRPr="001A0E44" w:rsidRDefault="00714304">
      <w:pPr>
        <w:pStyle w:val="FootnoteText"/>
        <w:rPr>
          <w:rFonts w:asciiTheme="majorBidi" w:hAnsiTheme="majorBidi" w:cstheme="majorBidi"/>
          <w:sz w:val="16"/>
          <w:szCs w:val="16"/>
        </w:rPr>
      </w:pPr>
      <w:r w:rsidRPr="001A0E44">
        <w:rPr>
          <w:rStyle w:val="FootnoteReference"/>
          <w:rFonts w:asciiTheme="majorBidi" w:hAnsiTheme="majorBidi" w:cstheme="majorBidi"/>
          <w:sz w:val="16"/>
          <w:szCs w:val="16"/>
        </w:rPr>
        <w:footnoteRef/>
      </w:r>
      <w:r w:rsidRPr="001A0E44">
        <w:rPr>
          <w:rFonts w:asciiTheme="majorBidi" w:hAnsiTheme="majorBidi" w:cstheme="majorBidi"/>
          <w:sz w:val="16"/>
          <w:szCs w:val="16"/>
        </w:rPr>
        <w:t xml:space="preserve"> </w:t>
      </w:r>
      <w:r w:rsidR="00C0113F" w:rsidRPr="001A0E44">
        <w:rPr>
          <w:rFonts w:asciiTheme="majorBidi" w:hAnsiTheme="majorBidi" w:cstheme="majorBidi"/>
          <w:sz w:val="16"/>
          <w:szCs w:val="16"/>
        </w:rPr>
        <w:t xml:space="preserve">Egypt enacts new labor law affecting employers from 1 September 2025, EY, </w:t>
      </w:r>
      <w:hyperlink r:id="rId1">
        <w:r w:rsidR="00C0113F" w:rsidRPr="001A0E44">
          <w:rPr>
            <w:rFonts w:asciiTheme="majorBidi" w:hAnsiTheme="majorBidi" w:cstheme="majorBidi"/>
            <w:color w:val="1155CC"/>
            <w:sz w:val="16"/>
            <w:szCs w:val="16"/>
            <w:u w:val="single"/>
          </w:rPr>
          <w:t>https://2h.ae/yVtcc</w:t>
        </w:r>
      </w:hyperlink>
    </w:p>
  </w:footnote>
  <w:footnote w:id="2">
    <w:p w14:paraId="24CB92D7" w14:textId="3FB98F3C" w:rsidR="002620F4" w:rsidRPr="001A0E44" w:rsidRDefault="002620F4">
      <w:pPr>
        <w:pStyle w:val="FootnoteText"/>
        <w:rPr>
          <w:rFonts w:asciiTheme="majorBidi" w:hAnsiTheme="majorBidi" w:cstheme="majorBidi"/>
          <w:sz w:val="16"/>
          <w:szCs w:val="16"/>
        </w:rPr>
      </w:pPr>
      <w:r w:rsidRPr="001A0E44">
        <w:rPr>
          <w:rStyle w:val="FootnoteReference"/>
          <w:rFonts w:asciiTheme="majorBidi" w:hAnsiTheme="majorBidi" w:cstheme="majorBidi"/>
          <w:sz w:val="16"/>
          <w:szCs w:val="16"/>
        </w:rPr>
        <w:footnoteRef/>
      </w:r>
      <w:r w:rsidRPr="001A0E44">
        <w:rPr>
          <w:rFonts w:asciiTheme="majorBidi" w:hAnsiTheme="majorBidi" w:cstheme="majorBidi"/>
          <w:sz w:val="16"/>
          <w:szCs w:val="16"/>
        </w:rPr>
        <w:t xml:space="preserve"> </w:t>
      </w:r>
      <w:r w:rsidR="00C0113F" w:rsidRPr="001A0E44">
        <w:rPr>
          <w:rFonts w:asciiTheme="majorBidi" w:hAnsiTheme="majorBidi" w:cstheme="majorBidi"/>
          <w:sz w:val="16"/>
          <w:szCs w:val="16"/>
        </w:rPr>
        <w:t xml:space="preserve">Egypt 2014 (rev. 2019), </w:t>
      </w:r>
      <w:hyperlink r:id="rId2" w:history="1">
        <w:r w:rsidR="00C0113F" w:rsidRPr="001A0E44">
          <w:rPr>
            <w:rStyle w:val="Hyperlink"/>
            <w:rFonts w:asciiTheme="majorBidi" w:hAnsiTheme="majorBidi" w:cstheme="majorBidi"/>
            <w:sz w:val="16"/>
            <w:szCs w:val="16"/>
          </w:rPr>
          <w:t>https://www.constituteproject.org/constitution/Egypt_2019</w:t>
        </w:r>
      </w:hyperlink>
    </w:p>
  </w:footnote>
  <w:footnote w:id="3">
    <w:p w14:paraId="26581239" w14:textId="1B9F23D9" w:rsidR="00330D42" w:rsidRPr="001A0E44" w:rsidRDefault="00330D42">
      <w:pPr>
        <w:pStyle w:val="FootnoteText"/>
        <w:rPr>
          <w:rFonts w:asciiTheme="majorBidi" w:hAnsiTheme="majorBidi" w:cstheme="majorBidi"/>
          <w:sz w:val="16"/>
          <w:szCs w:val="16"/>
        </w:rPr>
      </w:pPr>
      <w:r w:rsidRPr="001A0E44">
        <w:rPr>
          <w:rStyle w:val="FootnoteReference"/>
          <w:rFonts w:asciiTheme="majorBidi" w:hAnsiTheme="majorBidi" w:cstheme="majorBidi"/>
          <w:sz w:val="16"/>
          <w:szCs w:val="16"/>
        </w:rPr>
        <w:footnoteRef/>
      </w:r>
      <w:r w:rsidRPr="001A0E44">
        <w:rPr>
          <w:rFonts w:asciiTheme="majorBidi" w:hAnsiTheme="majorBidi" w:cstheme="majorBidi"/>
          <w:sz w:val="16"/>
          <w:szCs w:val="16"/>
        </w:rPr>
        <w:t xml:space="preserve"> </w:t>
      </w:r>
      <w:r w:rsidR="00C0113F" w:rsidRPr="001A0E44">
        <w:rPr>
          <w:rFonts w:asciiTheme="majorBidi" w:hAnsiTheme="majorBidi" w:cstheme="majorBidi"/>
          <w:sz w:val="16"/>
          <w:szCs w:val="16"/>
          <w:lang w:bidi="ar-EG"/>
        </w:rPr>
        <w:t>See the following</w:t>
      </w:r>
      <w:r w:rsidR="00C0113F" w:rsidRPr="001A0E44">
        <w:rPr>
          <w:rFonts w:asciiTheme="majorBidi" w:hAnsiTheme="majorBidi" w:cstheme="majorBidi"/>
          <w:sz w:val="16"/>
          <w:szCs w:val="16"/>
          <w:rtl/>
          <w:lang w:bidi="ar-EG"/>
        </w:rPr>
        <w:t>:</w:t>
      </w:r>
      <w:r w:rsidR="00C0113F" w:rsidRPr="001A0E44">
        <w:rPr>
          <w:rFonts w:asciiTheme="majorBidi" w:hAnsiTheme="majorBidi" w:cstheme="majorBidi"/>
          <w:sz w:val="16"/>
          <w:szCs w:val="16"/>
          <w:rtl/>
        </w:rPr>
        <w:t xml:space="preserve"> </w:t>
      </w:r>
      <w:hyperlink r:id="rId3" w:history="1">
        <w:r w:rsidR="00C0113F" w:rsidRPr="001A0E44">
          <w:rPr>
            <w:rStyle w:val="Hyperlink"/>
            <w:rFonts w:asciiTheme="majorBidi" w:hAnsiTheme="majorBidi" w:cstheme="majorBidi"/>
            <w:sz w:val="16"/>
            <w:szCs w:val="16"/>
          </w:rPr>
          <w:t>https://tinyurl.com/3u942sc8</w:t>
        </w:r>
      </w:hyperlink>
    </w:p>
  </w:footnote>
  <w:footnote w:id="4">
    <w:p w14:paraId="529DC2FA" w14:textId="7C7F9BA8" w:rsidR="009A3C8E" w:rsidRPr="001A0E44" w:rsidRDefault="009A3C8E">
      <w:pPr>
        <w:pStyle w:val="FootnoteText"/>
        <w:rPr>
          <w:rFonts w:asciiTheme="majorBidi" w:hAnsiTheme="majorBidi" w:cstheme="majorBidi"/>
          <w:sz w:val="16"/>
          <w:szCs w:val="16"/>
        </w:rPr>
      </w:pPr>
      <w:r w:rsidRPr="001A0E44">
        <w:rPr>
          <w:rStyle w:val="FootnoteReference"/>
          <w:rFonts w:asciiTheme="majorBidi" w:hAnsiTheme="majorBidi" w:cstheme="majorBidi"/>
          <w:sz w:val="16"/>
          <w:szCs w:val="16"/>
        </w:rPr>
        <w:footnoteRef/>
      </w:r>
      <w:r w:rsidRPr="001A0E44">
        <w:rPr>
          <w:rFonts w:asciiTheme="majorBidi" w:hAnsiTheme="majorBidi" w:cstheme="majorBidi"/>
          <w:sz w:val="16"/>
          <w:szCs w:val="16"/>
        </w:rPr>
        <w:t xml:space="preserve"> </w:t>
      </w:r>
      <w:r w:rsidR="00C0113F" w:rsidRPr="001A0E44">
        <w:rPr>
          <w:rFonts w:asciiTheme="majorBidi" w:hAnsiTheme="majorBidi" w:cstheme="majorBidi"/>
          <w:sz w:val="16"/>
          <w:szCs w:val="16"/>
          <w:lang w:bidi="ar-EG"/>
        </w:rPr>
        <w:t>See the following:</w:t>
      </w:r>
      <w:r w:rsidR="00C0113F" w:rsidRPr="001A0E44">
        <w:rPr>
          <w:rFonts w:asciiTheme="majorBidi" w:hAnsiTheme="majorBidi" w:cstheme="majorBidi"/>
          <w:sz w:val="16"/>
          <w:szCs w:val="16"/>
        </w:rPr>
        <w:t xml:space="preserve"> </w:t>
      </w:r>
      <w:hyperlink r:id="rId4" w:history="1">
        <w:r w:rsidR="00C0113F" w:rsidRPr="001A0E44">
          <w:rPr>
            <w:rStyle w:val="Hyperlink"/>
            <w:rFonts w:asciiTheme="majorBidi" w:hAnsiTheme="majorBidi" w:cstheme="majorBidi"/>
            <w:sz w:val="16"/>
            <w:szCs w:val="16"/>
            <w:lang w:bidi="ar-EG"/>
          </w:rPr>
          <w:t>https://shorturl.at/PBEL0</w:t>
        </w:r>
      </w:hyperlink>
    </w:p>
  </w:footnote>
  <w:footnote w:id="5">
    <w:p w14:paraId="317BE254" w14:textId="632FF627" w:rsidR="00330D42" w:rsidRPr="001A0E44" w:rsidRDefault="00330D42">
      <w:pPr>
        <w:pStyle w:val="FootnoteText"/>
        <w:rPr>
          <w:rFonts w:asciiTheme="majorBidi" w:hAnsiTheme="majorBidi" w:cstheme="majorBidi"/>
          <w:sz w:val="16"/>
          <w:szCs w:val="16"/>
        </w:rPr>
      </w:pPr>
      <w:r w:rsidRPr="001A0E44">
        <w:rPr>
          <w:rStyle w:val="FootnoteReference"/>
          <w:rFonts w:asciiTheme="majorBidi" w:hAnsiTheme="majorBidi" w:cstheme="majorBidi"/>
          <w:sz w:val="16"/>
          <w:szCs w:val="16"/>
        </w:rPr>
        <w:footnoteRef/>
      </w:r>
      <w:r w:rsidRPr="001A0E44">
        <w:rPr>
          <w:rFonts w:asciiTheme="majorBidi" w:hAnsiTheme="majorBidi" w:cstheme="majorBidi"/>
          <w:sz w:val="16"/>
          <w:szCs w:val="16"/>
        </w:rPr>
        <w:t xml:space="preserve"> </w:t>
      </w:r>
      <w:r w:rsidR="00C0113F" w:rsidRPr="001A0E44">
        <w:rPr>
          <w:rFonts w:asciiTheme="majorBidi" w:hAnsiTheme="majorBidi" w:cstheme="majorBidi"/>
          <w:sz w:val="16"/>
          <w:szCs w:val="16"/>
        </w:rPr>
        <w:t xml:space="preserve">New Social Insurance Contribution Amounts, 26 December 2024, </w:t>
      </w:r>
      <w:hyperlink r:id="rId5" w:history="1">
        <w:r w:rsidR="00C0113F" w:rsidRPr="001A0E44">
          <w:rPr>
            <w:rStyle w:val="Hyperlink"/>
            <w:rFonts w:asciiTheme="majorBidi" w:hAnsiTheme="majorBidi" w:cstheme="majorBidi"/>
            <w:sz w:val="16"/>
            <w:szCs w:val="16"/>
          </w:rPr>
          <w:t>https://www.mondaq.com/insurance-laws-and-products/1561432/new-social-insurance-contribution-amounts</w:t>
        </w:r>
      </w:hyperlink>
      <w:r w:rsidR="00C0113F" w:rsidRPr="001A0E44">
        <w:rPr>
          <w:rFonts w:asciiTheme="majorBidi" w:hAnsiTheme="majorBidi" w:cstheme="majorBidi"/>
          <w:sz w:val="16"/>
          <w:szCs w:val="16"/>
        </w:rPr>
        <w:t>?</w:t>
      </w:r>
    </w:p>
  </w:footnote>
  <w:footnote w:id="6">
    <w:p w14:paraId="4FAE36D9" w14:textId="6853DBCA" w:rsidR="002620F4" w:rsidRPr="001A0E44" w:rsidRDefault="002620F4" w:rsidP="00C0113F">
      <w:pPr>
        <w:pStyle w:val="FootnoteText"/>
        <w:rPr>
          <w:rFonts w:asciiTheme="majorBidi" w:hAnsiTheme="majorBidi" w:cstheme="majorBidi"/>
          <w:sz w:val="16"/>
          <w:szCs w:val="16"/>
        </w:rPr>
      </w:pPr>
      <w:r w:rsidRPr="001A0E44">
        <w:rPr>
          <w:rStyle w:val="FootnoteReference"/>
          <w:rFonts w:asciiTheme="majorBidi" w:hAnsiTheme="majorBidi" w:cstheme="majorBidi"/>
          <w:sz w:val="16"/>
          <w:szCs w:val="16"/>
        </w:rPr>
        <w:footnoteRef/>
      </w:r>
      <w:r w:rsidRPr="001A0E44">
        <w:rPr>
          <w:rFonts w:asciiTheme="majorBidi" w:hAnsiTheme="majorBidi" w:cstheme="majorBidi"/>
          <w:sz w:val="16"/>
          <w:szCs w:val="16"/>
        </w:rPr>
        <w:t xml:space="preserve"> </w:t>
      </w:r>
      <w:r w:rsidR="00C0113F" w:rsidRPr="001A0E44">
        <w:rPr>
          <w:rFonts w:asciiTheme="majorBidi" w:hAnsiTheme="majorBidi" w:cstheme="majorBidi"/>
          <w:sz w:val="16"/>
          <w:szCs w:val="16"/>
        </w:rPr>
        <w:t xml:space="preserve">Annual summary of reform of social protection systems in the Arab region, p. 84, at the following link: </w:t>
      </w:r>
      <w:hyperlink r:id="rId6" w:history="1">
        <w:r w:rsidR="00C0113F" w:rsidRPr="001A0E44">
          <w:rPr>
            <w:rStyle w:val="Hyperlink"/>
            <w:rFonts w:asciiTheme="majorBidi" w:hAnsiTheme="majorBidi" w:cstheme="majorBidi"/>
            <w:sz w:val="16"/>
            <w:szCs w:val="16"/>
          </w:rPr>
          <w:t>https://shorturl.at/sfHGe</w:t>
        </w:r>
      </w:hyperlink>
      <w:r w:rsidR="00C0113F" w:rsidRPr="001A0E44">
        <w:rPr>
          <w:rFonts w:asciiTheme="majorBidi" w:hAnsiTheme="majorBidi" w:cstheme="majorBidi"/>
          <w:sz w:val="16"/>
          <w:szCs w:val="16"/>
        </w:rPr>
        <w:t xml:space="preserve"> </w:t>
      </w:r>
    </w:p>
  </w:footnote>
  <w:footnote w:id="7">
    <w:p w14:paraId="6DA58C96" w14:textId="3640C6F8" w:rsidR="006D50D4" w:rsidRPr="001A0E44" w:rsidRDefault="006D50D4">
      <w:pPr>
        <w:pStyle w:val="FootnoteText"/>
        <w:rPr>
          <w:rFonts w:asciiTheme="majorBidi" w:hAnsiTheme="majorBidi" w:cstheme="majorBidi"/>
          <w:sz w:val="16"/>
          <w:szCs w:val="16"/>
        </w:rPr>
      </w:pPr>
      <w:r w:rsidRPr="001A0E44">
        <w:rPr>
          <w:rStyle w:val="FootnoteReference"/>
          <w:rFonts w:asciiTheme="majorBidi" w:hAnsiTheme="majorBidi" w:cstheme="majorBidi"/>
          <w:sz w:val="16"/>
          <w:szCs w:val="16"/>
        </w:rPr>
        <w:footnoteRef/>
      </w:r>
      <w:r w:rsidRPr="001A0E44">
        <w:rPr>
          <w:rFonts w:asciiTheme="majorBidi" w:hAnsiTheme="majorBidi" w:cstheme="majorBidi"/>
          <w:sz w:val="16"/>
          <w:szCs w:val="16"/>
        </w:rPr>
        <w:t xml:space="preserve"> </w:t>
      </w:r>
      <w:r w:rsidR="00C0113F" w:rsidRPr="001A0E44">
        <w:rPr>
          <w:rFonts w:asciiTheme="majorBidi" w:hAnsiTheme="majorBidi" w:cstheme="majorBidi"/>
          <w:sz w:val="16"/>
          <w:szCs w:val="16"/>
        </w:rPr>
        <w:t xml:space="preserve">Egypt 2014 (rev. 2019),  </w:t>
      </w:r>
      <w:hyperlink r:id="rId7" w:history="1">
        <w:r w:rsidR="00C0113F" w:rsidRPr="001A0E44">
          <w:rPr>
            <w:rStyle w:val="Hyperlink"/>
            <w:rFonts w:asciiTheme="majorBidi" w:hAnsiTheme="majorBidi" w:cstheme="majorBidi"/>
            <w:sz w:val="16"/>
            <w:szCs w:val="16"/>
          </w:rPr>
          <w:t>https://shorturl.at/dIZVn</w:t>
        </w:r>
      </w:hyperlink>
    </w:p>
  </w:footnote>
  <w:footnote w:id="8">
    <w:p w14:paraId="1483A67E" w14:textId="4E7EDD54" w:rsidR="006D50D4" w:rsidRPr="001A0E44" w:rsidRDefault="006D50D4">
      <w:pPr>
        <w:pStyle w:val="FootnoteText"/>
        <w:rPr>
          <w:rFonts w:asciiTheme="majorBidi" w:hAnsiTheme="majorBidi" w:cstheme="majorBidi"/>
          <w:sz w:val="16"/>
          <w:szCs w:val="16"/>
        </w:rPr>
      </w:pPr>
      <w:r w:rsidRPr="001A0E44">
        <w:rPr>
          <w:rStyle w:val="FootnoteReference"/>
          <w:rFonts w:asciiTheme="majorBidi" w:hAnsiTheme="majorBidi" w:cstheme="majorBidi"/>
          <w:sz w:val="16"/>
          <w:szCs w:val="16"/>
        </w:rPr>
        <w:footnoteRef/>
      </w:r>
      <w:r w:rsidRPr="001A0E44">
        <w:rPr>
          <w:rFonts w:asciiTheme="majorBidi" w:hAnsiTheme="majorBidi" w:cstheme="majorBidi"/>
          <w:sz w:val="16"/>
          <w:szCs w:val="16"/>
        </w:rPr>
        <w:t xml:space="preserve"> </w:t>
      </w:r>
      <w:r w:rsidR="00C0113F" w:rsidRPr="001A0E44">
        <w:rPr>
          <w:rFonts w:asciiTheme="majorBidi" w:hAnsiTheme="majorBidi" w:cstheme="majorBidi"/>
          <w:sz w:val="16"/>
          <w:szCs w:val="16"/>
          <w:lang w:bidi="ar-EG"/>
        </w:rPr>
        <w:t xml:space="preserve">Ibid </w:t>
      </w:r>
    </w:p>
  </w:footnote>
  <w:footnote w:id="9">
    <w:p w14:paraId="4EC400E2" w14:textId="68C26727" w:rsidR="006D50D4" w:rsidRPr="001A0E44" w:rsidRDefault="006D50D4">
      <w:pPr>
        <w:pStyle w:val="FootnoteText"/>
        <w:rPr>
          <w:rFonts w:asciiTheme="majorBidi" w:hAnsiTheme="majorBidi" w:cstheme="majorBidi"/>
          <w:sz w:val="16"/>
          <w:szCs w:val="16"/>
        </w:rPr>
      </w:pPr>
      <w:r w:rsidRPr="001A0E44">
        <w:rPr>
          <w:rStyle w:val="FootnoteReference"/>
          <w:rFonts w:asciiTheme="majorBidi" w:hAnsiTheme="majorBidi" w:cstheme="majorBidi"/>
          <w:sz w:val="16"/>
          <w:szCs w:val="16"/>
        </w:rPr>
        <w:footnoteRef/>
      </w:r>
      <w:r w:rsidRPr="001A0E44">
        <w:rPr>
          <w:rFonts w:asciiTheme="majorBidi" w:hAnsiTheme="majorBidi" w:cstheme="majorBidi"/>
          <w:sz w:val="16"/>
          <w:szCs w:val="16"/>
        </w:rPr>
        <w:t xml:space="preserve"> </w:t>
      </w:r>
      <w:r w:rsidR="00C0113F" w:rsidRPr="001A0E44">
        <w:rPr>
          <w:rFonts w:asciiTheme="majorBidi" w:hAnsiTheme="majorBidi" w:cstheme="majorBidi"/>
          <w:sz w:val="16"/>
          <w:szCs w:val="16"/>
        </w:rPr>
        <w:t>National Human Rights Strategy</w:t>
      </w:r>
      <w:r w:rsidR="00C0113F" w:rsidRPr="001A0E44">
        <w:rPr>
          <w:rFonts w:asciiTheme="majorBidi" w:hAnsiTheme="majorBidi" w:cstheme="majorBidi"/>
          <w:sz w:val="16"/>
          <w:szCs w:val="16"/>
          <w:lang w:bidi="ar-EG"/>
        </w:rPr>
        <w:t xml:space="preserve">, </w:t>
      </w:r>
      <w:r w:rsidR="00A150D4" w:rsidRPr="001A0E44">
        <w:rPr>
          <w:rFonts w:asciiTheme="majorBidi" w:hAnsiTheme="majorBidi" w:cstheme="majorBidi"/>
          <w:sz w:val="16"/>
          <w:szCs w:val="16"/>
          <w:lang w:bidi="ar-EG"/>
        </w:rPr>
        <w:t>P</w:t>
      </w:r>
      <w:r w:rsidR="00C0113F" w:rsidRPr="001A0E44">
        <w:rPr>
          <w:rFonts w:asciiTheme="majorBidi" w:hAnsiTheme="majorBidi" w:cstheme="majorBidi"/>
          <w:sz w:val="16"/>
          <w:szCs w:val="16"/>
          <w:lang w:bidi="ar-EG"/>
        </w:rPr>
        <w:t xml:space="preserve">age 66, </w:t>
      </w:r>
      <w:hyperlink r:id="rId8" w:history="1">
        <w:r w:rsidR="00C0113F" w:rsidRPr="001A0E44">
          <w:rPr>
            <w:rStyle w:val="Hyperlink"/>
            <w:rFonts w:asciiTheme="majorBidi" w:hAnsiTheme="majorBidi" w:cstheme="majorBidi"/>
            <w:sz w:val="16"/>
            <w:szCs w:val="16"/>
            <w:lang w:bidi="ar-EG"/>
          </w:rPr>
          <w:t>https://shorturl.at/WeJM1</w:t>
        </w:r>
      </w:hyperlink>
    </w:p>
  </w:footnote>
  <w:footnote w:id="10">
    <w:p w14:paraId="40A0FBF0" w14:textId="38A76BC8" w:rsidR="00C0113F" w:rsidRPr="001A0E44" w:rsidRDefault="00C0113F">
      <w:pPr>
        <w:pStyle w:val="FootnoteText"/>
        <w:rPr>
          <w:rFonts w:asciiTheme="majorBidi" w:hAnsiTheme="majorBidi" w:cstheme="majorBidi"/>
          <w:sz w:val="16"/>
          <w:szCs w:val="16"/>
        </w:rPr>
      </w:pPr>
      <w:r w:rsidRPr="001A0E44">
        <w:rPr>
          <w:rStyle w:val="FootnoteReference"/>
          <w:rFonts w:asciiTheme="majorBidi" w:hAnsiTheme="majorBidi" w:cstheme="majorBidi"/>
          <w:sz w:val="16"/>
          <w:szCs w:val="16"/>
        </w:rPr>
        <w:footnoteRef/>
      </w:r>
      <w:r w:rsidRPr="001A0E44">
        <w:rPr>
          <w:rFonts w:asciiTheme="majorBidi" w:hAnsiTheme="majorBidi" w:cstheme="majorBidi"/>
          <w:sz w:val="16"/>
          <w:szCs w:val="16"/>
        </w:rPr>
        <w:t xml:space="preserve"> Egypt's Grand Museum opens, displaying Tutankhamun tomb in full for first time, </w:t>
      </w:r>
      <w:hyperlink r:id="rId9" w:history="1">
        <w:r w:rsidRPr="001A0E44">
          <w:rPr>
            <w:rStyle w:val="Hyperlink"/>
            <w:rFonts w:asciiTheme="majorBidi" w:hAnsiTheme="majorBidi" w:cstheme="majorBidi"/>
            <w:sz w:val="16"/>
            <w:szCs w:val="16"/>
          </w:rPr>
          <w:t>https://tinyurl.com/yjw3wjnj</w:t>
        </w:r>
      </w:hyperlink>
    </w:p>
  </w:footnote>
  <w:footnote w:id="11">
    <w:p w14:paraId="23AC4DA8" w14:textId="035A2EEF" w:rsidR="00C0113F" w:rsidRPr="001A0E44" w:rsidRDefault="00C0113F">
      <w:pPr>
        <w:pStyle w:val="FootnoteText"/>
        <w:rPr>
          <w:rFonts w:asciiTheme="majorBidi" w:hAnsiTheme="majorBidi" w:cstheme="majorBidi"/>
          <w:sz w:val="16"/>
          <w:szCs w:val="16"/>
        </w:rPr>
      </w:pPr>
      <w:r w:rsidRPr="001A0E44">
        <w:rPr>
          <w:rStyle w:val="FootnoteReference"/>
          <w:rFonts w:asciiTheme="majorBidi" w:hAnsiTheme="majorBidi" w:cstheme="majorBidi"/>
          <w:sz w:val="16"/>
          <w:szCs w:val="16"/>
        </w:rPr>
        <w:footnoteRef/>
      </w:r>
      <w:r w:rsidRPr="001A0E44">
        <w:rPr>
          <w:rFonts w:asciiTheme="majorBidi" w:hAnsiTheme="majorBidi" w:cstheme="majorBidi"/>
          <w:sz w:val="16"/>
          <w:szCs w:val="16"/>
        </w:rPr>
        <w:t xml:space="preserve"> </w:t>
      </w:r>
      <w:r w:rsidRPr="001A0E44">
        <w:rPr>
          <w:rFonts w:asciiTheme="majorBidi" w:hAnsiTheme="majorBidi" w:cstheme="majorBidi"/>
          <w:sz w:val="16"/>
          <w:szCs w:val="16"/>
          <w:lang w:bidi="ar-EG"/>
        </w:rPr>
        <w:t xml:space="preserve">See the following link: </w:t>
      </w:r>
      <w:hyperlink r:id="rId10" w:history="1">
        <w:r w:rsidRPr="001A0E44">
          <w:rPr>
            <w:rStyle w:val="Hyperlink"/>
            <w:rFonts w:asciiTheme="majorBidi" w:hAnsiTheme="majorBidi" w:cstheme="majorBidi"/>
            <w:sz w:val="16"/>
            <w:szCs w:val="16"/>
            <w:lang w:bidi="ar-EG"/>
          </w:rPr>
          <w:t>https://shorturl.at/tH4si</w:t>
        </w:r>
      </w:hyperlink>
    </w:p>
  </w:footnote>
  <w:footnote w:id="12">
    <w:p w14:paraId="3822134A" w14:textId="7D3E77C2" w:rsidR="00C0113F" w:rsidRPr="001A0E44" w:rsidRDefault="00C0113F">
      <w:pPr>
        <w:pStyle w:val="FootnoteText"/>
        <w:rPr>
          <w:rFonts w:asciiTheme="majorBidi" w:hAnsiTheme="majorBidi" w:cstheme="majorBidi"/>
          <w:sz w:val="16"/>
          <w:szCs w:val="16"/>
        </w:rPr>
      </w:pPr>
      <w:r w:rsidRPr="001A0E44">
        <w:rPr>
          <w:rStyle w:val="FootnoteReference"/>
          <w:rFonts w:asciiTheme="majorBidi" w:hAnsiTheme="majorBidi" w:cstheme="majorBidi"/>
          <w:sz w:val="16"/>
          <w:szCs w:val="16"/>
        </w:rPr>
        <w:footnoteRef/>
      </w:r>
      <w:r w:rsidRPr="001A0E44">
        <w:rPr>
          <w:rFonts w:asciiTheme="majorBidi" w:hAnsiTheme="majorBidi" w:cstheme="majorBidi"/>
          <w:sz w:val="16"/>
          <w:szCs w:val="16"/>
        </w:rPr>
        <w:t xml:space="preserve"> Cultural Retrenchment in Egypt: State Shuts Down Dozens, </w:t>
      </w:r>
      <w:hyperlink r:id="rId11" w:history="1">
        <w:r w:rsidRPr="001A0E44">
          <w:rPr>
            <w:rStyle w:val="Hyperlink"/>
            <w:rFonts w:asciiTheme="majorBidi" w:hAnsiTheme="majorBidi" w:cstheme="majorBidi"/>
            <w:sz w:val="16"/>
            <w:szCs w:val="16"/>
          </w:rPr>
          <w:t>https://shorturl.at/4swAN</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2E00F9" w14:textId="00588C1D" w:rsidR="004219A7" w:rsidRDefault="004219A7">
    <w:pPr>
      <w:pStyle w:val="Header"/>
    </w:pPr>
    <w:r>
      <w:rPr>
        <w:noProof/>
      </w:rPr>
      <w:drawing>
        <wp:inline distT="0" distB="0" distL="0" distR="0" wp14:anchorId="6003E3F7" wp14:editId="7431F89A">
          <wp:extent cx="5731510" cy="1309797"/>
          <wp:effectExtent l="0" t="0" r="254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731510" cy="1309797"/>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DB7880"/>
    <w:multiLevelType w:val="hybridMultilevel"/>
    <w:tmpl w:val="25684D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1200EC6"/>
    <w:multiLevelType w:val="multilevel"/>
    <w:tmpl w:val="017C4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8C16177"/>
    <w:multiLevelType w:val="multilevel"/>
    <w:tmpl w:val="BE2C3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E8879E6"/>
    <w:multiLevelType w:val="multilevel"/>
    <w:tmpl w:val="6FC44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C4D3E3E"/>
    <w:multiLevelType w:val="multilevel"/>
    <w:tmpl w:val="10DC2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0A61BA7"/>
    <w:multiLevelType w:val="multilevel"/>
    <w:tmpl w:val="1B26C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E004E4A"/>
    <w:multiLevelType w:val="multilevel"/>
    <w:tmpl w:val="675A71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52017A8"/>
    <w:multiLevelType w:val="hybridMultilevel"/>
    <w:tmpl w:val="3258A75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7F3A33BB"/>
    <w:multiLevelType w:val="multilevel"/>
    <w:tmpl w:val="7EF28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4639944">
    <w:abstractNumId w:val="6"/>
  </w:num>
  <w:num w:numId="2" w16cid:durableId="1885406471">
    <w:abstractNumId w:val="5"/>
  </w:num>
  <w:num w:numId="3" w16cid:durableId="1493787908">
    <w:abstractNumId w:val="3"/>
  </w:num>
  <w:num w:numId="4" w16cid:durableId="1026908022">
    <w:abstractNumId w:val="1"/>
  </w:num>
  <w:num w:numId="5" w16cid:durableId="1387069750">
    <w:abstractNumId w:val="4"/>
  </w:num>
  <w:num w:numId="6" w16cid:durableId="1524900241">
    <w:abstractNumId w:val="2"/>
  </w:num>
  <w:num w:numId="7" w16cid:durableId="887450359">
    <w:abstractNumId w:val="8"/>
  </w:num>
  <w:num w:numId="8" w16cid:durableId="53937498">
    <w:abstractNumId w:val="0"/>
  </w:num>
  <w:num w:numId="9" w16cid:durableId="27062908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44BE"/>
    <w:rsid w:val="00096595"/>
    <w:rsid w:val="0011132F"/>
    <w:rsid w:val="00171655"/>
    <w:rsid w:val="001A0E44"/>
    <w:rsid w:val="001E24C3"/>
    <w:rsid w:val="002620F4"/>
    <w:rsid w:val="00330D42"/>
    <w:rsid w:val="0038084A"/>
    <w:rsid w:val="003B43D9"/>
    <w:rsid w:val="004219A7"/>
    <w:rsid w:val="004638FE"/>
    <w:rsid w:val="004C179E"/>
    <w:rsid w:val="005203E0"/>
    <w:rsid w:val="00541F89"/>
    <w:rsid w:val="005528CC"/>
    <w:rsid w:val="006259CC"/>
    <w:rsid w:val="00631325"/>
    <w:rsid w:val="0066022B"/>
    <w:rsid w:val="00681D2B"/>
    <w:rsid w:val="006D50D4"/>
    <w:rsid w:val="007044BE"/>
    <w:rsid w:val="00714304"/>
    <w:rsid w:val="00731628"/>
    <w:rsid w:val="0077586E"/>
    <w:rsid w:val="007E5FDB"/>
    <w:rsid w:val="00826A5E"/>
    <w:rsid w:val="008B496B"/>
    <w:rsid w:val="009A3C8E"/>
    <w:rsid w:val="009A6ADC"/>
    <w:rsid w:val="00A150D4"/>
    <w:rsid w:val="00A730E6"/>
    <w:rsid w:val="00AE6451"/>
    <w:rsid w:val="00B93A8F"/>
    <w:rsid w:val="00BA0E98"/>
    <w:rsid w:val="00BD1804"/>
    <w:rsid w:val="00C0113F"/>
    <w:rsid w:val="00CB5441"/>
    <w:rsid w:val="00D95334"/>
    <w:rsid w:val="00EE75F0"/>
    <w:rsid w:val="00F35680"/>
    <w:rsid w:val="00F45A34"/>
    <w:rsid w:val="00F91D12"/>
    <w:rsid w:val="00F91F84"/>
    <w:rsid w:val="00FA3278"/>
    <w:rsid w:val="00FE661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E994CB"/>
  <w15:chartTrackingRefBased/>
  <w15:docId w15:val="{16F6CB8E-5156-4A03-9CAC-BD9866AC52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44B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044B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044B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044B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044B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044B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044B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044B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044B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44B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044B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044B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044B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044B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044B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044B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044B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044BE"/>
    <w:rPr>
      <w:rFonts w:eastAsiaTheme="majorEastAsia" w:cstheme="majorBidi"/>
      <w:color w:val="272727" w:themeColor="text1" w:themeTint="D8"/>
    </w:rPr>
  </w:style>
  <w:style w:type="paragraph" w:styleId="Title">
    <w:name w:val="Title"/>
    <w:basedOn w:val="Normal"/>
    <w:next w:val="Normal"/>
    <w:link w:val="TitleChar"/>
    <w:uiPriority w:val="10"/>
    <w:qFormat/>
    <w:rsid w:val="007044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44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044B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044B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044BE"/>
    <w:pPr>
      <w:spacing w:before="160"/>
      <w:jc w:val="center"/>
    </w:pPr>
    <w:rPr>
      <w:i/>
      <w:iCs/>
      <w:color w:val="404040" w:themeColor="text1" w:themeTint="BF"/>
    </w:rPr>
  </w:style>
  <w:style w:type="character" w:customStyle="1" w:styleId="QuoteChar">
    <w:name w:val="Quote Char"/>
    <w:basedOn w:val="DefaultParagraphFont"/>
    <w:link w:val="Quote"/>
    <w:uiPriority w:val="29"/>
    <w:rsid w:val="007044BE"/>
    <w:rPr>
      <w:i/>
      <w:iCs/>
      <w:color w:val="404040" w:themeColor="text1" w:themeTint="BF"/>
    </w:rPr>
  </w:style>
  <w:style w:type="paragraph" w:styleId="ListParagraph">
    <w:name w:val="List Paragraph"/>
    <w:basedOn w:val="Normal"/>
    <w:uiPriority w:val="34"/>
    <w:qFormat/>
    <w:rsid w:val="007044BE"/>
    <w:pPr>
      <w:ind w:left="720"/>
      <w:contextualSpacing/>
    </w:pPr>
  </w:style>
  <w:style w:type="character" w:styleId="IntenseEmphasis">
    <w:name w:val="Intense Emphasis"/>
    <w:basedOn w:val="DefaultParagraphFont"/>
    <w:uiPriority w:val="21"/>
    <w:qFormat/>
    <w:rsid w:val="007044BE"/>
    <w:rPr>
      <w:i/>
      <w:iCs/>
      <w:color w:val="0F4761" w:themeColor="accent1" w:themeShade="BF"/>
    </w:rPr>
  </w:style>
  <w:style w:type="paragraph" w:styleId="IntenseQuote">
    <w:name w:val="Intense Quote"/>
    <w:basedOn w:val="Normal"/>
    <w:next w:val="Normal"/>
    <w:link w:val="IntenseQuoteChar"/>
    <w:uiPriority w:val="30"/>
    <w:qFormat/>
    <w:rsid w:val="007044B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044BE"/>
    <w:rPr>
      <w:i/>
      <w:iCs/>
      <w:color w:val="0F4761" w:themeColor="accent1" w:themeShade="BF"/>
    </w:rPr>
  </w:style>
  <w:style w:type="character" w:styleId="IntenseReference">
    <w:name w:val="Intense Reference"/>
    <w:basedOn w:val="DefaultParagraphFont"/>
    <w:uiPriority w:val="32"/>
    <w:qFormat/>
    <w:rsid w:val="007044BE"/>
    <w:rPr>
      <w:b/>
      <w:bCs/>
      <w:smallCaps/>
      <w:color w:val="0F4761" w:themeColor="accent1" w:themeShade="BF"/>
      <w:spacing w:val="5"/>
    </w:rPr>
  </w:style>
  <w:style w:type="paragraph" w:styleId="Header">
    <w:name w:val="header"/>
    <w:basedOn w:val="Normal"/>
    <w:link w:val="HeaderChar"/>
    <w:uiPriority w:val="99"/>
    <w:unhideWhenUsed/>
    <w:rsid w:val="004219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19A7"/>
  </w:style>
  <w:style w:type="paragraph" w:styleId="Footer">
    <w:name w:val="footer"/>
    <w:basedOn w:val="Normal"/>
    <w:link w:val="FooterChar"/>
    <w:uiPriority w:val="99"/>
    <w:unhideWhenUsed/>
    <w:rsid w:val="004219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19A7"/>
  </w:style>
  <w:style w:type="paragraph" w:styleId="FootnoteText">
    <w:name w:val="footnote text"/>
    <w:basedOn w:val="Normal"/>
    <w:link w:val="FootnoteTextChar"/>
    <w:uiPriority w:val="99"/>
    <w:semiHidden/>
    <w:unhideWhenUsed/>
    <w:rsid w:val="0071430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14304"/>
    <w:rPr>
      <w:sz w:val="20"/>
      <w:szCs w:val="20"/>
    </w:rPr>
  </w:style>
  <w:style w:type="character" w:styleId="FootnoteReference">
    <w:name w:val="footnote reference"/>
    <w:basedOn w:val="DefaultParagraphFont"/>
    <w:uiPriority w:val="99"/>
    <w:semiHidden/>
    <w:unhideWhenUsed/>
    <w:rsid w:val="00714304"/>
    <w:rPr>
      <w:vertAlign w:val="superscript"/>
    </w:rPr>
  </w:style>
  <w:style w:type="character" w:styleId="Hyperlink">
    <w:name w:val="Hyperlink"/>
    <w:basedOn w:val="DefaultParagraphFont"/>
    <w:uiPriority w:val="99"/>
    <w:unhideWhenUsed/>
    <w:rsid w:val="00C0113F"/>
    <w:rPr>
      <w:color w:val="467886" w:themeColor="hyperlink"/>
      <w:u w:val="single"/>
    </w:rPr>
  </w:style>
  <w:style w:type="character" w:styleId="UnresolvedMention">
    <w:name w:val="Unresolved Mention"/>
    <w:basedOn w:val="DefaultParagraphFont"/>
    <w:uiPriority w:val="99"/>
    <w:semiHidden/>
    <w:unhideWhenUsed/>
    <w:rsid w:val="00C011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927529">
      <w:bodyDiv w:val="1"/>
      <w:marLeft w:val="0"/>
      <w:marRight w:val="0"/>
      <w:marTop w:val="0"/>
      <w:marBottom w:val="0"/>
      <w:divBdr>
        <w:top w:val="none" w:sz="0" w:space="0" w:color="auto"/>
        <w:left w:val="none" w:sz="0" w:space="0" w:color="auto"/>
        <w:bottom w:val="none" w:sz="0" w:space="0" w:color="auto"/>
        <w:right w:val="none" w:sz="0" w:space="0" w:color="auto"/>
      </w:divBdr>
    </w:div>
    <w:div w:id="292249889">
      <w:bodyDiv w:val="1"/>
      <w:marLeft w:val="0"/>
      <w:marRight w:val="0"/>
      <w:marTop w:val="0"/>
      <w:marBottom w:val="0"/>
      <w:divBdr>
        <w:top w:val="none" w:sz="0" w:space="0" w:color="auto"/>
        <w:left w:val="none" w:sz="0" w:space="0" w:color="auto"/>
        <w:bottom w:val="none" w:sz="0" w:space="0" w:color="auto"/>
        <w:right w:val="none" w:sz="0" w:space="0" w:color="auto"/>
      </w:divBdr>
    </w:div>
    <w:div w:id="302926089">
      <w:bodyDiv w:val="1"/>
      <w:marLeft w:val="0"/>
      <w:marRight w:val="0"/>
      <w:marTop w:val="0"/>
      <w:marBottom w:val="0"/>
      <w:divBdr>
        <w:top w:val="none" w:sz="0" w:space="0" w:color="auto"/>
        <w:left w:val="none" w:sz="0" w:space="0" w:color="auto"/>
        <w:bottom w:val="none" w:sz="0" w:space="0" w:color="auto"/>
        <w:right w:val="none" w:sz="0" w:space="0" w:color="auto"/>
      </w:divBdr>
    </w:div>
    <w:div w:id="484013717">
      <w:bodyDiv w:val="1"/>
      <w:marLeft w:val="0"/>
      <w:marRight w:val="0"/>
      <w:marTop w:val="0"/>
      <w:marBottom w:val="0"/>
      <w:divBdr>
        <w:top w:val="none" w:sz="0" w:space="0" w:color="auto"/>
        <w:left w:val="none" w:sz="0" w:space="0" w:color="auto"/>
        <w:bottom w:val="none" w:sz="0" w:space="0" w:color="auto"/>
        <w:right w:val="none" w:sz="0" w:space="0" w:color="auto"/>
      </w:divBdr>
    </w:div>
    <w:div w:id="504712041">
      <w:bodyDiv w:val="1"/>
      <w:marLeft w:val="0"/>
      <w:marRight w:val="0"/>
      <w:marTop w:val="0"/>
      <w:marBottom w:val="0"/>
      <w:divBdr>
        <w:top w:val="none" w:sz="0" w:space="0" w:color="auto"/>
        <w:left w:val="none" w:sz="0" w:space="0" w:color="auto"/>
        <w:bottom w:val="none" w:sz="0" w:space="0" w:color="auto"/>
        <w:right w:val="none" w:sz="0" w:space="0" w:color="auto"/>
      </w:divBdr>
    </w:div>
    <w:div w:id="521358245">
      <w:bodyDiv w:val="1"/>
      <w:marLeft w:val="0"/>
      <w:marRight w:val="0"/>
      <w:marTop w:val="0"/>
      <w:marBottom w:val="0"/>
      <w:divBdr>
        <w:top w:val="none" w:sz="0" w:space="0" w:color="auto"/>
        <w:left w:val="none" w:sz="0" w:space="0" w:color="auto"/>
        <w:bottom w:val="none" w:sz="0" w:space="0" w:color="auto"/>
        <w:right w:val="none" w:sz="0" w:space="0" w:color="auto"/>
      </w:divBdr>
    </w:div>
    <w:div w:id="564804642">
      <w:bodyDiv w:val="1"/>
      <w:marLeft w:val="0"/>
      <w:marRight w:val="0"/>
      <w:marTop w:val="0"/>
      <w:marBottom w:val="0"/>
      <w:divBdr>
        <w:top w:val="none" w:sz="0" w:space="0" w:color="auto"/>
        <w:left w:val="none" w:sz="0" w:space="0" w:color="auto"/>
        <w:bottom w:val="none" w:sz="0" w:space="0" w:color="auto"/>
        <w:right w:val="none" w:sz="0" w:space="0" w:color="auto"/>
      </w:divBdr>
    </w:div>
    <w:div w:id="1174029518">
      <w:bodyDiv w:val="1"/>
      <w:marLeft w:val="0"/>
      <w:marRight w:val="0"/>
      <w:marTop w:val="0"/>
      <w:marBottom w:val="0"/>
      <w:divBdr>
        <w:top w:val="none" w:sz="0" w:space="0" w:color="auto"/>
        <w:left w:val="none" w:sz="0" w:space="0" w:color="auto"/>
        <w:bottom w:val="none" w:sz="0" w:space="0" w:color="auto"/>
        <w:right w:val="none" w:sz="0" w:space="0" w:color="auto"/>
      </w:divBdr>
    </w:div>
    <w:div w:id="1263298466">
      <w:bodyDiv w:val="1"/>
      <w:marLeft w:val="0"/>
      <w:marRight w:val="0"/>
      <w:marTop w:val="0"/>
      <w:marBottom w:val="0"/>
      <w:divBdr>
        <w:top w:val="none" w:sz="0" w:space="0" w:color="auto"/>
        <w:left w:val="none" w:sz="0" w:space="0" w:color="auto"/>
        <w:bottom w:val="none" w:sz="0" w:space="0" w:color="auto"/>
        <w:right w:val="none" w:sz="0" w:space="0" w:color="auto"/>
      </w:divBdr>
    </w:div>
    <w:div w:id="1358198433">
      <w:bodyDiv w:val="1"/>
      <w:marLeft w:val="0"/>
      <w:marRight w:val="0"/>
      <w:marTop w:val="0"/>
      <w:marBottom w:val="0"/>
      <w:divBdr>
        <w:top w:val="none" w:sz="0" w:space="0" w:color="auto"/>
        <w:left w:val="none" w:sz="0" w:space="0" w:color="auto"/>
        <w:bottom w:val="none" w:sz="0" w:space="0" w:color="auto"/>
        <w:right w:val="none" w:sz="0" w:space="0" w:color="auto"/>
      </w:divBdr>
    </w:div>
    <w:div w:id="1400978989">
      <w:bodyDiv w:val="1"/>
      <w:marLeft w:val="0"/>
      <w:marRight w:val="0"/>
      <w:marTop w:val="0"/>
      <w:marBottom w:val="0"/>
      <w:divBdr>
        <w:top w:val="none" w:sz="0" w:space="0" w:color="auto"/>
        <w:left w:val="none" w:sz="0" w:space="0" w:color="auto"/>
        <w:bottom w:val="none" w:sz="0" w:space="0" w:color="auto"/>
        <w:right w:val="none" w:sz="0" w:space="0" w:color="auto"/>
      </w:divBdr>
    </w:div>
    <w:div w:id="1592160986">
      <w:bodyDiv w:val="1"/>
      <w:marLeft w:val="0"/>
      <w:marRight w:val="0"/>
      <w:marTop w:val="0"/>
      <w:marBottom w:val="0"/>
      <w:divBdr>
        <w:top w:val="none" w:sz="0" w:space="0" w:color="auto"/>
        <w:left w:val="none" w:sz="0" w:space="0" w:color="auto"/>
        <w:bottom w:val="none" w:sz="0" w:space="0" w:color="auto"/>
        <w:right w:val="none" w:sz="0" w:space="0" w:color="auto"/>
      </w:divBdr>
    </w:div>
    <w:div w:id="1817990965">
      <w:bodyDiv w:val="1"/>
      <w:marLeft w:val="0"/>
      <w:marRight w:val="0"/>
      <w:marTop w:val="0"/>
      <w:marBottom w:val="0"/>
      <w:divBdr>
        <w:top w:val="none" w:sz="0" w:space="0" w:color="auto"/>
        <w:left w:val="none" w:sz="0" w:space="0" w:color="auto"/>
        <w:bottom w:val="none" w:sz="0" w:space="0" w:color="auto"/>
        <w:right w:val="none" w:sz="0" w:space="0" w:color="auto"/>
      </w:divBdr>
    </w:div>
    <w:div w:id="1849366494">
      <w:bodyDiv w:val="1"/>
      <w:marLeft w:val="0"/>
      <w:marRight w:val="0"/>
      <w:marTop w:val="0"/>
      <w:marBottom w:val="0"/>
      <w:divBdr>
        <w:top w:val="none" w:sz="0" w:space="0" w:color="auto"/>
        <w:left w:val="none" w:sz="0" w:space="0" w:color="auto"/>
        <w:bottom w:val="none" w:sz="0" w:space="0" w:color="auto"/>
        <w:right w:val="none" w:sz="0" w:space="0" w:color="auto"/>
      </w:divBdr>
    </w:div>
    <w:div w:id="2136436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shorturl.at/WeJM1" TargetMode="External"/><Relationship Id="rId3" Type="http://schemas.openxmlformats.org/officeDocument/2006/relationships/hyperlink" Target="https://tinyurl.com/3u942sc8" TargetMode="External"/><Relationship Id="rId7" Type="http://schemas.openxmlformats.org/officeDocument/2006/relationships/hyperlink" Target="https://shorturl.at/dIZVn" TargetMode="External"/><Relationship Id="rId2" Type="http://schemas.openxmlformats.org/officeDocument/2006/relationships/hyperlink" Target="https://www.constituteproject.org/constitution/Egypt_2019" TargetMode="External"/><Relationship Id="rId1" Type="http://schemas.openxmlformats.org/officeDocument/2006/relationships/hyperlink" Target="https://2h.ae/yVtcc" TargetMode="External"/><Relationship Id="rId6" Type="http://schemas.openxmlformats.org/officeDocument/2006/relationships/hyperlink" Target="https://shorturl.at/sfHGe" TargetMode="External"/><Relationship Id="rId11" Type="http://schemas.openxmlformats.org/officeDocument/2006/relationships/hyperlink" Target="https://shorturl.at/4swAN" TargetMode="External"/><Relationship Id="rId5" Type="http://schemas.openxmlformats.org/officeDocument/2006/relationships/hyperlink" Target="https://www.mondaq.com/insurance-laws-and-products/1561432/new-social-insurance-contribution-amounts" TargetMode="External"/><Relationship Id="rId10" Type="http://schemas.openxmlformats.org/officeDocument/2006/relationships/hyperlink" Target="https://shorturl.at/tH4si" TargetMode="External"/><Relationship Id="rId4" Type="http://schemas.openxmlformats.org/officeDocument/2006/relationships/hyperlink" Target="https://shorturl.at/PBEL0" TargetMode="External"/><Relationship Id="rId9" Type="http://schemas.openxmlformats.org/officeDocument/2006/relationships/hyperlink" Target="https://tinyurl.com/yjw3wjnj"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101</TotalTime>
  <Pages>5</Pages>
  <Words>1806</Words>
  <Characters>10479</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Manar Ibrahim</dc:creator>
  <cp:keywords/>
  <dc:description/>
  <cp:lastModifiedBy>Mira Farash</cp:lastModifiedBy>
  <cp:revision>9</cp:revision>
  <dcterms:created xsi:type="dcterms:W3CDTF">2025-11-25T09:11:00Z</dcterms:created>
  <dcterms:modified xsi:type="dcterms:W3CDTF">2025-11-26T15:48:00Z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49a00a51-06cc-40f8-acd7-ce5a0a437a0f</vt:lpwstr>
  </property>
</Properties>
</file>