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Sustentación del X Informe Periódico de México ante el Comité CEDAW</w:t>
      </w:r>
    </w:p>
    <w:p w:rsidR="00000000" w:rsidDel="00000000" w:rsidP="00000000" w:rsidRDefault="00000000" w:rsidRPr="00000000" w14:paraId="00000002">
      <w:pPr>
        <w:spacing w:after="0" w:lineRule="auto"/>
        <w:jc w:val="center"/>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Respuestas adicionales </w:t>
      </w:r>
    </w:p>
    <w:p w:rsidR="00000000" w:rsidDel="00000000" w:rsidP="00000000" w:rsidRDefault="00000000" w:rsidRPr="00000000" w14:paraId="00000003">
      <w:pPr>
        <w:spacing w:after="0" w:lineRule="auto"/>
        <w:jc w:val="center"/>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04">
      <w:pPr>
        <w:spacing w:after="0" w:line="240" w:lineRule="auto"/>
        <w:jc w:val="both"/>
        <w:rPr>
          <w:rFonts w:ascii="Noto Sans" w:cs="Noto Sans" w:eastAsia="Noto Sans" w:hAnsi="Noto Sans"/>
          <w:b w:val="1"/>
          <w:sz w:val="22"/>
          <w:szCs w:val="22"/>
        </w:rPr>
      </w:pPr>
      <w:hyperlink r:id="rId7">
        <w:r w:rsidDel="00000000" w:rsidR="00000000" w:rsidRPr="00000000">
          <w:rPr>
            <w:rFonts w:ascii="Noto Sans" w:cs="Noto Sans" w:eastAsia="Noto Sans" w:hAnsi="Noto Sans"/>
            <w:color w:val="1155cc"/>
            <w:sz w:val="22"/>
            <w:szCs w:val="22"/>
            <w:u w:val="single"/>
            <w:rtl w:val="0"/>
          </w:rPr>
          <w:t xml:space="preserve">Estadísticas temáticas mencionadas. </w:t>
        </w:r>
      </w:hyperlink>
      <w:r w:rsidDel="00000000" w:rsidR="00000000" w:rsidRPr="00000000">
        <w:rPr>
          <w:rtl w:val="0"/>
        </w:rPr>
      </w:r>
    </w:p>
    <w:p w:rsidR="00000000" w:rsidDel="00000000" w:rsidP="00000000" w:rsidRDefault="00000000" w:rsidRPr="00000000" w14:paraId="00000005">
      <w:pPr>
        <w:spacing w:after="0" w:line="240" w:lineRule="auto"/>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06">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ARTÍCULOS 1 y 2</w:t>
      </w:r>
    </w:p>
    <w:p w:rsidR="00000000" w:rsidDel="00000000" w:rsidP="00000000" w:rsidRDefault="00000000" w:rsidRPr="00000000" w14:paraId="00000007">
      <w:pPr>
        <w:jc w:val="both"/>
        <w:rPr>
          <w:rFonts w:ascii="Noto Sans" w:cs="Noto Sans" w:eastAsia="Noto Sans" w:hAnsi="Noto Sans"/>
          <w:sz w:val="22"/>
          <w:szCs w:val="22"/>
        </w:rPr>
      </w:pPr>
      <w:r w:rsidDel="00000000" w:rsidR="00000000" w:rsidRPr="00000000">
        <w:rPr>
          <w:rFonts w:ascii="Noto Sans" w:cs="Noto Sans" w:eastAsia="Noto Sans" w:hAnsi="Noto Sans"/>
          <w:b w:val="1"/>
          <w:sz w:val="22"/>
          <w:szCs w:val="22"/>
          <w:rtl w:val="0"/>
        </w:rPr>
        <w:t xml:space="preserve">CONAPRED</w:t>
      </w:r>
      <w:r w:rsidDel="00000000" w:rsidR="00000000" w:rsidRPr="00000000">
        <w:rPr>
          <w:rtl w:val="0"/>
        </w:rPr>
      </w:r>
    </w:p>
    <w:p w:rsidR="00000000" w:rsidDel="00000000" w:rsidP="00000000" w:rsidRDefault="00000000" w:rsidRPr="00000000" w14:paraId="00000008">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Treinta y un </w:t>
      </w:r>
      <w:r w:rsidDel="00000000" w:rsidR="00000000" w:rsidRPr="00000000">
        <w:rPr>
          <w:rFonts w:ascii="Noto Sans" w:cs="Noto Sans" w:eastAsia="Noto Sans" w:hAnsi="Noto Sans"/>
          <w:sz w:val="22"/>
          <w:szCs w:val="22"/>
          <w:rtl w:val="0"/>
        </w:rPr>
        <w:t xml:space="preserve">códigos locales y el código penal federal tipifican la discriminación como delito, así las fiscalías locales y federal pueden investigarlo. La Fiscalía General de la República (FGR) inició 497 carpetas de investigación por discriminación contra mujeres, entre 2018 y febrero de 2025.</w:t>
      </w:r>
      <w:r w:rsidDel="00000000" w:rsidR="00000000" w:rsidRPr="00000000">
        <w:rPr>
          <w:rtl w:val="0"/>
        </w:rPr>
      </w:r>
    </w:p>
    <w:p w:rsidR="00000000" w:rsidDel="00000000" w:rsidP="00000000" w:rsidRDefault="00000000" w:rsidRPr="00000000" w14:paraId="00000009">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reforma a la Ley Federal para Prevenir y Eliminar la Discriminación (04-12-2023), añadió, en el artículo III Bis, los conceptos de discriminación interseccional, directa e indirecta, estructural y por asociación.</w:t>
      </w:r>
    </w:p>
    <w:p w:rsidR="00000000" w:rsidDel="00000000" w:rsidP="00000000" w:rsidRDefault="00000000" w:rsidRPr="00000000" w14:paraId="0000000A">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Homologación de criterios </w:t>
      </w:r>
      <w:r w:rsidDel="00000000" w:rsidR="00000000" w:rsidRPr="00000000">
        <w:rPr>
          <w:rFonts w:ascii="Noto Sans" w:cs="Noto Sans" w:eastAsia="Noto Sans" w:hAnsi="Noto Sans"/>
          <w:b w:val="1"/>
          <w:sz w:val="22"/>
          <w:szCs w:val="22"/>
          <w:rtl w:val="0"/>
        </w:rPr>
        <w:t xml:space="preserve">penal</w:t>
      </w:r>
      <w:r w:rsidDel="00000000" w:rsidR="00000000" w:rsidRPr="00000000">
        <w:rPr>
          <w:rFonts w:ascii="Noto Sans" w:cs="Noto Sans" w:eastAsia="Noto Sans" w:hAnsi="Noto Sans"/>
          <w:b w:val="1"/>
          <w:sz w:val="22"/>
          <w:szCs w:val="22"/>
          <w:rtl w:val="0"/>
        </w:rPr>
        <w:t xml:space="preserve">es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Suprema Corte de Justicia de la Nación (SCJN) emitirá un nuevo </w:t>
      </w:r>
      <w:r w:rsidDel="00000000" w:rsidR="00000000" w:rsidRPr="00000000">
        <w:rPr>
          <w:rFonts w:ascii="Noto Sans" w:cs="Noto Sans" w:eastAsia="Noto Sans" w:hAnsi="Noto Sans"/>
          <w:sz w:val="22"/>
          <w:szCs w:val="22"/>
          <w:rtl w:val="0"/>
        </w:rPr>
        <w:t xml:space="preserve">Protocolo para juzgar con perspectiva de género</w:t>
      </w:r>
      <w:r w:rsidDel="00000000" w:rsidR="00000000" w:rsidRPr="00000000">
        <w:rPr>
          <w:rFonts w:ascii="Noto Sans" w:cs="Noto Sans" w:eastAsia="Noto Sans" w:hAnsi="Noto Sans"/>
          <w:sz w:val="22"/>
          <w:szCs w:val="22"/>
          <w:rtl w:val="0"/>
        </w:rPr>
        <w:t xml:space="preserve"> y </w:t>
      </w:r>
      <w:r w:rsidDel="00000000" w:rsidR="00000000" w:rsidRPr="00000000">
        <w:rPr>
          <w:rFonts w:ascii="Noto Sans" w:cs="Noto Sans" w:eastAsia="Noto Sans" w:hAnsi="Noto Sans"/>
          <w:sz w:val="22"/>
          <w:szCs w:val="22"/>
          <w:rtl w:val="0"/>
        </w:rPr>
        <w:t xml:space="preserve">abordar casos de feminicidio desde la función judicial</w:t>
      </w:r>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reforma constitucional (2024) a los artículos 4 y 116, establece que todas las instituciones de procuración de justicia deben tener fiscalías especializadas en investigación de delitos sobre violencia de género.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Desde el PIPASEVM se elaborará el diagnóstico y lineamientos para el funcionamiento y evaluación de fiscalías especializadas con indicadores de estructura, procesos y resultados.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Acceso a la justicia</w:t>
      </w:r>
    </w:p>
    <w:p w:rsidR="00000000" w:rsidDel="00000000" w:rsidP="00000000" w:rsidRDefault="00000000" w:rsidRPr="00000000" w14:paraId="0000000F">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2020, la Conferencia Nacional de Procuración de Justicia (CNPJ) aprobó crear el Sistema Estadístico Nacional de Procuración de Justicia, con el INEGI. En 2023 se publicó la Norma técnica para la Producción de Información del Sistema Nacional de Procuración de Justicia.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2023 se creó la Universidad de Lenguas Indígenas de México, con la Licenciatura en Interpretación y Traducción en Lenguas Indígenas.</w:t>
      </w:r>
      <w:r w:rsidDel="00000000" w:rsidR="00000000" w:rsidRPr="00000000">
        <w:rPr>
          <w:rFonts w:ascii="Noto Sans" w:cs="Noto Sans" w:eastAsia="Noto Sans" w:hAnsi="Noto Sans"/>
          <w:sz w:val="22"/>
          <w:szCs w:val="22"/>
          <w:rtl w:val="0"/>
        </w:rPr>
        <w:t xml:space="preserve"> Se destinan apoyos económicos a personas indígenas intérpretes o traductoras en diligencias judiciales o administrativas. De 2019 a 2025, 9,098 mujeres y 12,235 hombres indígenas fueron beneficiados.</w:t>
      </w:r>
      <w:r w:rsidDel="00000000" w:rsidR="00000000" w:rsidRPr="00000000">
        <w:rPr>
          <w:rtl w:val="0"/>
        </w:rPr>
      </w:r>
    </w:p>
    <w:p w:rsidR="00000000" w:rsidDel="00000000" w:rsidP="00000000" w:rsidRDefault="00000000" w:rsidRPr="00000000" w14:paraId="00000011">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estrategia </w:t>
      </w:r>
      <w:r w:rsidDel="00000000" w:rsidR="00000000" w:rsidRPr="00000000">
        <w:rPr>
          <w:rFonts w:ascii="Noto Sans" w:cs="Noto Sans" w:eastAsia="Noto Sans" w:hAnsi="Noto Sans"/>
          <w:i w:val="1"/>
          <w:sz w:val="22"/>
          <w:szCs w:val="22"/>
          <w:rtl w:val="0"/>
        </w:rPr>
        <w:t xml:space="preserve">Abogadas de las mujeres</w:t>
      </w:r>
      <w:r w:rsidDel="00000000" w:rsidR="00000000" w:rsidRPr="00000000">
        <w:rPr>
          <w:rFonts w:ascii="Noto Sans" w:cs="Noto Sans" w:eastAsia="Noto Sans" w:hAnsi="Noto Sans"/>
          <w:sz w:val="22"/>
          <w:szCs w:val="22"/>
          <w:rtl w:val="0"/>
        </w:rPr>
        <w:t xml:space="preserve"> contará con 5 por entidad para litigio estratégico acompañando a víctimas. La Secretaría de las Mujeres (SEMUJERES) prioriza la selección de profesionistas que hablen las lenguas indígenas.</w:t>
      </w:r>
    </w:p>
    <w:p w:rsidR="00000000" w:rsidDel="00000000" w:rsidP="00000000" w:rsidRDefault="00000000" w:rsidRPr="00000000" w14:paraId="00000012">
      <w:pPr>
        <w:spacing w:after="0" w:line="276"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2022 a 2025, la CEAV, a través de la Asesoría Jurídica Federal, representó a 106 mujeres periodistas en 91 carpetas de investigación y 15 procesos penales federales, con 2 sentencias condenatorias. También brindó acompañamiento a 23 defensoras en 20 carpetas y 2 procesos penales, con 1 sentencia condenatoria.</w:t>
      </w:r>
    </w:p>
    <w:p w:rsidR="00000000" w:rsidDel="00000000" w:rsidP="00000000" w:rsidRDefault="00000000" w:rsidRPr="00000000" w14:paraId="00000013">
      <w:pPr>
        <w:spacing w:after="0" w:line="276"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4">
      <w:pPr>
        <w:spacing w:after="0" w:line="276"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2018 a febrero de 2025, la CEAV brindó representación jurídica a 531 mujeres migrantes en 121 carpetas y 25 procesos, con 2 sentencias condenatorias.</w:t>
      </w:r>
    </w:p>
    <w:p w:rsidR="00000000" w:rsidDel="00000000" w:rsidP="00000000" w:rsidRDefault="00000000" w:rsidRPr="00000000" w14:paraId="00000015">
      <w:pPr>
        <w:spacing w:after="0" w:line="276"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6">
      <w:pPr>
        <w:spacing w:after="0" w:line="276"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2025, SEMUJERES lanzará el primer curso de procuración de justicia con perspectiva de género, en conjunto con la FGR.</w:t>
      </w:r>
    </w:p>
    <w:p w:rsidR="00000000" w:rsidDel="00000000" w:rsidP="00000000" w:rsidRDefault="00000000" w:rsidRPr="00000000" w14:paraId="00000017">
      <w:pP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8">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3</w:t>
      </w:r>
    </w:p>
    <w:p w:rsidR="00000000" w:rsidDel="00000000" w:rsidP="00000000" w:rsidRDefault="00000000" w:rsidRPr="00000000" w14:paraId="00000019">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SEMUJERES y mecanismos nacionales e internacionales</w:t>
      </w:r>
    </w:p>
    <w:p w:rsidR="00000000" w:rsidDel="00000000" w:rsidP="00000000" w:rsidRDefault="00000000" w:rsidRPr="00000000" w14:paraId="0000001A">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SEMUJERES, a través de su Dirección de Vinculación Social y con la Iniciativa Privada, coordina acciones con OSC y organismos empresariales. Publicará una convocatoria nacional para fortalecer esta vinculación en línea con la Política Nacional de Igualdad. En abril, organizó un diálogo con representaciones diplomáticas y ONU Mujeres, donde presentó las Políticas de Bienestar para las Mujeres del actual sexenio.</w:t>
      </w:r>
      <w:r w:rsidDel="00000000" w:rsidR="00000000" w:rsidRPr="00000000">
        <w:rPr>
          <w:rtl w:val="0"/>
        </w:rPr>
      </w:r>
    </w:p>
    <w:p w:rsidR="00000000" w:rsidDel="00000000" w:rsidP="00000000" w:rsidRDefault="00000000" w:rsidRPr="00000000" w14:paraId="0000001B">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Al cierre del </w:t>
      </w:r>
      <w:hyperlink r:id="rId8">
        <w:r w:rsidDel="00000000" w:rsidR="00000000" w:rsidRPr="00000000">
          <w:rPr>
            <w:rFonts w:ascii="Noto Sans" w:cs="Noto Sans" w:eastAsia="Noto Sans" w:hAnsi="Noto Sans"/>
            <w:color w:val="1155cc"/>
            <w:sz w:val="22"/>
            <w:szCs w:val="22"/>
            <w:u w:val="single"/>
            <w:rtl w:val="0"/>
          </w:rPr>
          <w:t xml:space="preserve">PROIGUALDAD</w:t>
        </w:r>
      </w:hyperlink>
      <w:r w:rsidDel="00000000" w:rsidR="00000000" w:rsidRPr="00000000">
        <w:rPr>
          <w:rFonts w:ascii="Noto Sans" w:cs="Noto Sans" w:eastAsia="Noto Sans" w:hAnsi="Noto Sans"/>
          <w:sz w:val="22"/>
          <w:szCs w:val="22"/>
          <w:rtl w:val="0"/>
        </w:rPr>
        <w:t xml:space="preserve"> </w:t>
      </w:r>
      <w:hyperlink r:id="rId9">
        <w:r w:rsidDel="00000000" w:rsidR="00000000" w:rsidRPr="00000000">
          <w:rPr>
            <w:rFonts w:ascii="Noto Sans" w:cs="Noto Sans" w:eastAsia="Noto Sans" w:hAnsi="Noto Sans"/>
            <w:color w:val="1155cc"/>
            <w:sz w:val="22"/>
            <w:szCs w:val="22"/>
            <w:u w:val="single"/>
            <w:rtl w:val="0"/>
          </w:rPr>
          <w:t xml:space="preserve">en 2024</w:t>
        </w:r>
      </w:hyperlink>
      <w:r w:rsidDel="00000000" w:rsidR="00000000" w:rsidRPr="00000000">
        <w:rPr>
          <w:rFonts w:ascii="Noto Sans" w:cs="Noto Sans" w:eastAsia="Noto Sans" w:hAnsi="Noto Sans"/>
          <w:sz w:val="22"/>
          <w:szCs w:val="22"/>
          <w:rtl w:val="0"/>
        </w:rPr>
        <w:t xml:space="preserve">, por objetivo global se identificó que 11,849 compromisos se cumplieron, lo que representa 80% del total. </w:t>
      </w:r>
    </w:p>
    <w:p w:rsidR="00000000" w:rsidDel="00000000" w:rsidP="00000000" w:rsidRDefault="00000000" w:rsidRPr="00000000" w14:paraId="0000001C">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Recursos financieros</w:t>
      </w:r>
    </w:p>
    <w:p w:rsidR="00000000" w:rsidDel="00000000" w:rsidP="00000000" w:rsidRDefault="00000000" w:rsidRPr="00000000" w14:paraId="0000001D">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SEMUJERES tiene mandatos de transversalidad, federalismo y coordinación con los poderes del Estado. Una de sus herramientas es el  Anexo 13, “Erogaciones para la Igualdad entre Mujeres y Hombres”. De 2008 a 2025 ha tenido un incremento promedio nominal de 30.2%.</w:t>
      </w:r>
    </w:p>
    <w:p w:rsidR="00000000" w:rsidDel="00000000" w:rsidP="00000000" w:rsidRDefault="00000000" w:rsidRPr="00000000" w14:paraId="0000001E">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el Presupuesto de Egresos de la Federación 2025, los recursos específicos para la igualdad sustantiva se componen de 34 ramos presupuestarios, 113 programas presupuestarios y 234 acciones etiquetadas y 414 indicadores, con un monto total aprobado de 479.248 millones. </w:t>
      </w:r>
    </w:p>
    <w:p w:rsidR="00000000" w:rsidDel="00000000" w:rsidP="00000000" w:rsidRDefault="00000000" w:rsidRPr="00000000" w14:paraId="0000001F">
      <w:pPr>
        <w:ind w:left="0" w:firstLine="0"/>
        <w:jc w:val="both"/>
        <w:rPr>
          <w:rFonts w:ascii="Noto Sans" w:cs="Noto Sans" w:eastAsia="Noto Sans" w:hAnsi="Noto Sans"/>
          <w:b w:val="1"/>
          <w:sz w:val="22"/>
          <w:szCs w:val="22"/>
        </w:rPr>
      </w:pPr>
      <w:r w:rsidDel="00000000" w:rsidR="00000000" w:rsidRPr="00000000">
        <w:rPr>
          <w:rFonts w:ascii="Noto Sans" w:cs="Noto Sans" w:eastAsia="Noto Sans" w:hAnsi="Noto Sans"/>
          <w:sz w:val="22"/>
          <w:szCs w:val="22"/>
          <w:rtl w:val="0"/>
        </w:rPr>
        <w:t xml:space="preserve">Se está elaborando un anexo transversal en materia de cuidados junto con la Secretaría de Hacienda (SHCP) y el Sistema Nacional para el Desarrollo de la Familia como parte de una estrategia integral para la implementación de un Sistema Nacional y Progresivo de Cuidados.</w:t>
      </w:r>
      <w:r w:rsidDel="00000000" w:rsidR="00000000" w:rsidRPr="00000000">
        <w:rPr>
          <w:rtl w:val="0"/>
        </w:rPr>
      </w:r>
    </w:p>
    <w:p w:rsidR="00000000" w:rsidDel="00000000" w:rsidP="00000000" w:rsidRDefault="00000000" w:rsidRPr="00000000" w14:paraId="00000020">
      <w:pPr>
        <w:ind w:left="0" w:firstLine="0"/>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Sector privado y toma de decisiones</w:t>
      </w:r>
    </w:p>
    <w:p w:rsidR="00000000" w:rsidDel="00000000" w:rsidP="00000000" w:rsidRDefault="00000000" w:rsidRPr="00000000" w14:paraId="00000021">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2022, la SHCP instaló el </w:t>
      </w:r>
      <w:hyperlink r:id="rId10">
        <w:r w:rsidDel="00000000" w:rsidR="00000000" w:rsidRPr="00000000">
          <w:rPr>
            <w:rFonts w:ascii="Noto Sans" w:cs="Noto Sans" w:eastAsia="Noto Sans" w:hAnsi="Noto Sans"/>
            <w:sz w:val="22"/>
            <w:szCs w:val="22"/>
            <w:rtl w:val="0"/>
          </w:rPr>
          <w:t xml:space="preserve">Comité Interinstitucional para la Igualdad de Género en las Entidades Financieras</w:t>
        </w:r>
      </w:hyperlink>
      <w:r w:rsidDel="00000000" w:rsidR="00000000" w:rsidRPr="00000000">
        <w:rPr>
          <w:rFonts w:ascii="Noto Sans" w:cs="Noto Sans" w:eastAsia="Noto Sans" w:hAnsi="Noto Sans"/>
          <w:sz w:val="22"/>
          <w:szCs w:val="22"/>
          <w:rtl w:val="0"/>
        </w:rPr>
        <w:t xml:space="preserve"> (CIIGEF), cuenta con 20 participantes del Sistema Financiero. Se publicó la guía “</w:t>
      </w:r>
      <w:hyperlink r:id="rId11">
        <w:r w:rsidDel="00000000" w:rsidR="00000000" w:rsidRPr="00000000">
          <w:rPr>
            <w:rFonts w:ascii="Noto Sans" w:cs="Noto Sans" w:eastAsia="Noto Sans" w:hAnsi="Noto Sans"/>
            <w:sz w:val="22"/>
            <w:szCs w:val="22"/>
            <w:rtl w:val="0"/>
          </w:rPr>
          <w:t xml:space="preserve">Expandiendo la Inclusión Financiera de las Mujeres en México</w:t>
        </w:r>
      </w:hyperlink>
      <w:r w:rsidDel="00000000" w:rsidR="00000000" w:rsidRPr="00000000">
        <w:rPr>
          <w:rFonts w:ascii="Noto Sans" w:cs="Noto Sans" w:eastAsia="Noto Sans" w:hAnsi="Noto Sans"/>
          <w:sz w:val="22"/>
          <w:szCs w:val="22"/>
          <w:rtl w:val="0"/>
        </w:rPr>
        <w:t xml:space="preserve">”.</w:t>
      </w:r>
      <w:r w:rsidDel="00000000" w:rsidR="00000000" w:rsidRPr="00000000">
        <w:rPr>
          <w:rFonts w:ascii="Noto Sans" w:cs="Noto Sans" w:eastAsia="Noto Sans" w:hAnsi="Noto Sans"/>
          <w:sz w:val="22"/>
          <w:szCs w:val="22"/>
          <w:rtl w:val="0"/>
        </w:rPr>
        <w:t xml:space="preserve"> </w:t>
      </w:r>
    </w:p>
    <w:p w:rsidR="00000000" w:rsidDel="00000000" w:rsidP="00000000" w:rsidRDefault="00000000" w:rsidRPr="00000000" w14:paraId="00000022">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b w:val="1"/>
          <w:sz w:val="22"/>
          <w:szCs w:val="22"/>
          <w:rtl w:val="0"/>
        </w:rPr>
        <w:t xml:space="preserve">Mujeres en las fuerzas armadas</w:t>
      </w:r>
      <w:r w:rsidDel="00000000" w:rsidR="00000000" w:rsidRPr="00000000">
        <w:rPr>
          <w:rtl w:val="0"/>
        </w:rPr>
      </w:r>
    </w:p>
    <w:p w:rsidR="00000000" w:rsidDel="00000000" w:rsidP="00000000" w:rsidRDefault="00000000" w:rsidRPr="00000000" w14:paraId="00000023">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Las mujeres han alcanzado altos rangos en las Fuerzas Armadas. En 2024, seis mujeres ostentan el grado de General Brigadier, un importante avance de género en jerarquías militares. </w:t>
      </w:r>
    </w:p>
    <w:p w:rsidR="00000000" w:rsidDel="00000000" w:rsidP="00000000" w:rsidRDefault="00000000" w:rsidRPr="00000000" w14:paraId="00000024">
      <w:pPr>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5">
      <w:pPr>
        <w:jc w:val="both"/>
        <w:rPr>
          <w:rFonts w:ascii="Noto Sans" w:cs="Noto Sans" w:eastAsia="Noto Sans" w:hAnsi="Noto Sans"/>
          <w:sz w:val="22"/>
          <w:szCs w:val="22"/>
        </w:rPr>
      </w:pPr>
      <w:r w:rsidDel="00000000" w:rsidR="00000000" w:rsidRPr="00000000">
        <w:rPr>
          <w:rFonts w:ascii="Noto Sans" w:cs="Noto Sans" w:eastAsia="Noto Sans" w:hAnsi="Noto Sans"/>
          <w:b w:val="1"/>
          <w:sz w:val="22"/>
          <w:szCs w:val="22"/>
          <w:rtl w:val="0"/>
        </w:rPr>
        <w:t xml:space="preserve">Mujeres, Paz y Seguridad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color="auto" w:space="0" w:sz="0" w:val="none"/>
          <w:left w:space="0" w:sz="0" w:val="nil"/>
          <w:bottom w:color="auto" w:space="0" w:sz="0" w:val="none"/>
          <w:right w:color="auto" w:space="0" w:sz="0" w:val="none"/>
          <w:between w:color="auto" w:space="0" w:sz="0" w:val="none"/>
        </w:pBdr>
        <w:shd w:fill="auto" w:val="clear"/>
        <w:spacing w:after="0" w:before="0" w:line="278.0000000000000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w:t>
      </w:r>
      <w:r w:rsidDel="00000000" w:rsidR="00000000" w:rsidRPr="00000000">
        <w:rPr>
          <w:rFonts w:ascii="Noto Sans" w:cs="Noto Sans" w:eastAsia="Noto Sans" w:hAnsi="Noto Sans"/>
          <w:sz w:val="22"/>
          <w:szCs w:val="22"/>
          <w:rtl w:val="0"/>
        </w:rPr>
        <w:t xml:space="preserve">a SEMUJERES participó en 23 Jornadas de Paz, en 11 municipios prioritarios de Baja California, Estado de México y Tabasco y con 450 atenciones a mujeres aproximadamente. </w:t>
      </w:r>
    </w:p>
    <w:p w:rsidR="00000000" w:rsidDel="00000000" w:rsidP="00000000" w:rsidRDefault="00000000" w:rsidRPr="00000000" w14:paraId="00000027">
      <w:pPr>
        <w:keepNext w:val="0"/>
        <w:keepLines w:val="0"/>
        <w:pageBreakBefore w:val="0"/>
        <w:widowControl w:val="1"/>
        <w:pBdr>
          <w:top w:color="auto" w:space="0" w:sz="0" w:val="none"/>
          <w:left w:space="0" w:sz="0" w:val="nil"/>
          <w:bottom w:color="auto" w:space="0" w:sz="0" w:val="none"/>
          <w:right w:color="auto" w:space="0" w:sz="0" w:val="none"/>
          <w:between w:color="auto" w:space="0" w:sz="0" w:val="none"/>
        </w:pBdr>
        <w:shd w:fill="auto" w:val="clear"/>
        <w:spacing w:after="0" w:before="0" w:line="278.00000000000006" w:lineRule="auto"/>
        <w:ind w:left="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color="auto" w:space="0" w:sz="0" w:val="none"/>
          <w:left w:space="0" w:sz="0" w:val="nil"/>
          <w:bottom w:color="auto" w:space="0" w:sz="0" w:val="none"/>
          <w:right w:color="auto" w:space="0" w:sz="0" w:val="none"/>
          <w:between w:color="auto" w:space="0" w:sz="0" w:val="none"/>
        </w:pBdr>
        <w:shd w:fill="auto" w:val="clear"/>
        <w:spacing w:after="0" w:before="0" w:line="278.0000000000000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Las Brigadas de Paz identificaron y canalizaron posibles casos de violencia de género, con un total de 111 solicitudes en el Estado de México, 30 en Tabasco y 14 en Baja California. </w:t>
      </w:r>
    </w:p>
    <w:p w:rsidR="00000000" w:rsidDel="00000000" w:rsidP="00000000" w:rsidRDefault="00000000" w:rsidRPr="00000000" w14:paraId="00000029">
      <w:pPr>
        <w:keepNext w:val="0"/>
        <w:keepLines w:val="0"/>
        <w:pageBreakBefore w:val="0"/>
        <w:widowControl w:val="1"/>
        <w:pBdr>
          <w:top w:color="auto" w:space="0" w:sz="0" w:val="none"/>
          <w:left w:space="0" w:sz="0" w:val="nil"/>
          <w:bottom w:color="auto" w:space="0" w:sz="0" w:val="none"/>
          <w:right w:color="auto" w:space="0" w:sz="0" w:val="none"/>
          <w:between w:color="auto" w:space="0" w:sz="0" w:val="none"/>
        </w:pBdr>
        <w:shd w:fill="auto" w:val="clear"/>
        <w:spacing w:after="0" w:before="0" w:line="278.00000000000006" w:lineRule="auto"/>
        <w:ind w:left="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color="auto" w:space="0" w:sz="0" w:val="none"/>
          <w:left w:space="0" w:sz="0" w:val="nil"/>
          <w:bottom w:color="auto" w:space="0" w:sz="0" w:val="none"/>
          <w:right w:color="auto" w:space="0" w:sz="0" w:val="none"/>
          <w:between w:color="auto" w:space="0" w:sz="0" w:val="none"/>
        </w:pBdr>
        <w:shd w:fill="auto" w:val="clear"/>
        <w:spacing w:after="0" w:before="0" w:line="278.0000000000000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2025, se consolidará la estrategia </w:t>
      </w:r>
      <w:r w:rsidDel="00000000" w:rsidR="00000000" w:rsidRPr="00000000">
        <w:rPr>
          <w:rFonts w:ascii="Noto Sans" w:cs="Noto Sans" w:eastAsia="Noto Sans" w:hAnsi="Noto Sans"/>
          <w:i w:val="1"/>
          <w:sz w:val="22"/>
          <w:szCs w:val="22"/>
          <w:rtl w:val="0"/>
        </w:rPr>
        <w:t xml:space="preserve">Tejedoras de la Patria</w:t>
      </w: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sz w:val="22"/>
          <w:szCs w:val="22"/>
          <w:rtl w:val="0"/>
        </w:rPr>
        <w:t xml:space="preserve">para formar una red nacional de 100,000 mujeres voluntarias. </w:t>
      </w:r>
    </w:p>
    <w:p w:rsidR="00000000" w:rsidDel="00000000" w:rsidP="00000000" w:rsidRDefault="00000000" w:rsidRPr="00000000" w14:paraId="0000002B">
      <w:pPr>
        <w:keepNext w:val="0"/>
        <w:keepLines w:val="0"/>
        <w:pageBreakBefore w:val="0"/>
        <w:widowControl w:val="1"/>
        <w:pBdr>
          <w:top w:color="auto" w:space="0" w:sz="0" w:val="none"/>
          <w:left w:space="0" w:sz="0" w:val="nil"/>
          <w:bottom w:color="auto" w:space="0" w:sz="0" w:val="none"/>
          <w:right w:color="auto" w:space="0" w:sz="0" w:val="none"/>
          <w:between w:color="auto" w:space="0" w:sz="0" w:val="none"/>
        </w:pBdr>
        <w:shd w:fill="auto" w:val="clear"/>
        <w:spacing w:after="0" w:before="0" w:line="278.00000000000006" w:lineRule="auto"/>
        <w:ind w:left="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C">
      <w:pPr>
        <w:pBdr>
          <w:top w:color="auto" w:space="0" w:sz="0" w:val="none"/>
          <w:bottom w:color="auto" w:space="0" w:sz="0" w:val="none"/>
          <w:right w:color="auto" w:space="0" w:sz="0" w:val="none"/>
          <w:between w:color="auto" w:space="0" w:sz="0" w:val="none"/>
        </w:pBdr>
        <w:spacing w:after="0" w:lineRule="auto"/>
        <w:jc w:val="both"/>
        <w:rPr>
          <w:rFonts w:ascii="Arial" w:cs="Arial" w:eastAsia="Arial" w:hAnsi="Arial"/>
          <w:b w:val="1"/>
          <w:sz w:val="36"/>
          <w:szCs w:val="36"/>
        </w:rPr>
      </w:pPr>
      <w:r w:rsidDel="00000000" w:rsidR="00000000" w:rsidRPr="00000000">
        <w:rPr>
          <w:rFonts w:ascii="Noto Sans" w:cs="Noto Sans" w:eastAsia="Noto Sans" w:hAnsi="Noto Sans"/>
          <w:sz w:val="22"/>
          <w:szCs w:val="22"/>
          <w:rtl w:val="0"/>
        </w:rPr>
        <w:t xml:space="preserve">El esfuerzo que se ha hecho para dotar al país de un cuerpo de seguridad disciplinado no es militarización. Nuestra vocación nunca será bélica, sino de ayuda y apoyo a la gente. México tiene un gobierno civil y</w:t>
      </w:r>
      <w:r w:rsidDel="00000000" w:rsidR="00000000" w:rsidRPr="00000000">
        <w:rPr>
          <w:rFonts w:ascii="Noto Sans" w:cs="Noto Sans" w:eastAsia="Noto Sans" w:hAnsi="Noto Sans"/>
          <w:sz w:val="22"/>
          <w:szCs w:val="22"/>
          <w:rtl w:val="0"/>
        </w:rPr>
        <w:t xml:space="preserve"> los militares velan por la seguridad de la nación. Desde su creación, la Guardia Nacional se concibió como un instrumento para la construcción de la paz y la seguridad ciudadana.</w:t>
      </w:r>
      <w:r w:rsidDel="00000000" w:rsidR="00000000" w:rsidRPr="00000000">
        <w:rPr>
          <w:rtl w:val="0"/>
        </w:rPr>
      </w:r>
    </w:p>
    <w:p w:rsidR="00000000" w:rsidDel="00000000" w:rsidP="00000000" w:rsidRDefault="00000000" w:rsidRPr="00000000" w14:paraId="0000002D">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E">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5</w:t>
      </w:r>
    </w:p>
    <w:p w:rsidR="00000000" w:rsidDel="00000000" w:rsidP="00000000" w:rsidRDefault="00000000" w:rsidRPr="00000000" w14:paraId="0000002F">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Homologación de feminicidio</w:t>
      </w:r>
      <w:r w:rsidDel="00000000" w:rsidR="00000000" w:rsidRPr="00000000">
        <w:rPr>
          <w:rtl w:val="0"/>
        </w:rPr>
      </w:r>
    </w:p>
    <w:p w:rsidR="00000000" w:rsidDel="00000000" w:rsidP="00000000" w:rsidRDefault="00000000" w:rsidRPr="00000000" w14:paraId="00000030">
      <w:pPr>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Las fiscalías se rigen por criterios jurisprudenciales. Existen bases mínimas, como el del amparo en revisión 554/2013, que obliga a investigar toda muerte violenta de mujeres como feminicidio.  </w:t>
      </w:r>
    </w:p>
    <w:p w:rsidR="00000000" w:rsidDel="00000000" w:rsidP="00000000" w:rsidRDefault="00000000" w:rsidRPr="00000000" w14:paraId="00000031">
      <w:pPr>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w:t>
      </w:r>
      <w:r w:rsidDel="00000000" w:rsidR="00000000" w:rsidRPr="00000000">
        <w:rPr>
          <w:rFonts w:ascii="Noto Sans" w:cs="Noto Sans" w:eastAsia="Noto Sans" w:hAnsi="Noto Sans"/>
          <w:sz w:val="22"/>
          <w:szCs w:val="22"/>
          <w:rtl w:val="0"/>
        </w:rPr>
        <w:t xml:space="preserve">n  2023 se publicó el </w:t>
      </w:r>
      <w:r w:rsidDel="00000000" w:rsidR="00000000" w:rsidRPr="00000000">
        <w:rPr>
          <w:rFonts w:ascii="Noto Sans" w:cs="Noto Sans" w:eastAsia="Noto Sans" w:hAnsi="Noto Sans"/>
          <w:sz w:val="22"/>
          <w:szCs w:val="22"/>
          <w:rtl w:val="0"/>
        </w:rPr>
        <w:t xml:space="preserve">Modelo de tipo penal de feminicidio</w:t>
      </w:r>
      <w:r w:rsidDel="00000000" w:rsidR="00000000" w:rsidRPr="00000000">
        <w:rPr>
          <w:rFonts w:ascii="Noto Sans" w:cs="Noto Sans" w:eastAsia="Noto Sans" w:hAnsi="Noto Sans"/>
          <w:sz w:val="22"/>
          <w:szCs w:val="22"/>
          <w:rtl w:val="0"/>
        </w:rPr>
        <w:t xml:space="preserve">, que insta a las entidades federativas a promover  la revisión y análisis de sus tipos penales de feminicidio para su homologación y armonización nacional.  </w:t>
      </w:r>
    </w:p>
    <w:p w:rsidR="00000000" w:rsidDel="00000000" w:rsidP="00000000" w:rsidRDefault="00000000" w:rsidRPr="00000000" w14:paraId="00000032">
      <w:pPr>
        <w:widowControl w:val="0"/>
        <w:spacing w:after="0" w:before="197.1337890625" w:line="232.83868789672852" w:lineRule="auto"/>
        <w:ind w:left="0" w:right="-0.89111328125"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3">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Medios de comunicación</w:t>
      </w:r>
    </w:p>
    <w:p w:rsidR="00000000" w:rsidDel="00000000" w:rsidP="00000000" w:rsidRDefault="00000000" w:rsidRPr="00000000" w14:paraId="00000034">
      <w:pP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2018 a mayo de 2025, suman 78 reportes en la FGR sobre posibles violaciones a las leyes generales de Derechos de niños, niñas y adolescentes (NNA); y de Acceso de las Mujeres a una Vida Libre de Violencia, principalmente por la publicación de imágenes y la difusión de datos personales que vulneran a las mujeres y niñas.</w:t>
      </w:r>
    </w:p>
    <w:p w:rsidR="00000000" w:rsidDel="00000000" w:rsidP="00000000" w:rsidRDefault="00000000" w:rsidRPr="00000000" w14:paraId="00000035">
      <w:pPr>
        <w:spacing w:after="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6">
      <w:pP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Para erradicar estereotipos de género y prácticas revictimizantes en la comunicación social,  se impulsa:</w:t>
        <w:tab/>
        <w:t xml:space="preserve">i) un Acuerdo Nacional por una Comunicación Social con Perspectiva de Género, con titulares de comunicación de todos los niveles de gobierno y medios de comunicación en contra la violencia de género mediática; ii) jornadas de sensibilización desde un enfoque de derechos humanos, interseccionalidad y género; y,  iii) fortalecimiento normativo. </w:t>
      </w:r>
    </w:p>
    <w:p w:rsidR="00000000" w:rsidDel="00000000" w:rsidP="00000000" w:rsidRDefault="00000000" w:rsidRPr="00000000" w14:paraId="00000037">
      <w:pPr>
        <w:spacing w:after="0" w:line="256.8"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8">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Atención a las solicitudes de asilo</w:t>
      </w:r>
    </w:p>
    <w:p w:rsidR="00000000" w:rsidDel="00000000" w:rsidP="00000000" w:rsidRDefault="00000000" w:rsidRPr="00000000" w14:paraId="00000039">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2024, la COMAR implementó un procesamiento diferenciado de solicitudes, priorizando casos con alta elegibilidad, incluidas personas LGBTIQ+ y sobrevivientes de violencia de género. Resolvió 439 casos con nexo “género” y emitió resoluciones para 716 personas (66 % mujeres). Además, colabora con organismos internacionales para fortalecer la formación en protección internacional y la atención a personas en situación de vulnerabilidad. Implementa</w:t>
      </w:r>
      <w:r w:rsidDel="00000000" w:rsidR="00000000" w:rsidRPr="00000000">
        <w:rPr>
          <w:rFonts w:ascii="Noto Sans" w:cs="Noto Sans" w:eastAsia="Noto Sans" w:hAnsi="Noto Sans"/>
          <w:sz w:val="22"/>
          <w:szCs w:val="22"/>
          <w:rtl w:val="0"/>
        </w:rPr>
        <w:t xml:space="preserve"> un proceso de </w:t>
      </w:r>
      <w:hyperlink r:id="rId12">
        <w:r w:rsidDel="00000000" w:rsidR="00000000" w:rsidRPr="00000000">
          <w:rPr>
            <w:rFonts w:ascii="Noto Sans" w:cs="Noto Sans" w:eastAsia="Noto Sans" w:hAnsi="Noto Sans"/>
            <w:color w:val="1155cc"/>
            <w:sz w:val="22"/>
            <w:szCs w:val="22"/>
            <w:u w:val="single"/>
            <w:rtl w:val="0"/>
          </w:rPr>
          <w:t xml:space="preserve">transformación digital</w:t>
        </w:r>
      </w:hyperlink>
      <w:r w:rsidDel="00000000" w:rsidR="00000000" w:rsidRPr="00000000">
        <w:rPr>
          <w:rFonts w:ascii="Noto Sans" w:cs="Noto Sans" w:eastAsia="Noto Sans" w:hAnsi="Noto Sans"/>
          <w:sz w:val="22"/>
          <w:szCs w:val="22"/>
          <w:rtl w:val="0"/>
        </w:rPr>
        <w:t xml:space="preserve"> que optimiza sus servicios. </w:t>
      </w:r>
    </w:p>
    <w:p w:rsidR="00000000" w:rsidDel="00000000" w:rsidP="00000000" w:rsidRDefault="00000000" w:rsidRPr="00000000" w14:paraId="0000003A">
      <w:pPr>
        <w:pBdr>
          <w:top w:color="auto" w:space="0" w:sz="0" w:val="none"/>
          <w:bottom w:color="auto" w:space="0" w:sz="0" w:val="none"/>
          <w:right w:color="auto" w:space="0" w:sz="0" w:val="none"/>
          <w:between w:color="auto" w:space="0" w:sz="0" w:val="none"/>
        </w:pBdr>
        <w:spacing w:after="0" w:lineRule="auto"/>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B">
      <w:pPr>
        <w:pBdr>
          <w:top w:color="auto" w:space="0" w:sz="0" w:val="none"/>
          <w:bottom w:color="auto" w:space="0" w:sz="0" w:val="none"/>
          <w:right w:color="auto" w:space="0" w:sz="0" w:val="none"/>
          <w:between w:color="auto" w:space="0" w:sz="0" w:val="none"/>
        </w:pBdr>
        <w:spacing w:after="0" w:lineRule="auto"/>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Búsqueda</w:t>
      </w:r>
    </w:p>
    <w:p w:rsidR="00000000" w:rsidDel="00000000" w:rsidP="00000000" w:rsidRDefault="00000000" w:rsidRPr="00000000" w14:paraId="0000003C">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D">
      <w:pPr>
        <w:pBdr>
          <w:top w:color="auto" w:space="0" w:sz="0" w:val="none"/>
          <w:bottom w:color="auto" w:space="0" w:sz="0" w:val="none"/>
          <w:right w:color="auto" w:space="0" w:sz="0" w:val="none"/>
          <w:between w:color="auto" w:space="0" w:sz="0" w:val="none"/>
        </w:pBd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Se cuenta  con dos protocolos complementarios y  de aplicación nacional y obligatoria: 1) El </w:t>
      </w:r>
      <w:hyperlink r:id="rId13">
        <w:r w:rsidDel="00000000" w:rsidR="00000000" w:rsidRPr="00000000">
          <w:rPr>
            <w:rFonts w:ascii="Noto Sans" w:cs="Noto Sans" w:eastAsia="Noto Sans" w:hAnsi="Noto Sans"/>
            <w:color w:val="1155cc"/>
            <w:sz w:val="22"/>
            <w:szCs w:val="22"/>
            <w:u w:val="single"/>
            <w:rtl w:val="0"/>
          </w:rPr>
          <w:t xml:space="preserve">Protocolo Homologado para la Búsqueda de Personas desaparecidas y no localizada</w:t>
        </w:r>
      </w:hyperlink>
      <w:r w:rsidDel="00000000" w:rsidR="00000000" w:rsidRPr="00000000">
        <w:rPr>
          <w:rFonts w:ascii="Noto Sans" w:cs="Noto Sans" w:eastAsia="Noto Sans" w:hAnsi="Noto Sans"/>
          <w:sz w:val="22"/>
          <w:szCs w:val="22"/>
          <w:rtl w:val="0"/>
        </w:rPr>
        <w:t xml:space="preserve">s, elaborado en colaboración con los colectivos de búsqueda y aprobado por el Sistema Nacional de Búsqueda; y 2) El Protocolo  Homologado de Investigación para los delitos de Desaparición Forzada, aprobado por la Conferencia Nacional de Procuración de Justicia, de aplicación para la FGR y las fiscalías de las entidades federativas.  </w:t>
      </w:r>
    </w:p>
    <w:p w:rsidR="00000000" w:rsidDel="00000000" w:rsidP="00000000" w:rsidRDefault="00000000" w:rsidRPr="00000000" w14:paraId="0000003E">
      <w:pPr>
        <w:pBdr>
          <w:top w:color="auto" w:space="0" w:sz="0" w:val="none"/>
          <w:bottom w:color="auto" w:space="0" w:sz="0" w:val="none"/>
          <w:right w:color="auto" w:space="0" w:sz="0" w:val="none"/>
          <w:between w:color="auto" w:space="0" w:sz="0" w:val="none"/>
        </w:pBd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 </w:t>
      </w:r>
    </w:p>
    <w:p w:rsidR="00000000" w:rsidDel="00000000" w:rsidP="00000000" w:rsidRDefault="00000000" w:rsidRPr="00000000" w14:paraId="0000003F">
      <w:pPr>
        <w:pBdr>
          <w:top w:color="auto" w:space="0" w:sz="0" w:val="none"/>
          <w:bottom w:color="auto" w:space="0" w:sz="0" w:val="none"/>
          <w:right w:color="auto" w:space="0" w:sz="0" w:val="none"/>
          <w:between w:color="auto" w:space="0" w:sz="0" w:val="none"/>
        </w:pBd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Protocolo Homologado, se complementa con el </w:t>
      </w:r>
      <w:hyperlink r:id="rId14">
        <w:r w:rsidDel="00000000" w:rsidR="00000000" w:rsidRPr="00000000">
          <w:rPr>
            <w:rFonts w:ascii="Noto Sans" w:cs="Noto Sans" w:eastAsia="Noto Sans" w:hAnsi="Noto Sans"/>
            <w:color w:val="1155cc"/>
            <w:sz w:val="22"/>
            <w:szCs w:val="22"/>
            <w:u w:val="single"/>
            <w:rtl w:val="0"/>
          </w:rPr>
          <w:t xml:space="preserve">Protocolo Adicional de Búsqueda para Niñas, Niños y Adolescentes</w:t>
        </w:r>
      </w:hyperlink>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040">
      <w:pPr>
        <w:pBdr>
          <w:top w:color="auto" w:space="0" w:sz="0" w:val="none"/>
          <w:bottom w:color="auto" w:space="0" w:sz="0" w:val="none"/>
          <w:right w:color="auto" w:space="0" w:sz="0" w:val="none"/>
          <w:between w:color="auto" w:space="0" w:sz="0" w:val="none"/>
        </w:pBdr>
        <w:spacing w:after="0" w:line="276"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41">
      <w:pP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Se cuenta con un Registro Nacional de Personas Desaparecidas y No Localizadas (RNPDNO), que tiene una versión pública y puede ser consultado en tiempo real. Contiene datos que pueden ser desagregados por sexo, edad, año, estado y municipio de desaparición, entre otros. </w:t>
      </w:r>
    </w:p>
    <w:p w:rsidR="00000000" w:rsidDel="00000000" w:rsidP="00000000" w:rsidRDefault="00000000" w:rsidRPr="00000000" w14:paraId="00000042">
      <w:pP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 </w:t>
      </w:r>
    </w:p>
    <w:p w:rsidR="00000000" w:rsidDel="00000000" w:rsidP="00000000" w:rsidRDefault="00000000" w:rsidRPr="00000000" w14:paraId="00000043">
      <w:pPr>
        <w:spacing w:after="0" w:lineRule="auto"/>
        <w:jc w:val="both"/>
        <w:rPr>
          <w:rFonts w:ascii="Times New Roman" w:cs="Times New Roman" w:eastAsia="Times New Roman" w:hAnsi="Times New Roman"/>
          <w:sz w:val="20"/>
          <w:szCs w:val="20"/>
        </w:rPr>
      </w:pPr>
      <w:r w:rsidDel="00000000" w:rsidR="00000000" w:rsidRPr="00000000">
        <w:rPr>
          <w:rFonts w:ascii="Noto Sans" w:cs="Noto Sans" w:eastAsia="Noto Sans" w:hAnsi="Noto Sans"/>
          <w:sz w:val="22"/>
          <w:szCs w:val="22"/>
          <w:rtl w:val="0"/>
        </w:rPr>
        <w:t xml:space="preserve">Del 31 de diciembre de 1952 al 17 de junio de 2025, se registró un total de 365,097 reportes por desaparición de personas de los cuales el 40% (147,503) corresponden a mujeres. De éstas, el 80% (117,844) de niñas, adolescentes y mujeres han sido localizadas, y se continúa con las acciones de búsqueda hasta dar con su </w:t>
      </w:r>
      <w:hyperlink r:id="rId15">
        <w:r w:rsidDel="00000000" w:rsidR="00000000" w:rsidRPr="00000000">
          <w:rPr>
            <w:rFonts w:ascii="Noto Sans" w:cs="Noto Sans" w:eastAsia="Noto Sans" w:hAnsi="Noto Sans"/>
            <w:color w:val="1155cc"/>
            <w:sz w:val="22"/>
            <w:szCs w:val="22"/>
            <w:u w:val="single"/>
            <w:rtl w:val="0"/>
          </w:rPr>
          <w:t xml:space="preserve">localización</w:t>
        </w:r>
      </w:hyperlink>
      <w:r w:rsidDel="00000000" w:rsidR="00000000" w:rsidRPr="00000000">
        <w:rPr>
          <w:rFonts w:ascii="Noto Sans" w:cs="Noto Sans" w:eastAsia="Noto Sans" w:hAnsi="Noto Sans"/>
          <w:sz w:val="22"/>
          <w:szCs w:val="22"/>
          <w:rtl w:val="0"/>
        </w:rPr>
        <w:t xml:space="preserve">. </w:t>
      </w:r>
      <w:r w:rsidDel="00000000" w:rsidR="00000000" w:rsidRPr="00000000">
        <w:rPr>
          <w:rtl w:val="0"/>
        </w:rPr>
      </w:r>
    </w:p>
    <w:p w:rsidR="00000000" w:rsidDel="00000000" w:rsidP="00000000" w:rsidRDefault="00000000" w:rsidRPr="00000000" w14:paraId="00000044">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45">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Mecanismo de Personas Defenso</w:t>
      </w:r>
      <w:r w:rsidDel="00000000" w:rsidR="00000000" w:rsidRPr="00000000">
        <w:rPr>
          <w:rFonts w:ascii="Noto Sans" w:cs="Noto Sans" w:eastAsia="Noto Sans" w:hAnsi="Noto Sans"/>
          <w:b w:val="1"/>
          <w:sz w:val="22"/>
          <w:szCs w:val="22"/>
          <w:rtl w:val="0"/>
        </w:rPr>
        <w:t xml:space="preserve">ras</w:t>
      </w:r>
      <w:r w:rsidDel="00000000" w:rsidR="00000000" w:rsidRPr="00000000">
        <w:rPr>
          <w:rFonts w:ascii="Noto Sans" w:cs="Noto Sans" w:eastAsia="Noto Sans" w:hAnsi="Noto Sans"/>
          <w:b w:val="1"/>
          <w:sz w:val="22"/>
          <w:szCs w:val="22"/>
          <w:rtl w:val="0"/>
        </w:rPr>
        <w:t xml:space="preserve"> y Periodistas</w:t>
      </w:r>
    </w:p>
    <w:p w:rsidR="00000000" w:rsidDel="00000000" w:rsidP="00000000" w:rsidRDefault="00000000" w:rsidRPr="00000000" w14:paraId="00000046">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47">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Se ha</w:t>
      </w:r>
      <w:r w:rsidDel="00000000" w:rsidR="00000000" w:rsidRPr="00000000">
        <w:rPr>
          <w:rFonts w:ascii="Noto Sans" w:cs="Noto Sans" w:eastAsia="Noto Sans" w:hAnsi="Noto Sans"/>
          <w:sz w:val="22"/>
          <w:szCs w:val="22"/>
          <w:rtl w:val="0"/>
        </w:rPr>
        <w:t xml:space="preserve"> incorporado el enfoque de género a través de un plan de trabajo que contempla formación interna, uso de lenguaje incluyente y sensibilización sobre la carga de cuidados y los derechos sexuales y reproductivos. </w:t>
      </w:r>
    </w:p>
    <w:p w:rsidR="00000000" w:rsidDel="00000000" w:rsidP="00000000" w:rsidRDefault="00000000" w:rsidRPr="00000000" w14:paraId="00000048">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49">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rPr>
      </w:pPr>
      <w:r w:rsidDel="00000000" w:rsidR="00000000" w:rsidRPr="00000000">
        <w:rPr>
          <w:rFonts w:ascii="Noto Sans" w:cs="Noto Sans" w:eastAsia="Noto Sans" w:hAnsi="Noto Sans"/>
          <w:sz w:val="22"/>
          <w:szCs w:val="22"/>
          <w:rtl w:val="0"/>
        </w:rPr>
        <w:t xml:space="preserve">Se cuenta con el </w:t>
      </w:r>
      <w:hyperlink r:id="rId16">
        <w:r w:rsidDel="00000000" w:rsidR="00000000" w:rsidRPr="00000000">
          <w:rPr>
            <w:rFonts w:ascii="Noto Sans" w:cs="Noto Sans" w:eastAsia="Noto Sans" w:hAnsi="Noto Sans"/>
            <w:color w:val="1155cc"/>
            <w:sz w:val="22"/>
            <w:szCs w:val="22"/>
            <w:u w:val="single"/>
            <w:rtl w:val="0"/>
          </w:rPr>
          <w:t xml:space="preserve">Glosario para la Incorporación de la Perspectiva de Género, Enfoque Diferenciado e Interseccional</w:t>
        </w:r>
      </w:hyperlink>
      <w:r w:rsidDel="00000000" w:rsidR="00000000" w:rsidRPr="00000000">
        <w:rPr>
          <w:rFonts w:ascii="Noto Sans" w:cs="Noto Sans" w:eastAsia="Noto Sans" w:hAnsi="Noto Sans"/>
          <w:sz w:val="22"/>
          <w:szCs w:val="22"/>
          <w:rtl w:val="0"/>
        </w:rPr>
        <w:t xml:space="preserve"> y </w:t>
      </w:r>
      <w:hyperlink r:id="rId17">
        <w:r w:rsidDel="00000000" w:rsidR="00000000" w:rsidRPr="00000000">
          <w:rPr>
            <w:rFonts w:ascii="Noto Sans" w:cs="Noto Sans" w:eastAsia="Noto Sans" w:hAnsi="Noto Sans"/>
            <w:color w:val="1155cc"/>
            <w:sz w:val="22"/>
            <w:szCs w:val="22"/>
            <w:u w:val="single"/>
            <w:rtl w:val="0"/>
          </w:rPr>
          <w:t xml:space="preserve">Guía de Lenguaje Incluyente</w:t>
        </w:r>
      </w:hyperlink>
      <w:r w:rsidDel="00000000" w:rsidR="00000000" w:rsidRPr="00000000">
        <w:rPr>
          <w:rFonts w:ascii="Noto Sans" w:cs="Noto Sans" w:eastAsia="Noto Sans" w:hAnsi="Noto Sans"/>
          <w:b w:val="1"/>
          <w:sz w:val="22"/>
          <w:szCs w:val="22"/>
          <w:rtl w:val="0"/>
        </w:rPr>
        <w:t xml:space="preserve">.</w:t>
      </w:r>
    </w:p>
    <w:p w:rsidR="00000000" w:rsidDel="00000000" w:rsidP="00000000" w:rsidRDefault="00000000" w:rsidRPr="00000000" w14:paraId="0000004A">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4B">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Mecanismo de Protección, la Fiscalía Especial para la Atención de Delitos cometidos contra la Libertad de Expresión (FEADLE), la SCJN y la CEAV fortalecieron las acciones de prevención, atención y sanción de violaciones a los derechos de periodistas y defensoras de derechos humanos. La FEADLE investiga y persigue delitos contra la libertad de expresión de las personas periodistas. De 2018 a marzo 2025, se iniciaron 154 expedientes por estos delitos.</w:t>
      </w:r>
    </w:p>
    <w:p w:rsidR="00000000" w:rsidDel="00000000" w:rsidP="00000000" w:rsidRDefault="00000000" w:rsidRPr="00000000" w14:paraId="0000004C">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4D">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4E">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b w:val="1"/>
          <w:sz w:val="22"/>
          <w:szCs w:val="22"/>
          <w:shd w:fill="d9ead3" w:val="clear"/>
        </w:rPr>
      </w:pPr>
      <w:r w:rsidDel="00000000" w:rsidR="00000000" w:rsidRPr="00000000">
        <w:rPr>
          <w:rFonts w:ascii="Noto Sans" w:cs="Noto Sans" w:eastAsia="Noto Sans" w:hAnsi="Noto Sans"/>
          <w:b w:val="1"/>
          <w:sz w:val="22"/>
          <w:szCs w:val="22"/>
          <w:shd w:fill="d9ead3" w:val="clear"/>
          <w:rtl w:val="0"/>
        </w:rPr>
        <w:t xml:space="preserve">Investigación</w:t>
      </w:r>
    </w:p>
    <w:p w:rsidR="00000000" w:rsidDel="00000000" w:rsidP="00000000" w:rsidRDefault="00000000" w:rsidRPr="00000000" w14:paraId="0000004F">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50">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2019 a 2024, se capacitó a más de 44,000 elementos de seguridad y justicia en protocolos de atención a la violencia contra las mujeres. Entre 2021 y 2023, las agencias especializadas en feminicidio aumentaron 22% y las relacionadas con desapariciones, 55%. Actualmente, 89% de las fiscalías locales tienen protocolos para feminicidios y 59% para desapariciones. La FEVIMTRA coordina la Alerta AMBER México, con más de 7,400 personas capacitadas desde 2018, y en 2024 emitió lineamientos operativos obligatorios para fortalecer la coordinación.</w:t>
      </w:r>
      <w:r w:rsidDel="00000000" w:rsidR="00000000" w:rsidRPr="00000000">
        <w:rPr>
          <w:rtl w:val="0"/>
        </w:rPr>
      </w:r>
    </w:p>
    <w:p w:rsidR="00000000" w:rsidDel="00000000" w:rsidP="00000000" w:rsidRDefault="00000000" w:rsidRPr="00000000" w14:paraId="00000051">
      <w:pPr>
        <w:pBdr>
          <w:top w:color="auto" w:space="0" w:sz="0" w:val="none"/>
          <w:bottom w:color="auto" w:space="0" w:sz="0" w:val="none"/>
          <w:right w:color="auto" w:space="0" w:sz="0" w:val="none"/>
          <w:between w:color="auto" w:space="0" w:sz="0" w:val="none"/>
        </w:pBdr>
        <w:spacing w:after="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2">
      <w:pPr>
        <w:jc w:val="both"/>
        <w:rPr>
          <w:rFonts w:ascii="Noto Sans" w:cs="Noto Sans" w:eastAsia="Noto Sans" w:hAnsi="Noto Sans"/>
          <w:b w:val="1"/>
          <w:sz w:val="22"/>
          <w:szCs w:val="22"/>
          <w:shd w:fill="d9ead3" w:val="clear"/>
        </w:rPr>
      </w:pPr>
      <w:r w:rsidDel="00000000" w:rsidR="00000000" w:rsidRPr="00000000">
        <w:rPr>
          <w:rFonts w:ascii="Noto Sans" w:cs="Noto Sans" w:eastAsia="Noto Sans" w:hAnsi="Noto Sans"/>
          <w:b w:val="1"/>
          <w:sz w:val="22"/>
          <w:szCs w:val="22"/>
          <w:shd w:fill="d9ead3" w:val="clear"/>
          <w:rtl w:val="0"/>
        </w:rPr>
        <w:t xml:space="preserve">Reparación</w:t>
      </w:r>
    </w:p>
    <w:p w:rsidR="00000000" w:rsidDel="00000000" w:rsidP="00000000" w:rsidRDefault="00000000" w:rsidRPr="00000000" w14:paraId="00000053">
      <w:pPr>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w:t>
      </w:r>
      <w:r w:rsidDel="00000000" w:rsidR="00000000" w:rsidRPr="00000000">
        <w:rPr>
          <w:rFonts w:ascii="Noto Sans" w:cs="Noto Sans" w:eastAsia="Noto Sans" w:hAnsi="Noto Sans"/>
          <w:sz w:val="22"/>
          <w:szCs w:val="22"/>
          <w:rtl w:val="0"/>
        </w:rPr>
        <w:t xml:space="preserve">2018 a febrero de 2025, la CEAV a través del Registro Nacional de Víctimas (RENAVI) registró 43,927 mujeres víctimas de delitos y violaciones a derechos humanos, 86% de las mujeres víctimas deriva de la comisión de delitos; 9% de violaciones a derechos humanos y 5% de ambas; se otorgó un total de 450,145 atenciones en psicología, trabajo social y servicios médicos.  </w:t>
      </w:r>
    </w:p>
    <w:p w:rsidR="00000000" w:rsidDel="00000000" w:rsidP="00000000" w:rsidRDefault="00000000" w:rsidRPr="00000000" w14:paraId="00000054">
      <w:pPr>
        <w:spacing w:after="0" w:line="276"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2023 y 2024, la CEAV destinó 440,376,130.77 millones de pesos en compensaciones a mujeres víctimas, incluyendo 51 resoluciones por tortura, tortura sexual y trata. En 2024, brindó asesoría y representación legal a 18 mil mujeres y, con el apoyo del Fondo de Aportaciones para la Seguridad Pública (FASP),se contrataron 279 personas asesoras jurídicas que realizaron 165,683 acompañamientos, 49,984 y obtuvieron 13,553 sentencias condenatorias. En 2025,  asignaron $106,893,605.96, para fortalecer sus Comisiones de Atención a Víctimas, lo que representa un aumento del 550% respecto a 2019.</w:t>
      </w:r>
    </w:p>
    <w:p w:rsidR="00000000" w:rsidDel="00000000" w:rsidP="00000000" w:rsidRDefault="00000000" w:rsidRPr="00000000" w14:paraId="00000055">
      <w:pPr>
        <w:spacing w:after="0" w:line="276"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6">
      <w:pPr>
        <w:spacing w:after="0" w:line="276" w:lineRule="auto"/>
        <w:ind w:left="0" w:firstLine="0"/>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Violencia vicaria</w:t>
      </w:r>
    </w:p>
    <w:p w:rsidR="00000000" w:rsidDel="00000000" w:rsidP="00000000" w:rsidRDefault="00000000" w:rsidRPr="00000000" w14:paraId="00000057">
      <w:pPr>
        <w:spacing w:after="0" w:line="276"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LGAMVLV contempla la violencia vicaria y medidas de protección para la recuperación de niñas, niños y adolescentes. Yucatán, Quintana Roo, Sinaloa, Campeche, Michoacán, Tamaulipas, Veracruz y Ciudad de México han avanzado en su tipificación. El PIPASEVM incluye como línea de acción el diseño de un protocolo integral para la detección, prevención, atención, investigación y sanción de la violencia vicaria, garantizando la defensa y representación adecuada de las víctimas.</w:t>
      </w:r>
    </w:p>
    <w:p w:rsidR="00000000" w:rsidDel="00000000" w:rsidP="00000000" w:rsidRDefault="00000000" w:rsidRPr="00000000" w14:paraId="00000058">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9">
      <w:pPr>
        <w:jc w:val="both"/>
        <w:rPr>
          <w:rFonts w:ascii="Noto Sans" w:cs="Noto Sans" w:eastAsia="Noto Sans" w:hAnsi="Noto Sans"/>
          <w:b w:val="1"/>
          <w:sz w:val="22"/>
          <w:szCs w:val="22"/>
          <w:shd w:fill="d9ead3" w:val="clear"/>
        </w:rPr>
      </w:pPr>
      <w:r w:rsidDel="00000000" w:rsidR="00000000" w:rsidRPr="00000000">
        <w:rPr>
          <w:rtl w:val="0"/>
        </w:rPr>
      </w:r>
    </w:p>
    <w:p w:rsidR="00000000" w:rsidDel="00000000" w:rsidP="00000000" w:rsidRDefault="00000000" w:rsidRPr="00000000" w14:paraId="0000005A">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6</w:t>
      </w:r>
      <w:r w:rsidDel="00000000" w:rsidR="00000000" w:rsidRPr="00000000">
        <w:rPr>
          <w:rtl w:val="0"/>
        </w:rPr>
      </w:r>
    </w:p>
    <w:p w:rsidR="00000000" w:rsidDel="00000000" w:rsidP="00000000" w:rsidRDefault="00000000" w:rsidRPr="00000000" w14:paraId="0000005B">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Trata de p</w:t>
      </w:r>
      <w:r w:rsidDel="00000000" w:rsidR="00000000" w:rsidRPr="00000000">
        <w:rPr>
          <w:rFonts w:ascii="Noto Sans" w:cs="Noto Sans" w:eastAsia="Noto Sans" w:hAnsi="Noto Sans"/>
          <w:b w:val="1"/>
          <w:sz w:val="22"/>
          <w:szCs w:val="22"/>
          <w:rtl w:val="0"/>
        </w:rPr>
        <w:t xml:space="preserve">ersonas</w:t>
      </w:r>
      <w:r w:rsidDel="00000000" w:rsidR="00000000" w:rsidRPr="00000000">
        <w:rPr>
          <w:rtl w:val="0"/>
        </w:rPr>
      </w:r>
    </w:p>
    <w:p w:rsidR="00000000" w:rsidDel="00000000" w:rsidP="00000000" w:rsidRDefault="00000000" w:rsidRPr="00000000" w14:paraId="0000005C">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2022 a 2024, el Programa Nacional contra la Trata de Personas coordinó acciones en los tres niveles de gobierno e implementó un sistema nacional de información sobre el delito. Se integraron 179 carpetas y 24 procesos penales, con 16 sentencias condenatorias y 6 procedimientos abreviados.</w:t>
      </w:r>
    </w:p>
    <w:p w:rsidR="00000000" w:rsidDel="00000000" w:rsidP="00000000" w:rsidRDefault="00000000" w:rsidRPr="00000000" w14:paraId="0000005D">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E">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2018 a febrero de 2025, la CEAV brindó 6,637 servicios de atención a mujeres víctimas de trata e inscribió a 316. Representó legalmente a 252 víctimas, logrando 22 sentencias condenatorias y 6 procedimientos abreviados en 179 carpetas y 24 procesos penales.</w:t>
      </w:r>
    </w:p>
    <w:p w:rsidR="00000000" w:rsidDel="00000000" w:rsidP="00000000" w:rsidRDefault="00000000" w:rsidRPr="00000000" w14:paraId="0000005F">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0">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También emitió 51 resoluciones a favor de niñas y mujeres víctimas de tortura, tortura sexual y trata por un monto de $9,871,602.91 desglosados de la siguiente manera: i) compensación subsidiaria $3,626,031.40; ii) compensación a violaciones a Derechos Humanos $5,288,600.58. Se han brindado medidas de ayuda inmediata a niñas y mujeres en 40 resoluciones por un monto de 956,970.93 pesos.  </w:t>
      </w:r>
    </w:p>
    <w:p w:rsidR="00000000" w:rsidDel="00000000" w:rsidP="00000000" w:rsidRDefault="00000000" w:rsidRPr="00000000" w14:paraId="00000061">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2">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2024, la CEAV publicó la Cartilla de Prevención de Delitos en Materia de Trata de Personas, en español, inglés, francés y lenguas indígenas. </w:t>
      </w:r>
    </w:p>
    <w:p w:rsidR="00000000" w:rsidDel="00000000" w:rsidP="00000000" w:rsidRDefault="00000000" w:rsidRPr="00000000" w14:paraId="00000063">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4">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Todas las entidades federativas han creado comisiones y fiscalías dedicadas a la trata, y 14 entidades cuentan con reglamentos específicos para la implementación de la Ley General de Trata de Personas. </w:t>
      </w:r>
    </w:p>
    <w:p w:rsidR="00000000" w:rsidDel="00000000" w:rsidP="00000000" w:rsidRDefault="00000000" w:rsidRPr="00000000" w14:paraId="00000065">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6">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7 y 8</w:t>
      </w:r>
    </w:p>
    <w:p w:rsidR="00000000" w:rsidDel="00000000" w:rsidP="00000000" w:rsidRDefault="00000000" w:rsidRPr="00000000" w14:paraId="00000067">
      <w:pPr>
        <w:ind w:left="0" w:firstLine="0"/>
        <w:jc w:val="both"/>
        <w:rPr>
          <w:rFonts w:ascii="Noto Sans" w:cs="Noto Sans" w:eastAsia="Noto Sans" w:hAnsi="Noto Sans"/>
          <w:sz w:val="22"/>
          <w:szCs w:val="22"/>
        </w:rPr>
      </w:pPr>
      <w:hyperlink r:id="rId18">
        <w:r w:rsidDel="00000000" w:rsidR="00000000" w:rsidRPr="00000000">
          <w:rPr>
            <w:rFonts w:ascii="Noto Sans" w:cs="Noto Sans" w:eastAsia="Noto Sans" w:hAnsi="Noto Sans"/>
            <w:color w:val="1155cc"/>
            <w:sz w:val="22"/>
            <w:szCs w:val="22"/>
            <w:u w:val="single"/>
            <w:rtl w:val="0"/>
          </w:rPr>
          <w:t xml:space="preserve">Resoluciones judiciales en temas de violencia política contra las mujeres en razón de género.</w:t>
        </w:r>
      </w:hyperlink>
      <w:r w:rsidDel="00000000" w:rsidR="00000000" w:rsidRPr="00000000">
        <w:rPr>
          <w:rtl w:val="0"/>
        </w:rPr>
      </w:r>
    </w:p>
    <w:p w:rsidR="00000000" w:rsidDel="00000000" w:rsidP="00000000" w:rsidRDefault="00000000" w:rsidRPr="00000000" w14:paraId="00000068">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9</w:t>
      </w:r>
    </w:p>
    <w:p w:rsidR="00000000" w:rsidDel="00000000" w:rsidP="00000000" w:rsidRDefault="00000000" w:rsidRPr="00000000" w14:paraId="00000069">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Mujeres migrantes que retornan a México</w:t>
      </w:r>
    </w:p>
    <w:p w:rsidR="00000000" w:rsidDel="00000000" w:rsidP="00000000" w:rsidRDefault="00000000" w:rsidRPr="00000000" w14:paraId="0000006A">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modelo de atención consular busca brindar atención especializada para personas en situación de vulnerabilidad fuera de territorio nacional, particularmente las niñas, adolescentes y mujeres mexicanas migrantes en Estados Unidos. </w:t>
      </w:r>
    </w:p>
    <w:p w:rsidR="00000000" w:rsidDel="00000000" w:rsidP="00000000" w:rsidRDefault="00000000" w:rsidRPr="00000000" w14:paraId="0000006B">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C">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Existe el </w:t>
      </w:r>
      <w:r w:rsidDel="00000000" w:rsidR="00000000" w:rsidRPr="00000000">
        <w:rPr>
          <w:rFonts w:ascii="Noto Sans" w:cs="Noto Sans" w:eastAsia="Noto Sans" w:hAnsi="Noto Sans"/>
          <w:i w:val="1"/>
          <w:sz w:val="22"/>
          <w:szCs w:val="22"/>
          <w:rtl w:val="0"/>
        </w:rPr>
        <w:t xml:space="preserve">Protocolo de atención consular para personas víctimas de violencia basada en el género</w:t>
      </w:r>
      <w:r w:rsidDel="00000000" w:rsidR="00000000" w:rsidRPr="00000000">
        <w:rPr>
          <w:rFonts w:ascii="Noto Sans" w:cs="Noto Sans" w:eastAsia="Noto Sans" w:hAnsi="Noto Sans"/>
          <w:sz w:val="22"/>
          <w:szCs w:val="22"/>
          <w:rtl w:val="0"/>
        </w:rPr>
        <w:t xml:space="preserve">, realizado en conjunto con ONU Mujeres. De 2024 a 2025, la red consular de México en el exterior atendió 853 casos de personas víctimas de maltrato. Las representaciones de México en el exterior instrumentan la </w:t>
      </w:r>
      <w:r w:rsidDel="00000000" w:rsidR="00000000" w:rsidRPr="00000000">
        <w:rPr>
          <w:rFonts w:ascii="Noto Sans" w:cs="Noto Sans" w:eastAsia="Noto Sans" w:hAnsi="Noto Sans"/>
          <w:i w:val="1"/>
          <w:sz w:val="22"/>
          <w:szCs w:val="22"/>
          <w:rtl w:val="0"/>
        </w:rPr>
        <w:t xml:space="preserve">Política de Vinculación y Atención Integral para la Mujer</w:t>
      </w:r>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06D">
      <w:pPr>
        <w:pBdr>
          <w:top w:color="auto" w:space="0" w:sz="0" w:val="none"/>
          <w:bottom w:color="auto" w:space="0" w:sz="0" w:val="none"/>
          <w:right w:color="auto" w:space="0" w:sz="0" w:val="none"/>
          <w:between w:color="auto" w:space="0" w:sz="0" w:val="none"/>
        </w:pBdr>
        <w:spacing w:after="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E">
      <w:pPr>
        <w:pBdr>
          <w:top w:color="auto" w:space="0" w:sz="0" w:val="none"/>
          <w:bottom w:color="auto" w:space="0" w:sz="0" w:val="none"/>
          <w:right w:color="auto" w:space="0" w:sz="0" w:val="none"/>
          <w:between w:color="auto" w:space="0" w:sz="0" w:val="none"/>
        </w:pBd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la estrategia </w:t>
      </w:r>
      <w:r w:rsidDel="00000000" w:rsidR="00000000" w:rsidRPr="00000000">
        <w:rPr>
          <w:rFonts w:ascii="Noto Sans" w:cs="Noto Sans" w:eastAsia="Noto Sans" w:hAnsi="Noto Sans"/>
          <w:i w:val="1"/>
          <w:sz w:val="22"/>
          <w:szCs w:val="22"/>
          <w:rtl w:val="0"/>
        </w:rPr>
        <w:t xml:space="preserve">México te abraza</w:t>
      </w:r>
      <w:r w:rsidDel="00000000" w:rsidR="00000000" w:rsidRPr="00000000">
        <w:rPr>
          <w:rFonts w:ascii="Noto Sans" w:cs="Noto Sans" w:eastAsia="Noto Sans" w:hAnsi="Noto Sans"/>
          <w:sz w:val="22"/>
          <w:szCs w:val="22"/>
          <w:rtl w:val="0"/>
        </w:rPr>
        <w:t xml:space="preserve">, SEMUJERES y Secretaría de Gobernación diseñó la Ruta general para la atención de mujeres migrantes con 3 enfoques: inclusión, derechos humanos y género. La ruta de atención establece 4 niveles de atención: i) atención inicial de primer contacto; ii) atención básica inmediata; iii) referencia para atención especializada; iv) seguimiento y contrareferencia. </w:t>
      </w:r>
    </w:p>
    <w:p w:rsidR="00000000" w:rsidDel="00000000" w:rsidP="00000000" w:rsidRDefault="00000000" w:rsidRPr="00000000" w14:paraId="0000006F">
      <w:pP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0">
      <w:pPr>
        <w:spacing w:after="0" w:lineRule="auto"/>
        <w:ind w:left="0" w:firstLine="0"/>
        <w:jc w:val="both"/>
        <w:rPr>
          <w:rFonts w:ascii="Noto Sans" w:cs="Noto Sans" w:eastAsia="Noto Sans" w:hAnsi="Noto Sans"/>
          <w:b w:val="1"/>
          <w:i w:val="1"/>
          <w:sz w:val="22"/>
          <w:szCs w:val="22"/>
        </w:rPr>
      </w:pPr>
      <w:r w:rsidDel="00000000" w:rsidR="00000000" w:rsidRPr="00000000">
        <w:rPr>
          <w:rFonts w:ascii="Noto Sans" w:cs="Noto Sans" w:eastAsia="Noto Sans" w:hAnsi="Noto Sans"/>
          <w:sz w:val="22"/>
          <w:szCs w:val="22"/>
          <w:rtl w:val="0"/>
        </w:rPr>
        <w:t xml:space="preserve">Desde enero, SEMUJERES coordina las Células de Promoción de Derechos y Atención a Mujeres en Migración, que realizan talleres y pláticas informativas con mujeres y NNA en contextos migratorios. </w:t>
      </w:r>
      <w:r w:rsidDel="00000000" w:rsidR="00000000" w:rsidRPr="00000000">
        <w:rPr>
          <w:rtl w:val="0"/>
        </w:rPr>
      </w:r>
    </w:p>
    <w:p w:rsidR="00000000" w:rsidDel="00000000" w:rsidP="00000000" w:rsidRDefault="00000000" w:rsidRPr="00000000" w14:paraId="00000071">
      <w:pPr>
        <w:jc w:val="both"/>
        <w:rPr>
          <w:rFonts w:ascii="Noto Sans" w:cs="Noto Sans" w:eastAsia="Noto Sans" w:hAnsi="Noto Sans"/>
          <w:b w:val="1"/>
          <w:i w:val="1"/>
          <w:sz w:val="22"/>
          <w:szCs w:val="22"/>
        </w:rPr>
      </w:pPr>
      <w:r w:rsidDel="00000000" w:rsidR="00000000" w:rsidRPr="00000000">
        <w:rPr>
          <w:rtl w:val="0"/>
        </w:rPr>
      </w:r>
    </w:p>
    <w:p w:rsidR="00000000" w:rsidDel="00000000" w:rsidP="00000000" w:rsidRDefault="00000000" w:rsidRPr="00000000" w14:paraId="00000072">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10 </w:t>
      </w:r>
    </w:p>
    <w:p w:rsidR="00000000" w:rsidDel="00000000" w:rsidP="00000000" w:rsidRDefault="00000000" w:rsidRPr="00000000" w14:paraId="00000073">
      <w:pPr>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Jóvenes construyendo el futuro</w:t>
      </w:r>
    </w:p>
    <w:p w:rsidR="00000000" w:rsidDel="00000000" w:rsidP="00000000" w:rsidRDefault="00000000" w:rsidRPr="00000000" w14:paraId="00000074">
      <w:pPr>
        <w:jc w:val="both"/>
        <w:rPr>
          <w:rFonts w:ascii="Noto Sans" w:cs="Noto Sans" w:eastAsia="Noto Sans" w:hAnsi="Noto Sans"/>
          <w:b w:val="1"/>
          <w:sz w:val="22"/>
          <w:szCs w:val="22"/>
        </w:rPr>
      </w:pPr>
      <w:hyperlink r:id="rId19">
        <w:r w:rsidDel="00000000" w:rsidR="00000000" w:rsidRPr="00000000">
          <w:rPr>
            <w:rFonts w:ascii="Noto Sans" w:cs="Noto Sans" w:eastAsia="Noto Sans" w:hAnsi="Noto Sans"/>
            <w:color w:val="1155cc"/>
            <w:sz w:val="22"/>
            <w:szCs w:val="22"/>
            <w:u w:val="single"/>
            <w:rtl w:val="0"/>
          </w:rPr>
          <w:t xml:space="preserve">Evaluación del programa “Jóvenes construyendo el futuro”. </w:t>
        </w:r>
      </w:hyperlink>
      <w:r w:rsidDel="00000000" w:rsidR="00000000" w:rsidRPr="00000000">
        <w:rPr>
          <w:rtl w:val="0"/>
        </w:rPr>
      </w:r>
    </w:p>
    <w:p w:rsidR="00000000" w:rsidDel="00000000" w:rsidP="00000000" w:rsidRDefault="00000000" w:rsidRPr="00000000" w14:paraId="00000075">
      <w:pPr>
        <w:spacing w:after="0" w:lineRule="auto"/>
        <w:ind w:left="0" w:firstLine="0"/>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11</w:t>
      </w:r>
    </w:p>
    <w:p w:rsidR="00000000" w:rsidDel="00000000" w:rsidP="00000000" w:rsidRDefault="00000000" w:rsidRPr="00000000" w14:paraId="00000076">
      <w:pPr>
        <w:spacing w:after="0" w:lineRule="auto"/>
        <w:ind w:left="0" w:firstLine="0"/>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77">
      <w:pPr>
        <w:spacing w:after="0" w:lineRule="auto"/>
        <w:ind w:left="0" w:firstLine="0"/>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Brecha salarial de género</w:t>
      </w:r>
    </w:p>
    <w:p w:rsidR="00000000" w:rsidDel="00000000" w:rsidP="00000000" w:rsidRDefault="00000000" w:rsidRPr="00000000" w14:paraId="00000078">
      <w:pPr>
        <w:spacing w:after="0" w:lineRule="auto"/>
        <w:ind w:left="0" w:firstLine="0"/>
        <w:jc w:val="both"/>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79">
      <w:pP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2019 a 2024, la brecha salarial de género se redujo 29% a nivel municipal. En aquellos municipios con los salarios más bajos, se redujo 66%. </w:t>
      </w:r>
    </w:p>
    <w:p w:rsidR="00000000" w:rsidDel="00000000" w:rsidP="00000000" w:rsidRDefault="00000000" w:rsidRPr="00000000" w14:paraId="0000007A">
      <w:pPr>
        <w:spacing w:after="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B">
      <w:pPr>
        <w:spacing w:after="0" w:lineRule="auto"/>
        <w:ind w:left="0" w:firstLine="0"/>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Protocolos de inspección</w:t>
      </w:r>
    </w:p>
    <w:p w:rsidR="00000000" w:rsidDel="00000000" w:rsidP="00000000" w:rsidRDefault="00000000" w:rsidRPr="00000000" w14:paraId="0000007C">
      <w:pP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D">
      <w:pPr>
        <w:spacing w:after="0" w:lineRule="auto"/>
        <w:ind w:lef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w:t>
      </w:r>
      <w:hyperlink r:id="rId20">
        <w:r w:rsidDel="00000000" w:rsidR="00000000" w:rsidRPr="00000000">
          <w:rPr>
            <w:rFonts w:ascii="Noto Sans" w:cs="Noto Sans" w:eastAsia="Noto Sans" w:hAnsi="Noto Sans"/>
            <w:color w:val="1155cc"/>
            <w:sz w:val="22"/>
            <w:szCs w:val="22"/>
            <w:u w:val="single"/>
            <w:rtl w:val="0"/>
          </w:rPr>
          <w:t xml:space="preserve">Protocolo de Inspección con Perspectiva de Género</w:t>
        </w:r>
      </w:hyperlink>
      <w:r w:rsidDel="00000000" w:rsidR="00000000" w:rsidRPr="00000000">
        <w:rPr>
          <w:rFonts w:ascii="Noto Sans" w:cs="Noto Sans" w:eastAsia="Noto Sans" w:hAnsi="Noto Sans"/>
          <w:sz w:val="22"/>
          <w:szCs w:val="22"/>
          <w:rtl w:val="0"/>
        </w:rPr>
        <w:t xml:space="preserve">, cumple las obligaciones de igualdad de género por parte de las personas  empleadoras. Los centros de trabajo acreditan que las personas trabajadoras que se encuentren en un mismo nivel y puesto, o que realicen un trabajo igual, perciban el mismo salario.</w:t>
      </w:r>
    </w:p>
    <w:p w:rsidR="00000000" w:rsidDel="00000000" w:rsidP="00000000" w:rsidRDefault="00000000" w:rsidRPr="00000000" w14:paraId="0000007E">
      <w:pPr>
        <w:spacing w:after="0" w:lineRule="auto"/>
        <w:ind w:lef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F">
      <w:pPr>
        <w:spacing w:after="0" w:line="240" w:lineRule="auto"/>
        <w:ind w:left="0" w:firstLine="0"/>
        <w:jc w:val="left"/>
        <w:rPr>
          <w:rFonts w:ascii="Noto Sans" w:cs="Noto Sans" w:eastAsia="Noto Sans" w:hAnsi="Noto Sans"/>
          <w:b w:val="1"/>
          <w:sz w:val="22"/>
          <w:szCs w:val="22"/>
          <w:highlight w:val="yellow"/>
        </w:rPr>
      </w:pPr>
      <w:r w:rsidDel="00000000" w:rsidR="00000000" w:rsidRPr="00000000">
        <w:rPr>
          <w:rFonts w:ascii="Noto Sans" w:cs="Noto Sans" w:eastAsia="Noto Sans" w:hAnsi="Noto Sans"/>
          <w:b w:val="1"/>
          <w:sz w:val="22"/>
          <w:szCs w:val="22"/>
          <w:rtl w:val="0"/>
        </w:rPr>
        <w:t xml:space="preserve">Seguridad social</w:t>
      </w:r>
      <w:r w:rsidDel="00000000" w:rsidR="00000000" w:rsidRPr="00000000">
        <w:rPr>
          <w:rtl w:val="0"/>
        </w:rPr>
      </w:r>
    </w:p>
    <w:p w:rsidR="00000000" w:rsidDel="00000000" w:rsidP="00000000" w:rsidRDefault="00000000" w:rsidRPr="00000000" w14:paraId="00000080">
      <w:pPr>
        <w:spacing w:after="0" w:line="240" w:lineRule="auto"/>
        <w:ind w:left="0" w:firstLine="0"/>
        <w:jc w:val="left"/>
        <w:rPr>
          <w:rFonts w:ascii="Noto Sans" w:cs="Noto Sans" w:eastAsia="Noto Sans" w:hAnsi="Noto Sans"/>
          <w:sz w:val="22"/>
          <w:szCs w:val="22"/>
          <w:highlight w:val="yellow"/>
        </w:rPr>
      </w:pPr>
      <w:r w:rsidDel="00000000" w:rsidR="00000000" w:rsidRPr="00000000">
        <w:rPr>
          <w:rtl w:val="0"/>
        </w:rPr>
      </w:r>
    </w:p>
    <w:p w:rsidR="00000000" w:rsidDel="00000000" w:rsidP="00000000" w:rsidRDefault="00000000" w:rsidRPr="00000000" w14:paraId="00000081">
      <w:pPr>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2019, el IMSS diseñó un programa para incorporar a las personas trabajadoras del hogar al régimen obligatorio. Desde 2022, su afiliación es obligatoria y permite registrar beneficiarios. A la fecha, se han inscrito 59,642 personas, de las cuales el 66 % (39,584) son mujeres.</w:t>
      </w:r>
    </w:p>
    <w:p w:rsidR="00000000" w:rsidDel="00000000" w:rsidP="00000000" w:rsidRDefault="00000000" w:rsidRPr="00000000" w14:paraId="00000082">
      <w:pPr>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esquema dirigido a personas trabajadoras del campo (eventuales) y que pueden vivir en zonas rurales desde 2007  continuará hasta el 31 de diciembre de 2025; facilita el acceso a la seguridad social para las mujeres trabajadoras del campo. Hay 20,114 mujeres que laboran para una persona empleadora adherida a este decreto.</w:t>
      </w:r>
    </w:p>
    <w:p w:rsidR="00000000" w:rsidDel="00000000" w:rsidP="00000000" w:rsidRDefault="00000000" w:rsidRPr="00000000" w14:paraId="00000083">
      <w:pPr>
        <w:spacing w:after="0" w:line="240" w:lineRule="auto"/>
        <w:ind w:left="0" w:firstLine="0"/>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4">
      <w:pPr>
        <w:spacing w:after="0" w:line="240" w:lineRule="auto"/>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12</w:t>
      </w:r>
    </w:p>
    <w:p w:rsidR="00000000" w:rsidDel="00000000" w:rsidP="00000000" w:rsidRDefault="00000000" w:rsidRPr="00000000" w14:paraId="00000085">
      <w:pPr>
        <w:spacing w:after="0" w:line="240" w:lineRule="auto"/>
        <w:ind w:left="0" w:firstLine="0"/>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6">
      <w:pPr>
        <w:spacing w:after="0" w:line="240" w:lineRule="auto"/>
        <w:ind w:left="0" w:firstLine="0"/>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Mujeres con discapacidad y salud sexual y reproductiva</w:t>
      </w:r>
    </w:p>
    <w:p w:rsidR="00000000" w:rsidDel="00000000" w:rsidP="00000000" w:rsidRDefault="00000000" w:rsidRPr="00000000" w14:paraId="00000087">
      <w:pPr>
        <w:spacing w:after="0" w:line="24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8">
      <w:pP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Existe el Modelo de Atención a la Salud con Mecanismos Incluyentes (US-MoASMI) para cerrar las brechas de desigualdad con las personas con discapacidad. En 2024, había 191 Unidades de salud que atienden bajo los Lineamientos del Modelo de Atención a la Salud con Mecanismos Incluyentes, brindando atención a personas con discapacidad. </w:t>
      </w:r>
    </w:p>
    <w:p w:rsidR="00000000" w:rsidDel="00000000" w:rsidP="00000000" w:rsidRDefault="00000000" w:rsidRPr="00000000" w14:paraId="00000089">
      <w:pPr>
        <w:spacing w:after="0" w:line="276"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A">
      <w:pP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2023-2024, se capacitaron 329 personal de salud, en atención a la discapacidad (245 mujeres y 84 hombres). De 2021-2024 se capacitaron en diversas temáticas de salud con enfoque de género a 729 personas usuarias con discapacidad (601 mujeres y 128 hombres).</w:t>
      </w:r>
    </w:p>
    <w:p w:rsidR="00000000" w:rsidDel="00000000" w:rsidP="00000000" w:rsidRDefault="00000000" w:rsidRPr="00000000" w14:paraId="0000008B">
      <w:pPr>
        <w:spacing w:after="0" w:line="276"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C">
      <w:pP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Durante 2023-2024, 275 personas con discapacidad y/o personas cuidadoras se capacitaron en temas de sexualidad saludable en niñas, adolescentes y mujeres con discapacidad.</w:t>
      </w:r>
    </w:p>
    <w:p w:rsidR="00000000" w:rsidDel="00000000" w:rsidP="00000000" w:rsidRDefault="00000000" w:rsidRPr="00000000" w14:paraId="0000008D">
      <w:pPr>
        <w:spacing w:after="0" w:line="276"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E">
      <w:pP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Durante el periodo 2023-2024, se capacitaron 329 personal de salud, en atención a la discapacidad (245 mujeres y 84 hombres). </w:t>
      </w:r>
    </w:p>
    <w:p w:rsidR="00000000" w:rsidDel="00000000" w:rsidP="00000000" w:rsidRDefault="00000000" w:rsidRPr="00000000" w14:paraId="0000008F">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0">
      <w:pPr>
        <w:spacing w:after="0" w:line="240" w:lineRule="auto"/>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Penalización del aborto</w:t>
      </w:r>
    </w:p>
    <w:p w:rsidR="00000000" w:rsidDel="00000000" w:rsidP="00000000" w:rsidRDefault="00000000" w:rsidRPr="00000000" w14:paraId="00000091">
      <w:pPr>
        <w:spacing w:after="0" w:line="276"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2">
      <w:pP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México no hay mujeres privadas de la libertad por aborto, ya que se han encontrado soluciones al proceso que permiten obtener su libertad; no obstante, el Estado revisará la situación de mujeres procesadas por otros tipos penales bajo los cuales podrían advertirse hechos relacionados a su decisión de interrumpir voluntariamente el embarazo.</w:t>
      </w:r>
    </w:p>
    <w:p w:rsidR="00000000" w:rsidDel="00000000" w:rsidP="00000000" w:rsidRDefault="00000000" w:rsidRPr="00000000" w14:paraId="00000093">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4">
      <w:pPr>
        <w:spacing w:after="0" w:line="240" w:lineRule="auto"/>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13</w:t>
      </w:r>
    </w:p>
    <w:p w:rsidR="00000000" w:rsidDel="00000000" w:rsidP="00000000" w:rsidRDefault="00000000" w:rsidRPr="00000000" w14:paraId="00000095">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6">
      <w:pPr>
        <w:spacing w:after="0" w:line="240" w:lineRule="auto"/>
        <w:jc w:val="left"/>
        <w:rPr>
          <w:rFonts w:ascii="Noto Sans" w:cs="Noto Sans" w:eastAsia="Noto Sans" w:hAnsi="Noto Sans"/>
          <w:sz w:val="22"/>
          <w:szCs w:val="22"/>
        </w:rPr>
      </w:pPr>
      <w:r w:rsidDel="00000000" w:rsidR="00000000" w:rsidRPr="00000000">
        <w:rPr>
          <w:rFonts w:ascii="Noto Sans" w:cs="Noto Sans" w:eastAsia="Noto Sans" w:hAnsi="Noto Sans"/>
          <w:b w:val="1"/>
          <w:sz w:val="22"/>
          <w:szCs w:val="22"/>
          <w:rtl w:val="0"/>
        </w:rPr>
        <w:t xml:space="preserve">Créditos para las mujeres</w:t>
      </w:r>
      <w:r w:rsidDel="00000000" w:rsidR="00000000" w:rsidRPr="00000000">
        <w:rPr>
          <w:rtl w:val="0"/>
        </w:rPr>
      </w:r>
    </w:p>
    <w:p w:rsidR="00000000" w:rsidDel="00000000" w:rsidP="00000000" w:rsidRDefault="00000000" w:rsidRPr="00000000" w14:paraId="00000097">
      <w:pPr>
        <w:widowControl w:val="0"/>
        <w:spacing w:after="240" w:before="24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Programa de Microcréditos para el Bienestar, ha otorgado 1.25 millones de apoyos, beneficiando un 70.5% a mujeres. En 2024, los programas “Crédito Solidario 1 y 2”, “Libertad Mujer” y “Crédito Productivo” financiaron proyectos de 26,290 mujeres emprendedoras. </w:t>
      </w:r>
    </w:p>
    <w:p w:rsidR="00000000" w:rsidDel="00000000" w:rsidP="00000000" w:rsidRDefault="00000000" w:rsidRPr="00000000" w14:paraId="00000098">
      <w:pPr>
        <w:widowControl w:val="0"/>
        <w:spacing w:after="240" w:before="24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programa “Mujeres en la Transformación Digital” ha capacitado a más de 700 mujeres para su inclusión en el mercado digital. Sembrando Vida exige al menos 20 % de participación femenina, promoviendo el acceso de productoras a tierras, insumos y apoyos económicos.</w:t>
      </w:r>
    </w:p>
    <w:p w:rsidR="00000000" w:rsidDel="00000000" w:rsidP="00000000" w:rsidRDefault="00000000" w:rsidRPr="00000000" w14:paraId="00000099">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A">
      <w:pPr>
        <w:spacing w:after="0" w:line="240" w:lineRule="auto"/>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Cuestiones agrarias</w:t>
      </w:r>
    </w:p>
    <w:p w:rsidR="00000000" w:rsidDel="00000000" w:rsidP="00000000" w:rsidRDefault="00000000" w:rsidRPr="00000000" w14:paraId="0000009B">
      <w:pPr>
        <w:widowControl w:val="0"/>
        <w:spacing w:after="240" w:before="240" w:line="276" w:lineRule="auto"/>
        <w:jc w:val="both"/>
        <w:rPr>
          <w:rFonts w:ascii="Noto Sans" w:cs="Noto Sans" w:eastAsia="Noto Sans" w:hAnsi="Noto Sans"/>
          <w:b w:val="1"/>
          <w:sz w:val="22"/>
          <w:szCs w:val="22"/>
        </w:rPr>
      </w:pPr>
      <w:r w:rsidDel="00000000" w:rsidR="00000000" w:rsidRPr="00000000">
        <w:rPr>
          <w:rFonts w:ascii="Noto Sans" w:cs="Noto Sans" w:eastAsia="Noto Sans" w:hAnsi="Noto Sans"/>
          <w:sz w:val="22"/>
          <w:szCs w:val="22"/>
          <w:rtl w:val="0"/>
        </w:rPr>
        <w:t xml:space="preserve">El Gobierno de México impulsa las Caravanas para Mujeres en la Propiedad Social, acercando servicios agrarios y asesorías en los tres niveles de gobierno. Atiende el rezago agrario revisando juicios sucesorios y facilita el acceso de mujeres indígenas a la titularidad con pertinencia cultural y respeto a sus normas internas.</w:t>
      </w:r>
      <w:r w:rsidDel="00000000" w:rsidR="00000000" w:rsidRPr="00000000">
        <w:rPr>
          <w:rtl w:val="0"/>
        </w:rPr>
      </w:r>
    </w:p>
    <w:p w:rsidR="00000000" w:rsidDel="00000000" w:rsidP="00000000" w:rsidRDefault="00000000" w:rsidRPr="00000000" w14:paraId="0000009C">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D">
      <w:pPr>
        <w:spacing w:after="0" w:lineRule="auto"/>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Mujeres en entornos forestales </w:t>
      </w:r>
    </w:p>
    <w:p w:rsidR="00000000" w:rsidDel="00000000" w:rsidP="00000000" w:rsidRDefault="00000000" w:rsidRPr="00000000" w14:paraId="0000009E">
      <w:pPr>
        <w:spacing w:after="0" w:line="276"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Los programas PROCODES y PROREST incorporan acciones afirmativas de género, incluyendo apoyos para materiales de uso doméstico, tareas escolares, traslados a centros educativos o de rehabilitación para hijas e hijos, e instalación de comedores comunitarios.</w:t>
      </w:r>
    </w:p>
    <w:p w:rsidR="00000000" w:rsidDel="00000000" w:rsidP="00000000" w:rsidRDefault="00000000" w:rsidRPr="00000000" w14:paraId="0000009F">
      <w:pPr>
        <w:spacing w:after="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0">
      <w:pPr>
        <w:spacing w:after="0" w:lineRule="auto"/>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2020 a 2021, la CONAFOR impulsó Proyectos Productivos Forestales para Mujeres y creó “Cuidados para la Igualdad”, destinando hasta el 20 % del recurso a labores de cuidado.</w:t>
      </w:r>
    </w:p>
    <w:p w:rsidR="00000000" w:rsidDel="00000000" w:rsidP="00000000" w:rsidRDefault="00000000" w:rsidRPr="00000000" w14:paraId="000000A1">
      <w:pPr>
        <w:spacing w:after="0" w:lineRule="auto"/>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2">
      <w:pPr>
        <w:spacing w:after="0" w:line="240" w:lineRule="auto"/>
        <w:jc w:val="left"/>
        <w:rPr>
          <w:rFonts w:ascii="Noto Sans" w:cs="Noto Sans" w:eastAsia="Noto Sans" w:hAnsi="Noto Sans"/>
          <w:sz w:val="22"/>
          <w:szCs w:val="22"/>
        </w:rPr>
      </w:pPr>
      <w:r w:rsidDel="00000000" w:rsidR="00000000" w:rsidRPr="00000000">
        <w:rPr>
          <w:rFonts w:ascii="Noto Sans" w:cs="Noto Sans" w:eastAsia="Noto Sans" w:hAnsi="Noto Sans"/>
          <w:b w:val="1"/>
          <w:sz w:val="22"/>
          <w:szCs w:val="22"/>
          <w:rtl w:val="0"/>
        </w:rPr>
        <w:t xml:space="preserve">ARTÍCULO 14</w:t>
      </w:r>
      <w:r w:rsidDel="00000000" w:rsidR="00000000" w:rsidRPr="00000000">
        <w:rPr>
          <w:rtl w:val="0"/>
        </w:rPr>
      </w:r>
    </w:p>
    <w:p w:rsidR="00000000" w:rsidDel="00000000" w:rsidP="00000000" w:rsidRDefault="00000000" w:rsidRPr="00000000" w14:paraId="000000A3">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4">
      <w:pPr>
        <w:spacing w:after="0" w:line="240" w:lineRule="auto"/>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Acceso a documentos oficiales </w:t>
      </w:r>
    </w:p>
    <w:p w:rsidR="00000000" w:rsidDel="00000000" w:rsidP="00000000" w:rsidRDefault="00000000" w:rsidRPr="00000000" w14:paraId="000000A5">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Se suscribieron</w:t>
      </w:r>
      <w:r w:rsidDel="00000000" w:rsidR="00000000" w:rsidRPr="00000000">
        <w:rPr>
          <w:rFonts w:ascii="Noto Sans" w:cs="Noto Sans" w:eastAsia="Noto Sans" w:hAnsi="Noto Sans"/>
          <w:sz w:val="22"/>
          <w:szCs w:val="22"/>
          <w:rtl w:val="0"/>
        </w:rPr>
        <w:t xml:space="preserve"> convenios de concertación con comunidades indígenas, logrando la emisión de más de 9,605 actas de nacimiento, 1,550 claves CURP, 3,563 registros de actas extemporáneas y 351 trámites de corrección de actas de nacimiento.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coordinación con registros civiles permitió realizar 8 campañas de registro civil que beneficiaron a 38,650 personas</w:t>
      </w:r>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Igualdad de género en las comunidades</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Consejo Nacional de los Pueblos Indígenas es un órgano colegiado de representación y asesoría que vincula a los pueblos indígenas y afromexicano con el INPI y otras dependencias para impulsar sus derechos y bienestar. Cuenta con una mesa específica para mujeres indígenas y afromexicanas.</w:t>
      </w:r>
    </w:p>
    <w:p w:rsidR="00000000" w:rsidDel="00000000" w:rsidP="00000000" w:rsidRDefault="00000000" w:rsidRPr="00000000" w14:paraId="000000AD">
      <w:pPr>
        <w:spacing w:after="0" w:line="240" w:lineRule="auto"/>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E">
      <w:pPr>
        <w:spacing w:after="0" w:line="240" w:lineRule="auto"/>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ARTÍCULO 15</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Combate al matrimonio infantil y otras uniones tempranas</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PROBIPI apoya proyectos para prevenir el matrimonio infantil en niñas indígenas. En 4 de las 35 Casas de la Mujer Indígena se imparten talleres sobre violencia, matrimonio forzado y trata de personas.</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Comisión para la Igualdad Sustantiva entre NNA del Sistema Nacional de Protección Integral de NNA, impulsó la Estrategia de atención y protección integral a la niñez y adolescencia indígena y afromexicana 2022-2024. </w:t>
      </w:r>
      <w:r w:rsidDel="00000000" w:rsidR="00000000" w:rsidRPr="00000000">
        <w:rPr>
          <w:rtl w:val="0"/>
        </w:rPr>
      </w:r>
    </w:p>
    <w:sectPr>
      <w:headerReference r:id="rId21" w:type="default"/>
      <w:footerReference r:id="rId22"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 w:name="No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-190497</wp:posOffset>
          </wp:positionV>
          <wp:extent cx="7591425" cy="1192530"/>
          <wp:effectExtent b="0" l="0" r="0" t="0"/>
          <wp:wrapNone/>
          <wp:docPr id="8" name="image3.png"/>
          <a:graphic>
            <a:graphicData uri="http://schemas.openxmlformats.org/drawingml/2006/picture">
              <pic:pic>
                <pic:nvPicPr>
                  <pic:cNvPr id="0" name="image3.png"/>
                  <pic:cNvPicPr preferRelativeResize="0"/>
                </pic:nvPicPr>
                <pic:blipFill>
                  <a:blip r:embed="rId1"/>
                  <a:srcRect b="0" l="0" r="0" t="86859"/>
                  <a:stretch>
                    <a:fillRect/>
                  </a:stretch>
                </pic:blipFill>
                <pic:spPr>
                  <a:xfrm>
                    <a:off x="0" y="0"/>
                    <a:ext cx="7591425" cy="119253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-163828</wp:posOffset>
          </wp:positionV>
          <wp:extent cx="3255645" cy="600075"/>
          <wp:effectExtent b="0" l="0" r="0" t="0"/>
          <wp:wrapNone/>
          <wp:docPr id="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3255645" cy="60007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3878579</wp:posOffset>
          </wp:positionH>
          <wp:positionV relativeFrom="paragraph">
            <wp:posOffset>-40003</wp:posOffset>
          </wp:positionV>
          <wp:extent cx="1733550" cy="408305"/>
          <wp:effectExtent b="0" l="0" r="0" t="0"/>
          <wp:wrapNone/>
          <wp:docPr id="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733550" cy="40830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s-MX"/>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Ttulo1">
    <w:name w:val="heading 1"/>
    <w:basedOn w:val="Normal"/>
    <w:next w:val="Normal"/>
    <w:link w:val="Ttulo1Car"/>
    <w:uiPriority w:val="9"/>
    <w:qFormat w:val="1"/>
    <w:rsid w:val="008D63CF"/>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Ttulo2">
    <w:name w:val="heading 2"/>
    <w:basedOn w:val="Normal"/>
    <w:next w:val="Normal"/>
    <w:link w:val="Ttulo2Car"/>
    <w:uiPriority w:val="9"/>
    <w:semiHidden w:val="1"/>
    <w:unhideWhenUsed w:val="1"/>
    <w:qFormat w:val="1"/>
    <w:rsid w:val="008D63CF"/>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Ttulo3">
    <w:name w:val="heading 3"/>
    <w:basedOn w:val="Normal"/>
    <w:next w:val="Normal"/>
    <w:link w:val="Ttulo3Car"/>
    <w:uiPriority w:val="9"/>
    <w:semiHidden w:val="1"/>
    <w:unhideWhenUsed w:val="1"/>
    <w:qFormat w:val="1"/>
    <w:rsid w:val="008D63CF"/>
    <w:pPr>
      <w:keepNext w:val="1"/>
      <w:keepLines w:val="1"/>
      <w:spacing w:after="80" w:before="160"/>
      <w:outlineLvl w:val="2"/>
    </w:pPr>
    <w:rPr>
      <w:rFonts w:cstheme="majorBidi" w:eastAsiaTheme="majorEastAsia"/>
      <w:color w:val="0f4761" w:themeColor="accent1" w:themeShade="0000BF"/>
      <w:sz w:val="28"/>
      <w:szCs w:val="28"/>
    </w:rPr>
  </w:style>
  <w:style w:type="paragraph" w:styleId="Ttulo4">
    <w:name w:val="heading 4"/>
    <w:basedOn w:val="Normal"/>
    <w:next w:val="Normal"/>
    <w:link w:val="Ttulo4Car"/>
    <w:uiPriority w:val="9"/>
    <w:semiHidden w:val="1"/>
    <w:unhideWhenUsed w:val="1"/>
    <w:qFormat w:val="1"/>
    <w:rsid w:val="008D63CF"/>
    <w:pPr>
      <w:keepNext w:val="1"/>
      <w:keepLines w:val="1"/>
      <w:spacing w:after="40" w:before="80"/>
      <w:outlineLvl w:val="3"/>
    </w:pPr>
    <w:rPr>
      <w:rFonts w:cstheme="majorBidi" w:eastAsiaTheme="majorEastAsia"/>
      <w:i w:val="1"/>
      <w:iCs w:val="1"/>
      <w:color w:val="0f4761" w:themeColor="accent1" w:themeShade="0000BF"/>
    </w:rPr>
  </w:style>
  <w:style w:type="paragraph" w:styleId="Ttulo5">
    <w:name w:val="heading 5"/>
    <w:basedOn w:val="Normal"/>
    <w:next w:val="Normal"/>
    <w:link w:val="Ttulo5Car"/>
    <w:uiPriority w:val="9"/>
    <w:semiHidden w:val="1"/>
    <w:unhideWhenUsed w:val="1"/>
    <w:qFormat w:val="1"/>
    <w:rsid w:val="008D63CF"/>
    <w:pPr>
      <w:keepNext w:val="1"/>
      <w:keepLines w:val="1"/>
      <w:spacing w:after="40" w:before="80"/>
      <w:outlineLvl w:val="4"/>
    </w:pPr>
    <w:rPr>
      <w:rFonts w:cstheme="majorBidi" w:eastAsiaTheme="majorEastAsia"/>
      <w:color w:val="0f4761" w:themeColor="accent1" w:themeShade="0000BF"/>
    </w:rPr>
  </w:style>
  <w:style w:type="paragraph" w:styleId="Ttulo6">
    <w:name w:val="heading 6"/>
    <w:basedOn w:val="Normal"/>
    <w:next w:val="Normal"/>
    <w:link w:val="Ttulo6Car"/>
    <w:uiPriority w:val="9"/>
    <w:semiHidden w:val="1"/>
    <w:unhideWhenUsed w:val="1"/>
    <w:qFormat w:val="1"/>
    <w:rsid w:val="008D63CF"/>
    <w:pPr>
      <w:keepNext w:val="1"/>
      <w:keepLines w:val="1"/>
      <w:spacing w:after="0" w:before="40"/>
      <w:outlineLvl w:val="5"/>
    </w:pPr>
    <w:rPr>
      <w:rFonts w:cstheme="majorBidi" w:eastAsiaTheme="majorEastAsia"/>
      <w:i w:val="1"/>
      <w:iCs w:val="1"/>
      <w:color w:val="595959" w:themeColor="text1" w:themeTint="0000A6"/>
    </w:rPr>
  </w:style>
  <w:style w:type="paragraph" w:styleId="Ttulo7">
    <w:name w:val="heading 7"/>
    <w:basedOn w:val="Normal"/>
    <w:next w:val="Normal"/>
    <w:link w:val="Ttulo7Car"/>
    <w:uiPriority w:val="9"/>
    <w:semiHidden w:val="1"/>
    <w:unhideWhenUsed w:val="1"/>
    <w:qFormat w:val="1"/>
    <w:rsid w:val="008D63CF"/>
    <w:pPr>
      <w:keepNext w:val="1"/>
      <w:keepLines w:val="1"/>
      <w:spacing w:after="0"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8D63CF"/>
    <w:pPr>
      <w:keepNext w:val="1"/>
      <w:keepLines w:val="1"/>
      <w:spacing w:after="0"/>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8D63CF"/>
    <w:pPr>
      <w:keepNext w:val="1"/>
      <w:keepLines w:val="1"/>
      <w:spacing w:after="0"/>
      <w:outlineLvl w:val="8"/>
    </w:pPr>
    <w:rPr>
      <w:rFonts w:cstheme="majorBidi" w:eastAsiaTheme="majorEastAsia"/>
      <w:color w:val="272727" w:themeColor="text1" w:themeTint="0000D8"/>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Ttulo">
    <w:name w:val="Title"/>
    <w:basedOn w:val="Normal"/>
    <w:next w:val="Normal"/>
    <w:link w:val="TtuloCar"/>
    <w:uiPriority w:val="10"/>
    <w:qFormat w:val="1"/>
    <w:rsid w:val="008D63CF"/>
    <w:pPr>
      <w:spacing w:after="80" w:line="240" w:lineRule="auto"/>
      <w:contextualSpacing w:val="1"/>
    </w:pPr>
    <w:rPr>
      <w:rFonts w:asciiTheme="majorHAnsi" w:cstheme="majorBidi" w:eastAsiaTheme="majorEastAsia" w:hAnsiTheme="majorHAnsi"/>
      <w:spacing w:val="-10"/>
      <w:kern w:val="28"/>
      <w:sz w:val="56"/>
      <w:szCs w:val="56"/>
    </w:rPr>
  </w:style>
  <w:style w:type="character" w:styleId="Ttulo1Car" w:customStyle="1">
    <w:name w:val="Título 1 Car"/>
    <w:basedOn w:val="Fuentedeprrafopredeter"/>
    <w:link w:val="Ttulo1"/>
    <w:uiPriority w:val="9"/>
    <w:rsid w:val="008D63CF"/>
    <w:rPr>
      <w:rFonts w:asciiTheme="majorHAnsi" w:cstheme="majorBidi" w:eastAsiaTheme="majorEastAsia" w:hAnsiTheme="majorHAnsi"/>
      <w:color w:val="0f4761" w:themeColor="accent1" w:themeShade="0000BF"/>
      <w:sz w:val="40"/>
      <w:szCs w:val="40"/>
    </w:rPr>
  </w:style>
  <w:style w:type="character" w:styleId="Ttulo2Car" w:customStyle="1">
    <w:name w:val="Título 2 Car"/>
    <w:basedOn w:val="Fuentedeprrafopredeter"/>
    <w:link w:val="Ttulo2"/>
    <w:uiPriority w:val="9"/>
    <w:semiHidden w:val="1"/>
    <w:rsid w:val="008D63CF"/>
    <w:rPr>
      <w:rFonts w:asciiTheme="majorHAnsi" w:cstheme="majorBidi" w:eastAsiaTheme="majorEastAsia" w:hAnsiTheme="majorHAnsi"/>
      <w:color w:val="0f4761" w:themeColor="accent1" w:themeShade="0000BF"/>
      <w:sz w:val="32"/>
      <w:szCs w:val="32"/>
    </w:rPr>
  </w:style>
  <w:style w:type="character" w:styleId="Ttulo3Car" w:customStyle="1">
    <w:name w:val="Título 3 Car"/>
    <w:basedOn w:val="Fuentedeprrafopredeter"/>
    <w:link w:val="Ttulo3"/>
    <w:uiPriority w:val="9"/>
    <w:semiHidden w:val="1"/>
    <w:rsid w:val="008D63CF"/>
    <w:rPr>
      <w:rFonts w:cstheme="majorBidi" w:eastAsiaTheme="majorEastAsia"/>
      <w:color w:val="0f4761" w:themeColor="accent1" w:themeShade="0000BF"/>
      <w:sz w:val="28"/>
      <w:szCs w:val="28"/>
    </w:rPr>
  </w:style>
  <w:style w:type="character" w:styleId="Ttulo4Car" w:customStyle="1">
    <w:name w:val="Título 4 Car"/>
    <w:basedOn w:val="Fuentedeprrafopredeter"/>
    <w:link w:val="Ttulo4"/>
    <w:uiPriority w:val="9"/>
    <w:semiHidden w:val="1"/>
    <w:rsid w:val="008D63CF"/>
    <w:rPr>
      <w:rFonts w:cstheme="majorBidi" w:eastAsiaTheme="majorEastAsia"/>
      <w:i w:val="1"/>
      <w:iCs w:val="1"/>
      <w:color w:val="0f4761" w:themeColor="accent1" w:themeShade="0000BF"/>
    </w:rPr>
  </w:style>
  <w:style w:type="character" w:styleId="Ttulo5Car" w:customStyle="1">
    <w:name w:val="Título 5 Car"/>
    <w:basedOn w:val="Fuentedeprrafopredeter"/>
    <w:link w:val="Ttulo5"/>
    <w:uiPriority w:val="9"/>
    <w:semiHidden w:val="1"/>
    <w:rsid w:val="008D63CF"/>
    <w:rPr>
      <w:rFonts w:cstheme="majorBidi" w:eastAsiaTheme="majorEastAsia"/>
      <w:color w:val="0f4761" w:themeColor="accent1" w:themeShade="0000BF"/>
    </w:rPr>
  </w:style>
  <w:style w:type="character" w:styleId="Ttulo6Car" w:customStyle="1">
    <w:name w:val="Título 6 Car"/>
    <w:basedOn w:val="Fuentedeprrafopredeter"/>
    <w:link w:val="Ttulo6"/>
    <w:uiPriority w:val="9"/>
    <w:semiHidden w:val="1"/>
    <w:rsid w:val="008D63CF"/>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8D63CF"/>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8D63CF"/>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8D63CF"/>
    <w:rPr>
      <w:rFonts w:cstheme="majorBidi" w:eastAsiaTheme="majorEastAsia"/>
      <w:color w:val="272727" w:themeColor="text1" w:themeTint="0000D8"/>
    </w:rPr>
  </w:style>
  <w:style w:type="character" w:styleId="TtuloCar" w:customStyle="1">
    <w:name w:val="Título Car"/>
    <w:basedOn w:val="Fuentedeprrafopredeter"/>
    <w:link w:val="Ttulo"/>
    <w:uiPriority w:val="10"/>
    <w:rsid w:val="008D63CF"/>
    <w:rPr>
      <w:rFonts w:asciiTheme="majorHAnsi" w:cstheme="majorBidi" w:eastAsiaTheme="majorEastAsia" w:hAnsiTheme="majorHAnsi"/>
      <w:spacing w:val="-10"/>
      <w:kern w:val="28"/>
      <w:sz w:val="56"/>
      <w:szCs w:val="56"/>
    </w:rPr>
  </w:style>
  <w:style w:type="paragraph" w:styleId="Subttulo">
    <w:name w:val="Subtitle"/>
    <w:basedOn w:val="Normal"/>
    <w:next w:val="Normal"/>
    <w:link w:val="SubttuloCar"/>
    <w:uiPriority w:val="11"/>
    <w:qFormat w:val="1"/>
    <w:rPr>
      <w:color w:val="595959"/>
      <w:sz w:val="28"/>
      <w:szCs w:val="28"/>
    </w:rPr>
  </w:style>
  <w:style w:type="character" w:styleId="SubttuloCar" w:customStyle="1">
    <w:name w:val="Subtítulo Car"/>
    <w:basedOn w:val="Fuentedeprrafopredeter"/>
    <w:link w:val="Subttulo"/>
    <w:uiPriority w:val="11"/>
    <w:rsid w:val="008D63CF"/>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8D63CF"/>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8D63CF"/>
    <w:rPr>
      <w:i w:val="1"/>
      <w:iCs w:val="1"/>
      <w:color w:val="404040" w:themeColor="text1" w:themeTint="0000BF"/>
    </w:rPr>
  </w:style>
  <w:style w:type="paragraph" w:styleId="Prrafodelista">
    <w:name w:val="List Paragraph"/>
    <w:basedOn w:val="Normal"/>
    <w:uiPriority w:val="34"/>
    <w:qFormat w:val="1"/>
    <w:rsid w:val="008D63CF"/>
    <w:pPr>
      <w:ind w:left="720"/>
      <w:contextualSpacing w:val="1"/>
    </w:pPr>
  </w:style>
  <w:style w:type="character" w:styleId="nfasisintenso">
    <w:name w:val="Intense Emphasis"/>
    <w:basedOn w:val="Fuentedeprrafopredeter"/>
    <w:uiPriority w:val="21"/>
    <w:qFormat w:val="1"/>
    <w:rsid w:val="008D63CF"/>
    <w:rPr>
      <w:i w:val="1"/>
      <w:iCs w:val="1"/>
      <w:color w:val="0f4761" w:themeColor="accent1" w:themeShade="0000BF"/>
    </w:rPr>
  </w:style>
  <w:style w:type="paragraph" w:styleId="Citadestacada">
    <w:name w:val="Intense Quote"/>
    <w:basedOn w:val="Normal"/>
    <w:next w:val="Normal"/>
    <w:link w:val="CitadestacadaCar"/>
    <w:uiPriority w:val="30"/>
    <w:qFormat w:val="1"/>
    <w:rsid w:val="008D63C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destacadaCar" w:customStyle="1">
    <w:name w:val="Cita destacada Car"/>
    <w:basedOn w:val="Fuentedeprrafopredeter"/>
    <w:link w:val="Citadestacada"/>
    <w:uiPriority w:val="30"/>
    <w:rsid w:val="008D63CF"/>
    <w:rPr>
      <w:i w:val="1"/>
      <w:iCs w:val="1"/>
      <w:color w:val="0f4761" w:themeColor="accent1" w:themeShade="0000BF"/>
    </w:rPr>
  </w:style>
  <w:style w:type="character" w:styleId="Referenciaintensa">
    <w:name w:val="Intense Reference"/>
    <w:basedOn w:val="Fuentedeprrafopredeter"/>
    <w:uiPriority w:val="32"/>
    <w:qFormat w:val="1"/>
    <w:rsid w:val="008D63CF"/>
    <w:rPr>
      <w:b w:val="1"/>
      <w:bCs w:val="1"/>
      <w:smallCaps w:val="1"/>
      <w:color w:val="0f4761" w:themeColor="accent1" w:themeShade="0000BF"/>
      <w:spacing w:val="5"/>
    </w:rPr>
  </w:style>
  <w:style w:type="paragraph" w:styleId="Encabezado">
    <w:name w:val="header"/>
    <w:basedOn w:val="Normal"/>
    <w:link w:val="EncabezadoCar"/>
    <w:uiPriority w:val="99"/>
    <w:unhideWhenUsed w:val="1"/>
    <w:rsid w:val="008D63CF"/>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8D63CF"/>
  </w:style>
  <w:style w:type="paragraph" w:styleId="Piedepgina">
    <w:name w:val="footer"/>
    <w:basedOn w:val="Normal"/>
    <w:link w:val="PiedepginaCar"/>
    <w:uiPriority w:val="99"/>
    <w:unhideWhenUsed w:val="1"/>
    <w:rsid w:val="008D63CF"/>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8D63CF"/>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3" Type="http://schemas.openxmlformats.org/officeDocument/2006/relationships/hyperlink" Target="https://comisionacionaldebusqueda.gob.mx/normatividad/" TargetMode="External"/><Relationship Id="rId18" Type="http://schemas.openxmlformats.org/officeDocument/2006/relationships/hyperlink" Target="https://www.te.gob.mx/paridad_genero/media/pdf/894a145cd4035bf.pdf" TargetMode="External"/><Relationship Id="rId8" Type="http://schemas.openxmlformats.org/officeDocument/2006/relationships/hyperlink" Target="https://www.gob.mx/cms/uploads/attachment/file/963551/Informe_Anual_2024_SNIMH.pdf" TargetMode="External"/><Relationship Id="rId21" Type="http://schemas.openxmlformats.org/officeDocument/2006/relationships/header" Target="header1.xml"/><Relationship Id="rId3" Type="http://schemas.openxmlformats.org/officeDocument/2006/relationships/fontTable" Target="fontTable.xml"/><Relationship Id="rId12" Type="http://schemas.openxmlformats.org/officeDocument/2006/relationships/hyperlink" Target="https://www.acnur.org/mx/noticias/comunicados-de-prensa/solicitantes-de-asilo-podran-consultar-sus-casos-en-linea-traves-de" TargetMode="External"/><Relationship Id="rId17" Type="http://schemas.openxmlformats.org/officeDocument/2006/relationships/hyperlink" Target="https://www.gob.mx/defensorasyperiodistas/documentos/122612" TargetMode="External"/><Relationship Id="rId7" Type="http://schemas.openxmlformats.org/officeDocument/2006/relationships/hyperlink" Target="https://drive.google.com/file/d/1bLcWRMLsp76cTo6U70-nDaYcZowt2Rka/view?usp=sharing" TargetMode="External"/><Relationship Id="rId25" Type="http://schemas.openxmlformats.org/officeDocument/2006/relationships/customXml" Target="../customXML/item4.xml"/><Relationship Id="rId20" Type="http://schemas.openxmlformats.org/officeDocument/2006/relationships/hyperlink" Target="https://www.gob.mx/cms/uploads/attachment/file/913717/PROTOCOLO_INSPECCION_LABORAL-16FEB.pdf" TargetMode="External"/><Relationship Id="rId2" Type="http://schemas.openxmlformats.org/officeDocument/2006/relationships/settings" Target="settings.xml"/><Relationship Id="rId16" Type="http://schemas.openxmlformats.org/officeDocument/2006/relationships/hyperlink" Target="https://www.gob.mx/defensorasyperiodistas/documentos/glosario-para-la-incorporacion-de-la-perspectiva-de-genero-enfoque-diferencial-e-intersecciona" TargetMode="External"/><Relationship Id="rId11" Type="http://schemas.openxmlformats.org/officeDocument/2006/relationships/hyperlink" Target="https://www.gob.mx/cms/uploads/attachment/file/950119/Documento_Expandiendo_la_inclusi_n_financiera_de_las_mujeres_en_M_xico_FINAL-Web.pdf" TargetMode="External"/><Relationship Id="rId1" Type="http://schemas.openxmlformats.org/officeDocument/2006/relationships/theme" Target="theme/theme1.xml"/><Relationship Id="rId6" Type="http://schemas.openxmlformats.org/officeDocument/2006/relationships/customXml" Target="../customXML/item1.xml"/><Relationship Id="rId24" Type="http://schemas.openxmlformats.org/officeDocument/2006/relationships/customXml" Target="../customXML/item3.xml"/><Relationship Id="rId15" Type="http://schemas.openxmlformats.org/officeDocument/2006/relationships/hyperlink" Target="https://versionpublicarnpdno.segob.gob.mx/Dashboard/Index" TargetMode="External"/><Relationship Id="rId5" Type="http://schemas.openxmlformats.org/officeDocument/2006/relationships/styles" Target="styles.xml"/><Relationship Id="rId23" Type="http://schemas.openxmlformats.org/officeDocument/2006/relationships/customXml" Target="../customXML/item2.xml"/><Relationship Id="rId10" Type="http://schemas.openxmlformats.org/officeDocument/2006/relationships/hyperlink" Target="https://www.gob.mx/cms/uploads/attachment/file/862411/Hacia_la_Igualdad_de_Ge_nero_en_el_Sector_Financiero.pdf" TargetMode="External"/><Relationship Id="rId19" Type="http://schemas.openxmlformats.org/officeDocument/2006/relationships/hyperlink" Target="https://www.coneval.org.mx/coordinacion/IMPPS/Documents/Programas_acciones_sociales/Programas_Prioritarios/2024/Informe_prioritarios_2024_VF.pdf" TargetMode="External"/><Relationship Id="rId2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hyperlink" Target="http://cedoc.inmujeres.gob.mx/documentos_download/INFEJECUTIVO_Epadeq_061224.pdf" TargetMode="External"/><Relationship Id="rId14" Type="http://schemas.openxmlformats.org/officeDocument/2006/relationships/hyperlink" Target="https://www.gob.mx/sipinna/documentos/protocolo-adicional-para-la-busqueda-de-ninas-ninos-y-adolescentes-panna-sistema-nacional-de-busqueda-de-person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regular.ttf"/><Relationship Id="rId4" Type="http://schemas.openxmlformats.org/officeDocument/2006/relationships/font" Target="fonts/NotoSans-bold.ttf"/><Relationship Id="rId5" Type="http://schemas.openxmlformats.org/officeDocument/2006/relationships/font" Target="fonts/NotoSans-italic.ttf"/><Relationship Id="rId6" Type="http://schemas.openxmlformats.org/officeDocument/2006/relationships/font" Target="fonts/Noto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lhSesk4amlJshacMh7vcPTHg+g==">CgMxLjA4AGowChRzdWdnZXN0LmloczN6cndkbWw0ORIYRWxpemFiZXRoIEzDs3BleiBHYXJjw61haigKFHN1Z2dlc3QuZTE3dWx4Nmpud3VxEhBHZXJhbGRpbmUgR2FjaHV6ciExNWxZS1VpT2p6TjVDZzgzUEFGbHJDc2U1WW9OeF92WDI=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2025-06-19T14:24:58+00:00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3B3E56B-AD8A-41A9-AF2B-1CAC1ABFD53E}"/>
</file>

<file path=customXML/itemProps3.xml><?xml version="1.0" encoding="utf-8"?>
<ds:datastoreItem xmlns:ds="http://schemas.openxmlformats.org/officeDocument/2006/customXml" ds:itemID="{EDDC36FB-90D6-4D01-A9FB-BEAE495E86D9}"/>
</file>

<file path=customXML/itemProps4.xml><?xml version="1.0" encoding="utf-8"?>
<ds:datastoreItem xmlns:ds="http://schemas.openxmlformats.org/officeDocument/2006/customXml" ds:itemID="{7AE79948-867F-46EF-B0BB-1B3F2854294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González Morales, Emilia</dc:creator>
  <dcterms:created xsi:type="dcterms:W3CDTF">2025-06-16T22:45:00Z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