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37D0D" w14:textId="59BD0801" w:rsidR="005403E3" w:rsidRPr="004B1E4E" w:rsidRDefault="005403E3" w:rsidP="002B1275">
      <w:pPr>
        <w:tabs>
          <w:tab w:val="left" w:pos="5370"/>
        </w:tabs>
      </w:pPr>
    </w:p>
    <w:p w14:paraId="4D1E27F2" w14:textId="068AF104" w:rsidR="0083533E" w:rsidRDefault="00481E8D" w:rsidP="002B1275">
      <w:pPr>
        <w:pStyle w:val="TitlePageHeading"/>
        <w:spacing w:after="240"/>
      </w:pPr>
      <w:r>
        <w:t>Dominica</w:t>
      </w:r>
      <w:r w:rsidR="004B1E4E">
        <w:t xml:space="preserve">’s Compliance with </w:t>
      </w:r>
      <w:r>
        <w:t>the International Covenant on Civil and Political Rights</w:t>
      </w:r>
    </w:p>
    <w:p w14:paraId="43F13231" w14:textId="6E5710DF" w:rsidR="004B1E4E" w:rsidRPr="003244CB" w:rsidRDefault="0083533E" w:rsidP="002B1275">
      <w:pPr>
        <w:pStyle w:val="TitlePageHeading"/>
        <w:spacing w:after="240"/>
      </w:pPr>
      <w:r>
        <w:t>Suggested List of Issues Prior to Reporting Relating to:</w:t>
      </w:r>
      <w:r w:rsidR="00E114C5" w:rsidRPr="003244CB">
        <w:t xml:space="preserve"> </w:t>
      </w:r>
      <w:r w:rsidR="001E4BD2">
        <w:br/>
        <w:t>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pPr>
      <w:r w:rsidRPr="004B1E4E">
        <w:t>a non-governmental organization in special consultative status with ECOSOC</w:t>
      </w:r>
      <w:r w:rsidR="00624A10">
        <w:t xml:space="preserve"> since 1996</w:t>
      </w:r>
    </w:p>
    <w:p w14:paraId="03F02764" w14:textId="29AAAAA4" w:rsidR="0048392D" w:rsidRPr="0048392D" w:rsidRDefault="0048392D" w:rsidP="002B1275">
      <w:pPr>
        <w:pStyle w:val="TitlePageSubheading"/>
        <w:spacing w:after="240"/>
        <w:rPr>
          <w:b/>
          <w:bCs/>
        </w:rPr>
      </w:pPr>
      <w:r>
        <w:rPr>
          <w:b/>
          <w:bCs/>
        </w:rPr>
        <w:t>Parliamentarians for Global Action</w:t>
      </w:r>
    </w:p>
    <w:p w14:paraId="3AFBC896" w14:textId="4BC33D59" w:rsidR="001E4BD2" w:rsidRDefault="001E4BD2" w:rsidP="002B1275">
      <w:pPr>
        <w:pStyle w:val="TitlePageSubheading"/>
        <w:spacing w:after="240"/>
      </w:pPr>
      <w:r>
        <w:t>and</w:t>
      </w:r>
    </w:p>
    <w:p w14:paraId="783353DD" w14:textId="3666889F" w:rsidR="001E4BD2" w:rsidRDefault="001E4BD2" w:rsidP="002B1275">
      <w:pPr>
        <w:pStyle w:val="TitlePageSubheading"/>
        <w:spacing w:after="240"/>
        <w:rPr>
          <w:b/>
          <w:bCs/>
        </w:rPr>
      </w:pPr>
      <w:r>
        <w:rPr>
          <w:b/>
          <w:bCs/>
        </w:rPr>
        <w:t>The World Coalition Against the Death Penalty</w:t>
      </w:r>
    </w:p>
    <w:p w14:paraId="24E688AE" w14:textId="4530D805" w:rsidR="004B1E4E" w:rsidRPr="00CA5CC2" w:rsidRDefault="004B1E4E" w:rsidP="003244CB">
      <w:pPr>
        <w:pStyle w:val="TitlePageHeading"/>
      </w:pPr>
      <w:r w:rsidRPr="00CA5CC2">
        <w:t xml:space="preserve">for the </w:t>
      </w:r>
      <w:r w:rsidR="00EB4DFC">
        <w:t>146th</w:t>
      </w:r>
      <w:r w:rsidRPr="00CA5CC2">
        <w:t xml:space="preserve"> Session of the </w:t>
      </w:r>
      <w:r w:rsidR="00EB4DFC">
        <w:t>Human Rights Committee</w:t>
      </w:r>
    </w:p>
    <w:p w14:paraId="3B163C2D" w14:textId="12E0A5AB" w:rsidR="004B1E4E" w:rsidRDefault="00EB4DFC" w:rsidP="002B1275">
      <w:pPr>
        <w:pStyle w:val="TitlePageHeading"/>
        <w:spacing w:after="240"/>
      </w:pPr>
      <w:r>
        <w:t>19 October</w:t>
      </w:r>
      <w:r w:rsidR="004B1E4E" w:rsidRPr="00CA5CC2">
        <w:t>–</w:t>
      </w:r>
      <w:r w:rsidR="00640180">
        <w:t>6 November 2026</w:t>
      </w:r>
    </w:p>
    <w:p w14:paraId="3D93E372" w14:textId="1F21420E" w:rsidR="00C214BA" w:rsidRPr="00CA5CC2" w:rsidRDefault="00C214BA" w:rsidP="002B1275">
      <w:pPr>
        <w:pStyle w:val="TitlePageHeading"/>
        <w:spacing w:after="240"/>
      </w:pPr>
      <w:r>
        <w:t xml:space="preserve">Submitted </w:t>
      </w:r>
      <w:r w:rsidR="00640180">
        <w:t>2</w:t>
      </w:r>
      <w:r w:rsidR="00A85B0F">
        <w:t>1</w:t>
      </w:r>
      <w:r w:rsidR="00640180">
        <w:t xml:space="preserve"> August 2026</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0FDE003" w14:textId="77777777" w:rsidR="006B64B9" w:rsidRDefault="006B64B9" w:rsidP="001E4BD2">
      <w:pPr>
        <w:widowControl w:val="0"/>
        <w:autoSpaceDE w:val="0"/>
        <w:autoSpaceDN w:val="0"/>
        <w:adjustRightInd w:val="0"/>
        <w:spacing w:after="240"/>
        <w:jc w:val="both"/>
        <w:rPr>
          <w:rStyle w:val="BoilerplateTextChar0"/>
        </w:rPr>
      </w:pPr>
      <w:r w:rsidRPr="006B64B9">
        <w:rPr>
          <w:rStyle w:val="BoilerplateTextChar0"/>
          <w:b/>
          <w:bCs/>
        </w:rPr>
        <w:t>Parliamentarians for Global Action</w:t>
      </w:r>
      <w:r w:rsidRPr="006B64B9">
        <w:rPr>
          <w:rStyle w:val="BoilerplateTextChar0"/>
        </w:rPr>
        <w:t xml:space="preserve"> (PGA) is a non-partisan NGO network of legislators from all regions of the world acting in their individual capacity to advocate for human rights, democracy, and the rule of law; peace and human security; gender equality and inclusion; protection of the environment; and justice in all its forms. PGA’s network includes over 1,000 active members of parliament, representing government and opposition parties, in 150 countries where the parliament has true legitimacy and authority. PGA facilitates peer-to-peer learning among parliamentarians, fosters connections between parliamentarians and civil society, and builds bridges between domestic and international policymakers and stakeholders. PGA is governed by legislators with technical and legal assistance from its Secretariat, which is based in New York and has an office in The Hague.</w:t>
      </w:r>
    </w:p>
    <w:p w14:paraId="24CB8DE1" w14:textId="134BE0DB" w:rsidR="00692CCF" w:rsidRDefault="00692CCF" w:rsidP="001E4BD2">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w:t>
      </w:r>
      <w:r w:rsidR="001B7D91">
        <w:t>membership</w:t>
      </w:r>
      <w:r w:rsidRPr="004A4E9F">
        <w:t xml:space="preserve">-based </w:t>
      </w:r>
      <w:r w:rsidR="001B7D91">
        <w:t xml:space="preserve">global network </w:t>
      </w:r>
      <w:r w:rsidRPr="004A4E9F">
        <w:lastRenderedPageBreak/>
        <w:t>committed to strengthen</w:t>
      </w:r>
      <w:r w:rsidR="007D7CF0">
        <w:t>ing</w:t>
      </w:r>
      <w:r w:rsidRPr="004A4E9F">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7777777" w:rsidR="004B1E4E" w:rsidRPr="004B1E4E" w:rsidRDefault="004B1E4E" w:rsidP="00640180">
      <w:pPr>
        <w:pStyle w:val="ExecutiveSummary"/>
        <w:spacing w:after="240"/>
      </w:pPr>
      <w:r>
        <w:br w:type="page"/>
      </w:r>
      <w:r w:rsidRPr="004B1E4E">
        <w:lastRenderedPageBreak/>
        <w:t>Executive Summary</w:t>
      </w:r>
    </w:p>
    <w:p w14:paraId="6CD9AC33" w14:textId="7A8E119B" w:rsidR="004B1E4E" w:rsidRDefault="008A554A" w:rsidP="00234644">
      <w:pPr>
        <w:pStyle w:val="Paragraph"/>
      </w:pPr>
      <w:r>
        <w:t xml:space="preserve">Dominica has not carried out an execution sine 1986, and no person is currently under sentence of death, but </w:t>
      </w:r>
      <w:r w:rsidR="00393202">
        <w:t>Dominica retains the death penalty</w:t>
      </w:r>
      <w:r w:rsidR="00620932">
        <w:t xml:space="preserve">. </w:t>
      </w:r>
      <w:r w:rsidR="00421C73">
        <w:t xml:space="preserve">In a recent high-profile case, prosecutors declined to seek the death penalty in order to secure </w:t>
      </w:r>
      <w:r w:rsidR="00D95E98">
        <w:t>evidence from witnesses based outside the country.</w:t>
      </w:r>
      <w:r w:rsidR="00A14539">
        <w:t xml:space="preserve"> Nonetheless, Dominica has not taken steps toward instituting a formal moratorium on executions or abolishing the death penalty.</w:t>
      </w:r>
      <w:r w:rsidR="00772714">
        <w:t xml:space="preserve"> During the reporting period, Dominica abandoned its previous support for the UN General Assembly resolution calling for a moratorium on the death penalty.</w:t>
      </w:r>
      <w:r w:rsidR="001A6D33">
        <w:t xml:space="preserve"> </w:t>
      </w:r>
      <w:r w:rsidR="008B7CA4">
        <w:t>A</w:t>
      </w:r>
      <w:r w:rsidR="001A6D33">
        <w:t xml:space="preserve">uthorities have expressed </w:t>
      </w:r>
      <w:r w:rsidR="008B7CA4">
        <w:t xml:space="preserve">some </w:t>
      </w:r>
      <w:r w:rsidR="001A6D33">
        <w:t xml:space="preserve">openness toward initiating </w:t>
      </w:r>
      <w:r w:rsidR="008B7CA4">
        <w:t>a public dialogue on abolition of the death penalty.</w:t>
      </w:r>
    </w:p>
    <w:p w14:paraId="74A78DA1" w14:textId="69D891EF" w:rsidR="00772714" w:rsidRDefault="00402DEF" w:rsidP="00234644">
      <w:pPr>
        <w:pStyle w:val="Paragraph"/>
      </w:pPr>
      <w:r>
        <w:t xml:space="preserve">Dominica adopted a Bail Act in 2020, but officials have publicly criticized judges for granting bail in cases involving serious offenses. </w:t>
      </w:r>
      <w:r w:rsidR="00FA35AF">
        <w:t xml:space="preserve">Lengthy pretrial detention </w:t>
      </w:r>
      <w:r w:rsidR="00E52D1D">
        <w:t xml:space="preserve">persists, </w:t>
      </w:r>
      <w:r w:rsidR="008309E3">
        <w:t>and staffing shortages contribute to backlogs in the criminal legal system.</w:t>
      </w:r>
      <w:r w:rsidR="004F53A7">
        <w:t xml:space="preserve"> Court delays undermine public confidence in the judiciary.</w:t>
      </w:r>
    </w:p>
    <w:p w14:paraId="75B00959" w14:textId="5F3C2164" w:rsidR="008F2F99" w:rsidRDefault="00A616F5" w:rsidP="007268C7">
      <w:pPr>
        <w:pStyle w:val="SectionSummary"/>
        <w:keepNext/>
      </w:pPr>
      <w:r>
        <w:t>Dominica</w:t>
      </w:r>
      <w:r w:rsidR="008F2F99" w:rsidRPr="008F2F99">
        <w:t xml:space="preserve"> fails to uphold its obligations under the </w:t>
      </w:r>
      <w:r>
        <w:t>International Covenant on Civil and Political Rights</w:t>
      </w:r>
    </w:p>
    <w:p w14:paraId="71FF20C1" w14:textId="70BFC17D" w:rsidR="004B1E4E" w:rsidRDefault="0021751F" w:rsidP="007268C7">
      <w:pPr>
        <w:pStyle w:val="SectionHeading"/>
        <w:keepNext/>
      </w:pPr>
      <w:r>
        <w:t xml:space="preserve">Despite commitments, </w:t>
      </w:r>
      <w:r w:rsidR="00DB29DA">
        <w:t>Dominica has not made progress toward abolition of the death penalty (Concluding Observations para. 27).</w:t>
      </w:r>
    </w:p>
    <w:p w14:paraId="3270155D" w14:textId="24A9651F" w:rsidR="009F1E51" w:rsidRDefault="00BF055B" w:rsidP="00C05D23">
      <w:pPr>
        <w:pStyle w:val="Paragraph"/>
      </w:pPr>
      <w:r>
        <w:t xml:space="preserve">In its 2020 Concluding Observations, the Committee </w:t>
      </w:r>
      <w:r w:rsidR="000760AD">
        <w:t>commended Dominica for its recent vote in favor of the UN General Assembly resolution calling for a global moratorium on the death penalty</w:t>
      </w:r>
      <w:r w:rsidR="00DB3E90">
        <w:t xml:space="preserve">, but expressed concern that section 5 of the Criminal Law and Procedure Act authorizes the death penalty for murder. The Committee also expressed concern that “many individuals within [Dominica] </w:t>
      </w:r>
      <w:r w:rsidR="009F1E51">
        <w:t>continue to support” the death penalty. The Committee recommended that Dominica consider</w:t>
      </w:r>
      <w:r w:rsidR="0032264F">
        <w:t xml:space="preserve"> “[r]eviewing section 5 of the Criminal Law and Procedure Act, as part of ongoing efforts at national legal review and reform,” “[</w:t>
      </w:r>
      <w:r w:rsidR="00944986">
        <w:t>c]ontinuing efforts to facilitate a social dialogue about . . . the right to life under article 6,” and “[r]atifying the second Optional Protocol” to the ICCPR.</w:t>
      </w:r>
      <w:r w:rsidR="002071EB">
        <w:rPr>
          <w:rStyle w:val="FootnoteReference"/>
        </w:rPr>
        <w:footnoteReference w:id="2"/>
      </w:r>
    </w:p>
    <w:p w14:paraId="33BA79D4" w14:textId="42B323B2" w:rsidR="0056361E" w:rsidRDefault="007574C5" w:rsidP="006A2E40">
      <w:pPr>
        <w:pStyle w:val="Paragraph"/>
      </w:pPr>
      <w:r>
        <w:t>The laws of Dominica authorize the death penalty for murder and treason.</w:t>
      </w:r>
      <w:r w:rsidRPr="00142E3E">
        <w:rPr>
          <w:vertAlign w:val="superscript"/>
        </w:rPr>
        <w:footnoteReference w:id="3"/>
      </w:r>
      <w:r>
        <w:t xml:space="preserve"> </w:t>
      </w:r>
      <w:r w:rsidR="00455657">
        <w:t>Amnesty International reports that as of the end of 2025</w:t>
      </w:r>
      <w:r w:rsidR="00F25883">
        <w:t>, no people were under sentence of death in Dominica.</w:t>
      </w:r>
      <w:r w:rsidR="00F25883">
        <w:rPr>
          <w:rStyle w:val="FootnoteReference"/>
        </w:rPr>
        <w:footnoteReference w:id="4"/>
      </w:r>
      <w:r w:rsidR="00F319D5">
        <w:t xml:space="preserve"> Since 2020, courts have not sentenced any people to death.</w:t>
      </w:r>
      <w:r w:rsidR="00B80D0C" w:rsidRPr="007574C5">
        <w:rPr>
          <w:vertAlign w:val="superscript"/>
        </w:rPr>
        <w:t xml:space="preserve"> </w:t>
      </w:r>
      <w:r w:rsidR="004C588D" w:rsidRPr="00142E3E">
        <w:rPr>
          <w:vertAlign w:val="superscript"/>
        </w:rPr>
        <w:footnoteReference w:id="5"/>
      </w:r>
      <w:r w:rsidR="00E73F29">
        <w:t xml:space="preserve"> Dominica carried out its most recent execution in 1986.</w:t>
      </w:r>
      <w:r w:rsidR="0056361E" w:rsidRPr="00142E3E">
        <w:rPr>
          <w:vertAlign w:val="superscript"/>
        </w:rPr>
        <w:footnoteReference w:id="6"/>
      </w:r>
      <w:r w:rsidR="0056361E" w:rsidRPr="00142E3E">
        <w:t xml:space="preserve"> </w:t>
      </w:r>
      <w:r w:rsidR="0056361E">
        <w:t>Nonetheless</w:t>
      </w:r>
      <w:r w:rsidR="0056361E" w:rsidRPr="00142E3E">
        <w:t xml:space="preserve">, Dominica has </w:t>
      </w:r>
      <w:r w:rsidR="0056361E">
        <w:t xml:space="preserve">neither </w:t>
      </w:r>
      <w:r w:rsidR="0056361E" w:rsidRPr="00142E3E">
        <w:t xml:space="preserve">officially abolished </w:t>
      </w:r>
      <w:r w:rsidR="0056361E">
        <w:t>the death penalty n</w:t>
      </w:r>
      <w:r w:rsidR="0056361E" w:rsidRPr="00142E3E">
        <w:t xml:space="preserve">or </w:t>
      </w:r>
      <w:r w:rsidR="0056361E">
        <w:t>instituted</w:t>
      </w:r>
      <w:r w:rsidR="0056361E" w:rsidRPr="00142E3E">
        <w:t xml:space="preserve"> a </w:t>
      </w:r>
      <w:r w:rsidR="0056361E">
        <w:t xml:space="preserve">formal </w:t>
      </w:r>
      <w:r w:rsidR="0056361E" w:rsidRPr="00142E3E">
        <w:t xml:space="preserve">moratorium on </w:t>
      </w:r>
      <w:r w:rsidR="0056361E">
        <w:t>executions</w:t>
      </w:r>
      <w:r w:rsidR="0056361E" w:rsidRPr="00142E3E">
        <w:t>.</w:t>
      </w:r>
    </w:p>
    <w:p w14:paraId="4063880D" w14:textId="0513769B" w:rsidR="00503226" w:rsidRDefault="00503226" w:rsidP="006A2E40">
      <w:pPr>
        <w:pStyle w:val="Paragraph"/>
      </w:pPr>
      <w:bookmarkStart w:id="0" w:name="_Ref237709145"/>
      <w:r>
        <w:lastRenderedPageBreak/>
        <w:t>On July 28, 2026, a jury in Dominica convicted two U.S. nationals of murdering two Canadian nationals at an eco-resort the victims owned in Dominica.</w:t>
      </w:r>
      <w:r>
        <w:rPr>
          <w:rStyle w:val="FootnoteReference"/>
        </w:rPr>
        <w:footnoteReference w:id="7"/>
      </w:r>
      <w:r>
        <w:t xml:space="preserve"> A court will sentence them in early September 2026</w:t>
      </w:r>
      <w:r w:rsidR="00542A71">
        <w:t>,</w:t>
      </w:r>
      <w:r>
        <w:rPr>
          <w:rStyle w:val="FootnoteReference"/>
        </w:rPr>
        <w:footnoteReference w:id="8"/>
      </w:r>
      <w:bookmarkEnd w:id="0"/>
      <w:r w:rsidR="00542A71">
        <w:t xml:space="preserve"> but the </w:t>
      </w:r>
      <w:r w:rsidR="00B13937">
        <w:t>Director of Public Prosecutions</w:t>
      </w:r>
      <w:r w:rsidR="00542A71">
        <w:t xml:space="preserve"> declined to seek the death penalty in order to </w:t>
      </w:r>
      <w:r w:rsidR="00591E6F">
        <w:t xml:space="preserve">secure </w:t>
      </w:r>
      <w:r w:rsidR="005F49AD">
        <w:t>evidence from overseas witnesses.</w:t>
      </w:r>
      <w:r w:rsidR="005F49AD">
        <w:rPr>
          <w:rStyle w:val="FootnoteReference"/>
        </w:rPr>
        <w:footnoteReference w:id="9"/>
      </w:r>
    </w:p>
    <w:p w14:paraId="56E69EA3" w14:textId="61581204" w:rsidR="0056361E" w:rsidRDefault="0056361E" w:rsidP="00C05D23">
      <w:pPr>
        <w:pStyle w:val="Paragraph"/>
      </w:pPr>
      <w:r w:rsidRPr="00142E3E">
        <w:t xml:space="preserve">In 2018, Dominica voted in favor of </w:t>
      </w:r>
      <w:r>
        <w:t xml:space="preserve">the </w:t>
      </w:r>
      <w:r w:rsidRPr="00142E3E">
        <w:t xml:space="preserve">UN </w:t>
      </w:r>
      <w:r>
        <w:t>General Assembly r</w:t>
      </w:r>
      <w:r w:rsidRPr="00142E3E">
        <w:t>esolution calling on member states to “establish a moratorium on executions with a view to abolishing the death penalty</w:t>
      </w:r>
      <w:r>
        <w:t>,</w:t>
      </w:r>
      <w:r w:rsidRPr="00142E3E">
        <w:t>”</w:t>
      </w:r>
      <w:r>
        <w:t xml:space="preserve"> and it was the first Eastern Caribbean country ever to co-sponsor the resolution, but Dominica voted against similar resolutions</w:t>
      </w:r>
      <w:r w:rsidR="004F5EEF">
        <w:t xml:space="preserve"> in 2020 and 2022 and was absent from the vote in 2024</w:t>
      </w:r>
      <w:r>
        <w:t>.</w:t>
      </w:r>
      <w:r w:rsidRPr="00142E3E">
        <w:rPr>
          <w:vertAlign w:val="superscript"/>
        </w:rPr>
        <w:footnoteReference w:id="10"/>
      </w:r>
    </w:p>
    <w:p w14:paraId="7BBDB83F" w14:textId="7005368B" w:rsidR="0056361E" w:rsidRDefault="0056361E" w:rsidP="00C05D23">
      <w:pPr>
        <w:pStyle w:val="Paragraph"/>
      </w:pPr>
      <w:r>
        <w:t>In the Universal Periodic Review, Dominica has expressed support for public dialogue on the issue of the death penalty.</w:t>
      </w:r>
      <w:r w:rsidRPr="00142E3E">
        <w:rPr>
          <w:vertAlign w:val="superscript"/>
        </w:rPr>
        <w:footnoteReference w:id="11"/>
      </w:r>
      <w:r w:rsidR="00074306">
        <w:t xml:space="preserve"> Most recently, </w:t>
      </w:r>
      <w:r w:rsidR="008C1004">
        <w:t>during</w:t>
      </w:r>
      <w:r w:rsidR="00074306">
        <w:t xml:space="preserve"> its fourth-cycle UPR in </w:t>
      </w:r>
      <w:r w:rsidR="008C1004">
        <w:t xml:space="preserve">November </w:t>
      </w:r>
      <w:r w:rsidR="00074306">
        <w:t xml:space="preserve">2024, </w:t>
      </w:r>
      <w:r w:rsidR="009F2675">
        <w:t>the delegation from Dominica</w:t>
      </w:r>
      <w:r w:rsidR="00A4611C">
        <w:t xml:space="preserve"> stated that the country “was open to dialogue on” the issue of the death penalty, stating that “any decision should reflect the will of the population. Dominica would welcome support from Member States in facilitating that process.”</w:t>
      </w:r>
      <w:r w:rsidR="00A4611C">
        <w:rPr>
          <w:rStyle w:val="FootnoteReference"/>
        </w:rPr>
        <w:footnoteReference w:id="12"/>
      </w:r>
      <w:r w:rsidR="00DC1456">
        <w:t xml:space="preserve"> Dominica subsequently supported Panama’s recommendation to “[c]onduct awareness-raising campaigns on the death penalty and initiate a public dialogue with members of parliament and the general public, in collaboration with civil society organizations, with a view to identifying the human rights violations involved in the process and explaining the benefits of alternatives to the death penalty.”</w:t>
      </w:r>
      <w:r w:rsidR="00DC1456">
        <w:rPr>
          <w:rStyle w:val="FootnoteReference"/>
        </w:rPr>
        <w:footnoteReference w:id="13"/>
      </w:r>
    </w:p>
    <w:p w14:paraId="53F06C3E" w14:textId="31D3D6B5" w:rsidR="004B1E4E" w:rsidRPr="004B1E4E" w:rsidRDefault="0011465A" w:rsidP="00040BA1">
      <w:pPr>
        <w:pStyle w:val="SectionHeading"/>
        <w:keepNext/>
      </w:pPr>
      <w:r>
        <w:t xml:space="preserve">Dominica </w:t>
      </w:r>
      <w:r w:rsidR="00420C1E">
        <w:t xml:space="preserve">adopted the Bail Act in 2020 but needs to take additional measures </w:t>
      </w:r>
      <w:r>
        <w:t>to</w:t>
      </w:r>
      <w:r w:rsidR="00A05718">
        <w:t xml:space="preserve"> alleviate prolonged pretrial detention</w:t>
      </w:r>
      <w:r w:rsidR="0011484E">
        <w:t>, respect and promote the independence of the judiciary,</w:t>
      </w:r>
      <w:r w:rsidR="00A05718">
        <w:t xml:space="preserve"> and ensure fair trial rights (Concluding Observations para. </w:t>
      </w:r>
      <w:r w:rsidR="00614C01">
        <w:t>31).</w:t>
      </w:r>
    </w:p>
    <w:p w14:paraId="17CBDF53" w14:textId="5AFCDD1B" w:rsidR="00614C01" w:rsidRDefault="00614C01" w:rsidP="00614C01">
      <w:pPr>
        <w:pStyle w:val="Paragraph"/>
      </w:pPr>
      <w:r>
        <w:t xml:space="preserve">In its 2020 Concluding Observations, the Committee expressed concern about “the high proportion of </w:t>
      </w:r>
      <w:r w:rsidR="00137B2A">
        <w:t>[people]</w:t>
      </w:r>
      <w:r>
        <w:t xml:space="preserve"> held in pretrial detention and the excessive length of such detention in some cases</w:t>
      </w:r>
      <w:r w:rsidR="000862D9">
        <w:t xml:space="preserve">.” The Committee recommended that Dominica “take all necessary measures to </w:t>
      </w:r>
      <w:r w:rsidR="000862D9">
        <w:lastRenderedPageBreak/>
        <w:t>address the excessive use of pretrial detention” and “expedite the passing into law of the Bail Act, which sets out procedural standards for the handling of cases.”</w:t>
      </w:r>
      <w:r>
        <w:rPr>
          <w:rStyle w:val="FootnoteReference"/>
        </w:rPr>
        <w:footnoteReference w:id="14"/>
      </w:r>
    </w:p>
    <w:p w14:paraId="414E0B54" w14:textId="78CFDEFA" w:rsidR="000D41E5" w:rsidRDefault="007D2F78" w:rsidP="000D41E5">
      <w:pPr>
        <w:pStyle w:val="Paragraph"/>
      </w:pPr>
      <w:r>
        <w:t>Dominica adopted the Bail Act in December 2020.</w:t>
      </w:r>
      <w:r>
        <w:rPr>
          <w:rStyle w:val="FootnoteReference"/>
        </w:rPr>
        <w:footnoteReference w:id="15"/>
      </w:r>
      <w:r w:rsidR="003B6FEF">
        <w:t xml:space="preserve"> The Bail Act codifies the right to bail for offenses punishable by imprisonment for two years or less, so long as the offense is not classified as serious. </w:t>
      </w:r>
      <w:r w:rsidR="001D3053">
        <w:t xml:space="preserve">Section 7 of the Bail Act </w:t>
      </w:r>
      <w:r w:rsidR="003B6FEF">
        <w:t xml:space="preserve">also authorizes </w:t>
      </w:r>
      <w:r w:rsidR="00162B7A">
        <w:t>bail under conditions for more serious offenses, as long as the court finds “just cause.”</w:t>
      </w:r>
      <w:r w:rsidR="00446F44">
        <w:rPr>
          <w:rStyle w:val="FootnoteReference"/>
        </w:rPr>
        <w:footnoteReference w:id="16"/>
      </w:r>
    </w:p>
    <w:p w14:paraId="40960F3B" w14:textId="74598203" w:rsidR="006B52EF" w:rsidRDefault="000172F1" w:rsidP="000D41E5">
      <w:pPr>
        <w:pStyle w:val="Paragraph"/>
      </w:pPr>
      <w:r>
        <w:t xml:space="preserve">In its 2023 country reports, the U.S. State Department described Dominica’s bail system as </w:t>
      </w:r>
      <w:r w:rsidR="00324A73">
        <w:t xml:space="preserve">“functioning,” but noted that “[l]engthy pretrial detention was a problem due to judicial staff shortages. According to prison management, </w:t>
      </w:r>
      <w:r w:rsidR="00D20AB6">
        <w:t>[imprisoned people]</w:t>
      </w:r>
      <w:r w:rsidR="00324A73">
        <w:t xml:space="preserve"> remained on remand status for months or even years.”</w:t>
      </w:r>
      <w:r w:rsidR="00694F1E">
        <w:t xml:space="preserve"> The report added that “the government generally respected judicial independence and impartiality” but that “[</w:t>
      </w:r>
      <w:r w:rsidR="00243333">
        <w:t>i]nadequate prosecutorial and police staffing, outdated legislation, and an insufficient number of magistrates resulted in backlogs and other problems in the judicial system.”</w:t>
      </w:r>
      <w:r w:rsidR="000B4D9D">
        <w:rPr>
          <w:rStyle w:val="FootnoteReference"/>
        </w:rPr>
        <w:footnoteReference w:id="17"/>
      </w:r>
      <w:r w:rsidR="00CC3113">
        <w:t xml:space="preserve"> </w:t>
      </w:r>
      <w:r w:rsidR="00CC3113" w:rsidRPr="00EA7199">
        <w:t xml:space="preserve">International organizations have also noted that staffing shortages remain a problem for the Dominican criminal </w:t>
      </w:r>
      <w:r w:rsidR="00CC3113">
        <w:t xml:space="preserve">legal </w:t>
      </w:r>
      <w:r w:rsidR="00CC3113" w:rsidRPr="00EA7199">
        <w:t>system and can result in prolonged pretrial detention.</w:t>
      </w:r>
      <w:r w:rsidR="006B52EF" w:rsidRPr="00EA7199">
        <w:rPr>
          <w:vertAlign w:val="superscript"/>
        </w:rPr>
        <w:footnoteReference w:id="18"/>
      </w:r>
    </w:p>
    <w:p w14:paraId="6EA3424A" w14:textId="5ECFBF64" w:rsidR="006B52EF" w:rsidRPr="00EA7199" w:rsidRDefault="006B52EF" w:rsidP="006B52EF">
      <w:pPr>
        <w:pStyle w:val="Paragraph"/>
      </w:pPr>
      <w:r>
        <w:t xml:space="preserve">Delays in the </w:t>
      </w:r>
      <w:r w:rsidR="00D20AB6">
        <w:t xml:space="preserve">pretrial and </w:t>
      </w:r>
      <w:r>
        <w:t>trial process undermine public confidence in the judiciary and can impede the realization of fair trial rights, including in capital cases.</w:t>
      </w:r>
      <w:r w:rsidRPr="00EA7199">
        <w:t xml:space="preserve"> In a 2022 survey of 500 households in Dominica, levels of trust </w:t>
      </w:r>
      <w:r>
        <w:t>in</w:t>
      </w:r>
      <w:r w:rsidRPr="00EA7199">
        <w:t xml:space="preserve"> every institution including the judiciary were found to have declined between 2018 and 2022.</w:t>
      </w:r>
      <w:r w:rsidRPr="00EA7199">
        <w:rPr>
          <w:vertAlign w:val="superscript"/>
        </w:rPr>
        <w:footnoteReference w:id="19"/>
      </w:r>
      <w:r>
        <w:t xml:space="preserve"> </w:t>
      </w:r>
      <w:r w:rsidRPr="00EA7199">
        <w:t>Only 44% of respondents reported having some or a lot of trust in judges and magistrates.</w:t>
      </w:r>
      <w:r w:rsidRPr="00EA7199">
        <w:rPr>
          <w:vertAlign w:val="superscript"/>
        </w:rPr>
        <w:footnoteReference w:id="20"/>
      </w:r>
      <w:r>
        <w:t xml:space="preserve"> </w:t>
      </w:r>
      <w:r w:rsidRPr="00EA7199">
        <w:t>Although more than half of Dominicans interviewed expressed confidence that the criminal justice system ensures equal treatment of the accused and safeguards the presumption of innocence of defendants, only 28% felt that it ensures timeliness, and only 16% thought it</w:t>
      </w:r>
      <w:r>
        <w:t xml:space="preserve"> </w:t>
      </w:r>
      <w:r w:rsidRPr="00EA7199">
        <w:t>gives appropriate punishments.</w:t>
      </w:r>
      <w:r w:rsidRPr="00EA7199">
        <w:rPr>
          <w:vertAlign w:val="superscript"/>
        </w:rPr>
        <w:footnoteReference w:id="21"/>
      </w:r>
    </w:p>
    <w:p w14:paraId="642D18D6" w14:textId="1DECAD3C" w:rsidR="006B52EF" w:rsidRDefault="006B52EF" w:rsidP="000D41E5">
      <w:pPr>
        <w:pStyle w:val="Paragraph"/>
      </w:pPr>
      <w:r>
        <w:t xml:space="preserve">In 2024 the Minister for National Security and Legal Affairs publicly criticized the decision of a High Court judge to grant bail in the case of one of the U.S. nationals mentioned in paragraph </w:t>
      </w:r>
      <w:r>
        <w:fldChar w:fldCharType="begin"/>
      </w:r>
      <w:r>
        <w:instrText xml:space="preserve"> REF _Ref237709145 \r \h </w:instrText>
      </w:r>
      <w:r>
        <w:fldChar w:fldCharType="separate"/>
      </w:r>
      <w:r>
        <w:t>5</w:t>
      </w:r>
      <w:r>
        <w:fldChar w:fldCharType="end"/>
      </w:r>
      <w:r>
        <w:t xml:space="preserve"> who had been charged with murder.</w:t>
      </w:r>
      <w:r>
        <w:rPr>
          <w:rStyle w:val="FootnoteReference"/>
        </w:rPr>
        <w:footnoteReference w:id="22"/>
      </w:r>
      <w:r>
        <w:t xml:space="preserve"> Responding to the criticisms in a public statement, the Dominica Bar Association stated: “This type of public criticism by a Minister of government of a judicial decision unnecessarily casts a shadow over the independence of the judiciary and </w:t>
      </w:r>
      <w:r>
        <w:lastRenderedPageBreak/>
        <w:t>risks eroding public confidence in our legal system. . . . [T]he separation of powers requires that government officials respect judicial processes and avoid partisan commentary.”</w:t>
      </w:r>
      <w:r>
        <w:rPr>
          <w:rStyle w:val="FootnoteReference"/>
        </w:rPr>
        <w:footnoteReference w:id="23"/>
      </w:r>
      <w:r>
        <w:t xml:space="preserve"> The High Court subsequently denied the Chief of Police’s petition for revocation of bail as “unmeritorious” and awarded the defendant costs in that proceeding.</w:t>
      </w:r>
      <w:r>
        <w:rPr>
          <w:rStyle w:val="FootnoteReference"/>
        </w:rPr>
        <w:footnoteReference w:id="24"/>
      </w:r>
    </w:p>
    <w:p w14:paraId="5728C0B7" w14:textId="3DC67101" w:rsidR="006B52EF" w:rsidRDefault="006B52EF" w:rsidP="00F234F2">
      <w:pPr>
        <w:pStyle w:val="Paragraph"/>
      </w:pPr>
      <w:r>
        <w:t>As of July 2025, the Government of Dominica was reviewing the Bail Act “as part of its ongoing efforts to strengthen national security and curb serious crimes.” According to the Minister for National Security and Legal Affairs, judges have not been interpreting Section 7 consistently. In an official statement, he said: “There seems to be a misinterpretation of specifically Section 7 of the Bail Act, that says of course for example that if the court were to grant somebody bail for murder, that the accused has to prove that he is going to make himself available before the court for his hearing. The onus therefore ought to not be placed on the prosecution. Some judges place the onus on the accused; some judges place the onus on the state.”</w:t>
      </w:r>
      <w:r>
        <w:rPr>
          <w:rStyle w:val="FootnoteReference"/>
        </w:rPr>
        <w:footnoteReference w:id="25"/>
      </w:r>
    </w:p>
    <w:p w14:paraId="5BA5FD26" w14:textId="28BCE2B6" w:rsidR="00085935" w:rsidRPr="00262845" w:rsidRDefault="00111994" w:rsidP="00040BA1">
      <w:pPr>
        <w:pStyle w:val="SectionHeading"/>
        <w:keepNext/>
      </w:pPr>
      <w:r w:rsidRPr="00262845">
        <w:t xml:space="preserve">Suggested </w:t>
      </w:r>
      <w:r w:rsidR="00EA0EEB" w:rsidRPr="00262845">
        <w:t>questions</w:t>
      </w:r>
      <w:r w:rsidR="00255789" w:rsidRPr="00262845">
        <w:t xml:space="preserve"> for</w:t>
      </w:r>
      <w:r w:rsidR="000A66B8" w:rsidRPr="00262845">
        <w:t xml:space="preserve"> the Government of </w:t>
      </w:r>
      <w:r w:rsidR="00111813">
        <w:t>Dominica</w:t>
      </w:r>
    </w:p>
    <w:p w14:paraId="09ED740C" w14:textId="6801D67C" w:rsidR="00111994" w:rsidRDefault="00311947" w:rsidP="007B46CD">
      <w:pPr>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pose the following questions to the Government of </w:t>
      </w:r>
      <w:r w:rsidR="00111813">
        <w:rPr>
          <w:rStyle w:val="ParagraphChar"/>
        </w:rPr>
        <w:t>Dominica</w:t>
      </w:r>
      <w:r w:rsidR="00255789">
        <w:t>:</w:t>
      </w:r>
    </w:p>
    <w:p w14:paraId="7589B0A5" w14:textId="7AC65F89" w:rsidR="00255789" w:rsidRDefault="00CA553D" w:rsidP="00211315">
      <w:pPr>
        <w:pStyle w:val="BulletRecommendationsQuestions"/>
      </w:pPr>
      <w:r>
        <w:t xml:space="preserve">What efforts has the State Party undertaken to facilitate a dialogue with the general public and with lawmakers about </w:t>
      </w:r>
      <w:r w:rsidR="00883B42">
        <w:t>the right to life under Article 6 of the Covenant and human rights concerns surrounding the death penalty?</w:t>
      </w:r>
    </w:p>
    <w:p w14:paraId="3E4AA44D" w14:textId="5853D880" w:rsidR="00F51AFD" w:rsidRDefault="007E4B74" w:rsidP="00211315">
      <w:pPr>
        <w:pStyle w:val="BulletRecommendationsQuestions"/>
      </w:pPr>
      <w:r>
        <w:t>What measures has the State Party taken to work toward abolition of the death penalty and ratification of the Second Optional Protocol?</w:t>
      </w:r>
    </w:p>
    <w:p w14:paraId="618353E2" w14:textId="6F7A6B06" w:rsidR="00135A19" w:rsidRDefault="00135A19" w:rsidP="00211315">
      <w:pPr>
        <w:pStyle w:val="BulletRecommendationsQuestions"/>
      </w:pPr>
      <w:r>
        <w:t>What was the basis for Dominica’s shifting position regarding the UN General Assembly resolution calling for a global moratorium on the death penalty</w:t>
      </w:r>
      <w:r w:rsidR="00DA7CD0">
        <w:t xml:space="preserve"> during the reporting period</w:t>
      </w:r>
      <w:r w:rsidR="00AA1290">
        <w:t xml:space="preserve">, and will Dominica consider </w:t>
      </w:r>
      <w:r w:rsidR="00185F8E">
        <w:t xml:space="preserve">resuming support for </w:t>
      </w:r>
      <w:r w:rsidR="00AA1290">
        <w:t xml:space="preserve">the resolution in the </w:t>
      </w:r>
      <w:r w:rsidR="00185F8E">
        <w:t>81st session</w:t>
      </w:r>
      <w:r>
        <w:t>?</w:t>
      </w:r>
    </w:p>
    <w:p w14:paraId="6A19F1CF" w14:textId="72630493" w:rsidR="00AA1290" w:rsidRDefault="0022563A" w:rsidP="00211315">
      <w:pPr>
        <w:pStyle w:val="BulletRecommendationsQuestions"/>
      </w:pPr>
      <w:r>
        <w:t>Please provide data regarding implementation of the Bail Act, including the proportion of serious and less-serious cases in which courts have granted bail</w:t>
      </w:r>
      <w:r w:rsidR="00520FAF">
        <w:t xml:space="preserve"> during the reporting period</w:t>
      </w:r>
      <w:r w:rsidR="00E66F77">
        <w:t>. Please describe whether and how the Bail Act has resulted in a reduction in the number of people held in pretrial detention or remand.</w:t>
      </w:r>
      <w:r w:rsidR="00FA35AF">
        <w:t xml:space="preserve"> Are persons </w:t>
      </w:r>
      <w:r w:rsidR="00BF5907">
        <w:t>held on remand prior to the entry into force of the Bail Act eligible for bail</w:t>
      </w:r>
      <w:r w:rsidR="00E52D1D">
        <w:t xml:space="preserve"> under the new law</w:t>
      </w:r>
      <w:r w:rsidR="00BF5907">
        <w:t>?</w:t>
      </w:r>
    </w:p>
    <w:p w14:paraId="585249C9" w14:textId="48559A65" w:rsidR="00E66F77" w:rsidRDefault="003130CB" w:rsidP="00211315">
      <w:pPr>
        <w:pStyle w:val="BulletRecommendationsQuestions"/>
      </w:pPr>
      <w:r>
        <w:t>What is the status of efforts to review the Bail Act?</w:t>
      </w:r>
    </w:p>
    <w:p w14:paraId="6FD99F26" w14:textId="6479F2C5" w:rsidR="00B7291F" w:rsidRDefault="00B7291F" w:rsidP="00211315">
      <w:pPr>
        <w:pStyle w:val="BulletRecommendationsQuestions"/>
      </w:pPr>
      <w:r>
        <w:lastRenderedPageBreak/>
        <w:t>How does the State Party ensure the independence of the judiciary, particularly with respect to application of the Bail Act</w:t>
      </w:r>
      <w:r w:rsidR="00520FAF">
        <w:t xml:space="preserve"> in high profile cases?</w:t>
      </w:r>
    </w:p>
    <w:p w14:paraId="50FBBBBB" w14:textId="3F522510" w:rsidR="000F77EA" w:rsidRPr="00E114C5" w:rsidRDefault="000F77EA" w:rsidP="00211315">
      <w:pPr>
        <w:pStyle w:val="BulletRecommendationsQuestions"/>
      </w:pPr>
      <w:r>
        <w:t>What other measures has the State Party taken to address backlogs in the criminal legal system?</w:t>
      </w:r>
    </w:p>
    <w:sectPr w:rsidR="000F77EA"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99C54" w14:textId="77777777" w:rsidR="00C44204" w:rsidRDefault="00C44204">
      <w:r>
        <w:separator/>
      </w:r>
    </w:p>
  </w:endnote>
  <w:endnote w:type="continuationSeparator" w:id="0">
    <w:p w14:paraId="416362BB" w14:textId="77777777" w:rsidR="00C44204" w:rsidRDefault="00C44204">
      <w:r>
        <w:continuationSeparator/>
      </w:r>
    </w:p>
  </w:endnote>
  <w:endnote w:type="continuationNotice" w:id="1">
    <w:p w14:paraId="5C408C77" w14:textId="77777777" w:rsidR="00C44204" w:rsidRDefault="00C442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41BA3"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635ED" w14:textId="77777777" w:rsidR="00C44204" w:rsidRDefault="00C44204">
      <w:r>
        <w:separator/>
      </w:r>
    </w:p>
  </w:footnote>
  <w:footnote w:type="continuationSeparator" w:id="0">
    <w:p w14:paraId="21471A1D" w14:textId="77777777" w:rsidR="00C44204" w:rsidRDefault="00C44204">
      <w:r>
        <w:continuationSeparator/>
      </w:r>
    </w:p>
  </w:footnote>
  <w:footnote w:type="continuationNotice" w:id="1">
    <w:p w14:paraId="7EF794A5" w14:textId="77777777" w:rsidR="00C44204" w:rsidRDefault="00C44204"/>
  </w:footnote>
  <w:footnote w:id="2">
    <w:p w14:paraId="11992A1C" w14:textId="69040AEF" w:rsidR="002071EB" w:rsidRPr="00E52D1D" w:rsidRDefault="002071EB">
      <w:pPr>
        <w:pStyle w:val="FootnoteText"/>
        <w:rPr>
          <w:sz w:val="20"/>
          <w:szCs w:val="20"/>
        </w:rPr>
      </w:pPr>
      <w:r w:rsidRPr="00E52D1D">
        <w:rPr>
          <w:rStyle w:val="FootnoteReference"/>
          <w:sz w:val="20"/>
          <w:szCs w:val="20"/>
        </w:rPr>
        <w:footnoteRef/>
      </w:r>
      <w:r w:rsidRPr="00E52D1D">
        <w:rPr>
          <w:sz w:val="20"/>
          <w:szCs w:val="20"/>
        </w:rPr>
        <w:t xml:space="preserve"> Human Rights Committee, </w:t>
      </w:r>
      <w:r w:rsidRPr="00E52D1D">
        <w:rPr>
          <w:i/>
          <w:iCs/>
          <w:sz w:val="20"/>
          <w:szCs w:val="20"/>
        </w:rPr>
        <w:t>Concluding observations in the absence of the initial report of Dominica</w:t>
      </w:r>
      <w:r w:rsidRPr="00E52D1D">
        <w:rPr>
          <w:sz w:val="20"/>
          <w:szCs w:val="20"/>
        </w:rPr>
        <w:t xml:space="preserve">, </w:t>
      </w:r>
      <w:r w:rsidR="00DB29DA" w:rsidRPr="00E52D1D">
        <w:rPr>
          <w:sz w:val="20"/>
          <w:szCs w:val="20"/>
        </w:rPr>
        <w:t>(24 Apr. 2020), U.N. Doc. CCPR/C/DMA/COAR/1, ¶¶ 26-27.</w:t>
      </w:r>
    </w:p>
  </w:footnote>
  <w:footnote w:id="3">
    <w:p w14:paraId="23B7733A" w14:textId="77777777" w:rsidR="007574C5" w:rsidRPr="00E52D1D" w:rsidRDefault="007574C5" w:rsidP="007574C5">
      <w:pPr>
        <w:pStyle w:val="FootnoteText"/>
        <w:rPr>
          <w:sz w:val="20"/>
          <w:szCs w:val="20"/>
        </w:rPr>
      </w:pPr>
      <w:r w:rsidRPr="00E52D1D">
        <w:rPr>
          <w:rStyle w:val="FootnoteReference"/>
          <w:sz w:val="20"/>
          <w:szCs w:val="20"/>
        </w:rPr>
        <w:footnoteRef/>
      </w:r>
      <w:r w:rsidRPr="00E52D1D">
        <w:rPr>
          <w:sz w:val="20"/>
          <w:szCs w:val="20"/>
        </w:rPr>
        <w:t xml:space="preserve"> Laws of Dominica, Offences Against the Person Act, Chapter 10:31, Part I, Art. 2; Laws of Dominica, Treason Act, Chapter 10:01, Art. 2.</w:t>
      </w:r>
    </w:p>
  </w:footnote>
  <w:footnote w:id="4">
    <w:p w14:paraId="280B31E7" w14:textId="10416AEE" w:rsidR="00F25883" w:rsidRPr="00E52D1D" w:rsidRDefault="00F25883">
      <w:pPr>
        <w:pStyle w:val="FootnoteText"/>
        <w:rPr>
          <w:sz w:val="20"/>
          <w:szCs w:val="20"/>
        </w:rPr>
      </w:pPr>
      <w:r w:rsidRPr="00E52D1D">
        <w:rPr>
          <w:rStyle w:val="FootnoteReference"/>
          <w:sz w:val="20"/>
          <w:szCs w:val="20"/>
        </w:rPr>
        <w:footnoteRef/>
      </w:r>
      <w:r w:rsidRPr="00E52D1D">
        <w:rPr>
          <w:sz w:val="20"/>
          <w:szCs w:val="20"/>
        </w:rPr>
        <w:t xml:space="preserve"> Amnesty International, </w:t>
      </w:r>
      <w:r w:rsidRPr="00E52D1D">
        <w:rPr>
          <w:i/>
          <w:iCs/>
          <w:sz w:val="20"/>
          <w:szCs w:val="20"/>
        </w:rPr>
        <w:t>Death sentences and executions in 2025</w:t>
      </w:r>
      <w:r w:rsidRPr="00E52D1D">
        <w:rPr>
          <w:sz w:val="20"/>
          <w:szCs w:val="20"/>
        </w:rPr>
        <w:t>, (London: Amnesty International, May 2026), 13, available online at https://www.amnesty.org/en/documents/act50/0778/2026/en/.</w:t>
      </w:r>
    </w:p>
  </w:footnote>
  <w:footnote w:id="5">
    <w:p w14:paraId="09A3A8A7" w14:textId="51C1445E" w:rsidR="004C588D" w:rsidRPr="00E52D1D" w:rsidRDefault="004C588D" w:rsidP="00B80D0C">
      <w:pPr>
        <w:pStyle w:val="FootnoteText"/>
        <w:rPr>
          <w:sz w:val="20"/>
          <w:szCs w:val="20"/>
        </w:rPr>
      </w:pPr>
      <w:r w:rsidRPr="00E52D1D">
        <w:rPr>
          <w:rStyle w:val="FootnoteReference"/>
          <w:sz w:val="20"/>
          <w:szCs w:val="20"/>
        </w:rPr>
        <w:footnoteRef/>
      </w:r>
      <w:r w:rsidRPr="00E52D1D">
        <w:rPr>
          <w:sz w:val="20"/>
          <w:szCs w:val="20"/>
        </w:rPr>
        <w:t xml:space="preserve"> Amnesty International, </w:t>
      </w:r>
      <w:r w:rsidRPr="00E52D1D">
        <w:rPr>
          <w:i/>
          <w:iCs/>
          <w:sz w:val="20"/>
          <w:szCs w:val="20"/>
        </w:rPr>
        <w:t>Death Sentences and Executions 2020</w:t>
      </w:r>
      <w:r w:rsidRPr="00E52D1D">
        <w:rPr>
          <w:sz w:val="20"/>
          <w:szCs w:val="20"/>
        </w:rPr>
        <w:t xml:space="preserve"> at 16; Amnesty International, </w:t>
      </w:r>
      <w:r w:rsidRPr="00E52D1D">
        <w:rPr>
          <w:i/>
          <w:iCs/>
          <w:sz w:val="20"/>
          <w:szCs w:val="20"/>
        </w:rPr>
        <w:t>Death Sentences and Executions 2021</w:t>
      </w:r>
      <w:r w:rsidRPr="00E52D1D">
        <w:rPr>
          <w:sz w:val="20"/>
          <w:szCs w:val="20"/>
        </w:rPr>
        <w:t xml:space="preserve"> at 16; Amnesty International, </w:t>
      </w:r>
      <w:r w:rsidRPr="00E52D1D">
        <w:rPr>
          <w:i/>
          <w:iCs/>
          <w:sz w:val="20"/>
          <w:szCs w:val="20"/>
        </w:rPr>
        <w:t>Death Sentences and Executions 2022</w:t>
      </w:r>
      <w:r w:rsidRPr="00E52D1D">
        <w:rPr>
          <w:sz w:val="20"/>
          <w:szCs w:val="20"/>
        </w:rPr>
        <w:t xml:space="preserve"> at 16; Amnesty International, </w:t>
      </w:r>
      <w:r w:rsidRPr="00E52D1D">
        <w:rPr>
          <w:i/>
          <w:iCs/>
          <w:sz w:val="20"/>
          <w:szCs w:val="20"/>
        </w:rPr>
        <w:t>Death Sentences and Executions 2023</w:t>
      </w:r>
      <w:r w:rsidRPr="00E52D1D">
        <w:rPr>
          <w:sz w:val="20"/>
          <w:szCs w:val="20"/>
        </w:rPr>
        <w:t xml:space="preserve"> at 15; Amnesty International, </w:t>
      </w:r>
      <w:r w:rsidRPr="00E52D1D">
        <w:rPr>
          <w:i/>
          <w:iCs/>
          <w:sz w:val="20"/>
          <w:szCs w:val="20"/>
        </w:rPr>
        <w:t>Death Sentences and Executions 2024</w:t>
      </w:r>
      <w:r w:rsidRPr="00E52D1D">
        <w:rPr>
          <w:sz w:val="20"/>
          <w:szCs w:val="20"/>
        </w:rPr>
        <w:t xml:space="preserve"> at 15.</w:t>
      </w:r>
    </w:p>
  </w:footnote>
  <w:footnote w:id="6">
    <w:p w14:paraId="273FEC46" w14:textId="77777777" w:rsidR="0056361E" w:rsidRPr="00E52D1D" w:rsidRDefault="0056361E" w:rsidP="00862205">
      <w:pPr>
        <w:rPr>
          <w:sz w:val="20"/>
          <w:szCs w:val="20"/>
        </w:rPr>
      </w:pPr>
      <w:r w:rsidRPr="00E52D1D">
        <w:rPr>
          <w:sz w:val="20"/>
          <w:szCs w:val="20"/>
          <w:vertAlign w:val="superscript"/>
        </w:rPr>
        <w:footnoteRef/>
      </w:r>
      <w:r w:rsidRPr="00E52D1D">
        <w:rPr>
          <w:sz w:val="20"/>
          <w:szCs w:val="20"/>
        </w:rPr>
        <w:t xml:space="preserve"> World Coalition Against the Death Penalty, Greater Caribbean for Life, </w:t>
      </w:r>
      <w:r w:rsidRPr="00E52D1D">
        <w:rPr>
          <w:i/>
          <w:sz w:val="20"/>
          <w:szCs w:val="20"/>
        </w:rPr>
        <w:t>Dominica’s Compliance with the International Covenant on Civil and Political Rights Suggested List of Issues Related to the Death Penalty,</w:t>
      </w:r>
      <w:r w:rsidRPr="00E52D1D">
        <w:rPr>
          <w:sz w:val="20"/>
          <w:szCs w:val="20"/>
        </w:rPr>
        <w:t xml:space="preserve"> U.N. Doc. INT/CCPR/ICO/DMA/33526/E, January 2019.</w:t>
      </w:r>
    </w:p>
  </w:footnote>
  <w:footnote w:id="7">
    <w:p w14:paraId="2380882D" w14:textId="77777777" w:rsidR="00503226" w:rsidRPr="00E52D1D" w:rsidRDefault="00503226" w:rsidP="00503226">
      <w:pPr>
        <w:pStyle w:val="FootnoteText"/>
        <w:rPr>
          <w:sz w:val="20"/>
          <w:szCs w:val="20"/>
        </w:rPr>
      </w:pPr>
      <w:r w:rsidRPr="00E52D1D">
        <w:rPr>
          <w:rStyle w:val="FootnoteReference"/>
          <w:sz w:val="20"/>
          <w:szCs w:val="20"/>
        </w:rPr>
        <w:footnoteRef/>
      </w:r>
      <w:r w:rsidRPr="00E52D1D">
        <w:rPr>
          <w:sz w:val="20"/>
          <w:szCs w:val="20"/>
        </w:rPr>
        <w:t xml:space="preserve"> Charlotte Glorieux, </w:t>
      </w:r>
      <w:r w:rsidRPr="00E52D1D">
        <w:rPr>
          <w:i/>
          <w:iCs/>
          <w:sz w:val="20"/>
          <w:szCs w:val="20"/>
        </w:rPr>
        <w:t>Prosecutor details evidence behind convictions in murder of Quebec couple in Dominica</w:t>
      </w:r>
      <w:r w:rsidRPr="00E52D1D">
        <w:rPr>
          <w:sz w:val="20"/>
          <w:szCs w:val="20"/>
        </w:rPr>
        <w:t>, CBC News, Aug. 13, 2026, https://www.cbc.ca/news/canada/montreal/2023-murders-dominica-daniel-langlois-dominique-marchand-9.7306105.</w:t>
      </w:r>
    </w:p>
  </w:footnote>
  <w:footnote w:id="8">
    <w:p w14:paraId="14F4EC69" w14:textId="77777777" w:rsidR="00503226" w:rsidRPr="00E52D1D" w:rsidRDefault="00503226" w:rsidP="00503226">
      <w:pPr>
        <w:pStyle w:val="FootnoteText"/>
        <w:rPr>
          <w:sz w:val="20"/>
          <w:szCs w:val="20"/>
        </w:rPr>
      </w:pPr>
      <w:r w:rsidRPr="00E52D1D">
        <w:rPr>
          <w:rStyle w:val="FootnoteReference"/>
          <w:sz w:val="20"/>
          <w:szCs w:val="20"/>
        </w:rPr>
        <w:footnoteRef/>
      </w:r>
      <w:r w:rsidRPr="00E52D1D">
        <w:rPr>
          <w:sz w:val="20"/>
          <w:szCs w:val="20"/>
        </w:rPr>
        <w:t xml:space="preserve"> Charlotte Glorieux, </w:t>
      </w:r>
      <w:r w:rsidRPr="00E52D1D">
        <w:rPr>
          <w:i/>
          <w:iCs/>
          <w:sz w:val="20"/>
          <w:szCs w:val="20"/>
        </w:rPr>
        <w:t>Prosecutor details evidence behind convictions in murder of Quebec couple in Dominica</w:t>
      </w:r>
      <w:r w:rsidRPr="00E52D1D">
        <w:rPr>
          <w:sz w:val="20"/>
          <w:szCs w:val="20"/>
        </w:rPr>
        <w:t>, CBC News, Aug. 13, 2026, https://www.cbc.ca/news/canada/montreal/2023-murders-dominica-daniel-langlois-dominique-marchand-9.7306105.</w:t>
      </w:r>
    </w:p>
  </w:footnote>
  <w:footnote w:id="9">
    <w:p w14:paraId="3CE396B0" w14:textId="41502E41" w:rsidR="005F49AD" w:rsidRPr="00E52D1D" w:rsidRDefault="005F49AD">
      <w:pPr>
        <w:pStyle w:val="FootnoteText"/>
        <w:rPr>
          <w:sz w:val="20"/>
          <w:szCs w:val="20"/>
        </w:rPr>
      </w:pPr>
      <w:r w:rsidRPr="00E52D1D">
        <w:rPr>
          <w:rStyle w:val="FootnoteReference"/>
          <w:sz w:val="20"/>
          <w:szCs w:val="20"/>
        </w:rPr>
        <w:footnoteRef/>
      </w:r>
      <w:r w:rsidRPr="00E52D1D">
        <w:rPr>
          <w:sz w:val="20"/>
          <w:szCs w:val="20"/>
        </w:rPr>
        <w:t xml:space="preserve"> </w:t>
      </w:r>
      <w:r w:rsidRPr="00E52D1D">
        <w:rPr>
          <w:i/>
          <w:iCs/>
          <w:sz w:val="20"/>
          <w:szCs w:val="20"/>
        </w:rPr>
        <w:t>Jury Finds Jonathan Lehrer and Robert Snyder Guilty of Double Murder</w:t>
      </w:r>
      <w:r w:rsidR="00DC1DA7" w:rsidRPr="00E52D1D">
        <w:rPr>
          <w:sz w:val="20"/>
          <w:szCs w:val="20"/>
        </w:rPr>
        <w:t>, DOM767, July 29, 2026, https://www.dom767.com/news/jury-finds-jonathan-scott-lehrer-and-robert-thomas-snyder-jr-guilty-of-double-murder/.</w:t>
      </w:r>
    </w:p>
  </w:footnote>
  <w:footnote w:id="10">
    <w:p w14:paraId="7E9E9A23" w14:textId="48AA9350" w:rsidR="0056361E" w:rsidRPr="00E52D1D" w:rsidRDefault="0056361E" w:rsidP="005A742C">
      <w:pPr>
        <w:pStyle w:val="FootnoteText"/>
        <w:rPr>
          <w:sz w:val="20"/>
          <w:szCs w:val="20"/>
        </w:rPr>
      </w:pPr>
      <w:r w:rsidRPr="00E52D1D">
        <w:rPr>
          <w:rStyle w:val="FootnoteReference"/>
          <w:sz w:val="20"/>
          <w:szCs w:val="20"/>
        </w:rPr>
        <w:footnoteRef/>
      </w:r>
      <w:r w:rsidRPr="00E52D1D">
        <w:rPr>
          <w:sz w:val="20"/>
          <w:szCs w:val="20"/>
        </w:rPr>
        <w:t xml:space="preserve"> United Nations General Assembly, </w:t>
      </w:r>
      <w:r w:rsidRPr="00E52D1D">
        <w:rPr>
          <w:i/>
          <w:iCs/>
          <w:sz w:val="20"/>
          <w:szCs w:val="20"/>
        </w:rPr>
        <w:t xml:space="preserve">Moratorium on the use of the death penalty </w:t>
      </w:r>
      <w:r w:rsidRPr="00E52D1D">
        <w:rPr>
          <w:sz w:val="20"/>
          <w:szCs w:val="20"/>
        </w:rPr>
        <w:t xml:space="preserve">(Dec. 17, 2018), U.N. Doc. A/RES/73/175; United Nations Digital Library, </w:t>
      </w:r>
      <w:r w:rsidRPr="00E52D1D">
        <w:rPr>
          <w:i/>
          <w:iCs/>
          <w:sz w:val="20"/>
          <w:szCs w:val="20"/>
        </w:rPr>
        <w:t>Votes on A/RES/73/175</w:t>
      </w:r>
      <w:r w:rsidRPr="00E52D1D">
        <w:rPr>
          <w:sz w:val="20"/>
          <w:szCs w:val="20"/>
        </w:rPr>
        <w:t xml:space="preserve">, available at https://dpproject.wpengine.com/wp-content/uploads/2020/04/2809872v1_WSDOCS_-Sentencing-to-Death-Without-Execution-2020.pdfhttps://digitallibrary.un.org/record/1656169?ln=en; </w:t>
      </w:r>
      <w:r w:rsidR="005E2EB9" w:rsidRPr="00E52D1D">
        <w:rPr>
          <w:sz w:val="20"/>
          <w:szCs w:val="20"/>
        </w:rPr>
        <w:t xml:space="preserve">International Commission Against the Death Penalty, </w:t>
      </w:r>
      <w:r w:rsidR="005E2EB9" w:rsidRPr="00E52D1D">
        <w:rPr>
          <w:i/>
          <w:iCs/>
          <w:sz w:val="20"/>
          <w:szCs w:val="20"/>
        </w:rPr>
        <w:t>UNGA Moratorium Resolution Table</w:t>
      </w:r>
      <w:r w:rsidR="005E2EB9" w:rsidRPr="00E52D1D">
        <w:rPr>
          <w:sz w:val="20"/>
          <w:szCs w:val="20"/>
        </w:rPr>
        <w:t xml:space="preserve">, </w:t>
      </w:r>
      <w:r w:rsidR="00084CF7" w:rsidRPr="00E52D1D">
        <w:rPr>
          <w:sz w:val="20"/>
          <w:szCs w:val="20"/>
        </w:rPr>
        <w:t>https://icomdp.org/map-unga/.</w:t>
      </w:r>
    </w:p>
  </w:footnote>
  <w:footnote w:id="11">
    <w:p w14:paraId="0810F300" w14:textId="77777777" w:rsidR="0056361E" w:rsidRPr="00E52D1D" w:rsidRDefault="0056361E" w:rsidP="00ED7D82">
      <w:pPr>
        <w:pStyle w:val="FootnoteText"/>
        <w:rPr>
          <w:sz w:val="20"/>
          <w:szCs w:val="20"/>
        </w:rPr>
      </w:pPr>
      <w:r w:rsidRPr="00E52D1D">
        <w:rPr>
          <w:rStyle w:val="FootnoteReference"/>
          <w:sz w:val="20"/>
          <w:szCs w:val="20"/>
        </w:rPr>
        <w:footnoteRef/>
      </w:r>
      <w:r w:rsidRPr="00E52D1D">
        <w:rPr>
          <w:sz w:val="20"/>
          <w:szCs w:val="20"/>
        </w:rPr>
        <w:t xml:space="preserve"> Human Rights Council, </w:t>
      </w:r>
      <w:r w:rsidRPr="00E52D1D">
        <w:rPr>
          <w:i/>
          <w:iCs/>
          <w:sz w:val="20"/>
          <w:szCs w:val="20"/>
        </w:rPr>
        <w:t>Report of the Human Rights Council on its forty-second session</w:t>
      </w:r>
      <w:r w:rsidRPr="00E52D1D">
        <w:rPr>
          <w:sz w:val="20"/>
          <w:szCs w:val="20"/>
        </w:rPr>
        <w:t xml:space="preserve"> (April 13, 2021), U.N. Doc. A/HRC/42/2, ¶ 632.</w:t>
      </w:r>
    </w:p>
  </w:footnote>
  <w:footnote w:id="12">
    <w:p w14:paraId="210D7E43" w14:textId="315029DD" w:rsidR="00A4611C" w:rsidRPr="00E52D1D" w:rsidRDefault="00A4611C">
      <w:pPr>
        <w:pStyle w:val="FootnoteText"/>
        <w:rPr>
          <w:sz w:val="20"/>
          <w:szCs w:val="20"/>
        </w:rPr>
      </w:pPr>
      <w:r w:rsidRPr="00E52D1D">
        <w:rPr>
          <w:rStyle w:val="FootnoteReference"/>
          <w:sz w:val="20"/>
          <w:szCs w:val="20"/>
        </w:rPr>
        <w:footnoteRef/>
      </w:r>
      <w:r w:rsidRPr="00E52D1D">
        <w:rPr>
          <w:sz w:val="20"/>
          <w:szCs w:val="20"/>
        </w:rPr>
        <w:t xml:space="preserve"> </w:t>
      </w:r>
      <w:r w:rsidR="00076B04" w:rsidRPr="00E52D1D">
        <w:rPr>
          <w:sz w:val="20"/>
          <w:szCs w:val="20"/>
        </w:rPr>
        <w:t xml:space="preserve">Human Rights Council, </w:t>
      </w:r>
      <w:r w:rsidR="00076B04" w:rsidRPr="00E52D1D">
        <w:rPr>
          <w:i/>
          <w:iCs/>
          <w:sz w:val="20"/>
          <w:szCs w:val="20"/>
        </w:rPr>
        <w:t xml:space="preserve">Report of the Working Group on the Universal Periodic Review: Dominica </w:t>
      </w:r>
      <w:r w:rsidR="00076B04" w:rsidRPr="00E52D1D">
        <w:rPr>
          <w:sz w:val="20"/>
          <w:szCs w:val="20"/>
        </w:rPr>
        <w:t>(</w:t>
      </w:r>
      <w:r w:rsidR="00E86C9C" w:rsidRPr="00E52D1D">
        <w:rPr>
          <w:sz w:val="20"/>
          <w:szCs w:val="20"/>
        </w:rPr>
        <w:t>20 Dec. 2024</w:t>
      </w:r>
      <w:r w:rsidR="00076B04" w:rsidRPr="00E52D1D">
        <w:rPr>
          <w:sz w:val="20"/>
          <w:szCs w:val="20"/>
        </w:rPr>
        <w:t xml:space="preserve">), U.N. Doc. </w:t>
      </w:r>
      <w:r w:rsidR="00E86C9C" w:rsidRPr="00E52D1D">
        <w:rPr>
          <w:sz w:val="20"/>
          <w:szCs w:val="20"/>
        </w:rPr>
        <w:t xml:space="preserve">A/HRC/58/10, </w:t>
      </w:r>
      <w:r w:rsidRPr="00E52D1D">
        <w:rPr>
          <w:sz w:val="20"/>
          <w:szCs w:val="20"/>
        </w:rPr>
        <w:t>¶ 55.</w:t>
      </w:r>
    </w:p>
  </w:footnote>
  <w:footnote w:id="13">
    <w:p w14:paraId="6A005C4C" w14:textId="78038158" w:rsidR="00DC1456" w:rsidRPr="00E52D1D" w:rsidRDefault="00DC1456" w:rsidP="00DC1456">
      <w:pPr>
        <w:pStyle w:val="FootnoteText"/>
        <w:rPr>
          <w:sz w:val="20"/>
          <w:szCs w:val="20"/>
        </w:rPr>
      </w:pPr>
      <w:r w:rsidRPr="00E52D1D">
        <w:rPr>
          <w:rStyle w:val="FootnoteReference"/>
          <w:sz w:val="20"/>
          <w:szCs w:val="20"/>
        </w:rPr>
        <w:footnoteRef/>
      </w:r>
      <w:r w:rsidRPr="00E52D1D">
        <w:rPr>
          <w:sz w:val="20"/>
          <w:szCs w:val="20"/>
        </w:rPr>
        <w:t xml:space="preserve"> Human Rights Council, </w:t>
      </w:r>
      <w:r w:rsidRPr="00E52D1D">
        <w:rPr>
          <w:i/>
          <w:iCs/>
          <w:sz w:val="20"/>
          <w:szCs w:val="20"/>
        </w:rPr>
        <w:t xml:space="preserve">Report of the Working Group on the Universal Periodic Review: Dominica </w:t>
      </w:r>
      <w:r w:rsidRPr="00E52D1D">
        <w:rPr>
          <w:sz w:val="20"/>
          <w:szCs w:val="20"/>
        </w:rPr>
        <w:t xml:space="preserve">(20 Dec. 2024), U.N. Doc. A/HRC/58/10, ¶ 97.52; </w:t>
      </w:r>
      <w:r w:rsidR="0002317D" w:rsidRPr="00E52D1D">
        <w:rPr>
          <w:sz w:val="20"/>
          <w:szCs w:val="20"/>
        </w:rPr>
        <w:t xml:space="preserve">Human Rights Council, </w:t>
      </w:r>
      <w:r w:rsidR="0002317D" w:rsidRPr="00E52D1D">
        <w:rPr>
          <w:i/>
          <w:iCs/>
          <w:sz w:val="20"/>
          <w:szCs w:val="20"/>
        </w:rPr>
        <w:t>Report of the Working Group on the Universal Periodic Review: Dominica: Addendum</w:t>
      </w:r>
      <w:r w:rsidR="00AF1F29" w:rsidRPr="00E52D1D">
        <w:rPr>
          <w:i/>
          <w:iCs/>
          <w:sz w:val="20"/>
          <w:szCs w:val="20"/>
        </w:rPr>
        <w:t xml:space="preserve"> </w:t>
      </w:r>
      <w:r w:rsidR="00AF1F29" w:rsidRPr="00E52D1D">
        <w:rPr>
          <w:sz w:val="20"/>
          <w:szCs w:val="20"/>
        </w:rPr>
        <w:t>(18 Feb. 2025), U.N. Doc. A/HRC/58/10/Add.1</w:t>
      </w:r>
      <w:r w:rsidR="008C1004" w:rsidRPr="00E52D1D">
        <w:rPr>
          <w:sz w:val="20"/>
          <w:szCs w:val="20"/>
        </w:rPr>
        <w:t>, ¶ 2.</w:t>
      </w:r>
    </w:p>
  </w:footnote>
  <w:footnote w:id="14">
    <w:p w14:paraId="034333D2" w14:textId="17C1C476" w:rsidR="00614C01" w:rsidRPr="00E52D1D" w:rsidRDefault="00614C01" w:rsidP="00614C01">
      <w:pPr>
        <w:pStyle w:val="FootnoteText"/>
        <w:rPr>
          <w:sz w:val="20"/>
          <w:szCs w:val="20"/>
        </w:rPr>
      </w:pPr>
      <w:r w:rsidRPr="00E52D1D">
        <w:rPr>
          <w:rStyle w:val="FootnoteReference"/>
          <w:sz w:val="20"/>
          <w:szCs w:val="20"/>
        </w:rPr>
        <w:footnoteRef/>
      </w:r>
      <w:r w:rsidRPr="00E52D1D">
        <w:rPr>
          <w:sz w:val="20"/>
          <w:szCs w:val="20"/>
        </w:rPr>
        <w:t xml:space="preserve"> Human Rights Committee, </w:t>
      </w:r>
      <w:r w:rsidRPr="00E52D1D">
        <w:rPr>
          <w:i/>
          <w:iCs/>
          <w:sz w:val="20"/>
          <w:szCs w:val="20"/>
        </w:rPr>
        <w:t>Concluding observations in the absence of the initial report of Dominica</w:t>
      </w:r>
      <w:r w:rsidRPr="00E52D1D">
        <w:rPr>
          <w:sz w:val="20"/>
          <w:szCs w:val="20"/>
        </w:rPr>
        <w:t>, (24 Apr. 2020), U.N. Doc. CCPR/C/DMA/COAR/1, ¶¶ </w:t>
      </w:r>
      <w:r w:rsidR="00A73C49" w:rsidRPr="00E52D1D">
        <w:rPr>
          <w:sz w:val="20"/>
          <w:szCs w:val="20"/>
        </w:rPr>
        <w:t>30-31</w:t>
      </w:r>
      <w:r w:rsidRPr="00E52D1D">
        <w:rPr>
          <w:sz w:val="20"/>
          <w:szCs w:val="20"/>
        </w:rPr>
        <w:t>.</w:t>
      </w:r>
    </w:p>
  </w:footnote>
  <w:footnote w:id="15">
    <w:p w14:paraId="7A47D049" w14:textId="743C302F" w:rsidR="007D2F78" w:rsidRPr="00E52D1D" w:rsidRDefault="007D2F78">
      <w:pPr>
        <w:pStyle w:val="FootnoteText"/>
        <w:rPr>
          <w:sz w:val="20"/>
          <w:szCs w:val="20"/>
        </w:rPr>
      </w:pPr>
      <w:r w:rsidRPr="00E52D1D">
        <w:rPr>
          <w:rStyle w:val="FootnoteReference"/>
          <w:sz w:val="20"/>
          <w:szCs w:val="20"/>
        </w:rPr>
        <w:footnoteRef/>
      </w:r>
      <w:r w:rsidRPr="00E52D1D">
        <w:rPr>
          <w:sz w:val="20"/>
          <w:szCs w:val="20"/>
        </w:rPr>
        <w:t xml:space="preserve"> </w:t>
      </w:r>
      <w:r w:rsidR="00F9335F" w:rsidRPr="00E52D1D">
        <w:rPr>
          <w:i/>
          <w:iCs/>
          <w:sz w:val="20"/>
          <w:szCs w:val="20"/>
        </w:rPr>
        <w:t>Bail Act of Dominica</w:t>
      </w:r>
      <w:r w:rsidR="00F9335F" w:rsidRPr="00E52D1D">
        <w:rPr>
          <w:sz w:val="20"/>
          <w:szCs w:val="20"/>
        </w:rPr>
        <w:t xml:space="preserve">, Dompedia, Regulations &amp; Laws, </w:t>
      </w:r>
      <w:r w:rsidR="003B6FEF" w:rsidRPr="00E52D1D">
        <w:rPr>
          <w:sz w:val="20"/>
          <w:szCs w:val="20"/>
        </w:rPr>
        <w:t xml:space="preserve">https://www.dom767.com/dompedia/bail-act-of-dominica/ (last visited 15 Aug. 2026). </w:t>
      </w:r>
    </w:p>
  </w:footnote>
  <w:footnote w:id="16">
    <w:p w14:paraId="6D6F443D" w14:textId="4860AC85" w:rsidR="00446F44" w:rsidRPr="00E52D1D" w:rsidRDefault="00446F44">
      <w:pPr>
        <w:pStyle w:val="FootnoteText"/>
        <w:rPr>
          <w:sz w:val="20"/>
          <w:szCs w:val="20"/>
        </w:rPr>
      </w:pPr>
      <w:r w:rsidRPr="00E52D1D">
        <w:rPr>
          <w:rStyle w:val="FootnoteReference"/>
          <w:sz w:val="20"/>
          <w:szCs w:val="20"/>
        </w:rPr>
        <w:footnoteRef/>
      </w:r>
      <w:r w:rsidRPr="00E52D1D">
        <w:rPr>
          <w:sz w:val="20"/>
          <w:szCs w:val="20"/>
        </w:rPr>
        <w:t xml:space="preserve"> </w:t>
      </w:r>
      <w:r w:rsidRPr="00E52D1D">
        <w:rPr>
          <w:i/>
          <w:iCs/>
          <w:sz w:val="20"/>
          <w:szCs w:val="20"/>
        </w:rPr>
        <w:t>Bail Act of Dominica</w:t>
      </w:r>
      <w:r w:rsidRPr="00E52D1D">
        <w:rPr>
          <w:sz w:val="20"/>
          <w:szCs w:val="20"/>
        </w:rPr>
        <w:t>, Dompedia, Regulations &amp; Laws, https://www.dom767.com/dompedia/bail-act-of-dominica/ (last visited 15 Aug. 2026).</w:t>
      </w:r>
    </w:p>
  </w:footnote>
  <w:footnote w:id="17">
    <w:p w14:paraId="40394058" w14:textId="7FB80042" w:rsidR="000B4D9D" w:rsidRPr="00E52D1D" w:rsidRDefault="000B4D9D">
      <w:pPr>
        <w:pStyle w:val="FootnoteText"/>
        <w:rPr>
          <w:sz w:val="20"/>
          <w:szCs w:val="20"/>
        </w:rPr>
      </w:pPr>
      <w:r w:rsidRPr="00E52D1D">
        <w:rPr>
          <w:rStyle w:val="FootnoteReference"/>
          <w:sz w:val="20"/>
          <w:szCs w:val="20"/>
        </w:rPr>
        <w:footnoteRef/>
      </w:r>
      <w:r w:rsidRPr="00E52D1D">
        <w:rPr>
          <w:sz w:val="20"/>
          <w:szCs w:val="20"/>
        </w:rPr>
        <w:t xml:space="preserve"> </w:t>
      </w:r>
      <w:r w:rsidR="005F792B" w:rsidRPr="00E52D1D">
        <w:rPr>
          <w:sz w:val="20"/>
          <w:szCs w:val="20"/>
        </w:rPr>
        <w:t>United States Department of State,</w:t>
      </w:r>
      <w:r w:rsidR="005F792B" w:rsidRPr="00E52D1D">
        <w:rPr>
          <w:i/>
          <w:iCs/>
          <w:sz w:val="20"/>
          <w:szCs w:val="20"/>
        </w:rPr>
        <w:t> Dominica 2023 Human Rights Report</w:t>
      </w:r>
      <w:r w:rsidR="005F792B" w:rsidRPr="00E52D1D">
        <w:rPr>
          <w:sz w:val="20"/>
          <w:szCs w:val="20"/>
        </w:rPr>
        <w:t xml:space="preserve"> (Washington D.C.: United States Department of State, 2024), </w:t>
      </w:r>
      <w:r w:rsidR="00550F0B" w:rsidRPr="00E52D1D">
        <w:rPr>
          <w:sz w:val="20"/>
          <w:szCs w:val="20"/>
        </w:rPr>
        <w:t xml:space="preserve">at 3, </w:t>
      </w:r>
      <w:r w:rsidR="005F792B" w:rsidRPr="00E52D1D">
        <w:rPr>
          <w:sz w:val="20"/>
          <w:szCs w:val="20"/>
        </w:rPr>
        <w:t>available online at</w:t>
      </w:r>
      <w:r w:rsidR="00550F0B" w:rsidRPr="00E52D1D">
        <w:rPr>
          <w:sz w:val="20"/>
          <w:szCs w:val="20"/>
        </w:rPr>
        <w:t xml:space="preserve"> https://2021-2025.state.gov/wp-content/uploads/2024/02/528267-DOMINICA-2023-HUMAN-RIGHTS-REPORT.pdf.</w:t>
      </w:r>
    </w:p>
  </w:footnote>
  <w:footnote w:id="18">
    <w:p w14:paraId="4CFB975B" w14:textId="77777777" w:rsidR="006B52EF" w:rsidRPr="00E52D1D" w:rsidRDefault="006B52EF" w:rsidP="00CC3113">
      <w:pPr>
        <w:pStyle w:val="FootnoteText"/>
        <w:rPr>
          <w:sz w:val="20"/>
          <w:szCs w:val="20"/>
        </w:rPr>
      </w:pPr>
      <w:r w:rsidRPr="00E52D1D">
        <w:rPr>
          <w:rStyle w:val="FootnoteReference"/>
          <w:sz w:val="20"/>
          <w:szCs w:val="20"/>
        </w:rPr>
        <w:footnoteRef/>
      </w:r>
      <w:r w:rsidRPr="00E52D1D">
        <w:rPr>
          <w:sz w:val="20"/>
          <w:szCs w:val="20"/>
        </w:rPr>
        <w:t xml:space="preserve"> Freedom House, </w:t>
      </w:r>
      <w:r w:rsidRPr="00E52D1D">
        <w:rPr>
          <w:i/>
          <w:iCs/>
          <w:sz w:val="20"/>
          <w:szCs w:val="20"/>
        </w:rPr>
        <w:t>Freedom in the World 2023: Dominica</w:t>
      </w:r>
      <w:r w:rsidRPr="00E52D1D">
        <w:rPr>
          <w:sz w:val="20"/>
          <w:szCs w:val="20"/>
        </w:rPr>
        <w:t>, available at https://freedomhouse.org/country/dominica/freedom-world/2023.</w:t>
      </w:r>
    </w:p>
  </w:footnote>
  <w:footnote w:id="19">
    <w:p w14:paraId="08331642" w14:textId="77777777" w:rsidR="006B52EF" w:rsidRPr="00E52D1D" w:rsidRDefault="006B52EF" w:rsidP="006B52EF">
      <w:pPr>
        <w:pStyle w:val="FootnoteText"/>
        <w:rPr>
          <w:sz w:val="20"/>
          <w:szCs w:val="20"/>
        </w:rPr>
      </w:pPr>
      <w:r w:rsidRPr="00E52D1D">
        <w:rPr>
          <w:rStyle w:val="FootnoteReference"/>
          <w:sz w:val="20"/>
          <w:szCs w:val="20"/>
        </w:rPr>
        <w:footnoteRef/>
      </w:r>
      <w:r w:rsidRPr="00E52D1D">
        <w:rPr>
          <w:sz w:val="20"/>
          <w:szCs w:val="20"/>
        </w:rPr>
        <w:t xml:space="preserve"> World Justice Project, </w:t>
      </w:r>
      <w:r w:rsidRPr="00E52D1D">
        <w:rPr>
          <w:i/>
          <w:iCs/>
          <w:sz w:val="20"/>
          <w:szCs w:val="20"/>
        </w:rPr>
        <w:t>The Rule of Law in Dominica</w:t>
      </w:r>
      <w:r w:rsidRPr="00E52D1D">
        <w:rPr>
          <w:sz w:val="20"/>
          <w:szCs w:val="20"/>
        </w:rPr>
        <w:t xml:space="preserve"> (2022), available at https://worldjusticeproject.org/our-work/research-and-data/rule-of-law/dominica-2022.</w:t>
      </w:r>
    </w:p>
  </w:footnote>
  <w:footnote w:id="20">
    <w:p w14:paraId="2AE9A1BE" w14:textId="77777777" w:rsidR="006B52EF" w:rsidRPr="00E52D1D" w:rsidRDefault="006B52EF" w:rsidP="006B52EF">
      <w:pPr>
        <w:pStyle w:val="FootnoteText"/>
        <w:rPr>
          <w:sz w:val="20"/>
          <w:szCs w:val="20"/>
        </w:rPr>
      </w:pPr>
      <w:r w:rsidRPr="00E52D1D">
        <w:rPr>
          <w:rStyle w:val="FootnoteReference"/>
          <w:sz w:val="20"/>
          <w:szCs w:val="20"/>
        </w:rPr>
        <w:footnoteRef/>
      </w:r>
      <w:r w:rsidRPr="00E52D1D">
        <w:rPr>
          <w:sz w:val="20"/>
          <w:szCs w:val="20"/>
        </w:rPr>
        <w:t xml:space="preserve"> World Justice Project, </w:t>
      </w:r>
      <w:r w:rsidRPr="00E52D1D">
        <w:rPr>
          <w:i/>
          <w:iCs/>
          <w:sz w:val="20"/>
          <w:szCs w:val="20"/>
        </w:rPr>
        <w:t>The Rule of Law in Dominica</w:t>
      </w:r>
      <w:r w:rsidRPr="00E52D1D">
        <w:rPr>
          <w:sz w:val="20"/>
          <w:szCs w:val="20"/>
        </w:rPr>
        <w:t xml:space="preserve"> (2022), available at https://worldjusticeproject.org/our-work/research-and-data/rule-of-law/dominica-2022.</w:t>
      </w:r>
    </w:p>
  </w:footnote>
  <w:footnote w:id="21">
    <w:p w14:paraId="5FEEBF9A" w14:textId="77777777" w:rsidR="006B52EF" w:rsidRPr="00E52D1D" w:rsidRDefault="006B52EF" w:rsidP="006B52EF">
      <w:pPr>
        <w:pStyle w:val="FootnoteText"/>
        <w:rPr>
          <w:sz w:val="20"/>
          <w:szCs w:val="20"/>
        </w:rPr>
      </w:pPr>
      <w:r w:rsidRPr="00E52D1D">
        <w:rPr>
          <w:rStyle w:val="FootnoteReference"/>
          <w:sz w:val="20"/>
          <w:szCs w:val="20"/>
        </w:rPr>
        <w:footnoteRef/>
      </w:r>
      <w:r w:rsidRPr="00E52D1D">
        <w:rPr>
          <w:sz w:val="20"/>
          <w:szCs w:val="20"/>
        </w:rPr>
        <w:t xml:space="preserve"> World Justice Project, </w:t>
      </w:r>
      <w:r w:rsidRPr="00E52D1D">
        <w:rPr>
          <w:i/>
          <w:iCs/>
          <w:sz w:val="20"/>
          <w:szCs w:val="20"/>
        </w:rPr>
        <w:t>The Rule of Law in Dominica</w:t>
      </w:r>
      <w:r w:rsidRPr="00E52D1D">
        <w:rPr>
          <w:sz w:val="20"/>
          <w:szCs w:val="20"/>
        </w:rPr>
        <w:t xml:space="preserve"> (2022), available at https://worldjusticeproject.org/our-work/research-and-data/rule-of-law/dominica-2022.</w:t>
      </w:r>
    </w:p>
  </w:footnote>
  <w:footnote w:id="22">
    <w:p w14:paraId="4B994D0C" w14:textId="21CCA700" w:rsidR="006B52EF" w:rsidRPr="00E52D1D" w:rsidRDefault="006B52EF">
      <w:pPr>
        <w:pStyle w:val="FootnoteText"/>
        <w:rPr>
          <w:sz w:val="20"/>
          <w:szCs w:val="20"/>
        </w:rPr>
      </w:pPr>
      <w:r w:rsidRPr="00E52D1D">
        <w:rPr>
          <w:rStyle w:val="FootnoteReference"/>
          <w:sz w:val="20"/>
          <w:szCs w:val="20"/>
        </w:rPr>
        <w:footnoteRef/>
      </w:r>
      <w:r w:rsidRPr="00E52D1D">
        <w:rPr>
          <w:sz w:val="20"/>
          <w:szCs w:val="20"/>
        </w:rPr>
        <w:t xml:space="preserve"> </w:t>
      </w:r>
      <w:r w:rsidRPr="00E52D1D">
        <w:rPr>
          <w:i/>
          <w:iCs/>
          <w:sz w:val="20"/>
          <w:szCs w:val="20"/>
        </w:rPr>
        <w:t>Dominica-DBA critical of minister’s statement regarding bail for murder accused</w:t>
      </w:r>
      <w:r w:rsidRPr="00E52D1D">
        <w:rPr>
          <w:sz w:val="20"/>
          <w:szCs w:val="20"/>
        </w:rPr>
        <w:t>, Caribbean Times, Dec. 5, 2024, https://caribbeantimes.com/dominica-dba-critical-of-ministers-statement-regarding-bail-for-murder-accused/.</w:t>
      </w:r>
    </w:p>
  </w:footnote>
  <w:footnote w:id="23">
    <w:p w14:paraId="10280DC6" w14:textId="29C64C9F" w:rsidR="006B52EF" w:rsidRPr="00E52D1D" w:rsidRDefault="006B52EF">
      <w:pPr>
        <w:pStyle w:val="FootnoteText"/>
        <w:rPr>
          <w:sz w:val="20"/>
          <w:szCs w:val="20"/>
        </w:rPr>
      </w:pPr>
      <w:r w:rsidRPr="00E52D1D">
        <w:rPr>
          <w:rStyle w:val="FootnoteReference"/>
          <w:sz w:val="20"/>
          <w:szCs w:val="20"/>
        </w:rPr>
        <w:footnoteRef/>
      </w:r>
      <w:r w:rsidRPr="00E52D1D">
        <w:rPr>
          <w:sz w:val="20"/>
          <w:szCs w:val="20"/>
        </w:rPr>
        <w:t xml:space="preserve"> Dominica Bar Association, Public Statement, 2 Dec. 2024, </w:t>
      </w:r>
      <w:r w:rsidRPr="00E52D1D">
        <w:rPr>
          <w:i/>
          <w:iCs/>
          <w:sz w:val="20"/>
          <w:szCs w:val="20"/>
        </w:rPr>
        <w:t>Statement from the Dominica Bar Association on the Independence and role of the Judiciary</w:t>
      </w:r>
      <w:r w:rsidRPr="00E52D1D">
        <w:rPr>
          <w:sz w:val="20"/>
          <w:szCs w:val="20"/>
        </w:rPr>
        <w:t>, Nature Isle News, 2 Dec. 2024, https://natureisle.news/judiciary/statement-from-the-dominica-bar-association-on-the-independence-and-role-of-the-judiciary/.</w:t>
      </w:r>
    </w:p>
  </w:footnote>
  <w:footnote w:id="24">
    <w:p w14:paraId="1BBE9CEF" w14:textId="1081157B" w:rsidR="006B52EF" w:rsidRPr="00E52D1D" w:rsidRDefault="006B52EF">
      <w:pPr>
        <w:pStyle w:val="FootnoteText"/>
        <w:rPr>
          <w:sz w:val="20"/>
          <w:szCs w:val="20"/>
        </w:rPr>
      </w:pPr>
      <w:r w:rsidRPr="00E52D1D">
        <w:rPr>
          <w:rStyle w:val="FootnoteReference"/>
          <w:sz w:val="20"/>
          <w:szCs w:val="20"/>
        </w:rPr>
        <w:footnoteRef/>
      </w:r>
      <w:r w:rsidRPr="00E52D1D">
        <w:rPr>
          <w:sz w:val="20"/>
          <w:szCs w:val="20"/>
        </w:rPr>
        <w:t xml:space="preserve"> </w:t>
      </w:r>
      <w:r w:rsidRPr="00E52D1D">
        <w:rPr>
          <w:i/>
          <w:iCs/>
          <w:sz w:val="20"/>
          <w:szCs w:val="20"/>
        </w:rPr>
        <w:t xml:space="preserve">Lehrer </w:t>
      </w:r>
      <w:r w:rsidRPr="00E52D1D">
        <w:rPr>
          <w:sz w:val="20"/>
          <w:szCs w:val="20"/>
        </w:rPr>
        <w:t xml:space="preserve">v. </w:t>
      </w:r>
      <w:r w:rsidRPr="00E52D1D">
        <w:rPr>
          <w:i/>
          <w:iCs/>
          <w:sz w:val="20"/>
          <w:szCs w:val="20"/>
        </w:rPr>
        <w:t>Chief of Police</w:t>
      </w:r>
      <w:r w:rsidRPr="00E52D1D">
        <w:rPr>
          <w:sz w:val="20"/>
          <w:szCs w:val="20"/>
        </w:rPr>
        <w:t>, Claim No. DOMHCV 2024/0123, High Court of Justice, Eastern Caribbean Supreme Court, Commonwealth of Dominica, 16 Dec. 2024, https://www.eccourts.org/judgment/johnathan-lehrer-v-the-chief-of-police.</w:t>
      </w:r>
    </w:p>
  </w:footnote>
  <w:footnote w:id="25">
    <w:p w14:paraId="114D528B" w14:textId="0A54DB02" w:rsidR="006B52EF" w:rsidRPr="00E52D1D" w:rsidRDefault="006B52EF">
      <w:pPr>
        <w:pStyle w:val="FootnoteText"/>
        <w:rPr>
          <w:sz w:val="20"/>
          <w:szCs w:val="20"/>
        </w:rPr>
      </w:pPr>
      <w:r w:rsidRPr="00E52D1D">
        <w:rPr>
          <w:rStyle w:val="FootnoteReference"/>
          <w:sz w:val="20"/>
          <w:szCs w:val="20"/>
        </w:rPr>
        <w:footnoteRef/>
      </w:r>
      <w:r w:rsidRPr="00E52D1D">
        <w:rPr>
          <w:sz w:val="20"/>
          <w:szCs w:val="20"/>
        </w:rPr>
        <w:t xml:space="preserve"> </w:t>
      </w:r>
      <w:r w:rsidRPr="00E52D1D">
        <w:rPr>
          <w:i/>
          <w:iCs/>
          <w:sz w:val="20"/>
          <w:szCs w:val="20"/>
        </w:rPr>
        <w:t>Gov’</w:t>
      </w:r>
      <w:r w:rsidR="00CB49C0">
        <w:rPr>
          <w:i/>
          <w:iCs/>
          <w:sz w:val="20"/>
          <w:szCs w:val="20"/>
        </w:rPr>
        <w:t>t</w:t>
      </w:r>
      <w:r w:rsidRPr="00E52D1D">
        <w:rPr>
          <w:i/>
          <w:iCs/>
          <w:sz w:val="20"/>
          <w:szCs w:val="20"/>
        </w:rPr>
        <w:t xml:space="preserve"> To Review Firearms And Bail Acts To Strengthen Justice System</w:t>
      </w:r>
      <w:r w:rsidRPr="00E52D1D">
        <w:rPr>
          <w:sz w:val="20"/>
          <w:szCs w:val="20"/>
        </w:rPr>
        <w:t>, Dominica: Government Information Service: News, 23 July 2025, https://news.gov.dm/news/news-items/gov-t-to-review-firearms-and-bail-acts-to-strengthen-justice-system.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38AB016F" w:rsidR="00804604" w:rsidRDefault="0048392D">
    <w:pPr>
      <w:pStyle w:val="Header"/>
    </w:pPr>
    <w:r>
      <w:rPr>
        <w:noProof/>
      </w:rPr>
      <w:drawing>
        <wp:anchor distT="0" distB="0" distL="114300" distR="114300" simplePos="0" relativeHeight="251659266" behindDoc="0" locked="0" layoutInCell="1" allowOverlap="1" wp14:anchorId="1362E441" wp14:editId="1927AB74">
          <wp:simplePos x="0" y="0"/>
          <wp:positionH relativeFrom="column">
            <wp:posOffset>1838325</wp:posOffset>
          </wp:positionH>
          <wp:positionV relativeFrom="paragraph">
            <wp:posOffset>-38100</wp:posOffset>
          </wp:positionV>
          <wp:extent cx="1905158" cy="600075"/>
          <wp:effectExtent l="0" t="0" r="0" b="0"/>
          <wp:wrapNone/>
          <wp:docPr id="403198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98417" name="Picture 403198417"/>
                  <pic:cNvPicPr/>
                </pic:nvPicPr>
                <pic:blipFill>
                  <a:blip r:embed="rId1">
                    <a:extLst>
                      <a:ext uri="{28A0092B-C50C-407E-A947-70E740481C1C}">
                        <a14:useLocalDpi xmlns:a14="http://schemas.microsoft.com/office/drawing/2010/main" val="0"/>
                      </a:ext>
                    </a:extLst>
                  </a:blip>
                  <a:stretch>
                    <a:fillRect/>
                  </a:stretch>
                </pic:blipFill>
                <pic:spPr>
                  <a:xfrm>
                    <a:off x="0" y="0"/>
                    <a:ext cx="1905158" cy="600075"/>
                  </a:xfrm>
                  <a:prstGeom prst="rect">
                    <a:avLst/>
                  </a:prstGeom>
                </pic:spPr>
              </pic:pic>
            </a:graphicData>
          </a:graphic>
          <wp14:sizeRelH relativeFrom="margin">
            <wp14:pctWidth>0</wp14:pctWidth>
          </wp14:sizeRelH>
          <wp14:sizeRelV relativeFrom="margin">
            <wp14:pctHeight>0</wp14:pctHeight>
          </wp14:sizeRelV>
        </wp:anchor>
      </w:drawing>
    </w:r>
    <w:r w:rsidR="00563DFB">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2"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8"/>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1"/>
  </w:num>
  <w:num w:numId="7" w16cid:durableId="1938251912">
    <w:abstractNumId w:val="4"/>
  </w:num>
  <w:num w:numId="8" w16cid:durableId="1784962959">
    <w:abstractNumId w:val="10"/>
  </w:num>
  <w:num w:numId="9" w16cid:durableId="1023946614">
    <w:abstractNumId w:val="2"/>
  </w:num>
  <w:num w:numId="10" w16cid:durableId="191308430">
    <w:abstractNumId w:val="9"/>
  </w:num>
  <w:num w:numId="11" w16cid:durableId="1006522116">
    <w:abstractNumId w:val="9"/>
  </w:num>
  <w:num w:numId="12" w16cid:durableId="598371054">
    <w:abstractNumId w:val="9"/>
  </w:num>
  <w:num w:numId="13" w16cid:durableId="522088377">
    <w:abstractNumId w:val="0"/>
  </w:num>
  <w:num w:numId="14" w16cid:durableId="7776072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357B"/>
    <w:rsid w:val="000172F1"/>
    <w:rsid w:val="00020381"/>
    <w:rsid w:val="0002317D"/>
    <w:rsid w:val="00027373"/>
    <w:rsid w:val="00030F59"/>
    <w:rsid w:val="000342B6"/>
    <w:rsid w:val="00040BA1"/>
    <w:rsid w:val="00046377"/>
    <w:rsid w:val="00056CF5"/>
    <w:rsid w:val="000734A4"/>
    <w:rsid w:val="00074306"/>
    <w:rsid w:val="0007603F"/>
    <w:rsid w:val="000760AD"/>
    <w:rsid w:val="00076B04"/>
    <w:rsid w:val="0008238F"/>
    <w:rsid w:val="00084CF7"/>
    <w:rsid w:val="00085935"/>
    <w:rsid w:val="000862D9"/>
    <w:rsid w:val="000910FC"/>
    <w:rsid w:val="0009644E"/>
    <w:rsid w:val="00097CF8"/>
    <w:rsid w:val="000A1F17"/>
    <w:rsid w:val="000A66B8"/>
    <w:rsid w:val="000B042D"/>
    <w:rsid w:val="000B4D9D"/>
    <w:rsid w:val="000B4DB3"/>
    <w:rsid w:val="000C6340"/>
    <w:rsid w:val="000D0680"/>
    <w:rsid w:val="000D41E5"/>
    <w:rsid w:val="000D547E"/>
    <w:rsid w:val="000E1DDC"/>
    <w:rsid w:val="000F1E67"/>
    <w:rsid w:val="000F56E0"/>
    <w:rsid w:val="000F77EA"/>
    <w:rsid w:val="001008D1"/>
    <w:rsid w:val="00111813"/>
    <w:rsid w:val="00111994"/>
    <w:rsid w:val="0011465A"/>
    <w:rsid w:val="0011484E"/>
    <w:rsid w:val="00120CB9"/>
    <w:rsid w:val="001215B4"/>
    <w:rsid w:val="00135A19"/>
    <w:rsid w:val="00136514"/>
    <w:rsid w:val="00137229"/>
    <w:rsid w:val="00137B2A"/>
    <w:rsid w:val="001410D2"/>
    <w:rsid w:val="00143423"/>
    <w:rsid w:val="0014551D"/>
    <w:rsid w:val="00147EA4"/>
    <w:rsid w:val="0015406F"/>
    <w:rsid w:val="001565F9"/>
    <w:rsid w:val="00160BDA"/>
    <w:rsid w:val="00162B7A"/>
    <w:rsid w:val="00181B2A"/>
    <w:rsid w:val="00181EF5"/>
    <w:rsid w:val="00182F93"/>
    <w:rsid w:val="00185F8E"/>
    <w:rsid w:val="0018642B"/>
    <w:rsid w:val="0019463A"/>
    <w:rsid w:val="001A0DD6"/>
    <w:rsid w:val="001A34F4"/>
    <w:rsid w:val="001A46C1"/>
    <w:rsid w:val="001A59C1"/>
    <w:rsid w:val="001A5ED5"/>
    <w:rsid w:val="001A6D33"/>
    <w:rsid w:val="001A7AF4"/>
    <w:rsid w:val="001B1AC4"/>
    <w:rsid w:val="001B27D7"/>
    <w:rsid w:val="001B46C2"/>
    <w:rsid w:val="001B47D1"/>
    <w:rsid w:val="001B799A"/>
    <w:rsid w:val="001B7D91"/>
    <w:rsid w:val="001C42EB"/>
    <w:rsid w:val="001D3053"/>
    <w:rsid w:val="001D3DF5"/>
    <w:rsid w:val="001E4BD2"/>
    <w:rsid w:val="001F17A7"/>
    <w:rsid w:val="002071EB"/>
    <w:rsid w:val="00211315"/>
    <w:rsid w:val="0021751F"/>
    <w:rsid w:val="00220D48"/>
    <w:rsid w:val="0022563A"/>
    <w:rsid w:val="00234644"/>
    <w:rsid w:val="00237C8C"/>
    <w:rsid w:val="00242F64"/>
    <w:rsid w:val="00243333"/>
    <w:rsid w:val="002439A3"/>
    <w:rsid w:val="00243E14"/>
    <w:rsid w:val="002468AD"/>
    <w:rsid w:val="00255789"/>
    <w:rsid w:val="0026070A"/>
    <w:rsid w:val="00262845"/>
    <w:rsid w:val="00272519"/>
    <w:rsid w:val="002734D9"/>
    <w:rsid w:val="00273933"/>
    <w:rsid w:val="00282223"/>
    <w:rsid w:val="0029144A"/>
    <w:rsid w:val="00291BE8"/>
    <w:rsid w:val="002A0797"/>
    <w:rsid w:val="002A4838"/>
    <w:rsid w:val="002B1275"/>
    <w:rsid w:val="002B4B70"/>
    <w:rsid w:val="002C57BC"/>
    <w:rsid w:val="002D1EBC"/>
    <w:rsid w:val="002D36C6"/>
    <w:rsid w:val="002D46EE"/>
    <w:rsid w:val="002E34EA"/>
    <w:rsid w:val="002E46A1"/>
    <w:rsid w:val="002F7A11"/>
    <w:rsid w:val="00301104"/>
    <w:rsid w:val="00311947"/>
    <w:rsid w:val="003130CB"/>
    <w:rsid w:val="0031442D"/>
    <w:rsid w:val="00314C9C"/>
    <w:rsid w:val="00315C53"/>
    <w:rsid w:val="0032264F"/>
    <w:rsid w:val="00322CB1"/>
    <w:rsid w:val="003244CB"/>
    <w:rsid w:val="00324A73"/>
    <w:rsid w:val="003369A6"/>
    <w:rsid w:val="00340484"/>
    <w:rsid w:val="00344140"/>
    <w:rsid w:val="00344556"/>
    <w:rsid w:val="00345B90"/>
    <w:rsid w:val="0035378E"/>
    <w:rsid w:val="0035424D"/>
    <w:rsid w:val="0035761C"/>
    <w:rsid w:val="0036202F"/>
    <w:rsid w:val="00374FD8"/>
    <w:rsid w:val="00390AC3"/>
    <w:rsid w:val="00393202"/>
    <w:rsid w:val="003937C6"/>
    <w:rsid w:val="003A0BC2"/>
    <w:rsid w:val="003A1D3E"/>
    <w:rsid w:val="003A6F6D"/>
    <w:rsid w:val="003B6FEF"/>
    <w:rsid w:val="003C1E49"/>
    <w:rsid w:val="003C60FE"/>
    <w:rsid w:val="003D608F"/>
    <w:rsid w:val="003E6A6D"/>
    <w:rsid w:val="00402DEF"/>
    <w:rsid w:val="004076CD"/>
    <w:rsid w:val="004104C1"/>
    <w:rsid w:val="00411745"/>
    <w:rsid w:val="00417CE5"/>
    <w:rsid w:val="00420C1E"/>
    <w:rsid w:val="00421C73"/>
    <w:rsid w:val="00430A63"/>
    <w:rsid w:val="00435107"/>
    <w:rsid w:val="00446F44"/>
    <w:rsid w:val="004474B2"/>
    <w:rsid w:val="00450118"/>
    <w:rsid w:val="00450405"/>
    <w:rsid w:val="00453314"/>
    <w:rsid w:val="00455657"/>
    <w:rsid w:val="00460252"/>
    <w:rsid w:val="004718BE"/>
    <w:rsid w:val="00476CC4"/>
    <w:rsid w:val="00481E8D"/>
    <w:rsid w:val="0048392D"/>
    <w:rsid w:val="004866AE"/>
    <w:rsid w:val="00493951"/>
    <w:rsid w:val="004A0F09"/>
    <w:rsid w:val="004A17D9"/>
    <w:rsid w:val="004A5B01"/>
    <w:rsid w:val="004A7D93"/>
    <w:rsid w:val="004A7FF9"/>
    <w:rsid w:val="004B1E4E"/>
    <w:rsid w:val="004B4CAF"/>
    <w:rsid w:val="004B73AF"/>
    <w:rsid w:val="004C588D"/>
    <w:rsid w:val="004C5974"/>
    <w:rsid w:val="004C6461"/>
    <w:rsid w:val="004D2568"/>
    <w:rsid w:val="004D2BA6"/>
    <w:rsid w:val="004D3EE9"/>
    <w:rsid w:val="004D51DD"/>
    <w:rsid w:val="004E150B"/>
    <w:rsid w:val="004E2CD9"/>
    <w:rsid w:val="004E7176"/>
    <w:rsid w:val="004E783D"/>
    <w:rsid w:val="004F2465"/>
    <w:rsid w:val="004F2845"/>
    <w:rsid w:val="004F34E5"/>
    <w:rsid w:val="004F53A7"/>
    <w:rsid w:val="004F5EEF"/>
    <w:rsid w:val="00503226"/>
    <w:rsid w:val="0050512A"/>
    <w:rsid w:val="005132BB"/>
    <w:rsid w:val="0051494C"/>
    <w:rsid w:val="00514A2D"/>
    <w:rsid w:val="005151E6"/>
    <w:rsid w:val="00520FAF"/>
    <w:rsid w:val="00524166"/>
    <w:rsid w:val="00524C18"/>
    <w:rsid w:val="005336C2"/>
    <w:rsid w:val="005403E3"/>
    <w:rsid w:val="00542A71"/>
    <w:rsid w:val="00550F0B"/>
    <w:rsid w:val="0055461C"/>
    <w:rsid w:val="00557CF6"/>
    <w:rsid w:val="0056361E"/>
    <w:rsid w:val="00563DFB"/>
    <w:rsid w:val="00567571"/>
    <w:rsid w:val="00567887"/>
    <w:rsid w:val="00567FD1"/>
    <w:rsid w:val="00571EF6"/>
    <w:rsid w:val="00591E6F"/>
    <w:rsid w:val="00594FFD"/>
    <w:rsid w:val="0059754B"/>
    <w:rsid w:val="005A742C"/>
    <w:rsid w:val="005B0C1B"/>
    <w:rsid w:val="005B2D86"/>
    <w:rsid w:val="005C183B"/>
    <w:rsid w:val="005C58B6"/>
    <w:rsid w:val="005C5BF7"/>
    <w:rsid w:val="005D4EE6"/>
    <w:rsid w:val="005D5F82"/>
    <w:rsid w:val="005E2330"/>
    <w:rsid w:val="005E2EB9"/>
    <w:rsid w:val="005F2A19"/>
    <w:rsid w:val="005F49AD"/>
    <w:rsid w:val="005F792B"/>
    <w:rsid w:val="0060568A"/>
    <w:rsid w:val="0060622C"/>
    <w:rsid w:val="00614C01"/>
    <w:rsid w:val="0061778F"/>
    <w:rsid w:val="00620932"/>
    <w:rsid w:val="00624A10"/>
    <w:rsid w:val="00626C39"/>
    <w:rsid w:val="00631274"/>
    <w:rsid w:val="00635135"/>
    <w:rsid w:val="00640180"/>
    <w:rsid w:val="00643D7A"/>
    <w:rsid w:val="00646D29"/>
    <w:rsid w:val="00646DE9"/>
    <w:rsid w:val="00651332"/>
    <w:rsid w:val="00652094"/>
    <w:rsid w:val="0066318F"/>
    <w:rsid w:val="006702F8"/>
    <w:rsid w:val="006761A7"/>
    <w:rsid w:val="006859DC"/>
    <w:rsid w:val="006927DD"/>
    <w:rsid w:val="00692CCF"/>
    <w:rsid w:val="00694F1E"/>
    <w:rsid w:val="006A362A"/>
    <w:rsid w:val="006B52EF"/>
    <w:rsid w:val="006B64B9"/>
    <w:rsid w:val="006B7B89"/>
    <w:rsid w:val="006D39C4"/>
    <w:rsid w:val="006E0467"/>
    <w:rsid w:val="006E7D5B"/>
    <w:rsid w:val="006F4A01"/>
    <w:rsid w:val="006F582F"/>
    <w:rsid w:val="007064C2"/>
    <w:rsid w:val="0070771A"/>
    <w:rsid w:val="007143B8"/>
    <w:rsid w:val="007174BE"/>
    <w:rsid w:val="00717726"/>
    <w:rsid w:val="0072241B"/>
    <w:rsid w:val="007268C7"/>
    <w:rsid w:val="007316AA"/>
    <w:rsid w:val="00741B9C"/>
    <w:rsid w:val="00756DBD"/>
    <w:rsid w:val="007574C5"/>
    <w:rsid w:val="00757A1C"/>
    <w:rsid w:val="007637D8"/>
    <w:rsid w:val="00765EBC"/>
    <w:rsid w:val="0077231B"/>
    <w:rsid w:val="00772714"/>
    <w:rsid w:val="00774643"/>
    <w:rsid w:val="00780D45"/>
    <w:rsid w:val="007838DE"/>
    <w:rsid w:val="007920C4"/>
    <w:rsid w:val="007A23AF"/>
    <w:rsid w:val="007A278F"/>
    <w:rsid w:val="007A5381"/>
    <w:rsid w:val="007B46CD"/>
    <w:rsid w:val="007C4387"/>
    <w:rsid w:val="007C7CCE"/>
    <w:rsid w:val="007D18A7"/>
    <w:rsid w:val="007D2F78"/>
    <w:rsid w:val="007D2FB7"/>
    <w:rsid w:val="007D7CF0"/>
    <w:rsid w:val="007E4B74"/>
    <w:rsid w:val="007E79C4"/>
    <w:rsid w:val="007F23A8"/>
    <w:rsid w:val="007F705D"/>
    <w:rsid w:val="00804604"/>
    <w:rsid w:val="00807F93"/>
    <w:rsid w:val="0081221D"/>
    <w:rsid w:val="00826961"/>
    <w:rsid w:val="008309E3"/>
    <w:rsid w:val="0083533E"/>
    <w:rsid w:val="00836428"/>
    <w:rsid w:val="00847C78"/>
    <w:rsid w:val="008504A9"/>
    <w:rsid w:val="00852B97"/>
    <w:rsid w:val="00862205"/>
    <w:rsid w:val="00870521"/>
    <w:rsid w:val="00870C57"/>
    <w:rsid w:val="0087642D"/>
    <w:rsid w:val="00876F22"/>
    <w:rsid w:val="008806CE"/>
    <w:rsid w:val="00883B42"/>
    <w:rsid w:val="008856D7"/>
    <w:rsid w:val="00890056"/>
    <w:rsid w:val="0089523C"/>
    <w:rsid w:val="008A554A"/>
    <w:rsid w:val="008B7CA4"/>
    <w:rsid w:val="008C1004"/>
    <w:rsid w:val="008C3B9B"/>
    <w:rsid w:val="008C7B1F"/>
    <w:rsid w:val="008C7B63"/>
    <w:rsid w:val="008E0859"/>
    <w:rsid w:val="008F0BDD"/>
    <w:rsid w:val="008F2F99"/>
    <w:rsid w:val="008F6084"/>
    <w:rsid w:val="009057C8"/>
    <w:rsid w:val="009302F5"/>
    <w:rsid w:val="0093193B"/>
    <w:rsid w:val="00944986"/>
    <w:rsid w:val="00944F0D"/>
    <w:rsid w:val="00947170"/>
    <w:rsid w:val="00947B3D"/>
    <w:rsid w:val="00956E94"/>
    <w:rsid w:val="00961247"/>
    <w:rsid w:val="00962312"/>
    <w:rsid w:val="009627A1"/>
    <w:rsid w:val="009712FE"/>
    <w:rsid w:val="009778FD"/>
    <w:rsid w:val="009875AD"/>
    <w:rsid w:val="009920FF"/>
    <w:rsid w:val="009924AF"/>
    <w:rsid w:val="009A2606"/>
    <w:rsid w:val="009A7F71"/>
    <w:rsid w:val="009B51D7"/>
    <w:rsid w:val="009D3BEA"/>
    <w:rsid w:val="009D5161"/>
    <w:rsid w:val="009E4D16"/>
    <w:rsid w:val="009F04C6"/>
    <w:rsid w:val="009F12E2"/>
    <w:rsid w:val="009F1E51"/>
    <w:rsid w:val="009F2675"/>
    <w:rsid w:val="009F3358"/>
    <w:rsid w:val="009F478B"/>
    <w:rsid w:val="009F69C1"/>
    <w:rsid w:val="00A01BDD"/>
    <w:rsid w:val="00A05718"/>
    <w:rsid w:val="00A14539"/>
    <w:rsid w:val="00A40EE1"/>
    <w:rsid w:val="00A423ED"/>
    <w:rsid w:val="00A4611C"/>
    <w:rsid w:val="00A536F3"/>
    <w:rsid w:val="00A55FCD"/>
    <w:rsid w:val="00A60C58"/>
    <w:rsid w:val="00A616F5"/>
    <w:rsid w:val="00A72103"/>
    <w:rsid w:val="00A73C49"/>
    <w:rsid w:val="00A75C67"/>
    <w:rsid w:val="00A76098"/>
    <w:rsid w:val="00A85B0F"/>
    <w:rsid w:val="00A91D08"/>
    <w:rsid w:val="00A94972"/>
    <w:rsid w:val="00A95161"/>
    <w:rsid w:val="00A975D1"/>
    <w:rsid w:val="00AA1290"/>
    <w:rsid w:val="00AA6318"/>
    <w:rsid w:val="00AA7FCB"/>
    <w:rsid w:val="00AB54F8"/>
    <w:rsid w:val="00AB59AE"/>
    <w:rsid w:val="00AB5BD9"/>
    <w:rsid w:val="00AC040C"/>
    <w:rsid w:val="00AC4F9A"/>
    <w:rsid w:val="00AD0AA1"/>
    <w:rsid w:val="00AE07A3"/>
    <w:rsid w:val="00AE372A"/>
    <w:rsid w:val="00AF1F29"/>
    <w:rsid w:val="00AF7867"/>
    <w:rsid w:val="00B13937"/>
    <w:rsid w:val="00B275A9"/>
    <w:rsid w:val="00B40DBF"/>
    <w:rsid w:val="00B44231"/>
    <w:rsid w:val="00B457C4"/>
    <w:rsid w:val="00B46024"/>
    <w:rsid w:val="00B54060"/>
    <w:rsid w:val="00B57429"/>
    <w:rsid w:val="00B71178"/>
    <w:rsid w:val="00B7291F"/>
    <w:rsid w:val="00B7417D"/>
    <w:rsid w:val="00B80D0C"/>
    <w:rsid w:val="00B914A2"/>
    <w:rsid w:val="00B9541E"/>
    <w:rsid w:val="00BA00D4"/>
    <w:rsid w:val="00BA10E0"/>
    <w:rsid w:val="00BA4CDE"/>
    <w:rsid w:val="00BB0488"/>
    <w:rsid w:val="00BB3ED5"/>
    <w:rsid w:val="00BB4AB9"/>
    <w:rsid w:val="00BC07C0"/>
    <w:rsid w:val="00BD003F"/>
    <w:rsid w:val="00BD3CFF"/>
    <w:rsid w:val="00BE59BD"/>
    <w:rsid w:val="00BF055B"/>
    <w:rsid w:val="00BF5907"/>
    <w:rsid w:val="00C0174A"/>
    <w:rsid w:val="00C05D23"/>
    <w:rsid w:val="00C05D9B"/>
    <w:rsid w:val="00C06DE1"/>
    <w:rsid w:val="00C17550"/>
    <w:rsid w:val="00C214BA"/>
    <w:rsid w:val="00C26130"/>
    <w:rsid w:val="00C26B28"/>
    <w:rsid w:val="00C315B6"/>
    <w:rsid w:val="00C376F3"/>
    <w:rsid w:val="00C4132F"/>
    <w:rsid w:val="00C44204"/>
    <w:rsid w:val="00C463D2"/>
    <w:rsid w:val="00C62A44"/>
    <w:rsid w:val="00C80A39"/>
    <w:rsid w:val="00C81936"/>
    <w:rsid w:val="00C82CF4"/>
    <w:rsid w:val="00C84C4C"/>
    <w:rsid w:val="00C967AB"/>
    <w:rsid w:val="00C96C0B"/>
    <w:rsid w:val="00CA1702"/>
    <w:rsid w:val="00CA553D"/>
    <w:rsid w:val="00CA5CC2"/>
    <w:rsid w:val="00CA6E92"/>
    <w:rsid w:val="00CA7D78"/>
    <w:rsid w:val="00CB49C0"/>
    <w:rsid w:val="00CB631F"/>
    <w:rsid w:val="00CC2E68"/>
    <w:rsid w:val="00CC3113"/>
    <w:rsid w:val="00CC5314"/>
    <w:rsid w:val="00CC5EF0"/>
    <w:rsid w:val="00CF5003"/>
    <w:rsid w:val="00CF5099"/>
    <w:rsid w:val="00D0019C"/>
    <w:rsid w:val="00D00ED0"/>
    <w:rsid w:val="00D1338C"/>
    <w:rsid w:val="00D17F80"/>
    <w:rsid w:val="00D20AB6"/>
    <w:rsid w:val="00D2563C"/>
    <w:rsid w:val="00D3182B"/>
    <w:rsid w:val="00D52AD6"/>
    <w:rsid w:val="00D67F64"/>
    <w:rsid w:val="00D7306F"/>
    <w:rsid w:val="00D73643"/>
    <w:rsid w:val="00D86181"/>
    <w:rsid w:val="00D861C1"/>
    <w:rsid w:val="00D86901"/>
    <w:rsid w:val="00D92835"/>
    <w:rsid w:val="00D94424"/>
    <w:rsid w:val="00D95E98"/>
    <w:rsid w:val="00DA6DB6"/>
    <w:rsid w:val="00DA7CD0"/>
    <w:rsid w:val="00DB29DA"/>
    <w:rsid w:val="00DB3E90"/>
    <w:rsid w:val="00DC1456"/>
    <w:rsid w:val="00DC1DA7"/>
    <w:rsid w:val="00DC41C9"/>
    <w:rsid w:val="00DC5473"/>
    <w:rsid w:val="00DC6A3F"/>
    <w:rsid w:val="00DD2F76"/>
    <w:rsid w:val="00DD3996"/>
    <w:rsid w:val="00DD7111"/>
    <w:rsid w:val="00DE6FE8"/>
    <w:rsid w:val="00DF0A10"/>
    <w:rsid w:val="00E114C5"/>
    <w:rsid w:val="00E13D93"/>
    <w:rsid w:val="00E162F5"/>
    <w:rsid w:val="00E1750C"/>
    <w:rsid w:val="00E307F3"/>
    <w:rsid w:val="00E3230E"/>
    <w:rsid w:val="00E35775"/>
    <w:rsid w:val="00E42EAD"/>
    <w:rsid w:val="00E52BEE"/>
    <w:rsid w:val="00E52D1D"/>
    <w:rsid w:val="00E63B4E"/>
    <w:rsid w:val="00E66F77"/>
    <w:rsid w:val="00E70114"/>
    <w:rsid w:val="00E73F29"/>
    <w:rsid w:val="00E826D1"/>
    <w:rsid w:val="00E86C9C"/>
    <w:rsid w:val="00E91014"/>
    <w:rsid w:val="00E95CF7"/>
    <w:rsid w:val="00EA0EEB"/>
    <w:rsid w:val="00EB4DFC"/>
    <w:rsid w:val="00EB7061"/>
    <w:rsid w:val="00EC554C"/>
    <w:rsid w:val="00ED2912"/>
    <w:rsid w:val="00ED2DCC"/>
    <w:rsid w:val="00ED3170"/>
    <w:rsid w:val="00ED7D82"/>
    <w:rsid w:val="00EF2BE5"/>
    <w:rsid w:val="00EF4293"/>
    <w:rsid w:val="00F042FA"/>
    <w:rsid w:val="00F16374"/>
    <w:rsid w:val="00F22813"/>
    <w:rsid w:val="00F234F2"/>
    <w:rsid w:val="00F23CD7"/>
    <w:rsid w:val="00F2442A"/>
    <w:rsid w:val="00F256F6"/>
    <w:rsid w:val="00F25883"/>
    <w:rsid w:val="00F30926"/>
    <w:rsid w:val="00F319D5"/>
    <w:rsid w:val="00F4107A"/>
    <w:rsid w:val="00F41D37"/>
    <w:rsid w:val="00F44F18"/>
    <w:rsid w:val="00F51AFD"/>
    <w:rsid w:val="00F612FF"/>
    <w:rsid w:val="00F6493F"/>
    <w:rsid w:val="00F66C6A"/>
    <w:rsid w:val="00F75663"/>
    <w:rsid w:val="00F811E7"/>
    <w:rsid w:val="00F9056C"/>
    <w:rsid w:val="00F927D8"/>
    <w:rsid w:val="00F92EF4"/>
    <w:rsid w:val="00F9335F"/>
    <w:rsid w:val="00FA2927"/>
    <w:rsid w:val="00FA35AF"/>
    <w:rsid w:val="00FB03FB"/>
    <w:rsid w:val="00FB4891"/>
    <w:rsid w:val="00FC686F"/>
    <w:rsid w:val="00FC7FBE"/>
    <w:rsid w:val="00FD0EA2"/>
    <w:rsid w:val="00FD134C"/>
    <w:rsid w:val="00FE0378"/>
    <w:rsid w:val="00FE2347"/>
    <w:rsid w:val="00FF55C3"/>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character" w:styleId="UnresolvedMention">
    <w:name w:val="Unresolved Mention"/>
    <w:basedOn w:val="DefaultParagraphFont"/>
    <w:uiPriority w:val="99"/>
    <w:semiHidden/>
    <w:unhideWhenUsed/>
    <w:rsid w:val="00F25883"/>
    <w:rPr>
      <w:color w:val="605E5C"/>
      <w:shd w:val="clear" w:color="auto" w:fill="E1DFDD"/>
    </w:rPr>
  </w:style>
  <w:style w:type="paragraph" w:styleId="EndnoteText">
    <w:name w:val="endnote text"/>
    <w:basedOn w:val="Normal"/>
    <w:link w:val="EndnoteTextChar"/>
    <w:uiPriority w:val="99"/>
    <w:unhideWhenUsed/>
    <w:rsid w:val="00B80D0C"/>
    <w:pPr>
      <w:spacing w:line="276" w:lineRule="auto"/>
    </w:pPr>
    <w:rPr>
      <w:rFonts w:eastAsia="Arial" w:cs="Arial"/>
      <w:color w:val="000000"/>
      <w:kern w:val="0"/>
      <w:sz w:val="20"/>
      <w:szCs w:val="20"/>
      <w:lang w:eastAsia="en-US"/>
    </w:rPr>
  </w:style>
  <w:style w:type="character" w:customStyle="1" w:styleId="EndnoteTextChar">
    <w:name w:val="Endnote Text Char"/>
    <w:basedOn w:val="DefaultParagraphFont"/>
    <w:link w:val="EndnoteText"/>
    <w:uiPriority w:val="99"/>
    <w:rsid w:val="00B80D0C"/>
    <w:rPr>
      <w:rFonts w:eastAsia="Arial" w:cs="Arial"/>
      <w:color w:val="000000"/>
      <w:kern w:val="0"/>
      <w:sz w:val="20"/>
      <w:szCs w:val="20"/>
      <w:lang w:eastAsia="en-US"/>
    </w:rPr>
  </w:style>
  <w:style w:type="character" w:styleId="EndnoteReference">
    <w:name w:val="endnote reference"/>
    <w:uiPriority w:val="99"/>
    <w:unhideWhenUsed/>
    <w:rsid w:val="00B80D0C"/>
    <w:rPr>
      <w:vertAlign w:val="superscript"/>
    </w:rPr>
  </w:style>
  <w:style w:type="paragraph" w:customStyle="1" w:styleId="Body">
    <w:name w:val="Body"/>
    <w:rsid w:val="00CC5EF0"/>
    <w:pPr>
      <w:pBdr>
        <w:top w:val="nil"/>
        <w:left w:val="nil"/>
        <w:bottom w:val="nil"/>
        <w:right w:val="nil"/>
        <w:between w:val="nil"/>
        <w:bar w:val="nil"/>
      </w:pBdr>
    </w:pPr>
    <w:rPr>
      <w:rFonts w:eastAsia="Arial Unicode MS" w:cs="Arial Unicode MS"/>
      <w:color w:val="000000"/>
      <w:u w:color="000000"/>
      <w:bdr w:val="nil"/>
      <w:lang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5ab7b9b5287da18eff7d502e7611def4">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88af4290e270f05463e6a4c986c7167a"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5.xml><?xml version="1.0" encoding="utf-8"?>
<ds:datastoreItem xmlns:ds="http://schemas.openxmlformats.org/officeDocument/2006/customXml" ds:itemID="{420EC04A-B279-4D87-8E60-89785688D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1919</Words>
  <Characters>10943</Characters>
  <Application>Microsoft Office Word</Application>
  <DocSecurity>0</DocSecurity>
  <Lines>91</Lines>
  <Paragraphs>25</Paragraphs>
  <ScaleCrop>false</ScaleCrop>
  <Company>Minnesota Advocates for Human Rights</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5</cp:revision>
  <cp:lastPrinted>2011-09-16T18:52:00Z</cp:lastPrinted>
  <dcterms:created xsi:type="dcterms:W3CDTF">2026-08-21T21:32:00Z</dcterms:created>
  <dcterms:modified xsi:type="dcterms:W3CDTF">2026-08-21T21:34:00Z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MediaServiceImageTags">
    <vt:lpwstr/>
  </property>
  <property fmtid="{D5CDD505-2E9C-101B-9397-08002B2CF9AE}" pid="8" name="ContentTypeId">
    <vt:lpwstr>0x010100452BDADA77824941B327CDF72849C9BE</vt:lpwstr>
  </property>
</Properties>
</file>