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6E7D9" w14:textId="33EE2D58" w:rsidR="001C7823" w:rsidRPr="00FE21F9" w:rsidRDefault="001C7823" w:rsidP="001C7823">
      <w:pPr>
        <w:pStyle w:val="paragraph"/>
        <w:spacing w:before="0" w:beforeAutospacing="0" w:after="0" w:afterAutospacing="0"/>
        <w:ind w:right="-345"/>
        <w:jc w:val="center"/>
        <w:textAlignment w:val="baseline"/>
      </w:pPr>
      <w:r w:rsidRPr="00FE21F9">
        <w:rPr>
          <w:rStyle w:val="normaltextrun"/>
          <w:b/>
          <w:bCs/>
          <w:lang w:val="en-IE"/>
        </w:rPr>
        <w:t>Republic of Panama</w:t>
      </w:r>
      <w:r w:rsidRPr="00FE21F9">
        <w:rPr>
          <w:rStyle w:val="eop"/>
        </w:rPr>
        <w:t> </w:t>
      </w:r>
    </w:p>
    <w:p w14:paraId="6C9926FA"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4A793909"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278DDD9F"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normaltextrun"/>
          <w:b/>
          <w:bCs/>
          <w:color w:val="000000"/>
          <w:lang w:val="en-IE"/>
        </w:rPr>
        <w:t>Submission for the </w:t>
      </w:r>
      <w:r w:rsidRPr="00786AAA">
        <w:rPr>
          <w:rStyle w:val="eop"/>
          <w:color w:val="000000"/>
        </w:rPr>
        <w:t> </w:t>
      </w:r>
    </w:p>
    <w:p w14:paraId="087BDDF4" w14:textId="1E98EAF0"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normaltextrun"/>
          <w:b/>
          <w:bCs/>
          <w:color w:val="000000"/>
          <w:lang w:val="en-IE"/>
        </w:rPr>
        <w:t>81</w:t>
      </w:r>
      <w:r w:rsidRPr="00786AAA">
        <w:rPr>
          <w:rStyle w:val="normaltextrun"/>
          <w:b/>
          <w:bCs/>
          <w:color w:val="000000"/>
          <w:vertAlign w:val="superscript"/>
          <w:lang w:val="en-IE"/>
        </w:rPr>
        <w:t>st</w:t>
      </w:r>
      <w:r w:rsidRPr="00786AAA">
        <w:rPr>
          <w:rStyle w:val="normaltextrun"/>
          <w:b/>
          <w:bCs/>
          <w:color w:val="000000"/>
          <w:lang w:val="en-IE"/>
        </w:rPr>
        <w:t xml:space="preserve"> Session of the United Nations Committee on the Elimination of All Forms of Discrimination against Women, 7-25</w:t>
      </w:r>
      <w:r w:rsidR="003E4CD7">
        <w:rPr>
          <w:rStyle w:val="normaltextrun"/>
          <w:b/>
          <w:bCs/>
          <w:color w:val="000000"/>
          <w:lang w:val="en-IE"/>
        </w:rPr>
        <w:t xml:space="preserve"> February</w:t>
      </w:r>
      <w:r w:rsidRPr="00786AAA">
        <w:rPr>
          <w:rStyle w:val="normaltextrun"/>
          <w:b/>
          <w:bCs/>
          <w:color w:val="000000"/>
          <w:lang w:val="en-IE"/>
        </w:rPr>
        <w:t xml:space="preserve"> 2022</w:t>
      </w:r>
      <w:r w:rsidRPr="00786AAA">
        <w:rPr>
          <w:rStyle w:val="eop"/>
          <w:color w:val="000000"/>
        </w:rPr>
        <w:t> </w:t>
      </w:r>
    </w:p>
    <w:p w14:paraId="12FE8E2B" w14:textId="7755A97C"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normaltextrun"/>
          <w:i/>
          <w:iCs/>
          <w:color w:val="000000"/>
          <w:lang w:val="en-IE"/>
        </w:rPr>
        <w:t>Review of Panama’s Report under the Convention on the Elimination of All Forms of Discrimination against Women</w:t>
      </w:r>
      <w:r w:rsidRPr="00786AAA">
        <w:rPr>
          <w:rStyle w:val="eop"/>
          <w:color w:val="000000"/>
        </w:rPr>
        <w:t> </w:t>
      </w:r>
    </w:p>
    <w:p w14:paraId="4AA0C7C2"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151C49E7"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794BD006"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6C785D5B" w14:textId="78B3334F" w:rsidR="001C7823" w:rsidRPr="00FE21F9" w:rsidRDefault="001C7823" w:rsidP="001C7823">
      <w:pPr>
        <w:pStyle w:val="paragraph"/>
        <w:spacing w:before="0" w:beforeAutospacing="0" w:after="0" w:afterAutospacing="0"/>
        <w:ind w:right="-345"/>
        <w:jc w:val="center"/>
        <w:textAlignment w:val="baseline"/>
        <w:rPr>
          <w:color w:val="000000"/>
        </w:rPr>
      </w:pPr>
      <w:r w:rsidRPr="00FE21F9">
        <w:rPr>
          <w:rStyle w:val="normaltextrun"/>
          <w:b/>
          <w:bCs/>
          <w:color w:val="000000"/>
          <w:lang w:val="en-IE"/>
        </w:rPr>
        <w:t xml:space="preserve">Violence against </w:t>
      </w:r>
      <w:r w:rsidR="00763BB0" w:rsidRPr="00FE21F9">
        <w:rPr>
          <w:rStyle w:val="normaltextrun"/>
          <w:b/>
          <w:bCs/>
          <w:color w:val="000000"/>
          <w:lang w:val="en-IE"/>
        </w:rPr>
        <w:t xml:space="preserve">Black Migrant </w:t>
      </w:r>
      <w:r w:rsidRPr="00FE21F9">
        <w:rPr>
          <w:rStyle w:val="normaltextrun"/>
          <w:b/>
          <w:bCs/>
          <w:color w:val="000000"/>
          <w:lang w:val="en-IE"/>
        </w:rPr>
        <w:t>Women</w:t>
      </w:r>
      <w:r w:rsidR="00763BB0" w:rsidRPr="00FE21F9">
        <w:rPr>
          <w:rStyle w:val="normaltextrun"/>
          <w:b/>
          <w:bCs/>
          <w:color w:val="000000"/>
          <w:lang w:val="en-IE"/>
        </w:rPr>
        <w:t xml:space="preserve"> in the </w:t>
      </w:r>
      <w:r w:rsidR="002606B2">
        <w:rPr>
          <w:rStyle w:val="normaltextrun"/>
          <w:b/>
          <w:bCs/>
          <w:color w:val="000000"/>
          <w:lang w:val="en-IE"/>
        </w:rPr>
        <w:t>Darién</w:t>
      </w:r>
      <w:r w:rsidR="00763BB0" w:rsidRPr="00FE21F9">
        <w:rPr>
          <w:rStyle w:val="normaltextrun"/>
          <w:b/>
          <w:bCs/>
          <w:color w:val="000000"/>
          <w:lang w:val="en-IE"/>
        </w:rPr>
        <w:t xml:space="preserve"> Gap</w:t>
      </w:r>
    </w:p>
    <w:p w14:paraId="60A24A8B" w14:textId="2CB83CE5" w:rsidR="001C7823" w:rsidRPr="00FE21F9" w:rsidRDefault="001C7823" w:rsidP="001C7823">
      <w:pPr>
        <w:pStyle w:val="paragraph"/>
        <w:spacing w:before="0" w:beforeAutospacing="0" w:after="0" w:afterAutospacing="0"/>
        <w:ind w:right="-345"/>
        <w:jc w:val="center"/>
        <w:textAlignment w:val="baseline"/>
        <w:rPr>
          <w:color w:val="000000"/>
        </w:rPr>
      </w:pPr>
      <w:r w:rsidRPr="00D97450">
        <w:rPr>
          <w:rStyle w:val="normaltextrun"/>
          <w:b/>
          <w:bCs/>
          <w:color w:val="000000"/>
        </w:rPr>
        <w:t>(CEDAW Articles 1, 2, 3, 5, 6</w:t>
      </w:r>
      <w:r w:rsidR="008515B0">
        <w:rPr>
          <w:rStyle w:val="normaltextrun"/>
          <w:b/>
          <w:bCs/>
          <w:color w:val="000000"/>
        </w:rPr>
        <w:t>, 12, 15</w:t>
      </w:r>
      <w:r w:rsidRPr="00D97450">
        <w:rPr>
          <w:rStyle w:val="normaltextrun"/>
          <w:b/>
          <w:bCs/>
          <w:color w:val="000000"/>
        </w:rPr>
        <w:t>)</w:t>
      </w:r>
      <w:r w:rsidRPr="00FE21F9">
        <w:rPr>
          <w:rStyle w:val="eop"/>
          <w:color w:val="000000"/>
        </w:rPr>
        <w:t> </w:t>
      </w:r>
    </w:p>
    <w:p w14:paraId="4D129248" w14:textId="77777777" w:rsidR="001C7823" w:rsidRPr="00FE21F9" w:rsidRDefault="001C7823" w:rsidP="001C7823">
      <w:pPr>
        <w:pStyle w:val="paragraph"/>
        <w:spacing w:before="0" w:beforeAutospacing="0" w:after="0" w:afterAutospacing="0"/>
        <w:ind w:right="-345"/>
        <w:jc w:val="center"/>
        <w:textAlignment w:val="baseline"/>
      </w:pPr>
      <w:r w:rsidRPr="00FE21F9">
        <w:rPr>
          <w:rStyle w:val="eop"/>
        </w:rPr>
        <w:t> </w:t>
      </w:r>
    </w:p>
    <w:p w14:paraId="5C82C18D" w14:textId="77777777" w:rsidR="001C7823" w:rsidRPr="00FE21F9" w:rsidRDefault="001C7823" w:rsidP="001C7823">
      <w:pPr>
        <w:pStyle w:val="paragraph"/>
        <w:spacing w:before="0" w:beforeAutospacing="0" w:after="0" w:afterAutospacing="0"/>
        <w:ind w:right="-345"/>
        <w:jc w:val="center"/>
        <w:textAlignment w:val="baseline"/>
      </w:pPr>
      <w:r w:rsidRPr="00FE21F9">
        <w:rPr>
          <w:rStyle w:val="eop"/>
        </w:rPr>
        <w:t> </w:t>
      </w:r>
    </w:p>
    <w:p w14:paraId="1F481F8F" w14:textId="77777777" w:rsidR="001C7823" w:rsidRPr="00FE21F9" w:rsidRDefault="001C7823" w:rsidP="001C7823">
      <w:pPr>
        <w:pStyle w:val="paragraph"/>
        <w:spacing w:before="0" w:beforeAutospacing="0" w:after="0" w:afterAutospacing="0"/>
        <w:ind w:right="-345"/>
        <w:jc w:val="center"/>
        <w:textAlignment w:val="baseline"/>
      </w:pPr>
      <w:r w:rsidRPr="00FE21F9">
        <w:rPr>
          <w:rStyle w:val="eop"/>
        </w:rPr>
        <w:t> </w:t>
      </w:r>
    </w:p>
    <w:p w14:paraId="2CEF628E" w14:textId="77777777" w:rsidR="001C7823" w:rsidRPr="00FE21F9" w:rsidRDefault="001C7823" w:rsidP="001C7823">
      <w:pPr>
        <w:pStyle w:val="paragraph"/>
        <w:spacing w:before="0" w:beforeAutospacing="0" w:after="0" w:afterAutospacing="0"/>
        <w:ind w:right="-345"/>
        <w:jc w:val="center"/>
        <w:textAlignment w:val="baseline"/>
      </w:pPr>
      <w:r w:rsidRPr="00D97450">
        <w:rPr>
          <w:rStyle w:val="normaltextrun"/>
          <w:b/>
          <w:bCs/>
        </w:rPr>
        <w:t>Submitted By:</w:t>
      </w:r>
      <w:r w:rsidRPr="00FE21F9">
        <w:rPr>
          <w:rStyle w:val="eop"/>
        </w:rPr>
        <w:t> </w:t>
      </w:r>
    </w:p>
    <w:p w14:paraId="457C18C2" w14:textId="3E8A358B" w:rsidR="001C7823" w:rsidRPr="00FE21F9" w:rsidRDefault="00763BB0" w:rsidP="001C7823">
      <w:pPr>
        <w:pStyle w:val="paragraph"/>
        <w:spacing w:before="0" w:beforeAutospacing="0" w:after="0" w:afterAutospacing="0"/>
        <w:jc w:val="center"/>
        <w:textAlignment w:val="baseline"/>
      </w:pPr>
      <w:r w:rsidRPr="00D97450">
        <w:rPr>
          <w:rStyle w:val="normaltextrun"/>
        </w:rPr>
        <w:t>Haitian Bridge Alliance</w:t>
      </w:r>
    </w:p>
    <w:p w14:paraId="44CEB014"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4845D4CB" w14:textId="77777777" w:rsidR="001C7823" w:rsidRPr="00FE21F9" w:rsidRDefault="001C7823" w:rsidP="001C7823">
      <w:pPr>
        <w:pStyle w:val="paragraph"/>
        <w:spacing w:before="0" w:beforeAutospacing="0" w:after="0" w:afterAutospacing="0"/>
        <w:ind w:right="-345"/>
        <w:jc w:val="center"/>
        <w:textAlignment w:val="baseline"/>
        <w:rPr>
          <w:color w:val="000000"/>
        </w:rPr>
      </w:pPr>
      <w:r w:rsidRPr="00786AAA">
        <w:rPr>
          <w:rStyle w:val="eop"/>
          <w:color w:val="000000"/>
        </w:rPr>
        <w:t> </w:t>
      </w:r>
    </w:p>
    <w:p w14:paraId="3A014E4E" w14:textId="18C43FF0" w:rsidR="001C7823" w:rsidRPr="00FE21F9" w:rsidRDefault="001C7823" w:rsidP="001C7823">
      <w:pPr>
        <w:pStyle w:val="paragraph"/>
        <w:spacing w:before="0" w:beforeAutospacing="0" w:after="0" w:afterAutospacing="0"/>
        <w:ind w:right="-345"/>
        <w:jc w:val="center"/>
        <w:textAlignment w:val="baseline"/>
      </w:pPr>
      <w:r w:rsidRPr="00786AAA">
        <w:rPr>
          <w:rStyle w:val="normaltextrun"/>
          <w:lang w:val="en-IE"/>
        </w:rPr>
        <w:t xml:space="preserve">January </w:t>
      </w:r>
      <w:r w:rsidR="00763BB0" w:rsidRPr="00786AAA">
        <w:rPr>
          <w:rStyle w:val="normaltextrun"/>
          <w:lang w:val="en-IE"/>
        </w:rPr>
        <w:t>1</w:t>
      </w:r>
      <w:r w:rsidR="00FF58FF">
        <w:rPr>
          <w:rStyle w:val="normaltextrun"/>
          <w:lang w:val="en-IE"/>
        </w:rPr>
        <w:t>2</w:t>
      </w:r>
      <w:r w:rsidRPr="00786AAA">
        <w:rPr>
          <w:rStyle w:val="normaltextrun"/>
          <w:lang w:val="en-IE"/>
        </w:rPr>
        <w:t xml:space="preserve">, </w:t>
      </w:r>
      <w:r w:rsidR="00763BB0" w:rsidRPr="00786AAA">
        <w:rPr>
          <w:rStyle w:val="normaltextrun"/>
          <w:lang w:val="en-IE"/>
        </w:rPr>
        <w:t>2022</w:t>
      </w:r>
      <w:r w:rsidRPr="00786AAA">
        <w:rPr>
          <w:rStyle w:val="eop"/>
        </w:rPr>
        <w:t> </w:t>
      </w:r>
    </w:p>
    <w:sdt>
      <w:sdtPr>
        <w:rPr>
          <w:rFonts w:ascii="Times New Roman" w:eastAsia="Times New Roman" w:hAnsi="Times New Roman" w:cs="Times New Roman"/>
          <w:color w:val="4472C4" w:themeColor="accent1"/>
          <w:sz w:val="24"/>
          <w:szCs w:val="24"/>
        </w:rPr>
        <w:id w:val="366114827"/>
        <w:docPartObj>
          <w:docPartGallery w:val="Cover Pages"/>
          <w:docPartUnique/>
        </w:docPartObj>
      </w:sdtPr>
      <w:sdtEndPr>
        <w:rPr>
          <w:b/>
          <w:color w:val="auto"/>
        </w:rPr>
      </w:sdtEndPr>
      <w:sdtContent>
        <w:p w14:paraId="4363DCAD" w14:textId="08F7D7D5" w:rsidR="001C7823" w:rsidRPr="00FE21F9" w:rsidRDefault="001C7823" w:rsidP="001C7823">
          <w:pPr>
            <w:pStyle w:val="NoSpacing"/>
            <w:spacing w:before="1540" w:after="240"/>
            <w:jc w:val="center"/>
            <w:rPr>
              <w:rFonts w:ascii="Times New Roman" w:hAnsi="Times New Roman" w:cs="Times New Roman"/>
              <w:sz w:val="24"/>
              <w:szCs w:val="24"/>
            </w:rPr>
          </w:pPr>
        </w:p>
        <w:p w14:paraId="03AB27FC" w14:textId="490E7B80" w:rsidR="001C7823" w:rsidRPr="00786AAA" w:rsidRDefault="00881B40">
          <w:pPr>
            <w:spacing w:after="160" w:line="259" w:lineRule="auto"/>
            <w:rPr>
              <w:b/>
            </w:rPr>
          </w:pPr>
        </w:p>
      </w:sdtContent>
    </w:sdt>
    <w:p w14:paraId="65F19E79" w14:textId="77777777" w:rsidR="001C7823" w:rsidRPr="00786AAA" w:rsidRDefault="001C7823">
      <w:pPr>
        <w:spacing w:after="160" w:line="259" w:lineRule="auto"/>
        <w:rPr>
          <w:b/>
        </w:rPr>
      </w:pPr>
      <w:r w:rsidRPr="00786AAA">
        <w:rPr>
          <w:b/>
        </w:rPr>
        <w:br w:type="page"/>
      </w:r>
    </w:p>
    <w:p w14:paraId="41288A5A" w14:textId="73402A8D" w:rsidR="00EB771C" w:rsidRPr="00786AAA" w:rsidRDefault="00763BB0" w:rsidP="00454715">
      <w:pPr>
        <w:pStyle w:val="Heading1"/>
      </w:pPr>
      <w:r w:rsidRPr="00786AAA">
        <w:lastRenderedPageBreak/>
        <w:t>Executive Summary</w:t>
      </w:r>
    </w:p>
    <w:p w14:paraId="33EF0F8E" w14:textId="5BB53489" w:rsidR="000475CD" w:rsidRPr="00786AAA" w:rsidRDefault="00D82D1A" w:rsidP="009109B2">
      <w:pPr>
        <w:pStyle w:val="ListParagraph"/>
        <w:spacing w:after="0" w:line="276" w:lineRule="auto"/>
      </w:pPr>
      <w:r w:rsidRPr="00786AAA">
        <w:t>T</w:t>
      </w:r>
      <w:r w:rsidR="007667AB" w:rsidRPr="00786AAA">
        <w:t>he Haitian Bridge Alliance</w:t>
      </w:r>
      <w:r w:rsidR="007C5DB7" w:rsidRPr="00786AAA">
        <w:t xml:space="preserve"> (HBA)</w:t>
      </w:r>
      <w:r w:rsidRPr="00786AAA">
        <w:t xml:space="preserve"> submits this report </w:t>
      </w:r>
      <w:r w:rsidR="00217236" w:rsidRPr="00786AAA">
        <w:t xml:space="preserve">to </w:t>
      </w:r>
      <w:r w:rsidR="00760714">
        <w:t xml:space="preserve">inform </w:t>
      </w:r>
      <w:r w:rsidR="00217236" w:rsidRPr="00786AAA">
        <w:t xml:space="preserve">the Committee </w:t>
      </w:r>
      <w:r w:rsidR="00D00983" w:rsidRPr="00786AAA">
        <w:t xml:space="preserve">of a concerning uptick in reports of sexual assault and other </w:t>
      </w:r>
      <w:r w:rsidRPr="00786AAA">
        <w:t xml:space="preserve">human rights abuses </w:t>
      </w:r>
      <w:r w:rsidR="0014110C" w:rsidRPr="00786AAA">
        <w:t>experience</w:t>
      </w:r>
      <w:r w:rsidRPr="00786AAA">
        <w:t>d by</w:t>
      </w:r>
      <w:r w:rsidR="0014110C" w:rsidRPr="00786AAA">
        <w:t xml:space="preserve"> Haitian </w:t>
      </w:r>
      <w:r w:rsidR="00B953FC" w:rsidRPr="00786AAA">
        <w:t xml:space="preserve">and other </w:t>
      </w:r>
      <w:r w:rsidR="00852C2B" w:rsidRPr="00786AAA">
        <w:t>Black</w:t>
      </w:r>
      <w:bookmarkStart w:id="0" w:name="_Ref79995434"/>
      <w:r w:rsidR="000475CD" w:rsidRPr="00786AAA">
        <w:rPr>
          <w:rStyle w:val="EndnoteReference"/>
        </w:rPr>
        <w:endnoteReference w:id="1"/>
      </w:r>
      <w:bookmarkEnd w:id="0"/>
      <w:r w:rsidR="000475CD" w:rsidRPr="00786AAA">
        <w:t xml:space="preserve"> migrant women and adolescent girls transiting through Panama, with little to no access to protection or justice from the Panamanian legal system.</w:t>
      </w:r>
      <w:bookmarkStart w:id="1" w:name="_Ref92797146"/>
      <w:r w:rsidR="000475CD" w:rsidRPr="00786AAA">
        <w:rPr>
          <w:rStyle w:val="EndnoteReference"/>
        </w:rPr>
        <w:endnoteReference w:id="2"/>
      </w:r>
      <w:bookmarkEnd w:id="1"/>
      <w:r w:rsidR="000475CD" w:rsidRPr="00786AAA">
        <w:t xml:space="preserve"> </w:t>
      </w:r>
      <w:r w:rsidR="00EB2727">
        <w:t>The report is submitted on the twelve-year anniversary of Haiti’s massive 7.0 earthquake that took more than 200,000 lives, devastated Port-au-Prince and increased political instability,</w:t>
      </w:r>
      <w:r w:rsidR="00EB2727" w:rsidRPr="00786AAA">
        <w:t xml:space="preserve"> </w:t>
      </w:r>
      <w:r w:rsidR="00EB2727">
        <w:t xml:space="preserve">prompting </w:t>
      </w:r>
      <w:r w:rsidR="00EB2727" w:rsidRPr="00786AAA">
        <w:t>Haitian</w:t>
      </w:r>
      <w:r w:rsidR="007E6B0C">
        <w:t>s</w:t>
      </w:r>
      <w:r w:rsidR="00EB2727" w:rsidRPr="00786AAA">
        <w:t xml:space="preserve"> to </w:t>
      </w:r>
      <w:r w:rsidR="007E6B0C">
        <w:t>migrate</w:t>
      </w:r>
      <w:r w:rsidR="00EB2727" w:rsidRPr="00786AAA">
        <w:t xml:space="preserve"> through or find safety in the Americas</w:t>
      </w:r>
      <w:r w:rsidR="00EB2727">
        <w:t>.</w:t>
      </w:r>
      <w:r w:rsidR="007E6B0C">
        <w:t xml:space="preserve"> </w:t>
      </w:r>
    </w:p>
    <w:p w14:paraId="6E7D2A51" w14:textId="421E713C" w:rsidR="000475CD" w:rsidRPr="00F746AC" w:rsidRDefault="000475CD" w:rsidP="009109B2">
      <w:pPr>
        <w:pStyle w:val="ListParagraph"/>
        <w:spacing w:after="0" w:line="276" w:lineRule="auto"/>
      </w:pPr>
      <w:r w:rsidRPr="00786AAA">
        <w:t>As demonstrated by interviews of Black migrant</w:t>
      </w:r>
      <w:r w:rsidR="00EB2727">
        <w:t>s</w:t>
      </w:r>
      <w:r w:rsidRPr="00786AAA">
        <w:t xml:space="preserve"> conducted by HBA and corroborating reporting on Panama, Haitian and other Black migrant women in Panama are uniquely subjected to sexual and gender-based violence</w:t>
      </w:r>
      <w:r w:rsidR="00EB2727">
        <w:t xml:space="preserve"> (SGBV)</w:t>
      </w:r>
      <w:r w:rsidRPr="00786AAA">
        <w:t>, an example of the varying, intersecting, and accumulative forms of gender-discrimination they face that also encompass their race, class, nationality and citizenship status.</w:t>
      </w:r>
      <w:r w:rsidRPr="00786AAA">
        <w:rPr>
          <w:rStyle w:val="EndnoteReference"/>
        </w:rPr>
        <w:endnoteReference w:id="3"/>
      </w:r>
      <w:r w:rsidRPr="00786AAA">
        <w:t xml:space="preserve"> </w:t>
      </w:r>
      <w:r w:rsidRPr="00786AAA">
        <w:rPr>
          <w:color w:val="000000"/>
          <w:lang w:eastAsia="fr-FR"/>
        </w:rPr>
        <w:t>Black migrant women uniformly report</w:t>
      </w:r>
      <w:r w:rsidR="003A18E4">
        <w:rPr>
          <w:color w:val="000000"/>
          <w:lang w:eastAsia="fr-FR"/>
        </w:rPr>
        <w:t xml:space="preserve"> being victims of </w:t>
      </w:r>
      <w:r w:rsidRPr="00786AAA">
        <w:rPr>
          <w:color w:val="000000"/>
          <w:lang w:eastAsia="fr-FR"/>
        </w:rPr>
        <w:t xml:space="preserve"> </w:t>
      </w:r>
      <w:r w:rsidR="00323119" w:rsidRPr="00323119">
        <w:rPr>
          <w:color w:val="000000"/>
          <w:lang w:eastAsia="fr-FR"/>
        </w:rPr>
        <w:t>violence</w:t>
      </w:r>
      <w:r w:rsidRPr="00786AAA">
        <w:rPr>
          <w:color w:val="000000"/>
          <w:lang w:eastAsia="fr-FR"/>
        </w:rPr>
        <w:t>, murder, sexual assault and theft</w:t>
      </w:r>
      <w:r w:rsidR="00E12AEE">
        <w:rPr>
          <w:color w:val="000000"/>
          <w:lang w:eastAsia="fr-FR"/>
        </w:rPr>
        <w:t>,</w:t>
      </w:r>
      <w:r w:rsidRPr="00786AAA">
        <w:rPr>
          <w:color w:val="000000"/>
          <w:lang w:eastAsia="fr-FR"/>
        </w:rPr>
        <w:t xml:space="preserve"> perpetrated by gangs of armed men and state law enforcement, as well as loss of life due to drowning, injuries and other health problems during the journey.</w:t>
      </w:r>
      <w:r w:rsidRPr="00786AAA">
        <w:rPr>
          <w:rStyle w:val="EndnoteReference"/>
          <w:color w:val="000000"/>
          <w:lang w:eastAsia="fr-FR"/>
        </w:rPr>
        <w:endnoteReference w:id="4"/>
      </w:r>
      <w:r w:rsidRPr="00786AAA">
        <w:rPr>
          <w:color w:val="000000"/>
          <w:lang w:eastAsia="fr-FR"/>
        </w:rPr>
        <w:t xml:space="preserve"> Yet the violations continue without adequate response from the Panamanian government, in violation of Articles 1, 2, 3, 5, and 6 of the Convention</w:t>
      </w:r>
      <w:r w:rsidR="00EB2727">
        <w:rPr>
          <w:color w:val="000000"/>
          <w:lang w:eastAsia="fr-FR"/>
        </w:rPr>
        <w:t xml:space="preserve"> on the Elimination of all Discrimination against Women (CEDAW)</w:t>
      </w:r>
      <w:r w:rsidRPr="00786AAA">
        <w:rPr>
          <w:color w:val="000000"/>
          <w:lang w:eastAsia="fr-FR"/>
        </w:rPr>
        <w:t>.</w:t>
      </w:r>
      <w:r w:rsidRPr="00786AAA">
        <w:rPr>
          <w:rStyle w:val="EndnoteReference"/>
          <w:color w:val="000000"/>
          <w:lang w:eastAsia="fr-FR"/>
        </w:rPr>
        <w:endnoteReference w:id="5"/>
      </w:r>
    </w:p>
    <w:p w14:paraId="485E9316" w14:textId="35F5255B" w:rsidR="000475CD" w:rsidRPr="00786AAA" w:rsidRDefault="000475CD" w:rsidP="009109B2">
      <w:pPr>
        <w:pStyle w:val="ListParagraph"/>
        <w:spacing w:after="0" w:line="276" w:lineRule="auto"/>
      </w:pPr>
      <w:r w:rsidRPr="00786AAA">
        <w:rPr>
          <w:color w:val="000000"/>
          <w:lang w:eastAsia="fr-FR"/>
        </w:rPr>
        <w:t xml:space="preserve">This report looks at the Panamanian legal framework for the protection of the rights of Black migrant women, demonstrates how the State’s implementation continues to violate the Convention and subject Black migrant women to ongoing violence in the </w:t>
      </w:r>
      <w:r w:rsidR="002606B2">
        <w:rPr>
          <w:color w:val="000000"/>
          <w:lang w:eastAsia="fr-FR"/>
        </w:rPr>
        <w:t>Darién</w:t>
      </w:r>
      <w:r w:rsidRPr="00786AAA">
        <w:rPr>
          <w:color w:val="000000"/>
          <w:lang w:eastAsia="fr-FR"/>
        </w:rPr>
        <w:t xml:space="preserve"> Gap, and recommends corrections to bring Panama in compliance with its duties to Black migrant women under the Convention.</w:t>
      </w:r>
      <w:r w:rsidR="007E6B0C">
        <w:rPr>
          <w:color w:val="000000"/>
          <w:lang w:eastAsia="fr-FR"/>
        </w:rPr>
        <w:t xml:space="preserve"> Given the continued upheaval in Haiti and anticipated increase in migration, it is important that the Panamanian government take all measures necessary to protect this highly vulnerable </w:t>
      </w:r>
      <w:r w:rsidR="009F4D0A">
        <w:rPr>
          <w:color w:val="000000"/>
          <w:lang w:eastAsia="fr-FR"/>
        </w:rPr>
        <w:t>population of women</w:t>
      </w:r>
      <w:r w:rsidR="007E6B0C">
        <w:rPr>
          <w:color w:val="000000"/>
          <w:lang w:eastAsia="fr-FR"/>
        </w:rPr>
        <w:t xml:space="preserve"> and punish perpetrators</w:t>
      </w:r>
      <w:r w:rsidR="009F4D0A">
        <w:rPr>
          <w:color w:val="000000"/>
          <w:lang w:eastAsia="fr-FR"/>
        </w:rPr>
        <w:t xml:space="preserve"> of SGBV.</w:t>
      </w:r>
      <w:r w:rsidR="007E6B0C">
        <w:rPr>
          <w:color w:val="000000"/>
          <w:lang w:eastAsia="fr-FR"/>
        </w:rPr>
        <w:t xml:space="preserve"> </w:t>
      </w:r>
    </w:p>
    <w:p w14:paraId="2D34ADD8" w14:textId="2C59B931" w:rsidR="000475CD" w:rsidRPr="00786AAA" w:rsidRDefault="000475CD" w:rsidP="00217236">
      <w:pPr>
        <w:pStyle w:val="Heading1"/>
      </w:pPr>
      <w:r w:rsidRPr="00786AAA">
        <w:t xml:space="preserve">Panamanian Legal Framework </w:t>
      </w:r>
    </w:p>
    <w:p w14:paraId="326CF15D" w14:textId="664C94BB" w:rsidR="000475CD" w:rsidRPr="00786AAA" w:rsidRDefault="000475CD" w:rsidP="009109B2">
      <w:pPr>
        <w:pStyle w:val="ListParagraph"/>
        <w:spacing w:after="0" w:line="276" w:lineRule="auto"/>
      </w:pPr>
      <w:r w:rsidRPr="00E47B60">
        <w:t>Under</w:t>
      </w:r>
      <w:r w:rsidR="00CD0465">
        <w:t xml:space="preserve"> </w:t>
      </w:r>
      <w:r w:rsidRPr="00E47B60">
        <w:t xml:space="preserve">the Panamanian Constitution, no implementing legislation is mentioned as a requirement once international treaties are ratified, leading to the </w:t>
      </w:r>
      <w:r w:rsidR="009F4D0A">
        <w:t>legal conclusion</w:t>
      </w:r>
      <w:r w:rsidRPr="00E47B60">
        <w:t xml:space="preserve"> that treaties are self-executing.</w:t>
      </w:r>
      <w:r w:rsidRPr="00E47B60">
        <w:rPr>
          <w:vertAlign w:val="superscript"/>
        </w:rPr>
        <w:endnoteReference w:id="6"/>
      </w:r>
      <w:r w:rsidRPr="00E47B60">
        <w:t xml:space="preserve"> The jurisprudence of the Supreme Court establishes that Article 4 of the Panamanian </w:t>
      </w:r>
      <w:r w:rsidR="009109B2">
        <w:t>C</w:t>
      </w:r>
      <w:r w:rsidRPr="00E47B60">
        <w:t>onstitution, which holds that the “Republic of Panama abides by the norms of International Law</w:t>
      </w:r>
      <w:r w:rsidR="00371F0D">
        <w:t>,</w:t>
      </w:r>
      <w:r w:rsidRPr="00E47B60">
        <w:t>” is violated if an international treaty is violated.</w:t>
      </w:r>
      <w:r w:rsidRPr="00E47B60">
        <w:rPr>
          <w:vertAlign w:val="superscript"/>
        </w:rPr>
        <w:endnoteReference w:id="7"/>
      </w:r>
      <w:r w:rsidRPr="00E47B60">
        <w:t xml:space="preserve"> Anti-discrimination clauses are provided for in Article 19 of the Constitution</w:t>
      </w:r>
      <w:r w:rsidRPr="00E47B60">
        <w:rPr>
          <w:vertAlign w:val="superscript"/>
        </w:rPr>
        <w:endnoteReference w:id="8"/>
      </w:r>
      <w:r w:rsidRPr="00E47B60">
        <w:t xml:space="preserve"> and Article 7 of the migration decree.</w:t>
      </w:r>
      <w:r w:rsidRPr="00E47B60">
        <w:rPr>
          <w:vertAlign w:val="superscript"/>
        </w:rPr>
        <w:endnoteReference w:id="9"/>
      </w:r>
      <w:r w:rsidRPr="00E47B60">
        <w:t xml:space="preserve"> Article 83.3 of the migration decree also requires precautionary measures to be implemented to prevent the sexual exploitation of migrants, especially minors, and Article 83.4 provides for the identification of the culprits of these illicit acts.</w:t>
      </w:r>
      <w:r w:rsidRPr="00E47B60">
        <w:rPr>
          <w:vertAlign w:val="superscript"/>
        </w:rPr>
        <w:endnoteReference w:id="10"/>
      </w:r>
      <w:r w:rsidRPr="00E47B60">
        <w:t xml:space="preserve"> </w:t>
      </w:r>
      <w:r w:rsidR="009109B2">
        <w:t>Lastly</w:t>
      </w:r>
      <w:r w:rsidRPr="00E47B60">
        <w:t>, Article 102.2 establishes that the fundamental rights of migrants must be strictly respected during their movements in Panama.</w:t>
      </w:r>
      <w:r w:rsidRPr="00E47B60">
        <w:rPr>
          <w:vertAlign w:val="superscript"/>
        </w:rPr>
        <w:endnoteReference w:id="11"/>
      </w:r>
    </w:p>
    <w:p w14:paraId="58FDF49C" w14:textId="3C9CD747" w:rsidR="000475CD" w:rsidRPr="00786AAA" w:rsidRDefault="000475CD" w:rsidP="009109B2">
      <w:pPr>
        <w:pStyle w:val="ListParagraph"/>
        <w:spacing w:after="0" w:line="276" w:lineRule="auto"/>
      </w:pPr>
      <w:bookmarkStart w:id="2" w:name="_Hlk92394751"/>
      <w:r w:rsidRPr="00552DEA">
        <w:lastRenderedPageBreak/>
        <w:t xml:space="preserve">Panama has ratified CERD, CCPR, </w:t>
      </w:r>
      <w:r w:rsidR="00E205DA">
        <w:t xml:space="preserve">and </w:t>
      </w:r>
      <w:r w:rsidRPr="00552DEA">
        <w:t>CEDAW</w:t>
      </w:r>
      <w:r w:rsidR="007A7883">
        <w:t xml:space="preserve">, </w:t>
      </w:r>
      <w:r w:rsidR="00D83E14">
        <w:t>but i</w:t>
      </w:r>
      <w:r w:rsidR="004E196A">
        <w:t xml:space="preserve">t has not complied with </w:t>
      </w:r>
      <w:r w:rsidR="00EA1C61">
        <w:t xml:space="preserve">its reporting requirements </w:t>
      </w:r>
      <w:r w:rsidR="00E20B0A">
        <w:t>over the last decade</w:t>
      </w:r>
      <w:r w:rsidR="00543CF9">
        <w:t>.</w:t>
      </w:r>
      <w:r w:rsidR="00E205DA">
        <w:rPr>
          <w:rStyle w:val="EndnoteReference"/>
        </w:rPr>
        <w:endnoteReference w:id="12"/>
      </w:r>
      <w:r w:rsidRPr="00552DEA">
        <w:t xml:space="preserve"> </w:t>
      </w:r>
      <w:r w:rsidR="00CB67DA">
        <w:t>In 2010, w</w:t>
      </w:r>
      <w:r w:rsidRPr="00786AAA">
        <w:t xml:space="preserve">ith respect </w:t>
      </w:r>
      <w:r>
        <w:t xml:space="preserve">to </w:t>
      </w:r>
      <w:r w:rsidRPr="00786AAA">
        <w:t>the Panamanian government’s responsibility vis-a-vie Black migrant women, CERD found in Panama “the persistence of racial discrimination and its historical roots, which have led to the marginalization, impoverishment and vulnerability of Afro-Panamanians and indigenous peoples” while also expressing serious concern at Panama’s “refugee recognition process.”</w:t>
      </w:r>
      <w:r w:rsidRPr="00786AAA">
        <w:rPr>
          <w:vertAlign w:val="superscript"/>
        </w:rPr>
        <w:endnoteReference w:id="13"/>
      </w:r>
      <w:r w:rsidRPr="00786AAA">
        <w:t xml:space="preserve"> </w:t>
      </w:r>
      <w:r w:rsidR="00CB67DA">
        <w:t xml:space="preserve">Also in 2010, </w:t>
      </w:r>
      <w:r w:rsidRPr="00786AAA">
        <w:t>CEDAW found it difficult to adjudge the issue because of Panama’s failure to collect “detailed information in relation to vulnerable groups of women, such as refugee women.”</w:t>
      </w:r>
      <w:r w:rsidRPr="00786AAA">
        <w:rPr>
          <w:vertAlign w:val="superscript"/>
        </w:rPr>
        <w:endnoteReference w:id="14"/>
      </w:r>
      <w:r w:rsidRPr="00786AAA" w:rsidDel="00033623">
        <w:t xml:space="preserve"> </w:t>
      </w:r>
      <w:r w:rsidR="00CB67DA">
        <w:t xml:space="preserve">In </w:t>
      </w:r>
      <w:r w:rsidR="004E196A">
        <w:t xml:space="preserve">2008, </w:t>
      </w:r>
      <w:r w:rsidR="00960D26" w:rsidRPr="00960D26">
        <w:t xml:space="preserve">CCPR found that Panama’s legislation </w:t>
      </w:r>
      <w:r w:rsidR="002210E3">
        <w:t>“</w:t>
      </w:r>
      <w:r w:rsidR="002210E3" w:rsidRPr="002210E3">
        <w:t>does not guarantee to all foreigners in Panamanian territory who require international protection, including refugees, stateless persons and persons falling into other categories, the rights to which they are entitled under international law, including refugee law.”</w:t>
      </w:r>
      <w:r w:rsidR="00960D26" w:rsidRPr="00960D26">
        <w:rPr>
          <w:vertAlign w:val="superscript"/>
        </w:rPr>
        <w:endnoteReference w:id="15"/>
      </w:r>
      <w:r w:rsidR="009F4D0A">
        <w:t xml:space="preserve"> We note</w:t>
      </w:r>
      <w:r w:rsidR="00371F0D">
        <w:t xml:space="preserve">, </w:t>
      </w:r>
      <w:r w:rsidR="009F4D0A">
        <w:t>however</w:t>
      </w:r>
      <w:r w:rsidR="00371F0D">
        <w:t xml:space="preserve">, </w:t>
      </w:r>
      <w:r w:rsidR="009F4D0A">
        <w:t xml:space="preserve">that none of these bodies has reviewed the SGBV </w:t>
      </w:r>
      <w:r w:rsidR="00FA7970">
        <w:t>crisis facing</w:t>
      </w:r>
      <w:r w:rsidR="009F4D0A">
        <w:t xml:space="preserve"> Black migrant women in the Darién Gap, and we were disappointed that the Panamanian State </w:t>
      </w:r>
      <w:r w:rsidR="00F94E22">
        <w:t xml:space="preserve">Report </w:t>
      </w:r>
      <w:r w:rsidR="00AA3473">
        <w:t xml:space="preserve">to the Committee </w:t>
      </w:r>
      <w:r w:rsidR="009F4D0A">
        <w:t xml:space="preserve">did not </w:t>
      </w:r>
      <w:r w:rsidR="003E4CD7">
        <w:t xml:space="preserve">specifically </w:t>
      </w:r>
      <w:r w:rsidR="00F94E22">
        <w:t>discuss</w:t>
      </w:r>
      <w:r w:rsidR="009F4D0A">
        <w:t xml:space="preserve"> this </w:t>
      </w:r>
      <w:r w:rsidR="00AA3473">
        <w:t>emerging crisis</w:t>
      </w:r>
      <w:r w:rsidR="00150C4C">
        <w:t>, nor did Panama specifically raise the issue during its U</w:t>
      </w:r>
      <w:r w:rsidR="00873FF5">
        <w:t xml:space="preserve">niversal </w:t>
      </w:r>
      <w:r w:rsidR="00150C4C">
        <w:t>P</w:t>
      </w:r>
      <w:r w:rsidR="00873FF5">
        <w:t xml:space="preserve">eriodic </w:t>
      </w:r>
      <w:r w:rsidR="00150C4C">
        <w:t>Review in 2020</w:t>
      </w:r>
      <w:r w:rsidR="009321F0">
        <w:t>.</w:t>
      </w:r>
      <w:bookmarkStart w:id="3" w:name="_Ref92877063"/>
      <w:r w:rsidR="00150C4C">
        <w:rPr>
          <w:rStyle w:val="EndnoteReference"/>
        </w:rPr>
        <w:endnoteReference w:id="16"/>
      </w:r>
      <w:bookmarkEnd w:id="3"/>
    </w:p>
    <w:bookmarkEnd w:id="2"/>
    <w:p w14:paraId="3C3D5BC6" w14:textId="5B693309" w:rsidR="000475CD" w:rsidRDefault="000475CD" w:rsidP="00217236">
      <w:pPr>
        <w:pStyle w:val="Heading1"/>
      </w:pPr>
      <w:r w:rsidRPr="00786AAA">
        <w:t xml:space="preserve">Failure to Promote and Protect the Human Rights of Black Migrant Women in Panama </w:t>
      </w:r>
    </w:p>
    <w:p w14:paraId="6DD7B742" w14:textId="3E65E928" w:rsidR="00192CF4" w:rsidRPr="00192CF4" w:rsidRDefault="004E2542" w:rsidP="009109B2">
      <w:pPr>
        <w:pStyle w:val="ListParagraph"/>
        <w:spacing w:before="100" w:after="100" w:line="276" w:lineRule="auto"/>
      </w:pPr>
      <w:r>
        <w:t xml:space="preserve">This section </w:t>
      </w:r>
      <w:r w:rsidR="00DD5A8E">
        <w:t xml:space="preserve">summarizes </w:t>
      </w:r>
      <w:r>
        <w:t>the fact</w:t>
      </w:r>
      <w:r w:rsidR="00E70D91">
        <w:t xml:space="preserve">s relating to Panama’s failure to promote and protect the human rights of Black migrant women in </w:t>
      </w:r>
      <w:r w:rsidR="005668DD">
        <w:t xml:space="preserve">the </w:t>
      </w:r>
      <w:r w:rsidR="002606B2">
        <w:t>Darién</w:t>
      </w:r>
      <w:r w:rsidR="005668DD">
        <w:t xml:space="preserve"> Gap and </w:t>
      </w:r>
      <w:r w:rsidR="00FF0AB0">
        <w:t xml:space="preserve">details </w:t>
      </w:r>
      <w:r w:rsidR="005668DD">
        <w:t>the articles in the Convention</w:t>
      </w:r>
      <w:r w:rsidR="00861986">
        <w:t xml:space="preserve"> Panama’s </w:t>
      </w:r>
      <w:r w:rsidR="002A3E0B">
        <w:t>S</w:t>
      </w:r>
      <w:r w:rsidR="00861986">
        <w:t>tate practice</w:t>
      </w:r>
      <w:r w:rsidR="008E0046">
        <w:t xml:space="preserve"> currently violates</w:t>
      </w:r>
      <w:r w:rsidR="00861986">
        <w:t>.</w:t>
      </w:r>
    </w:p>
    <w:p w14:paraId="7574DFFD" w14:textId="00660AA9" w:rsidR="000475CD" w:rsidRPr="00FE21F9" w:rsidRDefault="000475CD" w:rsidP="00FE21F9">
      <w:pPr>
        <w:pStyle w:val="ListParagraph"/>
        <w:numPr>
          <w:ilvl w:val="0"/>
          <w:numId w:val="22"/>
        </w:numPr>
        <w:rPr>
          <w:b/>
          <w:bCs/>
        </w:rPr>
      </w:pPr>
      <w:r w:rsidRPr="00FE21F9">
        <w:rPr>
          <w:b/>
          <w:bCs/>
        </w:rPr>
        <w:t xml:space="preserve">Migration through the </w:t>
      </w:r>
      <w:r w:rsidR="002606B2">
        <w:rPr>
          <w:b/>
          <w:bCs/>
        </w:rPr>
        <w:t>Darién</w:t>
      </w:r>
      <w:r w:rsidRPr="00FE21F9">
        <w:rPr>
          <w:b/>
          <w:bCs/>
        </w:rPr>
        <w:t xml:space="preserve"> Gap in Panama since 2010</w:t>
      </w:r>
    </w:p>
    <w:p w14:paraId="156275FF" w14:textId="5ADC53E9" w:rsidR="000475CD" w:rsidRPr="00786AAA" w:rsidRDefault="000475CD" w:rsidP="009109B2">
      <w:pPr>
        <w:pStyle w:val="ListParagraph"/>
        <w:spacing w:after="0" w:line="276" w:lineRule="auto"/>
      </w:pPr>
      <w:r w:rsidRPr="00786AAA">
        <w:t xml:space="preserve">Since </w:t>
      </w:r>
      <w:r>
        <w:t>Haiti’s</w:t>
      </w:r>
      <w:r w:rsidRPr="00786AAA">
        <w:t xml:space="preserve"> catastrophic earthquake in 2010</w:t>
      </w:r>
      <w:r>
        <w:t>,</w:t>
      </w:r>
      <w:r w:rsidRPr="00786AAA">
        <w:t xml:space="preserve"> Haitian</w:t>
      </w:r>
      <w:r w:rsidR="00FA7970">
        <w:t>s on the move have fled political instability, lack of economic opportunity and increasing gang violence and have headed towards the Americans</w:t>
      </w:r>
      <w:r>
        <w:t>. O</w:t>
      </w:r>
      <w:r w:rsidRPr="00786AAA">
        <w:t xml:space="preserve">ften on their way to the United States, </w:t>
      </w:r>
      <w:r>
        <w:t xml:space="preserve">this </w:t>
      </w:r>
      <w:r w:rsidRPr="00786AAA">
        <w:t>has become a new migration path for Black migrants from Caribbean and African states fleeing violence and insecurity.</w:t>
      </w:r>
      <w:r w:rsidRPr="00786AAA">
        <w:rPr>
          <w:rStyle w:val="EndnoteReference"/>
        </w:rPr>
        <w:endnoteReference w:id="17"/>
      </w:r>
      <w:r w:rsidRPr="00786AAA">
        <w:t xml:space="preserve"> Migrants heading from South America towards the United States and Canada must pass the </w:t>
      </w:r>
      <w:r w:rsidR="00FA7970">
        <w:t>Darién</w:t>
      </w:r>
      <w:r w:rsidRPr="00786AAA">
        <w:t xml:space="preserve"> Gap, a treacherous journey that consists of </w:t>
      </w:r>
      <w:r w:rsidRPr="00786AAA">
        <w:rPr>
          <w:color w:val="000000"/>
          <w:lang w:eastAsia="fr-FR"/>
        </w:rPr>
        <w:t xml:space="preserve">one hundred miles of tropical rainforest </w:t>
      </w:r>
      <w:r w:rsidR="00E66782" w:rsidRPr="00E66782">
        <w:rPr>
          <w:color w:val="000000"/>
          <w:lang w:eastAsia="fr-FR"/>
        </w:rPr>
        <w:t>in</w:t>
      </w:r>
      <w:r w:rsidRPr="00786AAA">
        <w:rPr>
          <w:color w:val="000000"/>
          <w:lang w:eastAsia="fr-FR"/>
        </w:rPr>
        <w:t xml:space="preserve"> Columbia and Panama that migrants traverse on foot, often with </w:t>
      </w:r>
      <w:r w:rsidRPr="00786AAA">
        <w:t>traffickers.</w:t>
      </w:r>
      <w:r w:rsidRPr="00786AAA">
        <w:rPr>
          <w:rStyle w:val="EndnoteReference"/>
        </w:rPr>
        <w:endnoteReference w:id="18"/>
      </w:r>
      <w:r w:rsidRPr="00786AAA">
        <w:t xml:space="preserve"> </w:t>
      </w:r>
    </w:p>
    <w:p w14:paraId="3E0A24C7" w14:textId="38069423" w:rsidR="000475CD" w:rsidRPr="00786AAA" w:rsidRDefault="000475CD" w:rsidP="009109B2">
      <w:pPr>
        <w:pStyle w:val="ListParagraph"/>
        <w:spacing w:after="0" w:line="276" w:lineRule="auto"/>
      </w:pPr>
      <w:r w:rsidRPr="00786AAA">
        <w:t>Migrants’ rights to life and security are regularly violated on the journey through the Gap, including assault and death.</w:t>
      </w:r>
      <w:r w:rsidRPr="00786AAA">
        <w:rPr>
          <w:rStyle w:val="EndnoteReference"/>
        </w:rPr>
        <w:endnoteReference w:id="19"/>
      </w:r>
      <w:r w:rsidRPr="00786AAA">
        <w:t xml:space="preserve">  In interviews with Haitian migrants, HBA heard stories of Black women and adolescent girls between the ages of 12 and 24 being gang raped by armed men, who took them from large groups of migrants traveling together</w:t>
      </w:r>
      <w:r>
        <w:t>.</w:t>
      </w:r>
      <w:r w:rsidRPr="00786AAA">
        <w:t xml:space="preserve"> </w:t>
      </w:r>
      <w:r>
        <w:t>T</w:t>
      </w:r>
      <w:r w:rsidRPr="00786AAA">
        <w:t xml:space="preserve">he rapes </w:t>
      </w:r>
      <w:r>
        <w:t xml:space="preserve">often </w:t>
      </w:r>
      <w:r w:rsidRPr="00786AAA">
        <w:t xml:space="preserve">happen in front of helpless, sobbing family members. </w:t>
      </w:r>
    </w:p>
    <w:p w14:paraId="75D2D657" w14:textId="32591007" w:rsidR="000475CD" w:rsidRPr="00786AAA" w:rsidRDefault="000475CD" w:rsidP="009109B2">
      <w:pPr>
        <w:pStyle w:val="ListParagraph"/>
        <w:spacing w:after="0" w:line="276" w:lineRule="auto"/>
      </w:pPr>
      <w:r w:rsidRPr="00786AAA">
        <w:t xml:space="preserve">Survivors have no access to </w:t>
      </w:r>
      <w:r w:rsidR="00405E51">
        <w:t xml:space="preserve">safe housing or </w:t>
      </w:r>
      <w:r w:rsidRPr="00786AAA">
        <w:t xml:space="preserve">law enforcement in the jungle of the </w:t>
      </w:r>
      <w:r w:rsidR="002606B2">
        <w:t>Darién</w:t>
      </w:r>
      <w:r w:rsidRPr="00786AAA">
        <w:t xml:space="preserve"> Gap, and most fear retaliation if they report the crime and a legal system that will not protect them or adequately respond to their complaint. </w:t>
      </w:r>
      <w:r w:rsidR="003562BB">
        <w:t xml:space="preserve">Survivors first contact with </w:t>
      </w:r>
      <w:r w:rsidR="00927747">
        <w:t xml:space="preserve">State officials comes through </w:t>
      </w:r>
      <w:r w:rsidR="00371F0D">
        <w:lastRenderedPageBreak/>
        <w:t xml:space="preserve">Panama’s </w:t>
      </w:r>
      <w:r w:rsidR="00371F0D" w:rsidRPr="00463E1B">
        <w:t>border</w:t>
      </w:r>
      <w:r w:rsidR="00463E1B" w:rsidRPr="00463E1B">
        <w:t xml:space="preserve"> patrol and law enforcement agency, </w:t>
      </w:r>
      <w:r w:rsidR="00463E1B" w:rsidRPr="00463E1B">
        <w:rPr>
          <w:i/>
          <w:iCs/>
        </w:rPr>
        <w:t xml:space="preserve">Servicio Nacional de Fronteras </w:t>
      </w:r>
      <w:r w:rsidR="00463E1B" w:rsidRPr="00463E1B">
        <w:t xml:space="preserve">(SENAFRONT), </w:t>
      </w:r>
      <w:r w:rsidR="00463E1B">
        <w:t xml:space="preserve">which </w:t>
      </w:r>
      <w:r w:rsidR="00463E1B" w:rsidRPr="00463E1B">
        <w:t>has been responsible for the safety and security of migrants in the Darién Gap since 2008.</w:t>
      </w:r>
      <w:r w:rsidR="00463E1B" w:rsidRPr="00463E1B">
        <w:rPr>
          <w:vertAlign w:val="superscript"/>
        </w:rPr>
        <w:endnoteReference w:id="20"/>
      </w:r>
      <w:r w:rsidR="00463E1B" w:rsidRPr="00463E1B">
        <w:t xml:space="preserve"> </w:t>
      </w:r>
    </w:p>
    <w:p w14:paraId="7B840FA5" w14:textId="7C19B8BE" w:rsidR="00405E51" w:rsidRDefault="000475CD" w:rsidP="009109B2">
      <w:pPr>
        <w:pStyle w:val="ListParagraph"/>
        <w:spacing w:after="0" w:line="276" w:lineRule="auto"/>
      </w:pPr>
      <w:r w:rsidRPr="00786AAA">
        <w:t>In one case</w:t>
      </w:r>
      <w:r>
        <w:t xml:space="preserve"> in 2021</w:t>
      </w:r>
      <w:r w:rsidRPr="00786AAA">
        <w:t xml:space="preserve">, </w:t>
      </w:r>
      <w:r>
        <w:t xml:space="preserve">a group of </w:t>
      </w:r>
      <w:r w:rsidR="00AC15F5">
        <w:t>ten</w:t>
      </w:r>
      <w:r>
        <w:t xml:space="preserve"> or so armed men robbed a group of approximately 50 Black migrants from Haiti, </w:t>
      </w:r>
      <w:r w:rsidR="00AC15F5">
        <w:t>Cuba,</w:t>
      </w:r>
      <w:r>
        <w:t xml:space="preserve"> and Africa, and raped around </w:t>
      </w:r>
      <w:r w:rsidR="00AC15F5">
        <w:t xml:space="preserve">fifteen </w:t>
      </w:r>
      <w:r>
        <w:t>of the women, ages 15-25 years old. One of the</w:t>
      </w:r>
      <w:r w:rsidRPr="00786AAA">
        <w:t xml:space="preserve"> Haitian rape </w:t>
      </w:r>
      <w:r>
        <w:t xml:space="preserve">survivors </w:t>
      </w:r>
      <w:r w:rsidRPr="00786AAA">
        <w:t xml:space="preserve">saw </w:t>
      </w:r>
      <w:r>
        <w:t>some</w:t>
      </w:r>
      <w:r w:rsidRPr="00786AAA">
        <w:t xml:space="preserve"> of </w:t>
      </w:r>
      <w:r>
        <w:t>her</w:t>
      </w:r>
      <w:r w:rsidRPr="00786AAA">
        <w:t xml:space="preserve"> rapist</w:t>
      </w:r>
      <w:r>
        <w:t>s</w:t>
      </w:r>
      <w:r w:rsidRPr="00786AAA">
        <w:t xml:space="preserve"> playing basketball with Panamanian military officials in uniform at a refug</w:t>
      </w:r>
      <w:r w:rsidR="006E1460">
        <w:t>e</w:t>
      </w:r>
      <w:r w:rsidRPr="00786AAA">
        <w:t>e center in Panama as they exited the jungle.</w:t>
      </w:r>
      <w:r w:rsidRPr="00786AAA">
        <w:rPr>
          <w:rStyle w:val="EndnoteReference"/>
        </w:rPr>
        <w:endnoteReference w:id="21"/>
      </w:r>
      <w:r w:rsidRPr="00786AAA">
        <w:t xml:space="preserve"> The survivor did not report the rape to Panamanian officials because </w:t>
      </w:r>
      <w:r>
        <w:t xml:space="preserve">she feared </w:t>
      </w:r>
      <w:r w:rsidRPr="00786AAA">
        <w:t xml:space="preserve">violence, but she did report the incident when she sought treatment for her injuries at the </w:t>
      </w:r>
      <w:r w:rsidR="0039350F" w:rsidRPr="0039350F">
        <w:t xml:space="preserve">refugee </w:t>
      </w:r>
      <w:r w:rsidR="007243D4">
        <w:t>center</w:t>
      </w:r>
      <w:r w:rsidRPr="00786AAA">
        <w:t>.</w:t>
      </w:r>
      <w:r w:rsidRPr="00786AAA">
        <w:rPr>
          <w:rStyle w:val="EndnoteReference"/>
        </w:rPr>
        <w:endnoteReference w:id="22"/>
      </w:r>
      <w:r w:rsidRPr="00786AAA">
        <w:t xml:space="preserve"> </w:t>
      </w:r>
    </w:p>
    <w:p w14:paraId="7C39806C" w14:textId="604C4C1F" w:rsidR="000475CD" w:rsidRPr="00786AAA" w:rsidRDefault="00405E51" w:rsidP="009109B2">
      <w:pPr>
        <w:pStyle w:val="ListParagraph"/>
        <w:spacing w:after="0" w:line="276" w:lineRule="auto"/>
      </w:pPr>
      <w:r>
        <w:t>In another case, o</w:t>
      </w:r>
      <w:r w:rsidR="000475CD">
        <w:t xml:space="preserve">ne man said he witnessed armed men </w:t>
      </w:r>
      <w:r w:rsidR="001B3462">
        <w:t xml:space="preserve">who were </w:t>
      </w:r>
      <w:r w:rsidR="001B3462" w:rsidRPr="001B3462">
        <w:t>wearing</w:t>
      </w:r>
      <w:r w:rsidR="000475CD">
        <w:t xml:space="preserve"> military boots and holding military weapons rape two women from his group of </w:t>
      </w:r>
      <w:r w:rsidR="00AC15F5">
        <w:t>twenty-five</w:t>
      </w:r>
      <w:r w:rsidR="000475CD">
        <w:t xml:space="preserve"> people.</w:t>
      </w:r>
      <w:r w:rsidR="000475CD">
        <w:rPr>
          <w:rStyle w:val="EndnoteReference"/>
        </w:rPr>
        <w:endnoteReference w:id="23"/>
      </w:r>
    </w:p>
    <w:p w14:paraId="32096E0B" w14:textId="07AEA404" w:rsidR="000475CD" w:rsidRPr="00786AAA" w:rsidRDefault="000475CD" w:rsidP="009109B2">
      <w:pPr>
        <w:pStyle w:val="ListParagraph"/>
        <w:spacing w:after="0" w:line="276" w:lineRule="auto"/>
      </w:pPr>
      <w:r w:rsidRPr="00786AAA">
        <w:t xml:space="preserve">In another case, a </w:t>
      </w:r>
      <w:r>
        <w:t>migrant</w:t>
      </w:r>
      <w:r w:rsidRPr="00786AAA">
        <w:t xml:space="preserve"> from </w:t>
      </w:r>
      <w:r>
        <w:t>Africa</w:t>
      </w:r>
      <w:r w:rsidRPr="00786AAA">
        <w:t xml:space="preserve"> </w:t>
      </w:r>
      <w:r>
        <w:t xml:space="preserve">who was raped in the </w:t>
      </w:r>
      <w:r w:rsidR="002606B2">
        <w:t>Darién</w:t>
      </w:r>
      <w:r>
        <w:t xml:space="preserve"> Gap in 2021 </w:t>
      </w:r>
      <w:r w:rsidRPr="00786AAA">
        <w:t>did report the rape</w:t>
      </w:r>
      <w:r>
        <w:t xml:space="preserve"> to Panamanian police</w:t>
      </w:r>
      <w:r w:rsidRPr="00786AAA">
        <w:t xml:space="preserve"> but was</w:t>
      </w:r>
      <w:r>
        <w:t xml:space="preserve"> later</w:t>
      </w:r>
      <w:r w:rsidRPr="00786AAA">
        <w:t xml:space="preserve"> </w:t>
      </w:r>
      <w:r>
        <w:t>murdered</w:t>
      </w:r>
      <w:r w:rsidRPr="00786AAA">
        <w:t xml:space="preserve"> </w:t>
      </w:r>
      <w:r>
        <w:t>at or near the refuge</w:t>
      </w:r>
      <w:r w:rsidR="00A36B93">
        <w:t>e</w:t>
      </w:r>
      <w:r>
        <w:t xml:space="preserve"> center</w:t>
      </w:r>
      <w:r w:rsidRPr="00786AAA">
        <w:t>.</w:t>
      </w:r>
      <w:r w:rsidRPr="00786AAA">
        <w:rPr>
          <w:rStyle w:val="EndnoteReference"/>
        </w:rPr>
        <w:endnoteReference w:id="24"/>
      </w:r>
    </w:p>
    <w:p w14:paraId="4796276D" w14:textId="4CEE497D" w:rsidR="000475CD" w:rsidRPr="00786AAA" w:rsidRDefault="000475CD" w:rsidP="009109B2">
      <w:pPr>
        <w:pStyle w:val="ListParagraph"/>
        <w:spacing w:after="0" w:line="276" w:lineRule="auto"/>
      </w:pPr>
      <w:r w:rsidRPr="00786AAA">
        <w:t xml:space="preserve">In another, HBA interviewed a Haitian woman who witnessed armed gang members kill her brother in the </w:t>
      </w:r>
      <w:r w:rsidR="002606B2">
        <w:t>Darién</w:t>
      </w:r>
      <w:r w:rsidRPr="00786AAA">
        <w:t xml:space="preserve"> Gap</w:t>
      </w:r>
      <w:r>
        <w:t xml:space="preserve"> in 2020 in front of her, her child and her brother’s child</w:t>
      </w:r>
      <w:r w:rsidRPr="00786AAA">
        <w:t>. She reported the crime to authorities when she reached the refuge</w:t>
      </w:r>
      <w:r w:rsidR="008E61BF">
        <w:t>e</w:t>
      </w:r>
      <w:r w:rsidRPr="00786AAA">
        <w:t xml:space="preserve"> center </w:t>
      </w:r>
      <w:r w:rsidR="00405E51">
        <w:t xml:space="preserve">in Panama </w:t>
      </w:r>
      <w:r w:rsidRPr="00786AAA">
        <w:t>but said th</w:t>
      </w:r>
      <w:r>
        <w:t>at</w:t>
      </w:r>
      <w:r w:rsidRPr="00786AAA">
        <w:t xml:space="preserve"> </w:t>
      </w:r>
      <w:r w:rsidR="00405E51">
        <w:t>the crime was never prosecuted</w:t>
      </w:r>
      <w:r w:rsidRPr="00786AAA">
        <w:t>.</w:t>
      </w:r>
      <w:r w:rsidRPr="00786AAA">
        <w:rPr>
          <w:rStyle w:val="EndnoteReference"/>
        </w:rPr>
        <w:endnoteReference w:id="25"/>
      </w:r>
      <w:r w:rsidRPr="00786AAA">
        <w:t xml:space="preserve"> </w:t>
      </w:r>
    </w:p>
    <w:p w14:paraId="4500BC2D" w14:textId="74401238" w:rsidR="000475CD" w:rsidRPr="00786AAA" w:rsidRDefault="000475CD" w:rsidP="009109B2">
      <w:pPr>
        <w:pStyle w:val="ListParagraph"/>
        <w:spacing w:after="0" w:line="276" w:lineRule="auto"/>
      </w:pPr>
      <w:r w:rsidRPr="00786AAA">
        <w:t>These stories of indifference and impunity by Panamanian authorities circulate within the migrant community and create a climate of fear. As a result, armed gangs patrol the jungle looking for victims with impunity.</w:t>
      </w:r>
    </w:p>
    <w:p w14:paraId="2C50B2C3" w14:textId="6BE2FFA5" w:rsidR="00775392" w:rsidRDefault="000475CD" w:rsidP="00FF58FF">
      <w:pPr>
        <w:pStyle w:val="ListParagraph"/>
        <w:spacing w:after="0" w:line="276" w:lineRule="auto"/>
      </w:pPr>
      <w:r w:rsidRPr="00786AAA">
        <w:t xml:space="preserve">The Panamanian government has not taken adequate measures to ensure Black migrant women have access to justice for </w:t>
      </w:r>
      <w:r w:rsidR="00405E51">
        <w:t>SGBV</w:t>
      </w:r>
      <w:r w:rsidRPr="00786AAA">
        <w:t xml:space="preserve">, which would require them to prevent, investigate or prosecute cases of sexual assault. </w:t>
      </w:r>
    </w:p>
    <w:p w14:paraId="3F0309DA" w14:textId="374F82FA" w:rsidR="000475CD" w:rsidRPr="00786AAA" w:rsidRDefault="000475CD" w:rsidP="00FF58FF">
      <w:pPr>
        <w:pStyle w:val="ListParagraph"/>
        <w:spacing w:after="0" w:line="276" w:lineRule="auto"/>
      </w:pPr>
      <w:r w:rsidRPr="00786AAA">
        <w:t>Migrants report</w:t>
      </w:r>
      <w:r w:rsidR="00405E51">
        <w:t>ed</w:t>
      </w:r>
      <w:r w:rsidRPr="00786AAA">
        <w:t xml:space="preserve"> that SENAFRONT </w:t>
      </w:r>
      <w:r w:rsidR="00405E51">
        <w:t xml:space="preserve">appears to </w:t>
      </w:r>
      <w:r w:rsidRPr="00786AAA">
        <w:t>focus almost exclusively on registering them in the U</w:t>
      </w:r>
      <w:r w:rsidR="00F36562">
        <w:t>.S.</w:t>
      </w:r>
      <w:r w:rsidRPr="00786AAA">
        <w:t xml:space="preserve"> biometric tracking system, detaining people that the U</w:t>
      </w:r>
      <w:r w:rsidR="00F36562">
        <w:t>.</w:t>
      </w:r>
      <w:r w:rsidRPr="00786AAA">
        <w:t>S</w:t>
      </w:r>
      <w:r w:rsidR="00F36562">
        <w:t>. government</w:t>
      </w:r>
      <w:r w:rsidRPr="00786AAA">
        <w:t xml:space="preserve"> flags through the system, and deterring and slowing the flow of migrants through Panama</w:t>
      </w:r>
      <w:r w:rsidR="00F36562">
        <w:t xml:space="preserve"> (away from the United States)</w:t>
      </w:r>
      <w:r w:rsidRPr="00786AAA">
        <w:t>.</w:t>
      </w:r>
      <w:r w:rsidRPr="00786AAA">
        <w:rPr>
          <w:rStyle w:val="EndnoteReference"/>
        </w:rPr>
        <w:endnoteReference w:id="26"/>
      </w:r>
      <w:r>
        <w:t xml:space="preserve"> Other than this agency that polices them, migrants report not having access to any law enforcement to protect them.</w:t>
      </w:r>
    </w:p>
    <w:p w14:paraId="34F4CE03" w14:textId="6FD035AA" w:rsidR="000475CD" w:rsidRPr="00786AAA" w:rsidRDefault="000475CD" w:rsidP="00FF58FF">
      <w:pPr>
        <w:pStyle w:val="ListParagraph"/>
        <w:spacing w:after="0" w:line="276" w:lineRule="auto"/>
      </w:pPr>
      <w:r w:rsidRPr="00786AAA">
        <w:t xml:space="preserve">The NGO </w:t>
      </w:r>
      <w:r w:rsidR="00BB76A5" w:rsidRPr="00C20DA0">
        <w:rPr>
          <w:i/>
        </w:rPr>
        <w:t>Médecins Sans Frontières</w:t>
      </w:r>
      <w:r w:rsidRPr="00786AAA">
        <w:t xml:space="preserve">/Doctors without Borders (MSF) set up a treatment center in April 2021 at the edge of the </w:t>
      </w:r>
      <w:r w:rsidR="002606B2">
        <w:t>Darién</w:t>
      </w:r>
      <w:r w:rsidRPr="00786AAA">
        <w:t xml:space="preserve"> Gap in Panama, where migrants who survived the journey are registered by SENAFRONT. Between April and November of 2021, MSF reported it had treated 288 victims of sexual violence in the </w:t>
      </w:r>
      <w:r w:rsidR="002606B2">
        <w:t>Darién</w:t>
      </w:r>
      <w:r w:rsidRPr="00786AAA">
        <w:t xml:space="preserve"> Gap, and doctors estimated that number only accounted for 25% of the actual victimizations occurring.</w:t>
      </w:r>
      <w:bookmarkStart w:id="4" w:name="_Ref92797342"/>
      <w:r w:rsidRPr="00786AAA">
        <w:rPr>
          <w:rStyle w:val="EndnoteReference"/>
        </w:rPr>
        <w:endnoteReference w:id="27"/>
      </w:r>
      <w:bookmarkEnd w:id="4"/>
      <w:r w:rsidRPr="00786AAA">
        <w:t xml:space="preserve"> MSF noted that victims felt they could not report any crimes to SENAFRONT because of the</w:t>
      </w:r>
      <w:r w:rsidR="00F36562">
        <w:t xml:space="preserve"> perceived</w:t>
      </w:r>
      <w:r w:rsidRPr="00786AAA">
        <w:t xml:space="preserve"> criminalization of their status that they experience from these authorities.</w:t>
      </w:r>
      <w:r w:rsidRPr="00786AAA">
        <w:rPr>
          <w:rStyle w:val="EndnoteReference"/>
        </w:rPr>
        <w:endnoteReference w:id="28"/>
      </w:r>
      <w:r w:rsidRPr="00786AAA">
        <w:t xml:space="preserve"> MSF also noted that, in instances where they were aware of State investigations, </w:t>
      </w:r>
      <w:r>
        <w:t>B</w:t>
      </w:r>
      <w:r w:rsidRPr="00786AAA">
        <w:t xml:space="preserve">lack migrant women witnesses would be detained for weeks </w:t>
      </w:r>
      <w:r w:rsidRPr="00786AAA">
        <w:lastRenderedPageBreak/>
        <w:t>or months in migrant detention camps with “inadequate food and shelter, lack of clean water and showers, and no way to communicate with their families.”</w:t>
      </w:r>
      <w:r w:rsidRPr="00786AAA">
        <w:rPr>
          <w:rStyle w:val="EndnoteReference"/>
        </w:rPr>
        <w:endnoteReference w:id="29"/>
      </w:r>
      <w:r w:rsidRPr="00786AAA">
        <w:t xml:space="preserve"> </w:t>
      </w:r>
    </w:p>
    <w:p w14:paraId="1C78BB80" w14:textId="4C2D8AA7" w:rsidR="000475CD" w:rsidRPr="00786AAA" w:rsidRDefault="000475CD" w:rsidP="00FF58FF">
      <w:pPr>
        <w:pStyle w:val="ListParagraph"/>
        <w:spacing w:after="0" w:line="276" w:lineRule="auto"/>
      </w:pPr>
      <w:r w:rsidRPr="00786AAA">
        <w:t>MSF demanded in Panamanian media that the State take actions to protect migrant women. It observed that SENAFRONT increase</w:t>
      </w:r>
      <w:r>
        <w:t>d</w:t>
      </w:r>
      <w:r w:rsidRPr="00786AAA">
        <w:t xml:space="preserve"> its presence in the </w:t>
      </w:r>
      <w:r w:rsidR="002606B2">
        <w:t>Darién</w:t>
      </w:r>
      <w:r w:rsidRPr="00786AAA">
        <w:t xml:space="preserve"> Gap and a prosecutor was appointed to look at cases in the area, and that these actions led to a reduction in reported </w:t>
      </w:r>
      <w:r w:rsidR="00F36562">
        <w:t>SGBV</w:t>
      </w:r>
      <w:r w:rsidR="00AC15F5">
        <w:t xml:space="preserve">. </w:t>
      </w:r>
      <w:r w:rsidR="00F36562">
        <w:t xml:space="preserve">While this is a positive step forward and shows the capacity to address this issue, unfortunately </w:t>
      </w:r>
      <w:r w:rsidRPr="00786AAA">
        <w:t xml:space="preserve">SENAFRONT </w:t>
      </w:r>
      <w:r w:rsidR="00F36562">
        <w:t>soon</w:t>
      </w:r>
      <w:r w:rsidR="0041666F" w:rsidRPr="00786AAA">
        <w:t xml:space="preserve"> </w:t>
      </w:r>
      <w:r w:rsidRPr="00786AAA">
        <w:t>returned to its prior practice and reports of victimization increased again.</w:t>
      </w:r>
      <w:bookmarkStart w:id="5" w:name="_Ref92797358"/>
      <w:r w:rsidRPr="00786AAA">
        <w:rPr>
          <w:rStyle w:val="EndnoteReference"/>
        </w:rPr>
        <w:endnoteReference w:id="30"/>
      </w:r>
      <w:bookmarkEnd w:id="5"/>
    </w:p>
    <w:p w14:paraId="549DB67A" w14:textId="7E4BA41F" w:rsidR="000475CD" w:rsidRPr="00786AAA" w:rsidRDefault="000475CD" w:rsidP="00FF58FF">
      <w:pPr>
        <w:pStyle w:val="ListParagraph"/>
        <w:numPr>
          <w:ilvl w:val="0"/>
          <w:numId w:val="22"/>
        </w:numPr>
        <w:spacing w:before="100" w:afterLines="100" w:after="240" w:line="276" w:lineRule="auto"/>
        <w:rPr>
          <w:b/>
          <w:bCs/>
        </w:rPr>
      </w:pPr>
      <w:r w:rsidRPr="00786AAA">
        <w:rPr>
          <w:b/>
          <w:bCs/>
        </w:rPr>
        <w:t xml:space="preserve">Article 1 and 2—Insufficient measures to combat discrimination, violence against women and impunity for perpetrators of </w:t>
      </w:r>
      <w:r w:rsidR="00F36562">
        <w:rPr>
          <w:b/>
          <w:bCs/>
        </w:rPr>
        <w:t>SGBV</w:t>
      </w:r>
    </w:p>
    <w:p w14:paraId="00A4C79B" w14:textId="5297EF24" w:rsidR="000475CD" w:rsidRPr="00786AAA" w:rsidRDefault="000475CD" w:rsidP="00FF58FF">
      <w:pPr>
        <w:pStyle w:val="ListParagraph"/>
        <w:spacing w:after="0" w:line="276" w:lineRule="auto"/>
      </w:pPr>
      <w:r w:rsidRPr="00786AAA">
        <w:t>In its State party report, Panama stated that it had initiated “public policies to combat discrimination and inequality in respect of age, sex, ethnicity, disability, origin and, in particular, discrimination and inequality resulting from a person’s migration, asylum and refugee or other status.”</w:t>
      </w:r>
      <w:r w:rsidRPr="00786AAA">
        <w:rPr>
          <w:vertAlign w:val="superscript"/>
        </w:rPr>
        <w:endnoteReference w:id="31"/>
      </w:r>
      <w:r w:rsidRPr="00786AAA">
        <w:t xml:space="preserve"> </w:t>
      </w:r>
      <w:r w:rsidR="000F7036">
        <w:t>However, t</w:t>
      </w:r>
      <w:r>
        <w:t xml:space="preserve">he </w:t>
      </w:r>
      <w:r w:rsidR="000F7036">
        <w:t xml:space="preserve">facts above demonstrate that the </w:t>
      </w:r>
      <w:r>
        <w:t>State must increase efforts to</w:t>
      </w:r>
      <w:r w:rsidRPr="00786AAA">
        <w:t xml:space="preserve"> protect Black migrant women traveling through the </w:t>
      </w:r>
      <w:r w:rsidR="002606B2">
        <w:t>Darién</w:t>
      </w:r>
      <w:r w:rsidRPr="00786AAA">
        <w:t xml:space="preserve"> Gap </w:t>
      </w:r>
      <w:r>
        <w:t>from</w:t>
      </w:r>
      <w:r w:rsidRPr="00786AAA">
        <w:t xml:space="preserve"> rape, trafficking, and killings.</w:t>
      </w:r>
    </w:p>
    <w:p w14:paraId="52A94E53" w14:textId="518AC341" w:rsidR="000F7036" w:rsidRDefault="000F7036" w:rsidP="00FF58FF">
      <w:pPr>
        <w:pStyle w:val="ListParagraph"/>
        <w:spacing w:after="0" w:line="276" w:lineRule="auto"/>
      </w:pPr>
      <w:r w:rsidRPr="00786AAA">
        <w:t>Under Article 2 (d), States are obligated “to protect women from being exposed to a real, personal and foreseeable risk[s]</w:t>
      </w:r>
      <w:r>
        <w:t xml:space="preserve"> </w:t>
      </w:r>
      <w:r w:rsidRPr="00786AAA">
        <w:t>of serious forms of discrimination against women, including gender-based violence, irrespective of whether such consequences would take place outside the territorial boundaries of the sending State party.”</w:t>
      </w:r>
      <w:r w:rsidRPr="00786AAA">
        <w:rPr>
          <w:vertAlign w:val="superscript"/>
        </w:rPr>
        <w:endnoteReference w:id="32"/>
      </w:r>
      <w:r>
        <w:t xml:space="preserve"> As demonstrated above, Panama’s current State practice is failing to protect Haitian and other Black migrant women from SGBV in the </w:t>
      </w:r>
      <w:r w:rsidR="008028B1">
        <w:t>Darién</w:t>
      </w:r>
      <w:r w:rsidR="008028B1" w:rsidRPr="00786AAA">
        <w:t xml:space="preserve"> Gap</w:t>
      </w:r>
      <w:r>
        <w:t>.</w:t>
      </w:r>
    </w:p>
    <w:p w14:paraId="517A57E2" w14:textId="52832515" w:rsidR="00F94E22" w:rsidRDefault="000475CD" w:rsidP="000F7036">
      <w:pPr>
        <w:pStyle w:val="ListParagraph"/>
        <w:spacing w:after="0" w:line="276" w:lineRule="auto"/>
      </w:pPr>
      <w:r w:rsidRPr="00786AAA">
        <w:t xml:space="preserve">The Committee </w:t>
      </w:r>
      <w:r>
        <w:t>clarified</w:t>
      </w:r>
      <w:r w:rsidRPr="00786AAA">
        <w:t xml:space="preserve"> that under Article 1 of the Convention, “[S]tates parties bear the primary responsibility for ensuring that asylum-seeking women, refugee women, women nationality applicants and stateless women within their territory or under their effective control or jurisdiction, even if not situated within their territory, are not exposed to violations of their rights under the Convention, including when such violations are committed by private persons and non-State actors.”</w:t>
      </w:r>
      <w:r w:rsidRPr="00786AAA">
        <w:rPr>
          <w:vertAlign w:val="superscript"/>
        </w:rPr>
        <w:endnoteReference w:id="33"/>
      </w:r>
      <w:r w:rsidRPr="00786AAA">
        <w:t xml:space="preserve"> The Committee has also stated that “[g]ender-based violence against women constitutes discrimination against women under </w:t>
      </w:r>
      <w:r w:rsidR="001332B7">
        <w:t>A</w:t>
      </w:r>
      <w:r w:rsidRPr="00786AAA">
        <w:t xml:space="preserve">rticle 1 and therefore engages all obligations under the Convention,” including Article 2 which obligates </w:t>
      </w:r>
      <w:r w:rsidR="00C71F26">
        <w:t>S</w:t>
      </w:r>
      <w:r w:rsidRPr="00786AAA">
        <w:t>tates to eliminate discrimination against women.</w:t>
      </w:r>
      <w:bookmarkStart w:id="6" w:name="_Ref92876819"/>
      <w:r w:rsidRPr="00786AAA">
        <w:rPr>
          <w:vertAlign w:val="superscript"/>
        </w:rPr>
        <w:endnoteReference w:id="34"/>
      </w:r>
      <w:bookmarkEnd w:id="6"/>
      <w:r w:rsidRPr="00786AAA">
        <w:t xml:space="preserve"> Panama’s ongoing acts and omissions further engage General Recommendation No. 38 (2020) on trafficking in women and girls in the context of global migration and Security Council Resolution 1325 (2000) regarding women in conflict and post-conflict situations.</w:t>
      </w:r>
      <w:r w:rsidRPr="00786AAA">
        <w:rPr>
          <w:vertAlign w:val="superscript"/>
        </w:rPr>
        <w:endnoteReference w:id="35"/>
      </w:r>
      <w:r w:rsidR="000F7036">
        <w:t xml:space="preserve"> </w:t>
      </w:r>
      <w:r w:rsidR="008028B1">
        <w:t xml:space="preserve">The Convention clearly establishes the State’s duty to protect Haitian other Black migrant women in </w:t>
      </w:r>
      <w:r w:rsidR="008028B1" w:rsidRPr="008028B1">
        <w:t>Darién Gap</w:t>
      </w:r>
      <w:r w:rsidR="008028B1">
        <w:t xml:space="preserve"> and ensure the enjoyment of the full range of their human rights.</w:t>
      </w:r>
    </w:p>
    <w:p w14:paraId="5CBA734E" w14:textId="77777777" w:rsidR="00DD73A7" w:rsidRDefault="000475CD" w:rsidP="00DD73A7">
      <w:pPr>
        <w:pStyle w:val="ListParagraph"/>
        <w:spacing w:after="0" w:line="276" w:lineRule="auto"/>
      </w:pPr>
      <w:r w:rsidRPr="00786AAA">
        <w:t xml:space="preserve">The historic, known, and ongoing nature of </w:t>
      </w:r>
      <w:r w:rsidR="008028B1">
        <w:t xml:space="preserve">SGBV that </w:t>
      </w:r>
      <w:r w:rsidRPr="00786AAA">
        <w:t>Black migrant women</w:t>
      </w:r>
      <w:r w:rsidR="008028B1">
        <w:t xml:space="preserve"> are victims of </w:t>
      </w:r>
      <w:r w:rsidR="00DD73A7">
        <w:t xml:space="preserve">violate </w:t>
      </w:r>
      <w:r w:rsidR="008028B1">
        <w:t>their</w:t>
      </w:r>
      <w:r w:rsidRPr="00786AAA">
        <w:t xml:space="preserve"> rights </w:t>
      </w:r>
      <w:r>
        <w:t>to life</w:t>
      </w:r>
      <w:r w:rsidR="008028B1">
        <w:t xml:space="preserve">, </w:t>
      </w:r>
      <w:r>
        <w:t>security</w:t>
      </w:r>
      <w:r w:rsidR="008028B1">
        <w:t>, and freedom from discrimination</w:t>
      </w:r>
      <w:r w:rsidR="00DD73A7">
        <w:t xml:space="preserve">. The Committee has </w:t>
      </w:r>
      <w:r w:rsidR="00DD73A7">
        <w:lastRenderedPageBreak/>
        <w:t>recognized that</w:t>
      </w:r>
      <w:r w:rsidR="00DD73A7" w:rsidRPr="00786AAA">
        <w:t xml:space="preserve"> “[t]he foreseeability of the consequence would mean that there was a present violation by the State party.”</w:t>
      </w:r>
      <w:r w:rsidR="00DD73A7" w:rsidRPr="00786AAA">
        <w:rPr>
          <w:vertAlign w:val="superscript"/>
        </w:rPr>
        <w:endnoteReference w:id="36"/>
      </w:r>
    </w:p>
    <w:p w14:paraId="695EC422" w14:textId="40F4661A" w:rsidR="00B81AAC" w:rsidRDefault="00DD73A7" w:rsidP="00ED096D">
      <w:pPr>
        <w:pStyle w:val="ListParagraph"/>
        <w:spacing w:after="0" w:line="276" w:lineRule="auto"/>
      </w:pPr>
      <w:r>
        <w:t>The facts above demonstrate that it is foreseeable that, without adequate intervention and reform from the State, Black migrant women in the gap will continue to be victims of rape, trafficking, and killings</w:t>
      </w:r>
      <w:r w:rsidR="00F44F88">
        <w:t xml:space="preserve"> and constitute </w:t>
      </w:r>
      <w:r w:rsidR="000475CD" w:rsidRPr="00786AAA">
        <w:t xml:space="preserve">present and ongoing violations </w:t>
      </w:r>
      <w:r w:rsidR="00F44F88">
        <w:t>of the Convention</w:t>
      </w:r>
      <w:r w:rsidR="00E1431D">
        <w:t xml:space="preserve"> that are </w:t>
      </w:r>
      <w:r w:rsidR="00F44F88">
        <w:t>attributable to</w:t>
      </w:r>
      <w:r w:rsidR="000475CD" w:rsidRPr="00786AAA">
        <w:t xml:space="preserve"> Panama and other </w:t>
      </w:r>
      <w:r w:rsidR="00E1431D">
        <w:t xml:space="preserve">implicated </w:t>
      </w:r>
      <w:r w:rsidR="000475CD" w:rsidRPr="00786AAA">
        <w:t>State parties</w:t>
      </w:r>
      <w:r w:rsidR="008028B1">
        <w:t xml:space="preserve">. </w:t>
      </w:r>
    </w:p>
    <w:p w14:paraId="7B799725" w14:textId="3572B00C" w:rsidR="000475CD" w:rsidRPr="0040068E" w:rsidRDefault="000475CD" w:rsidP="00FF58FF">
      <w:pPr>
        <w:pStyle w:val="ListParagraph"/>
        <w:numPr>
          <w:ilvl w:val="0"/>
          <w:numId w:val="22"/>
        </w:numPr>
        <w:spacing w:before="100" w:afterLines="100" w:after="240" w:line="276" w:lineRule="auto"/>
        <w:rPr>
          <w:rFonts w:eastAsia="Calibri"/>
          <w:b/>
          <w:bCs/>
        </w:rPr>
      </w:pPr>
      <w:r w:rsidRPr="0040068E">
        <w:rPr>
          <w:rFonts w:eastAsia="Calibri"/>
          <w:b/>
          <w:bCs/>
        </w:rPr>
        <w:t>Articles 2, 6, 15(1) –Access to Justice</w:t>
      </w:r>
    </w:p>
    <w:p w14:paraId="2BE23BD6" w14:textId="77777777" w:rsidR="00D537C5" w:rsidRDefault="000475CD" w:rsidP="00FF58FF">
      <w:pPr>
        <w:pStyle w:val="ListParagraph"/>
        <w:spacing w:after="0" w:line="276" w:lineRule="auto"/>
        <w:rPr>
          <w:rFonts w:eastAsia="Calibri"/>
        </w:rPr>
      </w:pPr>
      <w:r w:rsidRPr="00786AAA">
        <w:rPr>
          <w:rFonts w:eastAsia="Calibri"/>
        </w:rPr>
        <w:t>Art</w:t>
      </w:r>
      <w:r>
        <w:rPr>
          <w:rFonts w:eastAsia="Calibri"/>
        </w:rPr>
        <w:t>icle</w:t>
      </w:r>
      <w:r w:rsidRPr="00786AAA">
        <w:rPr>
          <w:rFonts w:eastAsia="Calibri"/>
        </w:rPr>
        <w:t xml:space="preserve"> 2(c) requires States to “establish legal protection of the rights of women on an equal basis with men and to ensure through competent national tribunals and other public institutions the effective protection of women against any act of discrimination.”</w:t>
      </w:r>
      <w:r w:rsidRPr="00786AAA">
        <w:rPr>
          <w:rStyle w:val="EndnoteReference"/>
          <w:rFonts w:eastAsia="Calibri"/>
        </w:rPr>
        <w:endnoteReference w:id="37"/>
      </w:r>
      <w:r w:rsidRPr="00786AAA">
        <w:rPr>
          <w:rFonts w:eastAsia="Calibri"/>
        </w:rPr>
        <w:t xml:space="preserve"> Art</w:t>
      </w:r>
      <w:r>
        <w:rPr>
          <w:rFonts w:eastAsia="Calibri"/>
        </w:rPr>
        <w:t>icle</w:t>
      </w:r>
      <w:r w:rsidRPr="00786AAA">
        <w:rPr>
          <w:rFonts w:eastAsia="Calibri"/>
        </w:rPr>
        <w:t xml:space="preserve"> 6 requires States to take all appropriate measures to stop trafficking in women in all forms</w:t>
      </w:r>
      <w:r w:rsidR="00670BEE">
        <w:rPr>
          <w:rFonts w:eastAsia="Calibri"/>
        </w:rPr>
        <w:t>,</w:t>
      </w:r>
      <w:r w:rsidRPr="00786AAA">
        <w:rPr>
          <w:rStyle w:val="EndnoteReference"/>
          <w:rFonts w:eastAsia="Calibri"/>
        </w:rPr>
        <w:endnoteReference w:id="38"/>
      </w:r>
      <w:r w:rsidRPr="00786AAA">
        <w:rPr>
          <w:rFonts w:eastAsia="Calibri"/>
        </w:rPr>
        <w:t xml:space="preserve"> </w:t>
      </w:r>
      <w:r w:rsidR="00670BEE">
        <w:rPr>
          <w:rFonts w:eastAsia="Calibri"/>
        </w:rPr>
        <w:t>a</w:t>
      </w:r>
      <w:r w:rsidR="00670BEE" w:rsidRPr="00786AAA">
        <w:rPr>
          <w:rFonts w:eastAsia="Calibri"/>
        </w:rPr>
        <w:t xml:space="preserve">nd </w:t>
      </w:r>
      <w:r>
        <w:rPr>
          <w:rFonts w:eastAsia="Calibri"/>
        </w:rPr>
        <w:t>A</w:t>
      </w:r>
      <w:r w:rsidRPr="00786AAA">
        <w:rPr>
          <w:rFonts w:eastAsia="Calibri"/>
        </w:rPr>
        <w:t>rticle 15(1) requires State parties to “accord to women equality with men before the law.”</w:t>
      </w:r>
      <w:r w:rsidRPr="00786AAA">
        <w:rPr>
          <w:rStyle w:val="EndnoteReference"/>
          <w:rFonts w:eastAsia="Calibri"/>
        </w:rPr>
        <w:endnoteReference w:id="39"/>
      </w:r>
      <w:r w:rsidRPr="00786AAA">
        <w:rPr>
          <w:rFonts w:eastAsia="Calibri"/>
        </w:rPr>
        <w:t xml:space="preserve"> </w:t>
      </w:r>
    </w:p>
    <w:p w14:paraId="1EC7CC9C" w14:textId="400FF94E" w:rsidR="000475CD" w:rsidRPr="0040068E" w:rsidRDefault="000475CD" w:rsidP="00FF58FF">
      <w:pPr>
        <w:pStyle w:val="ListParagraph"/>
        <w:spacing w:after="0" w:line="276" w:lineRule="auto"/>
        <w:rPr>
          <w:rFonts w:eastAsia="Calibri"/>
        </w:rPr>
      </w:pPr>
      <w:r w:rsidRPr="00786AAA">
        <w:rPr>
          <w:rFonts w:eastAsia="Calibri"/>
        </w:rPr>
        <w:t xml:space="preserve">As shown by client interviews by HBA and information provided by MSF in Panama, </w:t>
      </w:r>
      <w:r w:rsidR="00D537C5">
        <w:rPr>
          <w:rFonts w:eastAsia="Calibri"/>
        </w:rPr>
        <w:t>Black migrant women in Panama cannot enjoy their rights to access ‘competent national tribunals and other public instit</w:t>
      </w:r>
      <w:r w:rsidR="006E25F3">
        <w:rPr>
          <w:rFonts w:eastAsia="Calibri"/>
        </w:rPr>
        <w:t>ut</w:t>
      </w:r>
      <w:r w:rsidR="00D537C5">
        <w:rPr>
          <w:rFonts w:eastAsia="Calibri"/>
        </w:rPr>
        <w:t xml:space="preserve">ions’ for their protection against the SGBV they continue to experience nor for crimes related to trafficking. Without adequate intervention and reform from the State, </w:t>
      </w:r>
      <w:r w:rsidRPr="00786AAA">
        <w:rPr>
          <w:rFonts w:eastAsia="Calibri"/>
        </w:rPr>
        <w:t>Panama</w:t>
      </w:r>
      <w:r w:rsidR="00D537C5">
        <w:rPr>
          <w:rFonts w:eastAsia="Calibri"/>
        </w:rPr>
        <w:t>’s</w:t>
      </w:r>
      <w:r w:rsidRPr="00786AAA">
        <w:rPr>
          <w:rFonts w:eastAsia="Calibri"/>
        </w:rPr>
        <w:t xml:space="preserve"> </w:t>
      </w:r>
      <w:r w:rsidR="00D537C5">
        <w:rPr>
          <w:rFonts w:eastAsia="Calibri"/>
        </w:rPr>
        <w:t>current practices are</w:t>
      </w:r>
      <w:r w:rsidR="006E25F3">
        <w:rPr>
          <w:rFonts w:eastAsia="Calibri"/>
        </w:rPr>
        <w:t xml:space="preserve"> thus violating Articles 2(c), 6, and 15(1) under the convention</w:t>
      </w:r>
      <w:r w:rsidR="00B668EC">
        <w:rPr>
          <w:rFonts w:eastAsia="Calibri"/>
        </w:rPr>
        <w:t>.</w:t>
      </w:r>
    </w:p>
    <w:p w14:paraId="2C2C781B" w14:textId="356E6233" w:rsidR="000475CD" w:rsidRPr="0040068E" w:rsidRDefault="000475CD" w:rsidP="00FF58FF">
      <w:pPr>
        <w:pStyle w:val="ListParagraph"/>
        <w:numPr>
          <w:ilvl w:val="0"/>
          <w:numId w:val="22"/>
        </w:numPr>
        <w:spacing w:before="100" w:afterLines="100" w:after="240" w:line="276" w:lineRule="auto"/>
        <w:rPr>
          <w:rFonts w:eastAsiaTheme="minorEastAsia"/>
          <w:b/>
          <w:bCs/>
        </w:rPr>
      </w:pPr>
      <w:r w:rsidRPr="0040068E">
        <w:rPr>
          <w:rFonts w:eastAsia="Calibri"/>
          <w:b/>
          <w:bCs/>
        </w:rPr>
        <w:t>Articles 3</w:t>
      </w:r>
      <w:r w:rsidR="00294DA1">
        <w:rPr>
          <w:rFonts w:eastAsia="Calibri"/>
          <w:b/>
          <w:bCs/>
        </w:rPr>
        <w:t xml:space="preserve">, </w:t>
      </w:r>
      <w:r w:rsidRPr="0040068E">
        <w:rPr>
          <w:rFonts w:eastAsia="Calibri"/>
          <w:b/>
          <w:bCs/>
        </w:rPr>
        <w:t>12—Health and Safety</w:t>
      </w:r>
    </w:p>
    <w:p w14:paraId="475BEA8E" w14:textId="6BE1B98C" w:rsidR="000475CD" w:rsidRPr="00786AAA" w:rsidRDefault="000475CD" w:rsidP="00FF58FF">
      <w:pPr>
        <w:pStyle w:val="ListParagraph"/>
        <w:spacing w:after="0" w:line="276" w:lineRule="auto"/>
        <w:rPr>
          <w:rFonts w:eastAsiaTheme="minorEastAsia"/>
        </w:rPr>
      </w:pPr>
      <w:r w:rsidRPr="0040068E">
        <w:rPr>
          <w:rFonts w:eastAsiaTheme="minorEastAsia"/>
        </w:rPr>
        <w:t xml:space="preserve">Victims of sexual violence, particularly gang rapes, are at </w:t>
      </w:r>
      <w:r w:rsidR="00AC15F5" w:rsidRPr="0040068E">
        <w:rPr>
          <w:rFonts w:eastAsiaTheme="minorEastAsia"/>
        </w:rPr>
        <w:t>an elevated risk</w:t>
      </w:r>
      <w:r w:rsidRPr="0040068E">
        <w:rPr>
          <w:rFonts w:eastAsiaTheme="minorEastAsia"/>
        </w:rPr>
        <w:t xml:space="preserve"> of </w:t>
      </w:r>
      <w:r w:rsidR="0086649D">
        <w:rPr>
          <w:rFonts w:eastAsiaTheme="minorEastAsia"/>
        </w:rPr>
        <w:t xml:space="preserve">developing adverse </w:t>
      </w:r>
      <w:r w:rsidRPr="00786AAA">
        <w:rPr>
          <w:rFonts w:eastAsiaTheme="minorEastAsia"/>
        </w:rPr>
        <w:t>health conditions</w:t>
      </w:r>
      <w:r w:rsidR="0086649D">
        <w:rPr>
          <w:rFonts w:eastAsiaTheme="minorEastAsia"/>
        </w:rPr>
        <w:t xml:space="preserve"> and require responsive health care services</w:t>
      </w:r>
      <w:r w:rsidRPr="0040068E">
        <w:rPr>
          <w:rFonts w:eastAsiaTheme="minorEastAsia"/>
        </w:rPr>
        <w:t xml:space="preserve">. </w:t>
      </w:r>
      <w:r w:rsidRPr="00786AAA">
        <w:rPr>
          <w:rFonts w:eastAsiaTheme="minorEastAsia"/>
        </w:rPr>
        <w:t>Art</w:t>
      </w:r>
      <w:r w:rsidR="00E27EAE">
        <w:rPr>
          <w:rFonts w:eastAsiaTheme="minorEastAsia"/>
        </w:rPr>
        <w:t>icles</w:t>
      </w:r>
      <w:r w:rsidRPr="00786AAA">
        <w:rPr>
          <w:rFonts w:eastAsiaTheme="minorEastAsia"/>
        </w:rPr>
        <w:t xml:space="preserve"> 3 and 12 require Panama to take these special risks into consideration and provide adequate access to care.</w:t>
      </w:r>
      <w:r w:rsidR="00ED1FC1">
        <w:rPr>
          <w:rStyle w:val="EndnoteReference"/>
          <w:rFonts w:eastAsiaTheme="minorEastAsia"/>
        </w:rPr>
        <w:endnoteReference w:id="40"/>
      </w:r>
      <w:r w:rsidR="00F44F88">
        <w:rPr>
          <w:rFonts w:eastAsiaTheme="minorEastAsia"/>
        </w:rPr>
        <w:t xml:space="preserve"> </w:t>
      </w:r>
      <w:r w:rsidR="006E25F3">
        <w:rPr>
          <w:rFonts w:eastAsiaTheme="minorEastAsia"/>
        </w:rPr>
        <w:t>The reported conditions of migrant receptions centers in Panama, as shown in the sources above, do not allow Black migrant women to access the health and medical services necessary to guarantee their rights under Articles 3 and 12.</w:t>
      </w:r>
    </w:p>
    <w:p w14:paraId="2A3DE4A7" w14:textId="1C2E9EAF" w:rsidR="000475CD" w:rsidRPr="00786AAA" w:rsidRDefault="000475CD" w:rsidP="00FF58FF">
      <w:pPr>
        <w:pStyle w:val="ListParagraph"/>
        <w:numPr>
          <w:ilvl w:val="0"/>
          <w:numId w:val="22"/>
        </w:numPr>
        <w:spacing w:before="100" w:afterLines="100" w:after="240" w:line="276" w:lineRule="auto"/>
        <w:rPr>
          <w:b/>
          <w:bCs/>
        </w:rPr>
      </w:pPr>
      <w:r w:rsidRPr="0040068E">
        <w:rPr>
          <w:b/>
          <w:bCs/>
        </w:rPr>
        <w:t>Intersectionality</w:t>
      </w:r>
      <w:r w:rsidRPr="00786AAA">
        <w:rPr>
          <w:b/>
          <w:bCs/>
        </w:rPr>
        <w:t xml:space="preserve"> and </w:t>
      </w:r>
      <w:r>
        <w:rPr>
          <w:b/>
          <w:bCs/>
        </w:rPr>
        <w:t>s</w:t>
      </w:r>
      <w:r w:rsidRPr="00786AAA">
        <w:rPr>
          <w:b/>
          <w:bCs/>
        </w:rPr>
        <w:t xml:space="preserve">pecial </w:t>
      </w:r>
      <w:r>
        <w:rPr>
          <w:b/>
          <w:bCs/>
        </w:rPr>
        <w:t>d</w:t>
      </w:r>
      <w:r w:rsidRPr="00786AAA">
        <w:rPr>
          <w:b/>
          <w:bCs/>
        </w:rPr>
        <w:t xml:space="preserve">uties created by the situation in the </w:t>
      </w:r>
      <w:r w:rsidR="002606B2">
        <w:rPr>
          <w:b/>
          <w:bCs/>
        </w:rPr>
        <w:t>Darién</w:t>
      </w:r>
      <w:r w:rsidRPr="00786AAA">
        <w:rPr>
          <w:b/>
          <w:bCs/>
        </w:rPr>
        <w:t xml:space="preserve"> Gap</w:t>
      </w:r>
    </w:p>
    <w:p w14:paraId="43CD3E80" w14:textId="16351DAD" w:rsidR="00F21A07" w:rsidRPr="00F21A07" w:rsidRDefault="000475CD" w:rsidP="00FF58FF">
      <w:pPr>
        <w:pStyle w:val="ListParagraph"/>
        <w:spacing w:after="0" w:line="276" w:lineRule="auto"/>
        <w:rPr>
          <w:b/>
          <w:bCs/>
        </w:rPr>
      </w:pPr>
      <w:r w:rsidRPr="00786AAA">
        <w:t xml:space="preserve">The legal doctrine of intersectionality recognizes that </w:t>
      </w:r>
      <w:r w:rsidR="00F94E22">
        <w:t>SGBV</w:t>
      </w:r>
      <w:r w:rsidRPr="00786AAA">
        <w:t xml:space="preserve"> is “part of a broad-scale system of domination that affects women as a class,”</w:t>
      </w:r>
      <w:bookmarkStart w:id="7" w:name="_Ref92796973"/>
      <w:r w:rsidRPr="00786AAA">
        <w:rPr>
          <w:vertAlign w:val="superscript"/>
        </w:rPr>
        <w:endnoteReference w:id="41"/>
      </w:r>
      <w:bookmarkEnd w:id="7"/>
      <w:r w:rsidRPr="00786AAA">
        <w:t xml:space="preserve"> that “the violence that many women experience is often shaped by other dimensions of their identities, such as race and class.”</w:t>
      </w:r>
      <w:r w:rsidRPr="00786AAA">
        <w:rPr>
          <w:vertAlign w:val="superscript"/>
        </w:rPr>
        <w:endnoteReference w:id="42"/>
      </w:r>
      <w:r w:rsidRPr="00786AAA">
        <w:t xml:space="preserve"> It recognizes that there exists a “unique vulnerability of women of color to … converging systems of domination.”</w:t>
      </w:r>
      <w:r w:rsidRPr="00786AAA">
        <w:rPr>
          <w:vertAlign w:val="superscript"/>
        </w:rPr>
        <w:endnoteReference w:id="43"/>
      </w:r>
      <w:r w:rsidRPr="00786AAA">
        <w:t xml:space="preserve"> In the State of Panama, Haitian and other Black migrant women are subject to such ‘converging systems of domination.’ </w:t>
      </w:r>
    </w:p>
    <w:p w14:paraId="1A7F6C4B" w14:textId="25663811" w:rsidR="000475CD" w:rsidRPr="0040068E" w:rsidRDefault="000475CD" w:rsidP="00FF58FF">
      <w:pPr>
        <w:pStyle w:val="ListParagraph"/>
        <w:spacing w:after="0" w:line="276" w:lineRule="auto"/>
        <w:rPr>
          <w:b/>
          <w:bCs/>
        </w:rPr>
      </w:pPr>
      <w:r w:rsidRPr="00786AAA">
        <w:t xml:space="preserve">The ongoing </w:t>
      </w:r>
      <w:r w:rsidR="006067D0">
        <w:t>SGBV</w:t>
      </w:r>
      <w:r w:rsidR="006067D0" w:rsidRPr="006067D0">
        <w:t xml:space="preserve"> they continue to experience</w:t>
      </w:r>
      <w:r w:rsidR="006067D0">
        <w:t>, the inability to access adequate justice, law enforcement, or health services, and the failure to guarantee their rights as migrants and refugees</w:t>
      </w:r>
      <w:r w:rsidR="00F21A07">
        <w:t>, as demonstrated above,</w:t>
      </w:r>
      <w:r w:rsidR="006067D0">
        <w:t xml:space="preserve"> </w:t>
      </w:r>
      <w:r w:rsidR="00F21A07">
        <w:t xml:space="preserve">constitute </w:t>
      </w:r>
      <w:r w:rsidRPr="00786AAA">
        <w:t xml:space="preserve">violations </w:t>
      </w:r>
      <w:r w:rsidR="006067D0">
        <w:t>of the Convention</w:t>
      </w:r>
      <w:r w:rsidR="00AE3135">
        <w:t>,</w:t>
      </w:r>
      <w:r w:rsidR="00F21A07">
        <w:t xml:space="preserve"> the UDHR, CERD, </w:t>
      </w:r>
      <w:r w:rsidR="00F21A07">
        <w:lastRenderedPageBreak/>
        <w:t xml:space="preserve">CCPR, </w:t>
      </w:r>
      <w:r w:rsidR="009E02A1">
        <w:t xml:space="preserve">international refugee law, </w:t>
      </w:r>
      <w:r w:rsidR="00F21A07">
        <w:t>and customary international law. The</w:t>
      </w:r>
      <w:r w:rsidR="009E02A1">
        <w:t>y</w:t>
      </w:r>
      <w:r w:rsidR="006067D0">
        <w:t xml:space="preserve"> </w:t>
      </w:r>
      <w:r w:rsidRPr="00786AAA">
        <w:t>are exactly the kind of “varying and intersecting forms of discrimination, which have an aggravating negative impact,”</w:t>
      </w:r>
      <w:bookmarkStart w:id="8" w:name="_Ref92876792"/>
      <w:r w:rsidR="001365DC">
        <w:rPr>
          <w:rStyle w:val="EndnoteReference"/>
        </w:rPr>
        <w:endnoteReference w:id="44"/>
      </w:r>
      <w:bookmarkEnd w:id="8"/>
      <w:r w:rsidRPr="00786AAA">
        <w:t xml:space="preserve"> that the Committee has stated require “appropriate legal and policy responses.”</w:t>
      </w:r>
      <w:bookmarkStart w:id="9" w:name="_Ref92796990"/>
      <w:r>
        <w:rPr>
          <w:rStyle w:val="EndnoteReference"/>
        </w:rPr>
        <w:endnoteReference w:id="45"/>
      </w:r>
      <w:bookmarkEnd w:id="9"/>
    </w:p>
    <w:p w14:paraId="2A30BA27" w14:textId="4108BBB1" w:rsidR="000475CD" w:rsidRPr="0040068E" w:rsidRDefault="000475CD" w:rsidP="00FF58FF">
      <w:pPr>
        <w:pStyle w:val="ListParagraph"/>
        <w:spacing w:after="0" w:line="276" w:lineRule="auto"/>
        <w:rPr>
          <w:b/>
          <w:bCs/>
        </w:rPr>
      </w:pPr>
      <w:r w:rsidRPr="00786AAA">
        <w:t>Panama</w:t>
      </w:r>
      <w:r>
        <w:t xml:space="preserve"> acknowledged</w:t>
      </w:r>
      <w:r w:rsidRPr="00786AAA">
        <w:t xml:space="preserve"> this legal doctrine in its State Party report when it noted that women of African descent are especially vulnerable to violence and that “[p]revention measures should therefore focus on those segments of the population.”</w:t>
      </w:r>
      <w:r w:rsidRPr="00786AAA">
        <w:rPr>
          <w:rStyle w:val="EndnoteReference"/>
        </w:rPr>
        <w:endnoteReference w:id="46"/>
      </w:r>
      <w:r w:rsidRPr="00786AAA">
        <w:t xml:space="preserve"> However, Panama does not address the special vulnerability of Black migrant women in the </w:t>
      </w:r>
      <w:r w:rsidR="002606B2">
        <w:t>Darién</w:t>
      </w:r>
      <w:r w:rsidRPr="00786AAA">
        <w:t xml:space="preserve"> Gap</w:t>
      </w:r>
      <w:r>
        <w:t xml:space="preserve"> or mention any</w:t>
      </w:r>
      <w:r w:rsidRPr="00786AAA">
        <w:t xml:space="preserve"> prevention</w:t>
      </w:r>
      <w:r>
        <w:t xml:space="preserve"> or accountability</w:t>
      </w:r>
      <w:r w:rsidRPr="00786AAA">
        <w:t xml:space="preserve"> measures. Though it mentions an “emergency commission to ensure care for migrants in vulnerable conditions” and to guarantee their rights, the experience of HBA interviewees and reporting throughout the region paint the picture of a State </w:t>
      </w:r>
      <w:r w:rsidR="0051597B" w:rsidRPr="00786AAA">
        <w:t>wh</w:t>
      </w:r>
      <w:r w:rsidR="0051597B">
        <w:t>ich</w:t>
      </w:r>
      <w:r w:rsidR="0051597B" w:rsidRPr="00786AAA">
        <w:t xml:space="preserve"> </w:t>
      </w:r>
      <w:r w:rsidRPr="00786AAA">
        <w:t xml:space="preserve">is not adequately considering the special vulnerability of Black </w:t>
      </w:r>
      <w:r w:rsidR="008515B0">
        <w:t xml:space="preserve">migrant </w:t>
      </w:r>
      <w:r w:rsidRPr="00786AAA">
        <w:t xml:space="preserve">women in the </w:t>
      </w:r>
      <w:r w:rsidR="002606B2">
        <w:t>Darién</w:t>
      </w:r>
      <w:r w:rsidRPr="00786AAA">
        <w:t xml:space="preserve"> Gap.</w:t>
      </w:r>
      <w:r w:rsidRPr="00786AAA">
        <w:rPr>
          <w:rStyle w:val="EndnoteReference"/>
        </w:rPr>
        <w:endnoteReference w:id="47"/>
      </w:r>
    </w:p>
    <w:p w14:paraId="6AC30DA7" w14:textId="690131E0" w:rsidR="00356B4C" w:rsidRPr="00786AAA" w:rsidRDefault="00356B4C" w:rsidP="00280C0E">
      <w:pPr>
        <w:pStyle w:val="Heading1"/>
      </w:pPr>
      <w:r w:rsidRPr="00280C0E">
        <w:t>Recommendations</w:t>
      </w:r>
      <w:r w:rsidRPr="00786AAA">
        <w:t xml:space="preserve"> </w:t>
      </w:r>
    </w:p>
    <w:p w14:paraId="61E040A7" w14:textId="19C7E910" w:rsidR="00E60125" w:rsidRDefault="00F24B18" w:rsidP="00FF58FF">
      <w:pPr>
        <w:pStyle w:val="ListParagraph"/>
        <w:spacing w:after="100" w:line="276" w:lineRule="auto"/>
      </w:pPr>
      <w:r w:rsidRPr="00786AAA">
        <w:t>Panama</w:t>
      </w:r>
      <w:r w:rsidR="00C92729" w:rsidRPr="00786AAA">
        <w:t xml:space="preserve"> </w:t>
      </w:r>
      <w:r w:rsidRPr="00786AAA">
        <w:t xml:space="preserve">and all implicated State parties should take affirmative efforts to satisfy their obligations </w:t>
      </w:r>
      <w:r w:rsidR="00BB06A2" w:rsidRPr="00786AAA">
        <w:t xml:space="preserve">under </w:t>
      </w:r>
      <w:r w:rsidR="00711F7E">
        <w:t>CEDAW</w:t>
      </w:r>
      <w:r w:rsidR="00BB06A2" w:rsidRPr="00786AAA">
        <w:t xml:space="preserve"> </w:t>
      </w:r>
      <w:r w:rsidRPr="00786AAA">
        <w:t xml:space="preserve">to </w:t>
      </w:r>
      <w:r w:rsidR="00711F7E">
        <w:t xml:space="preserve">protect the life and safety of </w:t>
      </w:r>
      <w:r w:rsidRPr="00786AAA">
        <w:t>Haitian and other Black migrant women in Panama</w:t>
      </w:r>
      <w:r w:rsidR="001335D3" w:rsidRPr="00786AAA">
        <w:t xml:space="preserve"> passing through the </w:t>
      </w:r>
      <w:r w:rsidR="002606B2">
        <w:t>Darién</w:t>
      </w:r>
      <w:r w:rsidR="001335D3" w:rsidRPr="00786AAA">
        <w:t xml:space="preserve"> Gap.</w:t>
      </w:r>
      <w:r w:rsidR="00323359">
        <w:t xml:space="preserve"> These </w:t>
      </w:r>
      <w:r w:rsidR="00711F7E">
        <w:t xml:space="preserve">obligations </w:t>
      </w:r>
      <w:r w:rsidR="00323359">
        <w:t>include, but are not limited to:</w:t>
      </w:r>
    </w:p>
    <w:p w14:paraId="7851580B" w14:textId="0508A041" w:rsidR="009863ED" w:rsidRDefault="009863ED">
      <w:pPr>
        <w:pStyle w:val="ListParagraph"/>
        <w:numPr>
          <w:ilvl w:val="0"/>
          <w:numId w:val="23"/>
        </w:numPr>
        <w:spacing w:after="100" w:line="276" w:lineRule="auto"/>
      </w:pPr>
      <w:r>
        <w:t>Mandating law enforcement agents to protect migrants passing through the Darién Gap from violence, including</w:t>
      </w:r>
      <w:r w:rsidR="00BA39C8">
        <w:t xml:space="preserve"> by i</w:t>
      </w:r>
      <w:r w:rsidR="00BA39C8" w:rsidRPr="00BA39C8">
        <w:t>mplementing precautionary measures to prevent the sexual exploitation of migrants, especially minors</w:t>
      </w:r>
      <w:r w:rsidR="00BA39C8">
        <w:t>,</w:t>
      </w:r>
      <w:r w:rsidR="00BA39C8" w:rsidRPr="00BA39C8">
        <w:t xml:space="preserve"> </w:t>
      </w:r>
      <w:r w:rsidR="00616AC3">
        <w:t xml:space="preserve">as provided in </w:t>
      </w:r>
      <w:r w:rsidR="00BA39C8" w:rsidRPr="00BA39C8">
        <w:t>Article 83.3 of Panama’s migration</w:t>
      </w:r>
      <w:r w:rsidR="002A5053">
        <w:t xml:space="preserve"> decree</w:t>
      </w:r>
      <w:r>
        <w:t>;</w:t>
      </w:r>
    </w:p>
    <w:p w14:paraId="76F4CB01" w14:textId="26650302" w:rsidR="00323359" w:rsidRDefault="00C23A42" w:rsidP="00FF58FF">
      <w:pPr>
        <w:pStyle w:val="ListParagraph"/>
        <w:numPr>
          <w:ilvl w:val="0"/>
          <w:numId w:val="23"/>
        </w:numPr>
        <w:spacing w:after="100" w:line="276" w:lineRule="auto"/>
      </w:pPr>
      <w:r>
        <w:t>Maintain</w:t>
      </w:r>
      <w:r w:rsidR="00FD6E7A">
        <w:t>ing</w:t>
      </w:r>
      <w:r w:rsidR="00323359">
        <w:t xml:space="preserve"> </w:t>
      </w:r>
      <w:r>
        <w:t>and publish</w:t>
      </w:r>
      <w:r w:rsidR="00FD6E7A">
        <w:t>ing</w:t>
      </w:r>
      <w:r>
        <w:t xml:space="preserve"> statistics on the numbers of sexual assaults and other forms of gender-based violence against Black migrant women living in or transiting through Panama, particularly in the </w:t>
      </w:r>
      <w:r w:rsidR="002606B2">
        <w:t>Darién</w:t>
      </w:r>
      <w:r>
        <w:t xml:space="preserve"> Gap, as well as the number of arrests and prosecutions of perpetrators of said crimes;</w:t>
      </w:r>
    </w:p>
    <w:p w14:paraId="467B8E71" w14:textId="7B3BA525" w:rsidR="00C23A42" w:rsidRDefault="009F129C" w:rsidP="00FF58FF">
      <w:pPr>
        <w:pStyle w:val="ListParagraph"/>
        <w:numPr>
          <w:ilvl w:val="0"/>
          <w:numId w:val="23"/>
        </w:numPr>
        <w:spacing w:after="100" w:line="276" w:lineRule="auto"/>
      </w:pPr>
      <w:r>
        <w:t>O</w:t>
      </w:r>
      <w:r w:rsidR="00FD6E7A">
        <w:t>ffer</w:t>
      </w:r>
      <w:r>
        <w:t>ing</w:t>
      </w:r>
      <w:r w:rsidR="00FD6E7A">
        <w:t xml:space="preserve"> anti-Blackness and gender sensitivity training to law enforcement, including immigration officers, particularly in or near the </w:t>
      </w:r>
      <w:r w:rsidR="002606B2">
        <w:t>Darién</w:t>
      </w:r>
      <w:r w:rsidR="00FD6E7A">
        <w:t xml:space="preserve"> Gap;  </w:t>
      </w:r>
    </w:p>
    <w:p w14:paraId="49762D68" w14:textId="02897B95" w:rsidR="009F129C" w:rsidRDefault="009F129C" w:rsidP="00FF58FF">
      <w:pPr>
        <w:pStyle w:val="ListParagraph"/>
        <w:numPr>
          <w:ilvl w:val="0"/>
          <w:numId w:val="23"/>
        </w:numPr>
        <w:spacing w:after="100" w:line="276" w:lineRule="auto"/>
      </w:pPr>
      <w:r>
        <w:t xml:space="preserve">Encouraging the reporting of </w:t>
      </w:r>
      <w:r w:rsidR="00711F7E">
        <w:t xml:space="preserve">sexual and </w:t>
      </w:r>
      <w:r>
        <w:t>gender-based violence by migrant women, particularly Black migrants, which should include t</w:t>
      </w:r>
      <w:r w:rsidR="00FD6E7A">
        <w:t>raining</w:t>
      </w:r>
      <w:r w:rsidR="009155FE">
        <w:t>;</w:t>
      </w:r>
    </w:p>
    <w:p w14:paraId="176D43B8" w14:textId="194D5860" w:rsidR="002C0EB1" w:rsidRDefault="009F129C">
      <w:pPr>
        <w:pStyle w:val="ListParagraph"/>
        <w:numPr>
          <w:ilvl w:val="0"/>
          <w:numId w:val="23"/>
        </w:numPr>
        <w:spacing w:after="100" w:line="276" w:lineRule="auto"/>
      </w:pPr>
      <w:r>
        <w:t>Investigating and prosecuting complaints o</w:t>
      </w:r>
      <w:bookmarkStart w:id="10" w:name="_Hlk92815452"/>
      <w:r>
        <w:t xml:space="preserve">f </w:t>
      </w:r>
      <w:r w:rsidR="00711F7E">
        <w:t xml:space="preserve">sexual and </w:t>
      </w:r>
      <w:r>
        <w:t>gender-based violence by migrant women</w:t>
      </w:r>
      <w:r w:rsidR="00711F7E">
        <w:t>, while</w:t>
      </w:r>
      <w:r>
        <w:t xml:space="preserve"> protecting the safety of victims and witnesses</w:t>
      </w:r>
      <w:r w:rsidR="00853A1E">
        <w:t xml:space="preserve"> and offering compensation for their injuries</w:t>
      </w:r>
      <w:r w:rsidR="009155FE">
        <w:t>;</w:t>
      </w:r>
    </w:p>
    <w:bookmarkEnd w:id="10"/>
    <w:p w14:paraId="00610E73" w14:textId="596FA34E" w:rsidR="009F129C" w:rsidRDefault="009F129C" w:rsidP="00FF58FF">
      <w:pPr>
        <w:pStyle w:val="ListParagraph"/>
        <w:numPr>
          <w:ilvl w:val="0"/>
          <w:numId w:val="23"/>
        </w:numPr>
        <w:spacing w:after="100" w:line="276" w:lineRule="auto"/>
      </w:pPr>
      <w:r>
        <w:t xml:space="preserve">Assuring adequate medical care to migrant women victims of </w:t>
      </w:r>
      <w:r w:rsidR="00711F7E">
        <w:t xml:space="preserve">sexual and </w:t>
      </w:r>
      <w:r>
        <w:t>gender-based violence.</w:t>
      </w:r>
    </w:p>
    <w:p w14:paraId="49C7F02D" w14:textId="3C69CFC8" w:rsidR="0055213F" w:rsidRDefault="0055213F" w:rsidP="00482342"/>
    <w:sectPr w:rsidR="0055213F" w:rsidSect="00FE21F9">
      <w:headerReference w:type="default" r:id="rId8"/>
      <w:footerReference w:type="default" r:id="rId9"/>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45165" w14:textId="77777777" w:rsidR="00881B40" w:rsidRDefault="00881B40" w:rsidP="00482342">
      <w:r>
        <w:separator/>
      </w:r>
    </w:p>
  </w:endnote>
  <w:endnote w:type="continuationSeparator" w:id="0">
    <w:p w14:paraId="11A80F9A" w14:textId="77777777" w:rsidR="00881B40" w:rsidRDefault="00881B40" w:rsidP="00482342">
      <w:r>
        <w:continuationSeparator/>
      </w:r>
    </w:p>
  </w:endnote>
  <w:endnote w:id="1">
    <w:p w14:paraId="47FD76EC" w14:textId="63FB9B47" w:rsidR="000475CD" w:rsidRPr="003562F2" w:rsidRDefault="000475CD" w:rsidP="000475CD">
      <w:pPr>
        <w:pStyle w:val="EndnoteText"/>
      </w:pPr>
      <w:r w:rsidRPr="003562F2">
        <w:rPr>
          <w:rStyle w:val="EndnoteReference"/>
        </w:rPr>
        <w:endnoteRef/>
      </w:r>
      <w:r w:rsidRPr="003562F2">
        <w:t xml:space="preserve"> This report adopts the definitions for “migrant,” “refugee,” “Black,” and “sexual and gender-based violence” used in S. Priya Morley et al., </w:t>
      </w:r>
      <w:r w:rsidRPr="003562F2">
        <w:rPr>
          <w:i/>
        </w:rPr>
        <w:t>A Journey of Hope: Haitian Women’s Migration to Tapachula, Mexico</w:t>
      </w:r>
      <w:r w:rsidRPr="003562F2">
        <w:t xml:space="preserve"> (2021), </w:t>
      </w:r>
      <w:hyperlink r:id="rId1" w:history="1">
        <w:r w:rsidRPr="003562F2">
          <w:rPr>
            <w:rStyle w:val="Hyperlink"/>
          </w:rPr>
          <w:t>https://imumi.org/attachments/2020/A-Journey-of-Hope-Haitian-Womens-Migration-to%20-Tapachula.pdf</w:t>
        </w:r>
      </w:hyperlink>
      <w:r w:rsidRPr="003562F2">
        <w:rPr>
          <w:rStyle w:val="Hyperlink"/>
          <w:color w:val="auto"/>
          <w:u w:val="none"/>
        </w:rPr>
        <w:t xml:space="preserve"> [</w:t>
      </w:r>
      <w:r w:rsidRPr="003562F2">
        <w:t xml:space="preserve">S. Priya Morley et al.] at 11.  </w:t>
      </w:r>
    </w:p>
  </w:endnote>
  <w:endnote w:id="2">
    <w:p w14:paraId="66C9A24E" w14:textId="0E5230F9" w:rsidR="000475CD" w:rsidRPr="003562F2" w:rsidRDefault="000475CD" w:rsidP="000475CD">
      <w:pPr>
        <w:pStyle w:val="EndnoteText"/>
      </w:pPr>
      <w:r w:rsidRPr="003562F2">
        <w:rPr>
          <w:rStyle w:val="EndnoteReference"/>
        </w:rPr>
        <w:endnoteRef/>
      </w:r>
      <w:r w:rsidRPr="003562F2">
        <w:t xml:space="preserve"> </w:t>
      </w:r>
      <w:r w:rsidRPr="003562F2">
        <w:rPr>
          <w:i/>
          <w:iCs/>
        </w:rPr>
        <w:t>See, e.g.</w:t>
      </w:r>
      <w:r w:rsidRPr="003562F2">
        <w:t xml:space="preserve">, Kathia Martínez, </w:t>
      </w:r>
      <w:r w:rsidRPr="003562F2">
        <w:rPr>
          <w:i/>
          <w:iCs/>
        </w:rPr>
        <w:t>More migrants report sex abuse crossing Panama’s Darien Gap</w:t>
      </w:r>
      <w:r w:rsidRPr="003562F2">
        <w:t>, AP News (Oct. 24, 2021),</w:t>
      </w:r>
      <w:r>
        <w:t xml:space="preserve"> </w:t>
      </w:r>
      <w:hyperlink r:id="rId2" w:history="1">
        <w:r w:rsidRPr="00253363">
          <w:rPr>
            <w:rStyle w:val="Hyperlink"/>
          </w:rPr>
          <w:t>https://apnews.com/article/colombia-haiti-sexual-abuse-sexual-assault-panama-296a1c9de2e06eadffb74f378fddad60</w:t>
        </w:r>
      </w:hyperlink>
      <w:r w:rsidRPr="003562F2">
        <w:t xml:space="preserve">; Kejal Vyas, </w:t>
      </w:r>
      <w:r w:rsidRPr="003562F2">
        <w:rPr>
          <w:i/>
          <w:iCs/>
        </w:rPr>
        <w:t>Rapes of U.S.-Bound Migrants Make a Treacherous Route Even More Dangerous</w:t>
      </w:r>
      <w:r w:rsidRPr="003562F2">
        <w:t xml:space="preserve">, Wall Street Journal (Sept. 6, 2021), </w:t>
      </w:r>
      <w:hyperlink r:id="rId3" w:history="1">
        <w:r w:rsidRPr="003562F2">
          <w:rPr>
            <w:rStyle w:val="Hyperlink"/>
          </w:rPr>
          <w:t>https://www.wsj.com/articles/rapes-of-u-s-bound-migrants-make-a-treacherous-route-even-more-dangerous-11630956539</w:t>
        </w:r>
      </w:hyperlink>
      <w:r w:rsidRPr="003562F2">
        <w:t xml:space="preserve">; </w:t>
      </w:r>
      <w:r w:rsidRPr="00D30344">
        <w:t xml:space="preserve">Julie Turkewitz, Natalie Kitroeff </w:t>
      </w:r>
      <w:r>
        <w:t xml:space="preserve">&amp; </w:t>
      </w:r>
      <w:r w:rsidRPr="00D30344">
        <w:t>Sofía Villamil</w:t>
      </w:r>
      <w:r>
        <w:t xml:space="preserve">, </w:t>
      </w:r>
      <w:r w:rsidRPr="00266FAC">
        <w:rPr>
          <w:i/>
          <w:iCs/>
        </w:rPr>
        <w:t>Perilous, Roadless Jungle Becomes a Path of Desperate Hope</w:t>
      </w:r>
      <w:r>
        <w:t xml:space="preserve">, New York Times (Oct. 2, 2021), </w:t>
      </w:r>
      <w:hyperlink r:id="rId4" w:history="1">
        <w:r w:rsidRPr="000F7F78">
          <w:rPr>
            <w:rStyle w:val="Hyperlink"/>
          </w:rPr>
          <w:t>https://www.nytimes.com/2021/10/02/world/americas/haitian-migrants-mexican-border.html</w:t>
        </w:r>
      </w:hyperlink>
      <w:r w:rsidRPr="003562F2">
        <w:t xml:space="preserve">; </w:t>
      </w:r>
      <w:r w:rsidRPr="00266FAC">
        <w:rPr>
          <w:i/>
          <w:iCs/>
        </w:rPr>
        <w:t>see also infra</w:t>
      </w:r>
      <w:r w:rsidRPr="003562F2">
        <w:t xml:space="preserve"> notes </w:t>
      </w:r>
      <w:r w:rsidR="00C5072A">
        <w:fldChar w:fldCharType="begin"/>
      </w:r>
      <w:r w:rsidR="00C5072A">
        <w:instrText xml:space="preserve"> NOTEREF _Ref92797342 \h </w:instrText>
      </w:r>
      <w:r w:rsidR="00C5072A">
        <w:fldChar w:fldCharType="separate"/>
      </w:r>
      <w:r w:rsidR="00C5072A">
        <w:t>27</w:t>
      </w:r>
      <w:r w:rsidR="00C5072A">
        <w:fldChar w:fldCharType="end"/>
      </w:r>
      <w:r w:rsidRPr="003562F2">
        <w:t>-</w:t>
      </w:r>
      <w:r w:rsidR="00C5072A">
        <w:fldChar w:fldCharType="begin"/>
      </w:r>
      <w:r w:rsidR="00C5072A">
        <w:instrText xml:space="preserve"> NOTEREF _Ref92797358 \h </w:instrText>
      </w:r>
      <w:r w:rsidR="00C5072A">
        <w:fldChar w:fldCharType="separate"/>
      </w:r>
      <w:r w:rsidR="00C5072A">
        <w:t>30</w:t>
      </w:r>
      <w:r w:rsidR="00C5072A">
        <w:fldChar w:fldCharType="end"/>
      </w:r>
      <w:r w:rsidRPr="003562F2">
        <w:t xml:space="preserve"> and associated text.</w:t>
      </w:r>
    </w:p>
  </w:endnote>
  <w:endnote w:id="3">
    <w:p w14:paraId="4D4B1CF2" w14:textId="501F422D" w:rsidR="000475CD" w:rsidRPr="003562F2" w:rsidRDefault="000475CD" w:rsidP="000475CD">
      <w:pPr>
        <w:pStyle w:val="EndnoteText"/>
      </w:pPr>
      <w:r w:rsidRPr="003562F2">
        <w:rPr>
          <w:rStyle w:val="EndnoteReference"/>
        </w:rPr>
        <w:endnoteRef/>
      </w:r>
      <w:r w:rsidRPr="003562F2">
        <w:t xml:space="preserve"> </w:t>
      </w:r>
      <w:r w:rsidRPr="00266FAC">
        <w:rPr>
          <w:i/>
          <w:iCs/>
        </w:rPr>
        <w:t>See infra</w:t>
      </w:r>
      <w:r w:rsidRPr="003562F2">
        <w:t xml:space="preserve"> </w:t>
      </w:r>
      <w:r w:rsidRPr="00E25878">
        <w:t xml:space="preserve">notes </w:t>
      </w:r>
      <w:r w:rsidR="00E25878" w:rsidRPr="00E25878">
        <w:fldChar w:fldCharType="begin"/>
      </w:r>
      <w:r w:rsidR="00E25878" w:rsidRPr="00E25878">
        <w:instrText xml:space="preserve"> NOTEREF _Ref92796973 \h </w:instrText>
      </w:r>
      <w:r w:rsidR="00E25878">
        <w:instrText xml:space="preserve"> \* MERGEFORMAT </w:instrText>
      </w:r>
      <w:r w:rsidR="00E25878" w:rsidRPr="00E25878">
        <w:fldChar w:fldCharType="separate"/>
      </w:r>
      <w:r w:rsidR="00E25878" w:rsidRPr="00E25878">
        <w:t>4</w:t>
      </w:r>
      <w:r w:rsidR="0030238B">
        <w:t>1</w:t>
      </w:r>
      <w:r w:rsidR="00E25878" w:rsidRPr="00E25878">
        <w:fldChar w:fldCharType="end"/>
      </w:r>
      <w:r w:rsidRPr="00E25878">
        <w:t>-</w:t>
      </w:r>
      <w:r w:rsidR="00E25878" w:rsidRPr="00E25878">
        <w:fldChar w:fldCharType="begin"/>
      </w:r>
      <w:r w:rsidR="00E25878" w:rsidRPr="00E25878">
        <w:instrText xml:space="preserve"> NOTEREF _Ref92796990 \h </w:instrText>
      </w:r>
      <w:r w:rsidR="00E25878">
        <w:instrText xml:space="preserve"> \* MERGEFORMAT </w:instrText>
      </w:r>
      <w:r w:rsidR="00E25878" w:rsidRPr="00E25878">
        <w:fldChar w:fldCharType="separate"/>
      </w:r>
      <w:r w:rsidR="00E25878" w:rsidRPr="00E25878">
        <w:t>4</w:t>
      </w:r>
      <w:r w:rsidR="0030238B">
        <w:t>5</w:t>
      </w:r>
      <w:r w:rsidR="00E25878" w:rsidRPr="00E25878">
        <w:fldChar w:fldCharType="end"/>
      </w:r>
      <w:r w:rsidRPr="00E25878">
        <w:t xml:space="preserve"> and associated text.</w:t>
      </w:r>
    </w:p>
  </w:endnote>
  <w:endnote w:id="4">
    <w:p w14:paraId="7C467A9C" w14:textId="405FD134" w:rsidR="000475CD" w:rsidRPr="003562F2" w:rsidRDefault="000475CD" w:rsidP="000475CD">
      <w:pPr>
        <w:pStyle w:val="EndnoteText"/>
      </w:pPr>
      <w:r w:rsidRPr="003562F2">
        <w:rPr>
          <w:rStyle w:val="EndnoteReference"/>
        </w:rPr>
        <w:endnoteRef/>
      </w:r>
      <w:r w:rsidRPr="003562F2">
        <w:t xml:space="preserve"> </w:t>
      </w:r>
      <w:r w:rsidRPr="003562F2">
        <w:rPr>
          <w:i/>
          <w:iCs/>
        </w:rPr>
        <w:t xml:space="preserve">See supra </w:t>
      </w:r>
      <w:r w:rsidRPr="00E25878">
        <w:t xml:space="preserve">note </w:t>
      </w:r>
      <w:r w:rsidR="00E25878" w:rsidRPr="00E25878">
        <w:fldChar w:fldCharType="begin"/>
      </w:r>
      <w:r w:rsidR="00E25878" w:rsidRPr="00E25878">
        <w:instrText xml:space="preserve"> NOTEREF _Ref92797146 \h </w:instrText>
      </w:r>
      <w:r w:rsidR="00E25878">
        <w:instrText xml:space="preserve"> \* MERGEFORMAT </w:instrText>
      </w:r>
      <w:r w:rsidR="00E25878" w:rsidRPr="00E25878">
        <w:fldChar w:fldCharType="separate"/>
      </w:r>
      <w:r w:rsidR="00E25878" w:rsidRPr="00E25878">
        <w:t>2</w:t>
      </w:r>
      <w:r w:rsidR="00E25878" w:rsidRPr="00E25878">
        <w:fldChar w:fldCharType="end"/>
      </w:r>
      <w:r w:rsidRPr="003562F2">
        <w:t>.</w:t>
      </w:r>
    </w:p>
  </w:endnote>
  <w:endnote w:id="5">
    <w:p w14:paraId="439C5462" w14:textId="5A2AAF30" w:rsidR="000475CD" w:rsidRPr="00266FAC" w:rsidRDefault="000475CD" w:rsidP="000475CD">
      <w:pPr>
        <w:pStyle w:val="EndnoteText"/>
        <w:rPr>
          <w:lang w:val="fr-FR"/>
        </w:rPr>
      </w:pPr>
      <w:r w:rsidRPr="003562F2">
        <w:rPr>
          <w:rStyle w:val="EndnoteReference"/>
        </w:rPr>
        <w:endnoteRef/>
      </w:r>
      <w:r w:rsidRPr="003562F2">
        <w:t xml:space="preserve"> </w:t>
      </w:r>
      <w:r w:rsidRPr="00266FAC">
        <w:rPr>
          <w:i/>
          <w:iCs/>
        </w:rPr>
        <w:t>See</w:t>
      </w:r>
      <w:r w:rsidRPr="003562F2">
        <w:t xml:space="preserve"> </w:t>
      </w:r>
      <w:r w:rsidR="00D864A7" w:rsidRPr="00D864A7">
        <w:t>U</w:t>
      </w:r>
      <w:r w:rsidR="00AC15F5">
        <w:t>NGA</w:t>
      </w:r>
      <w:r w:rsidR="00D864A7" w:rsidRPr="00D864A7">
        <w:t>, </w:t>
      </w:r>
      <w:r w:rsidR="00D864A7" w:rsidRPr="00D864A7">
        <w:rPr>
          <w:i/>
          <w:iCs/>
        </w:rPr>
        <w:t>Convention on the Elimination of All Forms of Discrimination against Women</w:t>
      </w:r>
      <w:r w:rsidR="00D864A7" w:rsidRPr="00D864A7">
        <w:t>,</w:t>
      </w:r>
      <w:r w:rsidR="000A205B">
        <w:t xml:space="preserve"> UN Doc.</w:t>
      </w:r>
      <w:r w:rsidR="00D864A7" w:rsidRPr="00D864A7">
        <w:t> </w:t>
      </w:r>
      <w:r w:rsidR="00D864A7" w:rsidRPr="00266FAC">
        <w:rPr>
          <w:lang w:val="fr-FR"/>
        </w:rPr>
        <w:t>A/RES/34/180</w:t>
      </w:r>
      <w:r w:rsidR="000A205B" w:rsidRPr="00266FAC">
        <w:rPr>
          <w:lang w:val="fr-FR"/>
        </w:rPr>
        <w:t xml:space="preserve"> (</w:t>
      </w:r>
      <w:r w:rsidR="00677573" w:rsidRPr="00266FAC">
        <w:rPr>
          <w:lang w:val="fr-FR"/>
        </w:rPr>
        <w:t xml:space="preserve">Dec. 18 </w:t>
      </w:r>
      <w:r w:rsidR="000A205B" w:rsidRPr="00266FAC">
        <w:rPr>
          <w:lang w:val="fr-FR"/>
        </w:rPr>
        <w:t>1979</w:t>
      </w:r>
      <w:r w:rsidR="00677573" w:rsidRPr="00266FAC">
        <w:rPr>
          <w:lang w:val="fr-FR"/>
        </w:rPr>
        <w:t>)</w:t>
      </w:r>
      <w:r w:rsidR="000A205B" w:rsidRPr="00266FAC">
        <w:rPr>
          <w:lang w:val="fr-FR"/>
        </w:rPr>
        <w:t>,</w:t>
      </w:r>
      <w:r w:rsidR="004F5A89" w:rsidRPr="00266FAC">
        <w:rPr>
          <w:lang w:val="fr-FR"/>
        </w:rPr>
        <w:t xml:space="preserve"> </w:t>
      </w:r>
      <w:hyperlink r:id="rId5" w:history="1">
        <w:r w:rsidR="004F5A89" w:rsidRPr="00266FAC">
          <w:rPr>
            <w:rStyle w:val="Hyperlink"/>
            <w:lang w:val="fr-FR"/>
          </w:rPr>
          <w:t>https://www.ohchr.org/en/professionalinterest/pages/cedaw.aspx</w:t>
        </w:r>
      </w:hyperlink>
      <w:r w:rsidR="004F5A89" w:rsidRPr="00266FAC">
        <w:rPr>
          <w:lang w:val="fr-FR"/>
        </w:rPr>
        <w:t xml:space="preserve">. </w:t>
      </w:r>
    </w:p>
  </w:endnote>
  <w:endnote w:id="6">
    <w:p w14:paraId="591A24F4" w14:textId="77777777" w:rsidR="000475CD" w:rsidRPr="00266FAC" w:rsidRDefault="000475CD" w:rsidP="00266FAC">
      <w:pPr>
        <w:spacing w:line="276" w:lineRule="auto"/>
        <w:jc w:val="both"/>
        <w:rPr>
          <w:sz w:val="20"/>
          <w:szCs w:val="20"/>
          <w:lang w:val="es-ES_tradnl"/>
        </w:rPr>
      </w:pPr>
      <w:r w:rsidRPr="003562F2">
        <w:rPr>
          <w:rStyle w:val="EndnoteReference"/>
          <w:sz w:val="20"/>
          <w:szCs w:val="20"/>
        </w:rPr>
        <w:endnoteRef/>
      </w:r>
      <w:r w:rsidRPr="00266FAC">
        <w:rPr>
          <w:sz w:val="20"/>
          <w:szCs w:val="20"/>
          <w:lang w:val="fr-FR"/>
        </w:rPr>
        <w:t xml:space="preserve"> </w:t>
      </w:r>
      <w:r w:rsidRPr="00266FAC">
        <w:rPr>
          <w:i/>
          <w:iCs/>
          <w:sz w:val="20"/>
          <w:szCs w:val="20"/>
          <w:lang w:val="fr-FR"/>
        </w:rPr>
        <w:t>See</w:t>
      </w:r>
      <w:r w:rsidRPr="00266FAC">
        <w:rPr>
          <w:sz w:val="20"/>
          <w:szCs w:val="20"/>
          <w:lang w:val="fr-FR"/>
        </w:rPr>
        <w:t xml:space="preserve"> </w:t>
      </w:r>
      <w:r w:rsidRPr="00266FAC">
        <w:rPr>
          <w:i/>
          <w:sz w:val="20"/>
          <w:szCs w:val="20"/>
          <w:lang w:val="es-ES_tradnl"/>
        </w:rPr>
        <w:t>Constitución Política de la República de Panamá</w:t>
      </w:r>
      <w:r w:rsidRPr="00266FAC">
        <w:rPr>
          <w:sz w:val="20"/>
          <w:szCs w:val="20"/>
          <w:lang w:val="es-ES_tradnl"/>
        </w:rPr>
        <w:t xml:space="preserve"> (2016), </w:t>
      </w:r>
      <w:hyperlink r:id="rId6" w:history="1">
        <w:r w:rsidRPr="00266FAC">
          <w:rPr>
            <w:rStyle w:val="Hyperlink"/>
            <w:sz w:val="20"/>
            <w:szCs w:val="20"/>
            <w:lang w:val="es-ES_tradnl"/>
          </w:rPr>
          <w:t>https://ministeriopublico.gob.pa/wp-content/uploads/2016/09/constitucion-politica-con-indice-analitico.pdf</w:t>
        </w:r>
      </w:hyperlink>
      <w:r w:rsidRPr="00266FAC">
        <w:rPr>
          <w:sz w:val="20"/>
          <w:szCs w:val="20"/>
          <w:lang w:val="es-ES_tradnl"/>
        </w:rPr>
        <w:t xml:space="preserve">. </w:t>
      </w:r>
      <w:r w:rsidRPr="00266FAC">
        <w:rPr>
          <w:sz w:val="20"/>
          <w:szCs w:val="20"/>
        </w:rPr>
        <w:t>Article 159 (3) of the Panamanian Constitution holds that the National Assembly must approve or disapprove an international treaty before its ratification. However, the Constitution remains mute as to any further actions that might be needed on behalf of the National Assembly, such as implementing legislation.</w:t>
      </w:r>
    </w:p>
  </w:endnote>
  <w:endnote w:id="7">
    <w:p w14:paraId="5B089CC0" w14:textId="5C69DA31" w:rsidR="000475CD" w:rsidRPr="00266FAC" w:rsidRDefault="000475CD" w:rsidP="00266FAC">
      <w:pPr>
        <w:spacing w:line="276" w:lineRule="auto"/>
        <w:jc w:val="both"/>
        <w:rPr>
          <w:sz w:val="20"/>
          <w:szCs w:val="20"/>
          <w:lang w:val="es-ES_tradnl"/>
        </w:rPr>
      </w:pPr>
      <w:r w:rsidRPr="003562F2">
        <w:rPr>
          <w:rStyle w:val="EndnoteReference"/>
          <w:sz w:val="20"/>
          <w:szCs w:val="20"/>
        </w:rPr>
        <w:endnoteRef/>
      </w:r>
      <w:r w:rsidRPr="00266FAC">
        <w:rPr>
          <w:sz w:val="20"/>
          <w:szCs w:val="20"/>
          <w:lang w:val="fr-FR"/>
        </w:rPr>
        <w:t xml:space="preserve"> </w:t>
      </w:r>
      <w:r w:rsidRPr="00266FAC">
        <w:rPr>
          <w:sz w:val="20"/>
          <w:szCs w:val="20"/>
          <w:lang w:val="es-ES_tradnl"/>
        </w:rPr>
        <w:t xml:space="preserve">Allan R. Brewer-Carías, </w:t>
      </w:r>
      <w:r w:rsidRPr="00266FAC">
        <w:rPr>
          <w:i/>
          <w:sz w:val="20"/>
          <w:szCs w:val="20"/>
          <w:lang w:val="es-ES_tradnl"/>
        </w:rPr>
        <w:t>La aplicación de los tratados internacionales sobre derechos humanos en el orden interno de los países de América Latina</w:t>
      </w:r>
      <w:r w:rsidRPr="00266FAC">
        <w:rPr>
          <w:sz w:val="20"/>
          <w:szCs w:val="20"/>
          <w:lang w:val="es-ES_tradnl"/>
        </w:rPr>
        <w:t xml:space="preserve">, </w:t>
      </w:r>
      <w:r w:rsidR="0075732B">
        <w:rPr>
          <w:sz w:val="20"/>
          <w:szCs w:val="20"/>
          <w:lang w:val="es-ES_tradnl"/>
        </w:rPr>
        <w:t xml:space="preserve">46 </w:t>
      </w:r>
      <w:r w:rsidRPr="00266FAC">
        <w:rPr>
          <w:sz w:val="20"/>
          <w:szCs w:val="20"/>
          <w:lang w:val="es-ES_tradnl"/>
        </w:rPr>
        <w:t xml:space="preserve">Revista IIDH250 (2007) </w:t>
      </w:r>
      <w:hyperlink r:id="rId7" w:history="1">
        <w:r w:rsidR="00061704" w:rsidRPr="00266FAC">
          <w:rPr>
            <w:rStyle w:val="Hyperlink"/>
            <w:sz w:val="20"/>
            <w:szCs w:val="20"/>
            <w:lang w:val="fr-FR"/>
          </w:rPr>
          <w:t>https://www.corteidh.or.cr/tablas/R22024.pdf</w:t>
        </w:r>
      </w:hyperlink>
      <w:r w:rsidR="00061704" w:rsidRPr="00266FAC">
        <w:rPr>
          <w:sz w:val="20"/>
          <w:szCs w:val="20"/>
          <w:lang w:val="fr-FR"/>
        </w:rPr>
        <w:t xml:space="preserve">. </w:t>
      </w:r>
    </w:p>
  </w:endnote>
  <w:endnote w:id="8">
    <w:p w14:paraId="7472521B" w14:textId="6E640816" w:rsidR="000475CD" w:rsidRPr="00266FAC" w:rsidRDefault="000475CD" w:rsidP="00266FAC">
      <w:pPr>
        <w:spacing w:line="276" w:lineRule="auto"/>
        <w:jc w:val="both"/>
        <w:rPr>
          <w:sz w:val="20"/>
          <w:szCs w:val="20"/>
          <w:lang w:val="es-ES_tradnl"/>
        </w:rPr>
      </w:pPr>
      <w:r w:rsidRPr="003562F2">
        <w:rPr>
          <w:rStyle w:val="EndnoteReference"/>
          <w:sz w:val="20"/>
          <w:szCs w:val="20"/>
        </w:rPr>
        <w:endnoteRef/>
      </w:r>
      <w:r w:rsidRPr="00266FAC">
        <w:rPr>
          <w:sz w:val="20"/>
          <w:szCs w:val="20"/>
          <w:lang w:val="fr-FR"/>
        </w:rPr>
        <w:t xml:space="preserve"> </w:t>
      </w:r>
      <w:r w:rsidRPr="00266FAC">
        <w:rPr>
          <w:i/>
          <w:iCs/>
          <w:sz w:val="20"/>
          <w:szCs w:val="20"/>
          <w:lang w:val="fr-FR"/>
        </w:rPr>
        <w:t>See</w:t>
      </w:r>
      <w:r w:rsidRPr="00266FAC">
        <w:rPr>
          <w:sz w:val="20"/>
          <w:szCs w:val="20"/>
          <w:lang w:val="fr-FR"/>
        </w:rPr>
        <w:t xml:space="preserve"> </w:t>
      </w:r>
      <w:r w:rsidRPr="00266FAC">
        <w:rPr>
          <w:i/>
          <w:sz w:val="20"/>
          <w:szCs w:val="20"/>
          <w:lang w:val="es-ES_tradnl"/>
        </w:rPr>
        <w:t>Constitución Política de la República de Panamá</w:t>
      </w:r>
      <w:r w:rsidRPr="00266FAC">
        <w:rPr>
          <w:sz w:val="20"/>
          <w:szCs w:val="20"/>
          <w:lang w:val="es-ES_tradnl"/>
        </w:rPr>
        <w:t xml:space="preserve"> (2016), </w:t>
      </w:r>
      <w:hyperlink r:id="rId8" w:history="1">
        <w:r w:rsidR="00C5072A" w:rsidRPr="007F052A">
          <w:rPr>
            <w:rStyle w:val="Hyperlink"/>
            <w:sz w:val="20"/>
            <w:szCs w:val="20"/>
            <w:lang w:val="es-ES_tradnl"/>
          </w:rPr>
          <w:t>https://ministeriopublico.gob.pa/wp-content/uploads/2016/09/constitucion-politica-con-indice-analitico.pdf</w:t>
        </w:r>
      </w:hyperlink>
      <w:r w:rsidR="00C5072A" w:rsidRPr="00C5072A">
        <w:rPr>
          <w:rStyle w:val="Hyperlink"/>
          <w:color w:val="auto"/>
          <w:sz w:val="20"/>
          <w:szCs w:val="20"/>
          <w:u w:val="none"/>
          <w:lang w:val="es-ES_tradnl"/>
        </w:rPr>
        <w:t>.</w:t>
      </w:r>
      <w:r w:rsidR="00C5072A">
        <w:rPr>
          <w:rStyle w:val="Hyperlink"/>
          <w:color w:val="auto"/>
          <w:sz w:val="20"/>
          <w:szCs w:val="20"/>
          <w:u w:val="none"/>
          <w:lang w:val="es-ES_tradnl"/>
        </w:rPr>
        <w:t xml:space="preserve"> </w:t>
      </w:r>
    </w:p>
  </w:endnote>
  <w:endnote w:id="9">
    <w:p w14:paraId="60C4C646" w14:textId="56E0204C" w:rsidR="000475CD" w:rsidRPr="00266FAC" w:rsidRDefault="000475CD" w:rsidP="000475CD">
      <w:pPr>
        <w:pStyle w:val="EndnoteText"/>
      </w:pPr>
      <w:r w:rsidRPr="003562F2">
        <w:rPr>
          <w:rStyle w:val="EndnoteReference"/>
        </w:rPr>
        <w:endnoteRef/>
      </w:r>
      <w:r w:rsidRPr="003562F2">
        <w:t xml:space="preserve"> </w:t>
      </w:r>
      <w:r w:rsidRPr="003521C7">
        <w:t>Article 7 of the migration decree</w:t>
      </w:r>
      <w:r w:rsidRPr="00266FAC">
        <w:t xml:space="preserve"> provides that the National Migration Service will “safeguard the respect for dignity and human rights” without discrimination on the basis of ethnicity and gender, among others. </w:t>
      </w:r>
      <w:r w:rsidRPr="00266FAC">
        <w:rPr>
          <w:i/>
        </w:rPr>
        <w:t>Decreto Ley</w:t>
      </w:r>
      <w:r w:rsidRPr="00266FAC">
        <w:t xml:space="preserve"> No.3 [migration decree] (February 22, 2008) </w:t>
      </w:r>
      <w:hyperlink r:id="rId9" w:history="1">
        <w:r w:rsidRPr="00266FAC">
          <w:rPr>
            <w:rStyle w:val="Hyperlink"/>
            <w:lang w:val="es-ES_tradnl"/>
          </w:rPr>
          <w:t>https://www.acnur.org/fileadmin/Documentos/BDL/2008/6077.pdf</w:t>
        </w:r>
      </w:hyperlink>
      <w:r w:rsidR="00C5072A" w:rsidRPr="00C5072A">
        <w:rPr>
          <w:rStyle w:val="Hyperlink"/>
          <w:color w:val="auto"/>
          <w:u w:val="none"/>
          <w:lang w:val="es-ES_tradnl"/>
        </w:rPr>
        <w:t>.</w:t>
      </w:r>
      <w:r w:rsidR="00C5072A">
        <w:rPr>
          <w:rStyle w:val="Hyperlink"/>
          <w:lang w:val="es-ES_tradnl"/>
        </w:rPr>
        <w:t xml:space="preserve"> </w:t>
      </w:r>
    </w:p>
  </w:endnote>
  <w:endnote w:id="10">
    <w:p w14:paraId="77F75DFE" w14:textId="18C1FDCF" w:rsidR="000475CD" w:rsidRPr="003562F2" w:rsidRDefault="000475CD" w:rsidP="000475CD">
      <w:pPr>
        <w:pStyle w:val="EndnoteText"/>
      </w:pPr>
      <w:r w:rsidRPr="003562F2">
        <w:rPr>
          <w:rStyle w:val="EndnoteReference"/>
        </w:rPr>
        <w:endnoteRef/>
      </w:r>
      <w:r w:rsidRPr="003562F2">
        <w:t xml:space="preserve"> </w:t>
      </w:r>
      <w:r w:rsidRPr="00266FAC">
        <w:rPr>
          <w:i/>
        </w:rPr>
        <w:t>Decreto Ley</w:t>
      </w:r>
      <w:r w:rsidRPr="00266FAC">
        <w:t xml:space="preserve"> No.3 [migration decree] (February 22, 2008), </w:t>
      </w:r>
      <w:hyperlink r:id="rId10" w:history="1">
        <w:r w:rsidRPr="00266FAC">
          <w:rPr>
            <w:rStyle w:val="Hyperlink"/>
            <w:lang w:val="es-ES_tradnl"/>
          </w:rPr>
          <w:t>https://www.acnur.org/fileadmin/Documentos/BDL/2008/6077.pdf</w:t>
        </w:r>
      </w:hyperlink>
      <w:r w:rsidR="00B511DC" w:rsidRPr="00C5072A">
        <w:rPr>
          <w:rStyle w:val="Hyperlink"/>
          <w:color w:val="auto"/>
          <w:u w:val="none"/>
          <w:lang w:val="es-ES_tradnl"/>
        </w:rPr>
        <w:t>.</w:t>
      </w:r>
    </w:p>
  </w:endnote>
  <w:endnote w:id="11">
    <w:p w14:paraId="67DDCF0F" w14:textId="7C991B87" w:rsidR="000475CD" w:rsidRPr="003562F2" w:rsidRDefault="000475CD" w:rsidP="000475CD">
      <w:pPr>
        <w:pStyle w:val="EndnoteText"/>
      </w:pPr>
      <w:r w:rsidRPr="003562F2">
        <w:rPr>
          <w:rStyle w:val="EndnoteReference"/>
        </w:rPr>
        <w:endnoteRef/>
      </w:r>
      <w:r w:rsidRPr="003562F2">
        <w:t xml:space="preserve"> </w:t>
      </w:r>
      <w:r w:rsidR="00B511DC" w:rsidRPr="00B511DC">
        <w:rPr>
          <w:i/>
          <w:iCs/>
        </w:rPr>
        <w:t>Id.</w:t>
      </w:r>
    </w:p>
  </w:endnote>
  <w:endnote w:id="12">
    <w:p w14:paraId="361FBD5C" w14:textId="1C7E2DBE" w:rsidR="00E205DA" w:rsidRDefault="00E205DA">
      <w:pPr>
        <w:pStyle w:val="EndnoteText"/>
      </w:pPr>
      <w:r>
        <w:rPr>
          <w:rStyle w:val="EndnoteReference"/>
        </w:rPr>
        <w:endnoteRef/>
      </w:r>
      <w:r>
        <w:t xml:space="preserve"> </w:t>
      </w:r>
      <w:r w:rsidR="00C5072A" w:rsidRPr="00C5072A">
        <w:rPr>
          <w:i/>
          <w:iCs/>
        </w:rPr>
        <w:t>See</w:t>
      </w:r>
      <w:r w:rsidR="00C5072A">
        <w:t xml:space="preserve"> </w:t>
      </w:r>
      <w:r w:rsidR="00C5072A" w:rsidRPr="00C5072A">
        <w:rPr>
          <w:i/>
          <w:iCs/>
        </w:rPr>
        <w:t xml:space="preserve">Reporting </w:t>
      </w:r>
      <w:proofErr w:type="gramStart"/>
      <w:r w:rsidR="00C5072A" w:rsidRPr="00C5072A">
        <w:rPr>
          <w:i/>
          <w:iCs/>
        </w:rPr>
        <w:t>status</w:t>
      </w:r>
      <w:proofErr w:type="gramEnd"/>
      <w:r w:rsidR="00C5072A" w:rsidRPr="00C5072A">
        <w:rPr>
          <w:i/>
          <w:iCs/>
        </w:rPr>
        <w:t xml:space="preserve"> for Panama</w:t>
      </w:r>
      <w:r w:rsidR="00C5072A">
        <w:t xml:space="preserve">, OHCHR.org, </w:t>
      </w:r>
      <w:hyperlink r:id="rId11" w:history="1">
        <w:r w:rsidR="00C5072A" w:rsidRPr="007F052A">
          <w:rPr>
            <w:rStyle w:val="Hyperlink"/>
          </w:rPr>
          <w:t>https://www.ohchr.org/EN/Countries/LACRegion/Pages/PAIndex.aspx</w:t>
        </w:r>
      </w:hyperlink>
      <w:r w:rsidR="00C5072A">
        <w:t xml:space="preserve">. </w:t>
      </w:r>
    </w:p>
  </w:endnote>
  <w:endnote w:id="13">
    <w:p w14:paraId="317EA48A" w14:textId="2CEC70E2" w:rsidR="000475CD" w:rsidRPr="00E1431D" w:rsidRDefault="000475CD" w:rsidP="000475CD">
      <w:pPr>
        <w:pStyle w:val="EndnoteText"/>
        <w:rPr>
          <w:i/>
          <w:iCs/>
        </w:rPr>
      </w:pPr>
      <w:r w:rsidRPr="003562F2">
        <w:rPr>
          <w:rStyle w:val="EndnoteReference"/>
        </w:rPr>
        <w:endnoteRef/>
      </w:r>
      <w:r w:rsidRPr="003562F2">
        <w:t xml:space="preserve"> CERD et al., </w:t>
      </w:r>
      <w:r w:rsidRPr="00E205DA">
        <w:rPr>
          <w:i/>
          <w:iCs/>
        </w:rPr>
        <w:t>Consideration of reports submitted by States parties under article 9 of the Convention: Concluding observations of the Committee on the Elimination of Racial Discrimination</w:t>
      </w:r>
      <w:r w:rsidRPr="003562F2">
        <w:t>, UN Doc. CERD/C/PAN/CO/15-20 (May</w:t>
      </w:r>
      <w:r w:rsidR="00E1431D">
        <w:t xml:space="preserve"> </w:t>
      </w:r>
      <w:r w:rsidRPr="003562F2">
        <w:t>19,</w:t>
      </w:r>
      <w:r w:rsidR="00E1431D">
        <w:t xml:space="preserve"> </w:t>
      </w:r>
      <w:r w:rsidRPr="003562F2">
        <w:t>2010),</w:t>
      </w:r>
      <w:r w:rsidR="00E1431D">
        <w:rPr>
          <w:i/>
          <w:iCs/>
        </w:rPr>
        <w:t xml:space="preserve"> </w:t>
      </w:r>
      <w:hyperlink r:id="rId12" w:history="1">
        <w:r w:rsidR="00E1431D" w:rsidRPr="007F052A">
          <w:rPr>
            <w:rStyle w:val="Hyperlink"/>
          </w:rPr>
          <w:t>https://tbinternet.ohchr.org/_layouts/15/treatybodyexternal/Download.aspx?symbolno=CERD/C/PAN/CO/15-20&amp;Lang=En</w:t>
        </w:r>
      </w:hyperlink>
      <w:r w:rsidRPr="003562F2">
        <w:t>,</w:t>
      </w:r>
      <w:r w:rsidR="00387C45">
        <w:t xml:space="preserve"> </w:t>
      </w:r>
      <w:r w:rsidRPr="003562F2">
        <w:t>at ¶ 17 (expressing serious concern at the “refugee recognition process under way in the State party”);</w:t>
      </w:r>
      <w:r w:rsidR="00E1431D">
        <w:t xml:space="preserve"> </w:t>
      </w:r>
      <w:r w:rsidRPr="003562F2">
        <w:t xml:space="preserve">¶ 9 (noting with concern “the persistence of racial discrimination and its historical roots, </w:t>
      </w:r>
      <w:r w:rsidR="00E1431D">
        <w:t xml:space="preserve"> </w:t>
      </w:r>
      <w:r w:rsidRPr="003562F2">
        <w:t>which have led to the</w:t>
      </w:r>
      <w:r w:rsidR="00E1431D">
        <w:t xml:space="preserve"> </w:t>
      </w:r>
      <w:r w:rsidRPr="003562F2">
        <w:t>marginalization, impoverishment and vulnerability of Afro-Panamanians and indigenous peoples.”).</w:t>
      </w:r>
    </w:p>
  </w:endnote>
  <w:endnote w:id="14">
    <w:p w14:paraId="05E3C7BD" w14:textId="09D2529C" w:rsidR="000475CD" w:rsidRPr="00E1431D" w:rsidRDefault="000475CD" w:rsidP="000475CD">
      <w:pPr>
        <w:pStyle w:val="EndnoteText"/>
        <w:rPr>
          <w:i/>
          <w:iCs/>
        </w:rPr>
      </w:pPr>
      <w:r w:rsidRPr="003562F2">
        <w:rPr>
          <w:rStyle w:val="EndnoteReference"/>
        </w:rPr>
        <w:endnoteRef/>
      </w:r>
      <w:r w:rsidRPr="003562F2">
        <w:t xml:space="preserve"> CEDAW et al., </w:t>
      </w:r>
      <w:r w:rsidRPr="00E205DA">
        <w:rPr>
          <w:i/>
          <w:iCs/>
        </w:rPr>
        <w:t>Concluding observations of the Committee on the Elimination of Discrimination against Women:</w:t>
      </w:r>
      <w:r w:rsidR="00E1431D">
        <w:rPr>
          <w:i/>
          <w:iCs/>
        </w:rPr>
        <w:t xml:space="preserve"> </w:t>
      </w:r>
      <w:r w:rsidRPr="00E205DA">
        <w:rPr>
          <w:i/>
          <w:iCs/>
        </w:rPr>
        <w:t>Panama</w:t>
      </w:r>
      <w:r w:rsidRPr="003562F2">
        <w:t xml:space="preserve">, UN Doc. CEDAW/C/PAN/CO/7 (Feb. 5, 2010), </w:t>
      </w:r>
      <w:hyperlink r:id="rId13" w:history="1">
        <w:r w:rsidR="00E1431D" w:rsidRPr="007F052A">
          <w:rPr>
            <w:rStyle w:val="Hyperlink"/>
          </w:rPr>
          <w:t>https://tbinternet.ohchr.org/_layouts/15/treatybodyexternal/Download.aspx?symbolno=CCPR%2fC%2fPAN%2fCO%2f3&amp;Lang=en</w:t>
        </w:r>
      </w:hyperlink>
      <w:r w:rsidRPr="003562F2">
        <w:t xml:space="preserve">, at ¶ 48 (regretting “the lack of detailed information in relation to vulnerable </w:t>
      </w:r>
      <w:r w:rsidR="00E1431D">
        <w:rPr>
          <w:i/>
          <w:iCs/>
        </w:rPr>
        <w:t xml:space="preserve"> </w:t>
      </w:r>
      <w:r w:rsidRPr="003562F2">
        <w:t>groups of women, such</w:t>
      </w:r>
      <w:r w:rsidR="00E1431D">
        <w:t xml:space="preserve"> </w:t>
      </w:r>
      <w:r w:rsidRPr="003562F2">
        <w:t>as refugee women, rural women, older women, women with disabilities and other women facing multiple forms of</w:t>
      </w:r>
      <w:r w:rsidR="00E1431D">
        <w:t xml:space="preserve"> </w:t>
      </w:r>
      <w:r w:rsidRPr="003562F2">
        <w:t>discrimination.”).</w:t>
      </w:r>
    </w:p>
  </w:endnote>
  <w:endnote w:id="15">
    <w:p w14:paraId="62EB6428" w14:textId="1EC2C261" w:rsidR="00960D26" w:rsidRPr="00E1431D" w:rsidRDefault="00960D26" w:rsidP="00960D26">
      <w:pPr>
        <w:pStyle w:val="EndnoteText"/>
        <w:rPr>
          <w:i/>
          <w:iCs/>
        </w:rPr>
      </w:pPr>
      <w:r w:rsidRPr="003562F2">
        <w:rPr>
          <w:rStyle w:val="EndnoteReference"/>
        </w:rPr>
        <w:endnoteRef/>
      </w:r>
      <w:r w:rsidRPr="003562F2">
        <w:t xml:space="preserve"> Human Rights Committee et al., </w:t>
      </w:r>
      <w:r w:rsidRPr="00E205DA">
        <w:rPr>
          <w:i/>
          <w:iCs/>
        </w:rPr>
        <w:t>Concluding observations of the Human Rights Committee, PANAMA, UN Doc.</w:t>
      </w:r>
      <w:r w:rsidR="00E1431D">
        <w:rPr>
          <w:i/>
          <w:iCs/>
        </w:rPr>
        <w:t xml:space="preserve"> </w:t>
      </w:r>
      <w:r w:rsidRPr="00E205DA">
        <w:rPr>
          <w:i/>
          <w:iCs/>
        </w:rPr>
        <w:t>CCPR/C/PAN/CO/3</w:t>
      </w:r>
      <w:r w:rsidRPr="003562F2">
        <w:t xml:space="preserve"> (Apr. 17, 2008),</w:t>
      </w:r>
      <w:r w:rsidR="00E1431D">
        <w:rPr>
          <w:i/>
          <w:iCs/>
        </w:rPr>
        <w:t xml:space="preserve"> </w:t>
      </w:r>
      <w:hyperlink r:id="rId14" w:history="1">
        <w:r w:rsidR="00E1431D" w:rsidRPr="007F052A">
          <w:rPr>
            <w:rStyle w:val="Hyperlink"/>
          </w:rPr>
          <w:t>https://tbinternet.ohchr.org/_layouts/15/treatybodyexternal/Download.aspx?symbolno=CCPR/C/PAN/CO/3&amp;Lang=En</w:t>
        </w:r>
      </w:hyperlink>
      <w:r w:rsidRPr="003562F2">
        <w:t>,  at ¶ 14 (noting with concern that “many refugees, particularly those who do not have a formal status, live in a precarious economic and legal situation and that, in general, legislation does not guarantee to all foreigners in Panamanian territory who require international protection, including refugees, stateless persons and persons falling into other categories, the rights to which they are entitled under international law, including refugee law, in particular the State’s obligation not to expose such persons to treatment contrary to articles 6 and 7 of the Covenant (articles 2, 6, 7 and 9 of the Covenant).”).</w:t>
      </w:r>
    </w:p>
  </w:endnote>
  <w:endnote w:id="16">
    <w:p w14:paraId="0B41CBFB" w14:textId="05021F12" w:rsidR="00150C4C" w:rsidRDefault="00150C4C" w:rsidP="00150C4C">
      <w:pPr>
        <w:pStyle w:val="EndnoteText"/>
      </w:pPr>
      <w:r>
        <w:rPr>
          <w:rStyle w:val="EndnoteReference"/>
        </w:rPr>
        <w:endnoteRef/>
      </w:r>
      <w:r>
        <w:t xml:space="preserve"> </w:t>
      </w:r>
      <w:r w:rsidRPr="00E205DA">
        <w:rPr>
          <w:i/>
          <w:iCs/>
        </w:rPr>
        <w:t>See</w:t>
      </w:r>
      <w:r>
        <w:t xml:space="preserve"> </w:t>
      </w:r>
      <w:r w:rsidRPr="00150C4C">
        <w:t>CEDAW</w:t>
      </w:r>
      <w:r w:rsidR="00881BE6">
        <w:t xml:space="preserve"> et. al</w:t>
      </w:r>
      <w:r w:rsidRPr="00150C4C">
        <w:t xml:space="preserve">, </w:t>
      </w:r>
      <w:r w:rsidRPr="00E205DA">
        <w:rPr>
          <w:i/>
          <w:iCs/>
        </w:rPr>
        <w:t>Eighth periodic report submitted by Panama under article 18 of the Convention, due in 2020*</w:t>
      </w:r>
      <w:r w:rsidRPr="00150C4C">
        <w:t xml:space="preserve">, UN Doc. CEDAW/C/PAN/8, (Oct. 6, 2021), </w:t>
      </w:r>
      <w:hyperlink r:id="rId15" w:history="1">
        <w:r w:rsidR="00387C45" w:rsidRPr="007F052A">
          <w:rPr>
            <w:rStyle w:val="Hyperlink"/>
          </w:rPr>
          <w:t>https://www.undocs.org/en/CEDAW/C/PAN/8</w:t>
        </w:r>
      </w:hyperlink>
      <w:r w:rsidR="00387C45">
        <w:t xml:space="preserve"> </w:t>
      </w:r>
      <w:r w:rsidR="00873FF5">
        <w:t>[hereinafter “State Party Report”]</w:t>
      </w:r>
      <w:r>
        <w:t xml:space="preserve">; </w:t>
      </w:r>
      <w:r w:rsidRPr="00E205DA">
        <w:rPr>
          <w:i/>
          <w:iCs/>
        </w:rPr>
        <w:t>see also</w:t>
      </w:r>
      <w:r>
        <w:t xml:space="preserve"> Human Rights Council, </w:t>
      </w:r>
      <w:r w:rsidRPr="00E205DA">
        <w:rPr>
          <w:i/>
          <w:iCs/>
        </w:rPr>
        <w:t>National report submitted in accordance with paragraph 5 of</w:t>
      </w:r>
      <w:r w:rsidR="0075732B" w:rsidRPr="00E205DA">
        <w:rPr>
          <w:i/>
          <w:iCs/>
        </w:rPr>
        <w:t xml:space="preserve"> </w:t>
      </w:r>
      <w:r w:rsidRPr="00E205DA">
        <w:rPr>
          <w:i/>
          <w:iCs/>
        </w:rPr>
        <w:t>the annex to Human Rights Council resolution 16/21*: Panama</w:t>
      </w:r>
      <w:r>
        <w:t>, UN Doc.</w:t>
      </w:r>
      <w:r w:rsidR="0075732B" w:rsidRPr="0075732B">
        <w:t xml:space="preserve"> A/HRC/WG.6/36/PAN/1</w:t>
      </w:r>
      <w:r w:rsidR="0075732B">
        <w:t xml:space="preserve"> (Feb. 17, 2020),</w:t>
      </w:r>
      <w:r>
        <w:t xml:space="preserve"> </w:t>
      </w:r>
      <w:hyperlink r:id="rId16" w:history="1">
        <w:r w:rsidR="00387C45" w:rsidRPr="007F052A">
          <w:rPr>
            <w:rStyle w:val="Hyperlink"/>
          </w:rPr>
          <w:t>https://documents-dds-ny.un.org/doc/UNDOC/GEN/G20/034/57/PDF/G2003457.pdf</w:t>
        </w:r>
      </w:hyperlink>
      <w:r>
        <w:t>,</w:t>
      </w:r>
      <w:r w:rsidR="00387C45">
        <w:t xml:space="preserve"> </w:t>
      </w:r>
      <w:r w:rsidR="00B511DC">
        <w:t xml:space="preserve">at </w:t>
      </w:r>
      <w:r w:rsidR="00B511DC" w:rsidRPr="003562F2">
        <w:t>¶¶</w:t>
      </w:r>
      <w:r w:rsidR="00B511DC">
        <w:t xml:space="preserve"> </w:t>
      </w:r>
      <w:r>
        <w:t>98-124</w:t>
      </w:r>
      <w:r w:rsidR="0075732B">
        <w:t>.</w:t>
      </w:r>
    </w:p>
  </w:endnote>
  <w:endnote w:id="17">
    <w:p w14:paraId="0DD927CA" w14:textId="539D24E5" w:rsidR="000475CD" w:rsidRPr="003562F2" w:rsidRDefault="000475CD" w:rsidP="000475CD">
      <w:pPr>
        <w:pStyle w:val="EndnoteText"/>
      </w:pPr>
      <w:r w:rsidRPr="003562F2">
        <w:rPr>
          <w:rStyle w:val="EndnoteReference"/>
        </w:rPr>
        <w:endnoteRef/>
      </w:r>
      <w:r w:rsidRPr="003562F2">
        <w:t xml:space="preserve"> S. Priya Morley et al.,</w:t>
      </w:r>
      <w:r w:rsidRPr="003562F2">
        <w:rPr>
          <w:rStyle w:val="Hyperlink"/>
          <w:color w:val="auto"/>
          <w:u w:val="none"/>
        </w:rPr>
        <w:t xml:space="preserve"> </w:t>
      </w:r>
      <w:r w:rsidRPr="003562F2">
        <w:rPr>
          <w:rStyle w:val="Hyperlink"/>
          <w:i/>
          <w:color w:val="auto"/>
          <w:u w:val="none"/>
        </w:rPr>
        <w:t>supra</w:t>
      </w:r>
      <w:r w:rsidRPr="003562F2">
        <w:rPr>
          <w:rStyle w:val="Hyperlink"/>
          <w:color w:val="auto"/>
          <w:u w:val="none"/>
        </w:rPr>
        <w:t xml:space="preserve"> note </w:t>
      </w:r>
      <w:r w:rsidRPr="003562F2">
        <w:rPr>
          <w:rStyle w:val="Hyperlink"/>
          <w:color w:val="auto"/>
          <w:u w:val="none"/>
        </w:rPr>
        <w:fldChar w:fldCharType="begin"/>
      </w:r>
      <w:r w:rsidRPr="003562F2">
        <w:rPr>
          <w:rStyle w:val="Hyperlink"/>
          <w:color w:val="auto"/>
          <w:u w:val="none"/>
        </w:rPr>
        <w:instrText xml:space="preserve"> NOTEREF _Ref79995434 \h  \* MERGEFORMAT </w:instrText>
      </w:r>
      <w:r w:rsidRPr="003562F2">
        <w:rPr>
          <w:rStyle w:val="Hyperlink"/>
          <w:color w:val="auto"/>
          <w:u w:val="none"/>
        </w:rPr>
      </w:r>
      <w:r w:rsidRPr="003562F2">
        <w:rPr>
          <w:rStyle w:val="Hyperlink"/>
          <w:color w:val="auto"/>
          <w:u w:val="none"/>
        </w:rPr>
        <w:fldChar w:fldCharType="separate"/>
      </w:r>
      <w:r w:rsidRPr="003562F2">
        <w:rPr>
          <w:rStyle w:val="Hyperlink"/>
          <w:color w:val="auto"/>
          <w:u w:val="none"/>
        </w:rPr>
        <w:t>1</w:t>
      </w:r>
      <w:r w:rsidRPr="003562F2">
        <w:rPr>
          <w:rStyle w:val="Hyperlink"/>
          <w:color w:val="auto"/>
          <w:u w:val="none"/>
        </w:rPr>
        <w:fldChar w:fldCharType="end"/>
      </w:r>
      <w:r w:rsidRPr="003562F2">
        <w:rPr>
          <w:rStyle w:val="Hyperlink"/>
          <w:color w:val="auto"/>
          <w:u w:val="none"/>
        </w:rPr>
        <w:t>, at 16</w:t>
      </w:r>
      <w:r w:rsidRPr="003562F2">
        <w:t xml:space="preserve">; </w:t>
      </w:r>
      <w:r w:rsidRPr="003562F2">
        <w:rPr>
          <w:i/>
        </w:rPr>
        <w:t>see also</w:t>
      </w:r>
      <w:r w:rsidRPr="003562F2">
        <w:t xml:space="preserve"> Naomi Paik, </w:t>
      </w:r>
      <w:r w:rsidRPr="003562F2">
        <w:rPr>
          <w:i/>
        </w:rPr>
        <w:t>Between Rights and Rightlessness: Haitian Migrants and the Elusive Promises of Humanitarianism</w:t>
      </w:r>
      <w:r w:rsidRPr="003562F2">
        <w:t xml:space="preserve">, emisferica (2018), </w:t>
      </w:r>
      <w:hyperlink r:id="rId17" w:history="1">
        <w:r w:rsidRPr="003562F2">
          <w:rPr>
            <w:rStyle w:val="Hyperlink"/>
          </w:rPr>
          <w:t>https://hemisphericinstitute.org/en/emisferica-14-1-expulsion/14-1-essays/between-rights-and-rightlessness-haitian-migrants-and-the-elusive-promises-of-humanitarianism.html</w:t>
        </w:r>
      </w:hyperlink>
      <w:r w:rsidRPr="003562F2">
        <w:t>.</w:t>
      </w:r>
    </w:p>
  </w:endnote>
  <w:endnote w:id="18">
    <w:p w14:paraId="79AB3270" w14:textId="047345F5" w:rsidR="000475CD" w:rsidRPr="003562F2" w:rsidRDefault="000475CD" w:rsidP="000475CD">
      <w:pPr>
        <w:pStyle w:val="EndnoteText"/>
      </w:pPr>
      <w:r w:rsidRPr="003562F2">
        <w:rPr>
          <w:rStyle w:val="EndnoteReference"/>
        </w:rPr>
        <w:endnoteRef/>
      </w:r>
      <w:r w:rsidRPr="003562F2">
        <w:t xml:space="preserve"> Nicola Abé and Santiago Mesa, </w:t>
      </w:r>
      <w:r w:rsidRPr="00266FAC">
        <w:rPr>
          <w:i/>
          <w:iCs/>
        </w:rPr>
        <w:t>Crossing the Darién Gap: A Deadly Jungle on the Trek to America</w:t>
      </w:r>
      <w:r w:rsidRPr="003562F2">
        <w:t xml:space="preserve">, Der Spiegel International (Oct. 22, 2021), </w:t>
      </w:r>
      <w:hyperlink r:id="rId18" w:history="1">
        <w:r w:rsidRPr="003562F2">
          <w:rPr>
            <w:rStyle w:val="Hyperlink"/>
          </w:rPr>
          <w:t>https://www.spiegel.de/international/world/crossing-the-darien-gap-a-deadly-jungle-on-the-trek-to-america-a-a5a01a5f-bd44-4d48-b115-0b481ae83906</w:t>
        </w:r>
      </w:hyperlink>
      <w:r>
        <w:t xml:space="preserve">; </w:t>
      </w:r>
      <w:r w:rsidRPr="00266FAC">
        <w:rPr>
          <w:i/>
          <w:iCs/>
        </w:rPr>
        <w:t>see also supra</w:t>
      </w:r>
      <w:r>
        <w:t xml:space="preserve"> note </w:t>
      </w:r>
      <w:r>
        <w:fldChar w:fldCharType="begin"/>
      </w:r>
      <w:r>
        <w:instrText xml:space="preserve"> NOTEREF _Ref92797146 \h </w:instrText>
      </w:r>
      <w:r>
        <w:fldChar w:fldCharType="separate"/>
      </w:r>
      <w:r>
        <w:t>2</w:t>
      </w:r>
      <w:r>
        <w:fldChar w:fldCharType="end"/>
      </w:r>
      <w:r>
        <w:t>.</w:t>
      </w:r>
    </w:p>
  </w:endnote>
  <w:endnote w:id="19">
    <w:p w14:paraId="5ED83B4F" w14:textId="77777777" w:rsidR="000475CD" w:rsidRPr="003562F2" w:rsidRDefault="000475CD" w:rsidP="000475CD">
      <w:pPr>
        <w:pStyle w:val="EndnoteText"/>
      </w:pPr>
      <w:r w:rsidRPr="003562F2">
        <w:rPr>
          <w:rStyle w:val="EndnoteReference"/>
        </w:rPr>
        <w:endnoteRef/>
      </w:r>
      <w:r w:rsidRPr="003562F2">
        <w:t xml:space="preserve"> S. Priya Morley et al.,</w:t>
      </w:r>
      <w:r w:rsidRPr="003562F2">
        <w:rPr>
          <w:rStyle w:val="Hyperlink"/>
          <w:color w:val="auto"/>
          <w:u w:val="none"/>
        </w:rPr>
        <w:t xml:space="preserve"> </w:t>
      </w:r>
      <w:r w:rsidRPr="003562F2">
        <w:rPr>
          <w:rStyle w:val="Hyperlink"/>
          <w:i/>
          <w:color w:val="auto"/>
          <w:u w:val="none"/>
        </w:rPr>
        <w:t>supra</w:t>
      </w:r>
      <w:r w:rsidRPr="003562F2">
        <w:rPr>
          <w:rStyle w:val="Hyperlink"/>
          <w:color w:val="auto"/>
          <w:u w:val="none"/>
        </w:rPr>
        <w:t xml:space="preserve"> note </w:t>
      </w:r>
      <w:r w:rsidRPr="003562F2">
        <w:rPr>
          <w:rStyle w:val="Hyperlink"/>
          <w:color w:val="auto"/>
          <w:u w:val="none"/>
        </w:rPr>
        <w:fldChar w:fldCharType="begin"/>
      </w:r>
      <w:r w:rsidRPr="003562F2">
        <w:rPr>
          <w:rStyle w:val="Hyperlink"/>
          <w:color w:val="auto"/>
          <w:u w:val="none"/>
        </w:rPr>
        <w:instrText xml:space="preserve"> NOTEREF _Ref79995434 \h  \* MERGEFORMAT </w:instrText>
      </w:r>
      <w:r w:rsidRPr="003562F2">
        <w:rPr>
          <w:rStyle w:val="Hyperlink"/>
          <w:color w:val="auto"/>
          <w:u w:val="none"/>
        </w:rPr>
      </w:r>
      <w:r w:rsidRPr="003562F2">
        <w:rPr>
          <w:rStyle w:val="Hyperlink"/>
          <w:color w:val="auto"/>
          <w:u w:val="none"/>
        </w:rPr>
        <w:fldChar w:fldCharType="separate"/>
      </w:r>
      <w:r w:rsidRPr="003562F2">
        <w:rPr>
          <w:rStyle w:val="Hyperlink"/>
          <w:color w:val="auto"/>
          <w:u w:val="none"/>
        </w:rPr>
        <w:t>1</w:t>
      </w:r>
      <w:r w:rsidRPr="003562F2">
        <w:rPr>
          <w:rStyle w:val="Hyperlink"/>
          <w:color w:val="auto"/>
          <w:u w:val="none"/>
        </w:rPr>
        <w:fldChar w:fldCharType="end"/>
      </w:r>
      <w:r w:rsidRPr="003562F2">
        <w:rPr>
          <w:rStyle w:val="Hyperlink"/>
          <w:color w:val="auto"/>
          <w:u w:val="none"/>
        </w:rPr>
        <w:t>, at 54.</w:t>
      </w:r>
    </w:p>
  </w:endnote>
  <w:endnote w:id="20">
    <w:p w14:paraId="79E1DEE9" w14:textId="77777777" w:rsidR="00463E1B" w:rsidRDefault="00463E1B" w:rsidP="00463E1B">
      <w:pPr>
        <w:pStyle w:val="EndnoteText"/>
      </w:pPr>
      <w:r>
        <w:rPr>
          <w:rStyle w:val="EndnoteReference"/>
        </w:rPr>
        <w:endnoteRef/>
      </w:r>
      <w:r>
        <w:t xml:space="preserve"> Caitlyn Yates, </w:t>
      </w:r>
      <w:r w:rsidRPr="00266FAC">
        <w:rPr>
          <w:i/>
          <w:iCs/>
        </w:rPr>
        <w:t>A Case Study in the Outsourcing of U.S. Border Control</w:t>
      </w:r>
      <w:r>
        <w:t xml:space="preserve">, Lawfare (Apr. 11, 2019), </w:t>
      </w:r>
      <w:hyperlink r:id="rId19" w:history="1">
        <w:r w:rsidRPr="006D0F33">
          <w:rPr>
            <w:rStyle w:val="Hyperlink"/>
          </w:rPr>
          <w:t>https://www.lawfareblog.com/case-study-outsourcing-us-border-control</w:t>
        </w:r>
      </w:hyperlink>
      <w:r>
        <w:t xml:space="preserve">. </w:t>
      </w:r>
    </w:p>
  </w:endnote>
  <w:endnote w:id="21">
    <w:p w14:paraId="54392D18" w14:textId="3C15FD55" w:rsidR="000475CD" w:rsidRPr="003562F2" w:rsidRDefault="000475CD" w:rsidP="000475CD">
      <w:pPr>
        <w:pStyle w:val="EndnoteText"/>
      </w:pPr>
      <w:r w:rsidRPr="003562F2">
        <w:rPr>
          <w:rStyle w:val="EndnoteReference"/>
        </w:rPr>
        <w:endnoteRef/>
      </w:r>
      <w:r w:rsidRPr="003562F2">
        <w:t xml:space="preserve"> HBA interview with Haitian male, age 40, in October 2021 in Tapachula, Mexico.</w:t>
      </w:r>
    </w:p>
  </w:endnote>
  <w:endnote w:id="22">
    <w:p w14:paraId="3083D526" w14:textId="0FDABF08" w:rsidR="000475CD" w:rsidRPr="003562F2" w:rsidRDefault="000475CD" w:rsidP="000475CD">
      <w:pPr>
        <w:pStyle w:val="EndnoteText"/>
      </w:pPr>
      <w:r w:rsidRPr="003562F2">
        <w:rPr>
          <w:rStyle w:val="EndnoteReference"/>
        </w:rPr>
        <w:endnoteRef/>
      </w:r>
      <w:r w:rsidRPr="003562F2">
        <w:t xml:space="preserve"> HBA interview with Haitian male, age 40, in October 2021 in Tapachula, Mexico.</w:t>
      </w:r>
    </w:p>
  </w:endnote>
  <w:endnote w:id="23">
    <w:p w14:paraId="5B5C64AB" w14:textId="3415BC82" w:rsidR="000475CD" w:rsidRPr="003562F2" w:rsidRDefault="000475CD" w:rsidP="000475CD">
      <w:pPr>
        <w:pStyle w:val="EndnoteText"/>
      </w:pPr>
      <w:r w:rsidRPr="003562F2">
        <w:rPr>
          <w:rStyle w:val="EndnoteReference"/>
        </w:rPr>
        <w:endnoteRef/>
      </w:r>
      <w:r w:rsidRPr="003562F2">
        <w:t xml:space="preserve"> Amnesty International, </w:t>
      </w:r>
      <w:r w:rsidRPr="00266FAC">
        <w:rPr>
          <w:i/>
          <w:iCs/>
        </w:rPr>
        <w:t>Not Safe Anywhere: Haitians on the move need urgent international protection</w:t>
      </w:r>
      <w:r w:rsidRPr="003562F2">
        <w:t xml:space="preserve"> (Oct. 2021), </w:t>
      </w:r>
      <w:hyperlink r:id="rId20" w:history="1">
        <w:r w:rsidRPr="003562F2">
          <w:rPr>
            <w:rStyle w:val="Hyperlink"/>
          </w:rPr>
          <w:t>https://www.amnestyusa.org/wp-content/uploads/2021/10/Not-Safe-Anywhere-Haitians-need-urgent-international-protection-READY-FOR-PUBLISHING1.pdf</w:t>
        </w:r>
      </w:hyperlink>
      <w:r w:rsidR="00387C45">
        <w:t xml:space="preserve">, </w:t>
      </w:r>
      <w:r w:rsidRPr="003562F2">
        <w:t>at note 52 and associated text.</w:t>
      </w:r>
    </w:p>
  </w:endnote>
  <w:endnote w:id="24">
    <w:p w14:paraId="522E4D21" w14:textId="1ACF2EE0" w:rsidR="000475CD" w:rsidRPr="003562F2" w:rsidRDefault="000475CD" w:rsidP="000475CD">
      <w:pPr>
        <w:pStyle w:val="EndnoteText"/>
      </w:pPr>
      <w:r w:rsidRPr="003562F2">
        <w:rPr>
          <w:rStyle w:val="EndnoteReference"/>
        </w:rPr>
        <w:endnoteRef/>
      </w:r>
      <w:r w:rsidRPr="003562F2">
        <w:t xml:space="preserve"> HBA interview with Haitian male, age 40, in October 2021 in Tapachula, Mexico.</w:t>
      </w:r>
    </w:p>
  </w:endnote>
  <w:endnote w:id="25">
    <w:p w14:paraId="412F36AB" w14:textId="0F7C0DE2" w:rsidR="000475CD" w:rsidRPr="003562F2" w:rsidRDefault="000475CD" w:rsidP="000475CD">
      <w:pPr>
        <w:pStyle w:val="EndnoteText"/>
      </w:pPr>
      <w:r w:rsidRPr="003562F2">
        <w:rPr>
          <w:rStyle w:val="EndnoteReference"/>
        </w:rPr>
        <w:endnoteRef/>
      </w:r>
      <w:r w:rsidRPr="003562F2">
        <w:t xml:space="preserve"> HBA interview with a Haitian woman, age 30, in Tapachula, Mexico in March 2020.</w:t>
      </w:r>
    </w:p>
  </w:endnote>
  <w:endnote w:id="26">
    <w:p w14:paraId="29375A22" w14:textId="46B3FA98" w:rsidR="000475CD" w:rsidRPr="003562F2" w:rsidRDefault="000475CD" w:rsidP="000475CD">
      <w:pPr>
        <w:pStyle w:val="EndnoteText"/>
      </w:pPr>
      <w:r w:rsidRPr="003562F2">
        <w:rPr>
          <w:rStyle w:val="EndnoteReference"/>
        </w:rPr>
        <w:endnoteRef/>
      </w:r>
      <w:r w:rsidRPr="003562F2">
        <w:t xml:space="preserve"> Jaime Scott and Guadalupe Correa-Cabrera, </w:t>
      </w:r>
      <w:r w:rsidRPr="00266FAC">
        <w:rPr>
          <w:i/>
          <w:iCs/>
        </w:rPr>
        <w:t>A Perilous Journey Along the Darién Gap</w:t>
      </w:r>
      <w:r w:rsidRPr="003562F2">
        <w:t xml:space="preserve">, NACLA (Oct. 14, 2021), </w:t>
      </w:r>
      <w:hyperlink r:id="rId21" w:history="1">
        <w:r w:rsidRPr="003562F2">
          <w:rPr>
            <w:rStyle w:val="Hyperlink"/>
          </w:rPr>
          <w:t>https://nacla.org/perilous-journey-along-darien-gap</w:t>
        </w:r>
      </w:hyperlink>
      <w:r>
        <w:t>.</w:t>
      </w:r>
    </w:p>
  </w:endnote>
  <w:endnote w:id="27">
    <w:p w14:paraId="17A7A5F1" w14:textId="6EE8F718" w:rsidR="000475CD" w:rsidRPr="003562F2" w:rsidRDefault="000475CD" w:rsidP="000475CD">
      <w:pPr>
        <w:pStyle w:val="EndnoteText"/>
      </w:pPr>
      <w:r w:rsidRPr="003562F2">
        <w:rPr>
          <w:rStyle w:val="EndnoteReference"/>
        </w:rPr>
        <w:endnoteRef/>
      </w:r>
      <w:r w:rsidRPr="003562F2">
        <w:t xml:space="preserve"> </w:t>
      </w:r>
      <w:r w:rsidR="00387C45" w:rsidRPr="000043F4">
        <w:t>Médecins</w:t>
      </w:r>
      <w:r w:rsidR="000043F4" w:rsidRPr="000043F4">
        <w:t xml:space="preserve"> Sans </w:t>
      </w:r>
      <w:r w:rsidR="00387C45" w:rsidRPr="00387C45">
        <w:t>Frontières</w:t>
      </w:r>
      <w:r w:rsidR="000043F4" w:rsidRPr="000043F4">
        <w:t>/Doctors without Borders</w:t>
      </w:r>
      <w:r w:rsidR="00387C45">
        <w:t xml:space="preserve"> (MSF)</w:t>
      </w:r>
      <w:r w:rsidRPr="003562F2">
        <w:t xml:space="preserve">, </w:t>
      </w:r>
      <w:r w:rsidRPr="00266FAC">
        <w:rPr>
          <w:i/>
          <w:iCs/>
        </w:rPr>
        <w:t>Safe routes urgently needed for thousands of migrants crossing the Darién Gap</w:t>
      </w:r>
      <w:r w:rsidRPr="003562F2">
        <w:t xml:space="preserve"> (Nov. 18, 2021), </w:t>
      </w:r>
      <w:hyperlink r:id="rId22" w:history="1">
        <w:r w:rsidRPr="003562F2">
          <w:rPr>
            <w:rStyle w:val="Hyperlink"/>
          </w:rPr>
          <w:t>https://www.doctorswithoutborders.org/what-we-do/news-stories/story/safe-routes-urgently-needed-thousands-migrants-crossing-darien-gap</w:t>
        </w:r>
      </w:hyperlink>
      <w:r w:rsidR="00DB467F">
        <w:t>.</w:t>
      </w:r>
    </w:p>
  </w:endnote>
  <w:endnote w:id="28">
    <w:p w14:paraId="43F652C4" w14:textId="5A465A77" w:rsidR="000475CD" w:rsidRPr="003562F2" w:rsidRDefault="000475CD" w:rsidP="000475CD">
      <w:pPr>
        <w:pStyle w:val="EndnoteText"/>
      </w:pPr>
      <w:r w:rsidRPr="003562F2">
        <w:rPr>
          <w:rStyle w:val="EndnoteReference"/>
        </w:rPr>
        <w:endnoteRef/>
      </w:r>
      <w:r w:rsidRPr="003562F2">
        <w:t xml:space="preserve"> </w:t>
      </w:r>
      <w:r w:rsidRPr="00266FAC">
        <w:rPr>
          <w:i/>
          <w:iCs/>
        </w:rPr>
        <w:t>Id.</w:t>
      </w:r>
    </w:p>
  </w:endnote>
  <w:endnote w:id="29">
    <w:p w14:paraId="607A343F" w14:textId="1D7A953A" w:rsidR="000475CD" w:rsidRPr="003562F2" w:rsidRDefault="000475CD" w:rsidP="000475CD">
      <w:pPr>
        <w:pStyle w:val="EndnoteText"/>
      </w:pPr>
      <w:r w:rsidRPr="003562F2">
        <w:rPr>
          <w:rStyle w:val="EndnoteReference"/>
        </w:rPr>
        <w:endnoteRef/>
      </w:r>
      <w:r w:rsidRPr="003562F2">
        <w:t xml:space="preserve"> </w:t>
      </w:r>
      <w:r w:rsidR="00387C45">
        <w:t>MSF</w:t>
      </w:r>
      <w:r>
        <w:t xml:space="preserve">, </w:t>
      </w:r>
      <w:r w:rsidRPr="00266FAC">
        <w:rPr>
          <w:i/>
          <w:iCs/>
        </w:rPr>
        <w:t>The Darién Gap: “A nightmare with 1,001 demons”</w:t>
      </w:r>
      <w:r w:rsidRPr="00EA7B7C">
        <w:t xml:space="preserve"> </w:t>
      </w:r>
      <w:r>
        <w:t>(Aug. 5, 2021),</w:t>
      </w:r>
      <w:r w:rsidRPr="00CB20F6">
        <w:t xml:space="preserve"> </w:t>
      </w:r>
      <w:hyperlink r:id="rId23" w:history="1">
        <w:r w:rsidRPr="003562F2">
          <w:rPr>
            <w:rStyle w:val="Hyperlink"/>
          </w:rPr>
          <w:t>https://www.doctorswithoutborders.org/what-we-do/news-stories/story/darien-gap-nightmare-1001-demons</w:t>
        </w:r>
      </w:hyperlink>
      <w:r w:rsidR="00E1431D">
        <w:rPr>
          <w:rStyle w:val="Hyperlink"/>
        </w:rPr>
        <w:t>.</w:t>
      </w:r>
    </w:p>
  </w:endnote>
  <w:endnote w:id="30">
    <w:p w14:paraId="0486D4DE" w14:textId="664ED6D9" w:rsidR="000475CD" w:rsidRPr="003562F2" w:rsidRDefault="000475CD" w:rsidP="000475CD">
      <w:pPr>
        <w:pStyle w:val="EndnoteText"/>
      </w:pPr>
      <w:r w:rsidRPr="003562F2">
        <w:rPr>
          <w:rStyle w:val="EndnoteReference"/>
        </w:rPr>
        <w:endnoteRef/>
      </w:r>
      <w:r w:rsidR="006A7B35">
        <w:t xml:space="preserve"> </w:t>
      </w:r>
      <w:r w:rsidR="006A7B35" w:rsidRPr="00266FAC">
        <w:rPr>
          <w:i/>
          <w:iCs/>
        </w:rPr>
        <w:t xml:space="preserve">See </w:t>
      </w:r>
      <w:r w:rsidR="006E25F3" w:rsidRPr="006E25F3">
        <w:t>MSF</w:t>
      </w:r>
      <w:r w:rsidR="006E25F3">
        <w:rPr>
          <w:i/>
          <w:iCs/>
        </w:rPr>
        <w:t xml:space="preserve">, </w:t>
      </w:r>
      <w:r w:rsidR="006A7B35" w:rsidRPr="00266FAC">
        <w:rPr>
          <w:i/>
          <w:iCs/>
        </w:rPr>
        <w:t>supra</w:t>
      </w:r>
      <w:r w:rsidR="006A7B35">
        <w:t xml:space="preserve"> note </w:t>
      </w:r>
      <w:r w:rsidR="006A7B35">
        <w:fldChar w:fldCharType="begin"/>
      </w:r>
      <w:r w:rsidR="006A7B35">
        <w:instrText xml:space="preserve"> NOTEREF _Ref92797342 \h </w:instrText>
      </w:r>
      <w:r w:rsidR="006A7B35">
        <w:fldChar w:fldCharType="separate"/>
      </w:r>
      <w:r w:rsidR="006A7B35">
        <w:t>2</w:t>
      </w:r>
      <w:r w:rsidR="00B81AAC">
        <w:t>7</w:t>
      </w:r>
      <w:r w:rsidR="006A7B35">
        <w:fldChar w:fldCharType="end"/>
      </w:r>
      <w:r>
        <w:t>.</w:t>
      </w:r>
    </w:p>
  </w:endnote>
  <w:endnote w:id="31">
    <w:p w14:paraId="14A723C9" w14:textId="7E6DB609" w:rsidR="000475CD" w:rsidRPr="003562F2" w:rsidRDefault="000475CD" w:rsidP="000475CD">
      <w:pPr>
        <w:pStyle w:val="EndnoteText"/>
      </w:pPr>
      <w:r w:rsidRPr="003562F2">
        <w:rPr>
          <w:rStyle w:val="EndnoteReference"/>
        </w:rPr>
        <w:endnoteRef/>
      </w:r>
      <w:r w:rsidRPr="003562F2">
        <w:t xml:space="preserve"> </w:t>
      </w:r>
      <w:r w:rsidR="00881BE6" w:rsidRPr="00387C45">
        <w:t>State</w:t>
      </w:r>
      <w:r w:rsidR="00881BE6">
        <w:t xml:space="preserve"> Party Report, </w:t>
      </w:r>
      <w:r w:rsidR="00881BE6" w:rsidRPr="00387C45">
        <w:rPr>
          <w:i/>
          <w:iCs/>
        </w:rPr>
        <w:t>supra</w:t>
      </w:r>
      <w:r w:rsidR="00881BE6">
        <w:t xml:space="preserve"> note </w:t>
      </w:r>
      <w:r w:rsidR="00387C45">
        <w:fldChar w:fldCharType="begin"/>
      </w:r>
      <w:r w:rsidR="00387C45">
        <w:instrText xml:space="preserve"> NOTEREF _Ref92877063 \h </w:instrText>
      </w:r>
      <w:r w:rsidR="00387C45">
        <w:fldChar w:fldCharType="separate"/>
      </w:r>
      <w:r w:rsidR="00387C45">
        <w:t>16</w:t>
      </w:r>
      <w:r w:rsidR="00387C45">
        <w:fldChar w:fldCharType="end"/>
      </w:r>
      <w:r w:rsidR="00387C45">
        <w:t>,</w:t>
      </w:r>
      <w:r w:rsidR="00881BE6">
        <w:t xml:space="preserve"> </w:t>
      </w:r>
      <w:r w:rsidR="0075732B">
        <w:t xml:space="preserve">at </w:t>
      </w:r>
      <w:r w:rsidR="0075732B" w:rsidRPr="0075732B">
        <w:t>¶</w:t>
      </w:r>
      <w:r w:rsidR="0075732B">
        <w:t xml:space="preserve"> 204</w:t>
      </w:r>
      <w:r w:rsidR="00E1431D">
        <w:t>.</w:t>
      </w:r>
    </w:p>
  </w:endnote>
  <w:endnote w:id="32">
    <w:p w14:paraId="280506C3" w14:textId="51ED73A6" w:rsidR="000F7036" w:rsidRPr="003562F2" w:rsidRDefault="000F7036" w:rsidP="000F7036">
      <w:pPr>
        <w:pStyle w:val="EndnoteText"/>
      </w:pPr>
      <w:r w:rsidRPr="003562F2">
        <w:rPr>
          <w:rStyle w:val="EndnoteReference"/>
        </w:rPr>
        <w:endnoteRef/>
      </w:r>
      <w:r w:rsidRPr="003562F2">
        <w:t xml:space="preserve"> </w:t>
      </w:r>
      <w:r w:rsidRPr="00266FAC">
        <w:rPr>
          <w:i/>
          <w:iCs/>
        </w:rPr>
        <w:t>Id.</w:t>
      </w:r>
      <w:r w:rsidRPr="003562F2">
        <w:t xml:space="preserve"> </w:t>
      </w:r>
      <w:r>
        <w:t>at ¶</w:t>
      </w:r>
      <w:r w:rsidRPr="003562F2">
        <w:t xml:space="preserve"> 22</w:t>
      </w:r>
      <w:r w:rsidR="00E1431D">
        <w:t>.</w:t>
      </w:r>
    </w:p>
  </w:endnote>
  <w:endnote w:id="33">
    <w:p w14:paraId="18B6F1E8" w14:textId="71A080E3" w:rsidR="000475CD" w:rsidRPr="003562F2" w:rsidRDefault="000475CD" w:rsidP="000475CD">
      <w:pPr>
        <w:pStyle w:val="EndnoteText"/>
      </w:pPr>
      <w:r w:rsidRPr="003562F2">
        <w:rPr>
          <w:rStyle w:val="EndnoteReference"/>
        </w:rPr>
        <w:endnoteRef/>
      </w:r>
      <w:r w:rsidRPr="003562F2">
        <w:t xml:space="preserve"> </w:t>
      </w:r>
      <w:r w:rsidR="00881BE6">
        <w:t xml:space="preserve">CEDAW et. al., </w:t>
      </w:r>
      <w:r w:rsidRPr="00E205DA">
        <w:rPr>
          <w:i/>
          <w:iCs/>
        </w:rPr>
        <w:t>General recommendation No. 32 on the gender-related dimensions of refugee status, asylum, nationality and statelessness of women</w:t>
      </w:r>
      <w:r w:rsidRPr="003562F2">
        <w:t>, UN Doc. CEDAW/C/GC/32 (Nov. 14, 2014</w:t>
      </w:r>
      <w:r w:rsidR="00881BE6">
        <w:t>)</w:t>
      </w:r>
      <w:r w:rsidRPr="003562F2">
        <w:t xml:space="preserve">, </w:t>
      </w:r>
      <w:hyperlink r:id="rId24" w:history="1">
        <w:r w:rsidR="00C23A80" w:rsidRPr="007F052A">
          <w:rPr>
            <w:rStyle w:val="Hyperlink"/>
          </w:rPr>
          <w:t>https://documents-dds-ny.un.org/doc/UNDOC/GEN/N14/627/90/PDF/N1462790.pdf</w:t>
        </w:r>
      </w:hyperlink>
      <w:r w:rsidR="00881BE6">
        <w:t>,</w:t>
      </w:r>
      <w:r w:rsidR="00C23A80">
        <w:t xml:space="preserve"> </w:t>
      </w:r>
      <w:r w:rsidR="00881BE6">
        <w:t xml:space="preserve">at </w:t>
      </w:r>
      <w:r w:rsidR="00C23A80">
        <w:t>¶</w:t>
      </w:r>
      <w:r w:rsidR="00881BE6">
        <w:t xml:space="preserve"> 7.</w:t>
      </w:r>
    </w:p>
  </w:endnote>
  <w:endnote w:id="34">
    <w:p w14:paraId="39FE4B27" w14:textId="21CDEFEE" w:rsidR="000475CD" w:rsidRPr="003562F2" w:rsidRDefault="000475CD" w:rsidP="00C23A80">
      <w:pPr>
        <w:pStyle w:val="EndnoteText"/>
      </w:pPr>
      <w:r w:rsidRPr="003562F2">
        <w:rPr>
          <w:rStyle w:val="EndnoteReference"/>
        </w:rPr>
        <w:endnoteRef/>
      </w:r>
      <w:r w:rsidR="00ED096D">
        <w:t xml:space="preserve"> CEDAW et. al.,</w:t>
      </w:r>
      <w:r w:rsidRPr="003562F2">
        <w:t xml:space="preserve"> </w:t>
      </w:r>
      <w:r w:rsidR="00C23A80" w:rsidRPr="00C23A80">
        <w:rPr>
          <w:i/>
          <w:iCs/>
        </w:rPr>
        <w:t>General recommendation No. 35 on gender-based violence against women, updating general recommendation No. 19</w:t>
      </w:r>
      <w:r w:rsidRPr="003562F2">
        <w:t>,</w:t>
      </w:r>
      <w:r w:rsidR="00C23A80">
        <w:t xml:space="preserve"> UN Doc. </w:t>
      </w:r>
      <w:r w:rsidR="00D07F56" w:rsidRPr="00D07F56">
        <w:t xml:space="preserve">CEDAW/C/GC/35 </w:t>
      </w:r>
      <w:r w:rsidR="00D07F56">
        <w:t xml:space="preserve">(Jul. 26, 2017), </w:t>
      </w:r>
      <w:hyperlink r:id="rId25" w:history="1">
        <w:r w:rsidR="00D07F56" w:rsidRPr="007F052A">
          <w:rPr>
            <w:rStyle w:val="Hyperlink"/>
          </w:rPr>
          <w:t>https://undocs.org/CEDAW/C/GC/35</w:t>
        </w:r>
      </w:hyperlink>
      <w:r w:rsidR="00873FF5">
        <w:t>,</w:t>
      </w:r>
      <w:r w:rsidR="00D07F56">
        <w:t xml:space="preserve"> </w:t>
      </w:r>
      <w:r w:rsidR="00873FF5">
        <w:t xml:space="preserve">at </w:t>
      </w:r>
      <w:r w:rsidR="00873FF5" w:rsidRPr="00873FF5">
        <w:t>¶</w:t>
      </w:r>
      <w:r w:rsidR="00873FF5">
        <w:t xml:space="preserve"> 21.</w:t>
      </w:r>
    </w:p>
  </w:endnote>
  <w:endnote w:id="35">
    <w:p w14:paraId="635FBF89" w14:textId="031A43E5" w:rsidR="000475CD" w:rsidRPr="003562F2" w:rsidRDefault="000475CD" w:rsidP="000475CD">
      <w:pPr>
        <w:pStyle w:val="EndnoteText"/>
      </w:pPr>
      <w:r w:rsidRPr="003562F2">
        <w:rPr>
          <w:rStyle w:val="EndnoteReference"/>
        </w:rPr>
        <w:endnoteRef/>
      </w:r>
      <w:r w:rsidRPr="003562F2">
        <w:t xml:space="preserve"> </w:t>
      </w:r>
      <w:r w:rsidR="00A93F1D">
        <w:t>CEDAW et. al.,</w:t>
      </w:r>
      <w:r w:rsidR="00A93F1D" w:rsidRPr="003562F2">
        <w:t xml:space="preserve"> </w:t>
      </w:r>
      <w:r w:rsidRPr="006A736C">
        <w:rPr>
          <w:i/>
          <w:iCs/>
        </w:rPr>
        <w:t>General recommendation No. 38 (2020) on trafficking in women and girls in the context of global migration</w:t>
      </w:r>
      <w:r w:rsidR="00A93F1D">
        <w:t xml:space="preserve">, UN Doc. CEDAW/C/GC/38 (Nov. 20, 2020),  </w:t>
      </w:r>
      <w:hyperlink r:id="rId26" w:history="1">
        <w:r w:rsidR="00387C45" w:rsidRPr="007F052A">
          <w:rPr>
            <w:rStyle w:val="Hyperlink"/>
          </w:rPr>
          <w:t>https://undocs.org/CEDAW/C/GC/38</w:t>
        </w:r>
      </w:hyperlink>
      <w:r w:rsidRPr="003562F2">
        <w:t>;</w:t>
      </w:r>
      <w:r w:rsidR="00387C45">
        <w:t xml:space="preserve"> </w:t>
      </w:r>
      <w:r w:rsidR="00A93F1D">
        <w:t xml:space="preserve"> UNSC, </w:t>
      </w:r>
      <w:r w:rsidR="00A93F1D" w:rsidRPr="006A736C">
        <w:rPr>
          <w:i/>
          <w:iCs/>
        </w:rPr>
        <w:t>Resolution 1325 (2000)</w:t>
      </w:r>
      <w:r w:rsidR="00A93F1D">
        <w:t xml:space="preserve">, UN Doc. </w:t>
      </w:r>
      <w:r w:rsidR="00A93F1D" w:rsidRPr="00A93F1D">
        <w:t>S/RES/1325</w:t>
      </w:r>
      <w:r w:rsidR="00A93F1D">
        <w:t>(2000)</w:t>
      </w:r>
      <w:r w:rsidR="00A93F1D" w:rsidRPr="00A93F1D">
        <w:t xml:space="preserve"> (</w:t>
      </w:r>
      <w:r w:rsidR="00A93F1D">
        <w:t xml:space="preserve">Oct. 31, </w:t>
      </w:r>
      <w:r w:rsidR="00A93F1D" w:rsidRPr="00A93F1D">
        <w:t>2000)</w:t>
      </w:r>
      <w:r w:rsidR="00A93F1D">
        <w:t xml:space="preserve">, </w:t>
      </w:r>
      <w:hyperlink r:id="rId27" w:history="1">
        <w:r w:rsidR="006A736C" w:rsidRPr="007F052A">
          <w:rPr>
            <w:rStyle w:val="Hyperlink"/>
          </w:rPr>
          <w:t>https://undocs.org/en/S/RES/1325(2000)</w:t>
        </w:r>
      </w:hyperlink>
      <w:r w:rsidR="006A736C">
        <w:t xml:space="preserve">. </w:t>
      </w:r>
      <w:r w:rsidRPr="003562F2">
        <w:t xml:space="preserve"> </w:t>
      </w:r>
    </w:p>
  </w:endnote>
  <w:endnote w:id="36">
    <w:p w14:paraId="47F7A79B" w14:textId="77777777" w:rsidR="00DD73A7" w:rsidRPr="003562F2" w:rsidRDefault="00DD73A7" w:rsidP="00DD73A7">
      <w:pPr>
        <w:pStyle w:val="EndnoteText"/>
      </w:pPr>
      <w:r w:rsidRPr="003562F2">
        <w:rPr>
          <w:rStyle w:val="EndnoteReference"/>
        </w:rPr>
        <w:endnoteRef/>
      </w:r>
      <w:r w:rsidRPr="003562F2">
        <w:t xml:space="preserve"> </w:t>
      </w:r>
      <w:r w:rsidRPr="00266FAC">
        <w:rPr>
          <w:i/>
          <w:iCs/>
        </w:rPr>
        <w:t>Id.</w:t>
      </w:r>
      <w:r w:rsidRPr="003562F2">
        <w:t xml:space="preserve"> </w:t>
      </w:r>
      <w:r>
        <w:t>at ¶</w:t>
      </w:r>
      <w:r w:rsidRPr="003562F2">
        <w:t xml:space="preserve"> 22.</w:t>
      </w:r>
    </w:p>
  </w:endnote>
  <w:endnote w:id="37">
    <w:p w14:paraId="347DF748" w14:textId="5B28D058" w:rsidR="000475CD" w:rsidRPr="003562F2" w:rsidRDefault="000475CD" w:rsidP="000475CD">
      <w:pPr>
        <w:pStyle w:val="EndnoteText"/>
      </w:pPr>
      <w:r w:rsidRPr="003562F2">
        <w:rPr>
          <w:rStyle w:val="EndnoteReference"/>
        </w:rPr>
        <w:endnoteRef/>
      </w:r>
      <w:r w:rsidRPr="003562F2">
        <w:t xml:space="preserve"> CEDAW, Art. 2</w:t>
      </w:r>
      <w:r w:rsidR="006A736C">
        <w:t>.</w:t>
      </w:r>
    </w:p>
  </w:endnote>
  <w:endnote w:id="38">
    <w:p w14:paraId="61FA48CE" w14:textId="2BAF5860" w:rsidR="000475CD" w:rsidRPr="003562F2" w:rsidRDefault="000475CD" w:rsidP="000475CD">
      <w:pPr>
        <w:pStyle w:val="EndnoteText"/>
      </w:pPr>
      <w:r w:rsidRPr="003562F2">
        <w:rPr>
          <w:rStyle w:val="EndnoteReference"/>
        </w:rPr>
        <w:endnoteRef/>
      </w:r>
      <w:r w:rsidRPr="003562F2">
        <w:t xml:space="preserve"> </w:t>
      </w:r>
      <w:r w:rsidR="00621073">
        <w:t>CEDAW</w:t>
      </w:r>
      <w:r w:rsidR="006A736C">
        <w:t>, Art. 6.</w:t>
      </w:r>
    </w:p>
  </w:endnote>
  <w:endnote w:id="39">
    <w:p w14:paraId="097FE272" w14:textId="2D67DE39" w:rsidR="000475CD" w:rsidRPr="003562F2" w:rsidRDefault="000475CD" w:rsidP="000475CD">
      <w:pPr>
        <w:pStyle w:val="EndnoteText"/>
      </w:pPr>
      <w:r w:rsidRPr="003562F2">
        <w:rPr>
          <w:rStyle w:val="EndnoteReference"/>
        </w:rPr>
        <w:endnoteRef/>
      </w:r>
      <w:r w:rsidRPr="003562F2">
        <w:t xml:space="preserve"> </w:t>
      </w:r>
      <w:r w:rsidR="00621073">
        <w:t>CEDAW</w:t>
      </w:r>
      <w:r w:rsidR="006A736C">
        <w:t>, Art. 15.1.</w:t>
      </w:r>
    </w:p>
  </w:endnote>
  <w:endnote w:id="40">
    <w:p w14:paraId="4D981F5A" w14:textId="47C23D01" w:rsidR="00ED1FC1" w:rsidRDefault="00ED1FC1">
      <w:pPr>
        <w:pStyle w:val="EndnoteText"/>
      </w:pPr>
      <w:r>
        <w:rPr>
          <w:rStyle w:val="EndnoteReference"/>
        </w:rPr>
        <w:endnoteRef/>
      </w:r>
      <w:r>
        <w:t xml:space="preserve"> CEDAW, Art. 3, 12.</w:t>
      </w:r>
    </w:p>
  </w:endnote>
  <w:endnote w:id="41">
    <w:p w14:paraId="267D9FFE" w14:textId="77777777" w:rsidR="000475CD" w:rsidRPr="00266FAC" w:rsidRDefault="000475CD" w:rsidP="00611A56">
      <w:pPr>
        <w:pStyle w:val="EndnoteText"/>
        <w:rPr>
          <w:i/>
          <w:iCs/>
        </w:rPr>
      </w:pPr>
      <w:r w:rsidRPr="003562F2">
        <w:rPr>
          <w:rStyle w:val="EndnoteReference"/>
        </w:rPr>
        <w:endnoteRef/>
      </w:r>
      <w:r w:rsidRPr="003562F2">
        <w:t xml:space="preserve"> </w:t>
      </w:r>
      <w:proofErr w:type="spellStart"/>
      <w:r w:rsidRPr="008B7DE9">
        <w:t>Kimberlé</w:t>
      </w:r>
      <w:proofErr w:type="spellEnd"/>
      <w:r w:rsidRPr="008B7DE9">
        <w:t xml:space="preserve"> Crenshaw</w:t>
      </w:r>
      <w:r>
        <w:t xml:space="preserve">, </w:t>
      </w:r>
      <w:r w:rsidRPr="00266FAC">
        <w:rPr>
          <w:i/>
          <w:iCs/>
        </w:rPr>
        <w:t>Mapping the Margins: Intersectionality, Identity Politics, and Violence against Women of</w:t>
      </w:r>
    </w:p>
    <w:p w14:paraId="6695C9EA" w14:textId="3809A06D" w:rsidR="000475CD" w:rsidRPr="003562F2" w:rsidRDefault="000475CD" w:rsidP="000475CD">
      <w:pPr>
        <w:pStyle w:val="EndnoteText"/>
      </w:pPr>
      <w:r w:rsidRPr="00266FAC">
        <w:rPr>
          <w:i/>
          <w:iCs/>
        </w:rPr>
        <w:t>Color</w:t>
      </w:r>
      <w:r>
        <w:t xml:space="preserve">, 43 Stanford L. Rev. </w:t>
      </w:r>
      <w:r w:rsidRPr="003562F2">
        <w:t>1241</w:t>
      </w:r>
      <w:r>
        <w:t xml:space="preserve">, 1241 (1991), </w:t>
      </w:r>
      <w:r w:rsidRPr="006A736C">
        <w:rPr>
          <w:i/>
          <w:iCs/>
        </w:rPr>
        <w:t>available</w:t>
      </w:r>
      <w:r>
        <w:t xml:space="preserve"> at </w:t>
      </w:r>
      <w:hyperlink r:id="rId28" w:history="1">
        <w:r w:rsidRPr="00AC7AA3">
          <w:rPr>
            <w:rStyle w:val="Hyperlink"/>
          </w:rPr>
          <w:t>http://blogs.law.columbia.edu/critique1313/files/2020/02/1229039.pdf</w:t>
        </w:r>
      </w:hyperlink>
      <w:r>
        <w:t xml:space="preserve">. </w:t>
      </w:r>
    </w:p>
  </w:endnote>
  <w:endnote w:id="42">
    <w:p w14:paraId="1B701371" w14:textId="04C500A9" w:rsidR="000475CD" w:rsidRPr="003562F2" w:rsidRDefault="000475CD" w:rsidP="000475CD">
      <w:pPr>
        <w:pStyle w:val="EndnoteText"/>
      </w:pPr>
      <w:r w:rsidRPr="003562F2">
        <w:rPr>
          <w:rStyle w:val="EndnoteReference"/>
        </w:rPr>
        <w:endnoteRef/>
      </w:r>
      <w:r w:rsidRPr="003562F2">
        <w:t xml:space="preserve"> </w:t>
      </w:r>
      <w:r w:rsidRPr="00266FAC">
        <w:rPr>
          <w:i/>
          <w:iCs/>
        </w:rPr>
        <w:t>Id.</w:t>
      </w:r>
      <w:r>
        <w:t xml:space="preserve"> at </w:t>
      </w:r>
      <w:r w:rsidRPr="003562F2">
        <w:t>1242</w:t>
      </w:r>
      <w:r w:rsidR="006A736C">
        <w:t>.</w:t>
      </w:r>
    </w:p>
  </w:endnote>
  <w:endnote w:id="43">
    <w:p w14:paraId="35A68C13" w14:textId="14B6FF9B" w:rsidR="000475CD" w:rsidRPr="003562F2" w:rsidRDefault="000475CD" w:rsidP="000475CD">
      <w:pPr>
        <w:pStyle w:val="EndnoteText"/>
      </w:pPr>
      <w:r w:rsidRPr="003562F2">
        <w:rPr>
          <w:rStyle w:val="EndnoteReference"/>
        </w:rPr>
        <w:endnoteRef/>
      </w:r>
      <w:r w:rsidRPr="003562F2">
        <w:t xml:space="preserve"> </w:t>
      </w:r>
      <w:r w:rsidRPr="00266FAC">
        <w:rPr>
          <w:i/>
          <w:iCs/>
        </w:rPr>
        <w:t xml:space="preserve">Id. </w:t>
      </w:r>
      <w:r>
        <w:t xml:space="preserve">at </w:t>
      </w:r>
      <w:r w:rsidRPr="003562F2">
        <w:t>1265-1266</w:t>
      </w:r>
      <w:r w:rsidR="006A736C">
        <w:t>.</w:t>
      </w:r>
    </w:p>
  </w:endnote>
  <w:endnote w:id="44">
    <w:p w14:paraId="2C5A6B07" w14:textId="50BDF0DB" w:rsidR="001365DC" w:rsidRDefault="001365DC">
      <w:pPr>
        <w:pStyle w:val="EndnoteText"/>
      </w:pPr>
      <w:r>
        <w:rPr>
          <w:rStyle w:val="EndnoteReference"/>
        </w:rPr>
        <w:endnoteRef/>
      </w:r>
      <w:r>
        <w:t xml:space="preserve"> </w:t>
      </w:r>
      <w:r w:rsidR="00770AF8" w:rsidRPr="006A736C">
        <w:rPr>
          <w:i/>
          <w:iCs/>
        </w:rPr>
        <w:t>General recommendation No. 35 on gender-based violence</w:t>
      </w:r>
      <w:r w:rsidR="00873FF5" w:rsidRPr="006A736C">
        <w:rPr>
          <w:i/>
          <w:iCs/>
        </w:rPr>
        <w:t xml:space="preserve"> </w:t>
      </w:r>
      <w:r w:rsidR="00770AF8" w:rsidRPr="006A736C">
        <w:rPr>
          <w:i/>
          <w:iCs/>
        </w:rPr>
        <w:t>against women, updating general recommendation No. 19</w:t>
      </w:r>
      <w:r w:rsidR="00770AF8">
        <w:t xml:space="preserve">, </w:t>
      </w:r>
      <w:r w:rsidR="006A736C" w:rsidRPr="006A736C">
        <w:rPr>
          <w:i/>
          <w:iCs/>
        </w:rPr>
        <w:t>supra</w:t>
      </w:r>
      <w:r w:rsidR="006A736C">
        <w:t xml:space="preserve"> note </w:t>
      </w:r>
      <w:r w:rsidR="006A736C">
        <w:fldChar w:fldCharType="begin"/>
      </w:r>
      <w:r w:rsidR="006A736C">
        <w:instrText xml:space="preserve"> NOTEREF _Ref92876819 \h </w:instrText>
      </w:r>
      <w:r w:rsidR="006A736C">
        <w:fldChar w:fldCharType="separate"/>
      </w:r>
      <w:r w:rsidR="006A736C">
        <w:t>33</w:t>
      </w:r>
      <w:r w:rsidR="006A736C">
        <w:fldChar w:fldCharType="end"/>
      </w:r>
      <w:r w:rsidR="006A736C">
        <w:t xml:space="preserve">, at </w:t>
      </w:r>
      <w:r w:rsidR="00C23A80">
        <w:t>¶</w:t>
      </w:r>
      <w:r w:rsidR="00770AF8">
        <w:t xml:space="preserve"> 12</w:t>
      </w:r>
      <w:r w:rsidR="006A736C">
        <w:t>.</w:t>
      </w:r>
    </w:p>
  </w:endnote>
  <w:endnote w:id="45">
    <w:p w14:paraId="3B998799" w14:textId="745B3C0D" w:rsidR="000475CD" w:rsidRPr="003562F2" w:rsidRDefault="000475CD" w:rsidP="000475CD">
      <w:pPr>
        <w:pStyle w:val="EndnoteText"/>
      </w:pPr>
      <w:r w:rsidRPr="003562F2">
        <w:rPr>
          <w:rStyle w:val="EndnoteReference"/>
        </w:rPr>
        <w:endnoteRef/>
      </w:r>
      <w:r w:rsidRPr="003562F2">
        <w:t xml:space="preserve"> </w:t>
      </w:r>
      <w:r w:rsidR="00AC5FD3" w:rsidRPr="00266FAC">
        <w:rPr>
          <w:i/>
          <w:iCs/>
        </w:rPr>
        <w:t>Id.</w:t>
      </w:r>
      <w:r w:rsidR="00AC5FD3">
        <w:t xml:space="preserve"> </w:t>
      </w:r>
    </w:p>
  </w:endnote>
  <w:endnote w:id="46">
    <w:p w14:paraId="4742392B" w14:textId="5FFE9190" w:rsidR="000475CD" w:rsidRPr="003562F2" w:rsidRDefault="000475CD" w:rsidP="000475CD">
      <w:pPr>
        <w:pStyle w:val="EndnoteText"/>
      </w:pPr>
      <w:r w:rsidRPr="003562F2">
        <w:rPr>
          <w:rStyle w:val="EndnoteReference"/>
        </w:rPr>
        <w:endnoteRef/>
      </w:r>
      <w:r w:rsidRPr="003562F2">
        <w:t xml:space="preserve"> </w:t>
      </w:r>
      <w:r w:rsidR="00873FF5" w:rsidRPr="00B511DC">
        <w:rPr>
          <w:i/>
          <w:iCs/>
        </w:rPr>
        <w:t>See</w:t>
      </w:r>
      <w:r w:rsidR="00873FF5">
        <w:t xml:space="preserve"> </w:t>
      </w:r>
      <w:r w:rsidRPr="003562F2">
        <w:t xml:space="preserve">State </w:t>
      </w:r>
      <w:r w:rsidR="00873FF5">
        <w:t>P</w:t>
      </w:r>
      <w:r w:rsidRPr="003562F2">
        <w:t xml:space="preserve">arty </w:t>
      </w:r>
      <w:r w:rsidR="00873FF5">
        <w:t>R</w:t>
      </w:r>
      <w:r w:rsidRPr="003562F2">
        <w:t>eport,</w:t>
      </w:r>
      <w:r w:rsidR="00B511DC">
        <w:t xml:space="preserve"> </w:t>
      </w:r>
      <w:r w:rsidR="00873FF5" w:rsidRPr="00B511DC">
        <w:rPr>
          <w:i/>
          <w:iCs/>
        </w:rPr>
        <w:t>supra</w:t>
      </w:r>
      <w:r w:rsidR="00873FF5">
        <w:t xml:space="preserve"> note</w:t>
      </w:r>
      <w:r w:rsidR="00B511DC">
        <w:t xml:space="preserve"> </w:t>
      </w:r>
      <w:r w:rsidR="00B511DC">
        <w:fldChar w:fldCharType="begin"/>
      </w:r>
      <w:r w:rsidR="00B511DC">
        <w:instrText xml:space="preserve"> NOTEREF _Ref92877063 \h </w:instrText>
      </w:r>
      <w:r w:rsidR="00B511DC">
        <w:fldChar w:fldCharType="separate"/>
      </w:r>
      <w:r w:rsidR="00B511DC">
        <w:t>16</w:t>
      </w:r>
      <w:r w:rsidR="00B511DC">
        <w:fldChar w:fldCharType="end"/>
      </w:r>
      <w:r w:rsidR="00873FF5">
        <w:t xml:space="preserve">, at </w:t>
      </w:r>
      <w:r w:rsidR="00873FF5" w:rsidRPr="00873FF5">
        <w:t>¶</w:t>
      </w:r>
      <w:r w:rsidR="00873FF5">
        <w:t xml:space="preserve"> </w:t>
      </w:r>
      <w:r w:rsidRPr="003562F2">
        <w:t>95 (</w:t>
      </w:r>
      <w:r w:rsidR="00B511DC">
        <w:t>describing how Panama acknowledges that “[m]</w:t>
      </w:r>
      <w:r w:rsidR="005821A8" w:rsidRPr="005821A8">
        <w:t>any factors are responsible for the problem of violence against women in Panama, not least of which is the socioeconomic context in which it occurs; ethnicity, marital status, level of education and  income are important social determinants</w:t>
      </w:r>
      <w:r w:rsidR="00B511DC">
        <w:t>;” that</w:t>
      </w:r>
      <w:r w:rsidR="005821A8" w:rsidRPr="005821A8">
        <w:t xml:space="preserve"> </w:t>
      </w:r>
      <w:r w:rsidR="00B511DC">
        <w:t>“[s]</w:t>
      </w:r>
      <w:r w:rsidR="005821A8" w:rsidRPr="005821A8">
        <w:t>tudies suggest that indigenous women, women of African descent and women with disabilities are especially vulnerable to violence</w:t>
      </w:r>
      <w:r w:rsidR="00B511DC">
        <w:t>;” and that “[p]</w:t>
      </w:r>
      <w:r w:rsidR="005821A8" w:rsidRPr="005821A8">
        <w:t>revention measures should therefore focus on those segments of the population.”</w:t>
      </w:r>
    </w:p>
  </w:endnote>
  <w:endnote w:id="47">
    <w:p w14:paraId="4C4087E9" w14:textId="64A4617B" w:rsidR="000475CD" w:rsidRPr="003562F2" w:rsidRDefault="000475CD" w:rsidP="000475CD">
      <w:pPr>
        <w:pStyle w:val="EndnoteText"/>
      </w:pPr>
      <w:r w:rsidRPr="003562F2">
        <w:rPr>
          <w:rStyle w:val="EndnoteReference"/>
        </w:rPr>
        <w:endnoteRef/>
      </w:r>
      <w:r w:rsidRPr="003562F2">
        <w:t xml:space="preserve"> </w:t>
      </w:r>
      <w:r w:rsidR="00873FF5" w:rsidRPr="00B511DC">
        <w:rPr>
          <w:i/>
          <w:iCs/>
        </w:rPr>
        <w:t>Id.</w:t>
      </w:r>
      <w:r w:rsidR="00873FF5">
        <w:t xml:space="preserve"> at </w:t>
      </w:r>
      <w:r w:rsidR="00873FF5" w:rsidRPr="00873FF5">
        <w:t>¶</w:t>
      </w:r>
      <w:r w:rsidR="00873FF5">
        <w:t xml:space="preserve"> </w:t>
      </w:r>
      <w:r w:rsidRPr="003562F2">
        <w:t>244-245</w:t>
      </w:r>
      <w:r w:rsidR="00873FF5">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21893"/>
      <w:docPartObj>
        <w:docPartGallery w:val="Page Numbers (Bottom of Page)"/>
        <w:docPartUnique/>
      </w:docPartObj>
    </w:sdtPr>
    <w:sdtEndPr>
      <w:rPr>
        <w:noProof/>
      </w:rPr>
    </w:sdtEndPr>
    <w:sdtContent>
      <w:p w14:paraId="1F2D677F" w14:textId="77777777" w:rsidR="00500242" w:rsidRDefault="005002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E83526" w14:textId="77777777" w:rsidR="00500242" w:rsidRDefault="00500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D100B" w14:textId="77777777" w:rsidR="00881B40" w:rsidRDefault="00881B40" w:rsidP="00482342">
      <w:r>
        <w:separator/>
      </w:r>
    </w:p>
  </w:footnote>
  <w:footnote w:type="continuationSeparator" w:id="0">
    <w:p w14:paraId="047F1B04" w14:textId="77777777" w:rsidR="00881B40" w:rsidRDefault="00881B40" w:rsidP="0048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0FB4" w14:textId="19D07D0D" w:rsidR="00500242" w:rsidRDefault="00500242" w:rsidP="00B13AFA">
    <w:pPr>
      <w:pStyle w:val="Header"/>
      <w:jc w:val="center"/>
    </w:pPr>
    <w:r>
      <w:rPr>
        <w:noProof/>
      </w:rPr>
      <w:drawing>
        <wp:inline distT="0" distB="0" distL="0" distR="0" wp14:anchorId="12D70F84" wp14:editId="5F7AFDDD">
          <wp:extent cx="9144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4A3D950" w14:textId="77777777" w:rsidR="00500242" w:rsidRDefault="005002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49AC99A"/>
    <w:lvl w:ilvl="0">
      <w:start w:val="1"/>
      <w:numFmt w:val="decimal"/>
      <w:lvlText w:val="%1."/>
      <w:lvlJc w:val="left"/>
      <w:pPr>
        <w:tabs>
          <w:tab w:val="num" w:pos="360"/>
        </w:tabs>
        <w:ind w:left="360" w:hanging="360"/>
      </w:pPr>
    </w:lvl>
  </w:abstractNum>
  <w:abstractNum w:abstractNumId="1" w15:restartNumberingAfterBreak="0">
    <w:nsid w:val="03050B2D"/>
    <w:multiLevelType w:val="hybridMultilevel"/>
    <w:tmpl w:val="03E8393E"/>
    <w:lvl w:ilvl="0" w:tplc="7272EDAE">
      <w:start w:val="1"/>
      <w:numFmt w:val="decimal"/>
      <w:lvlText w:val="%1"/>
      <w:lvlJc w:val="left"/>
      <w:pPr>
        <w:ind w:left="1282" w:hanging="420"/>
      </w:pPr>
      <w:rPr>
        <w:rFonts w:ascii="Arial" w:eastAsia="Arial" w:hAnsi="Arial" w:cs="Arial" w:hint="default"/>
        <w:color w:val="F8983E"/>
        <w:w w:val="76"/>
        <w:sz w:val="18"/>
        <w:szCs w:val="18"/>
        <w:lang w:val="es-ES" w:eastAsia="es-ES" w:bidi="es-ES"/>
      </w:rPr>
    </w:lvl>
    <w:lvl w:ilvl="1" w:tplc="BA106DDA">
      <w:numFmt w:val="bullet"/>
      <w:lvlText w:val="•"/>
      <w:lvlJc w:val="left"/>
      <w:pPr>
        <w:ind w:left="2204" w:hanging="420"/>
      </w:pPr>
      <w:rPr>
        <w:lang w:val="es-ES" w:eastAsia="es-ES" w:bidi="es-ES"/>
      </w:rPr>
    </w:lvl>
    <w:lvl w:ilvl="2" w:tplc="DDAA8562">
      <w:numFmt w:val="bullet"/>
      <w:lvlText w:val="•"/>
      <w:lvlJc w:val="left"/>
      <w:pPr>
        <w:ind w:left="3129" w:hanging="420"/>
      </w:pPr>
      <w:rPr>
        <w:lang w:val="es-ES" w:eastAsia="es-ES" w:bidi="es-ES"/>
      </w:rPr>
    </w:lvl>
    <w:lvl w:ilvl="3" w:tplc="8E54A8BE">
      <w:numFmt w:val="bullet"/>
      <w:lvlText w:val="•"/>
      <w:lvlJc w:val="left"/>
      <w:pPr>
        <w:ind w:left="4054" w:hanging="420"/>
      </w:pPr>
      <w:rPr>
        <w:lang w:val="es-ES" w:eastAsia="es-ES" w:bidi="es-ES"/>
      </w:rPr>
    </w:lvl>
    <w:lvl w:ilvl="4" w:tplc="2BE07F9A">
      <w:numFmt w:val="bullet"/>
      <w:lvlText w:val="•"/>
      <w:lvlJc w:val="left"/>
      <w:pPr>
        <w:ind w:left="4979" w:hanging="420"/>
      </w:pPr>
      <w:rPr>
        <w:lang w:val="es-ES" w:eastAsia="es-ES" w:bidi="es-ES"/>
      </w:rPr>
    </w:lvl>
    <w:lvl w:ilvl="5" w:tplc="A8648EF6">
      <w:numFmt w:val="bullet"/>
      <w:lvlText w:val="•"/>
      <w:lvlJc w:val="left"/>
      <w:pPr>
        <w:ind w:left="5904" w:hanging="420"/>
      </w:pPr>
      <w:rPr>
        <w:lang w:val="es-ES" w:eastAsia="es-ES" w:bidi="es-ES"/>
      </w:rPr>
    </w:lvl>
    <w:lvl w:ilvl="6" w:tplc="E6E6A230">
      <w:numFmt w:val="bullet"/>
      <w:lvlText w:val="•"/>
      <w:lvlJc w:val="left"/>
      <w:pPr>
        <w:ind w:left="6829" w:hanging="420"/>
      </w:pPr>
      <w:rPr>
        <w:lang w:val="es-ES" w:eastAsia="es-ES" w:bidi="es-ES"/>
      </w:rPr>
    </w:lvl>
    <w:lvl w:ilvl="7" w:tplc="A5A8C904">
      <w:numFmt w:val="bullet"/>
      <w:lvlText w:val="•"/>
      <w:lvlJc w:val="left"/>
      <w:pPr>
        <w:ind w:left="7754" w:hanging="420"/>
      </w:pPr>
      <w:rPr>
        <w:lang w:val="es-ES" w:eastAsia="es-ES" w:bidi="es-ES"/>
      </w:rPr>
    </w:lvl>
    <w:lvl w:ilvl="8" w:tplc="3C641460">
      <w:numFmt w:val="bullet"/>
      <w:lvlText w:val="•"/>
      <w:lvlJc w:val="left"/>
      <w:pPr>
        <w:ind w:left="8679" w:hanging="420"/>
      </w:pPr>
      <w:rPr>
        <w:lang w:val="es-ES" w:eastAsia="es-ES" w:bidi="es-ES"/>
      </w:rPr>
    </w:lvl>
  </w:abstractNum>
  <w:abstractNum w:abstractNumId="2" w15:restartNumberingAfterBreak="0">
    <w:nsid w:val="05E96E95"/>
    <w:multiLevelType w:val="hybridMultilevel"/>
    <w:tmpl w:val="A34E751A"/>
    <w:lvl w:ilvl="0" w:tplc="B65A516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080560FA"/>
    <w:multiLevelType w:val="hybridMultilevel"/>
    <w:tmpl w:val="30F81586"/>
    <w:lvl w:ilvl="0" w:tplc="FC3C33C2">
      <w:start w:val="1"/>
      <w:numFmt w:val="lowerLetter"/>
      <w:lvlText w:val="%1."/>
      <w:lvlJc w:val="left"/>
      <w:pPr>
        <w:ind w:left="1800" w:hanging="360"/>
      </w:pPr>
    </w:lvl>
    <w:lvl w:ilvl="1" w:tplc="F0F81E3A">
      <w:start w:val="1"/>
      <w:numFmt w:val="lowerLetter"/>
      <w:lvlText w:val="%2."/>
      <w:lvlJc w:val="left"/>
      <w:pPr>
        <w:ind w:left="2520" w:hanging="360"/>
      </w:pPr>
    </w:lvl>
    <w:lvl w:ilvl="2" w:tplc="F4948EA8">
      <w:start w:val="1"/>
      <w:numFmt w:val="lowerRoman"/>
      <w:lvlText w:val="%3."/>
      <w:lvlJc w:val="right"/>
      <w:pPr>
        <w:ind w:left="3240" w:hanging="180"/>
      </w:pPr>
    </w:lvl>
    <w:lvl w:ilvl="3" w:tplc="5224BC8C">
      <w:start w:val="1"/>
      <w:numFmt w:val="decimal"/>
      <w:lvlText w:val="%4."/>
      <w:lvlJc w:val="left"/>
      <w:pPr>
        <w:ind w:left="3960" w:hanging="360"/>
      </w:pPr>
    </w:lvl>
    <w:lvl w:ilvl="4" w:tplc="E70AF0F8">
      <w:start w:val="1"/>
      <w:numFmt w:val="lowerLetter"/>
      <w:lvlText w:val="%5."/>
      <w:lvlJc w:val="left"/>
      <w:pPr>
        <w:ind w:left="4680" w:hanging="360"/>
      </w:pPr>
    </w:lvl>
    <w:lvl w:ilvl="5" w:tplc="DC681BBA">
      <w:start w:val="1"/>
      <w:numFmt w:val="lowerRoman"/>
      <w:lvlText w:val="%6."/>
      <w:lvlJc w:val="right"/>
      <w:pPr>
        <w:ind w:left="5400" w:hanging="180"/>
      </w:pPr>
    </w:lvl>
    <w:lvl w:ilvl="6" w:tplc="20B8B8E4">
      <w:start w:val="1"/>
      <w:numFmt w:val="decimal"/>
      <w:lvlText w:val="%7."/>
      <w:lvlJc w:val="left"/>
      <w:pPr>
        <w:ind w:left="6120" w:hanging="360"/>
      </w:pPr>
    </w:lvl>
    <w:lvl w:ilvl="7" w:tplc="9DC2B9E0">
      <w:start w:val="1"/>
      <w:numFmt w:val="lowerLetter"/>
      <w:lvlText w:val="%8."/>
      <w:lvlJc w:val="left"/>
      <w:pPr>
        <w:ind w:left="6840" w:hanging="360"/>
      </w:pPr>
    </w:lvl>
    <w:lvl w:ilvl="8" w:tplc="3B76A340">
      <w:start w:val="1"/>
      <w:numFmt w:val="lowerRoman"/>
      <w:lvlText w:val="%9."/>
      <w:lvlJc w:val="right"/>
      <w:pPr>
        <w:ind w:left="7560" w:hanging="180"/>
      </w:pPr>
    </w:lvl>
  </w:abstractNum>
  <w:abstractNum w:abstractNumId="4" w15:restartNumberingAfterBreak="0">
    <w:nsid w:val="0BF9054C"/>
    <w:multiLevelType w:val="hybridMultilevel"/>
    <w:tmpl w:val="173CA1D4"/>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 w15:restartNumberingAfterBreak="0">
    <w:nsid w:val="0E69780A"/>
    <w:multiLevelType w:val="hybridMultilevel"/>
    <w:tmpl w:val="947A9042"/>
    <w:lvl w:ilvl="0" w:tplc="93E41B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265200"/>
    <w:multiLevelType w:val="hybridMultilevel"/>
    <w:tmpl w:val="173CA1D4"/>
    <w:lvl w:ilvl="0" w:tplc="0409001B">
      <w:start w:val="1"/>
      <w:numFmt w:val="lowerRoman"/>
      <w:lvlText w:val="%1."/>
      <w:lvlJc w:val="right"/>
      <w:pPr>
        <w:ind w:left="207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15:restartNumberingAfterBreak="0">
    <w:nsid w:val="22FA79BD"/>
    <w:multiLevelType w:val="hybridMultilevel"/>
    <w:tmpl w:val="3CCE2F1A"/>
    <w:lvl w:ilvl="0" w:tplc="4ECA358C">
      <w:start w:val="1"/>
      <w:numFmt w:val="upperRoman"/>
      <w:lvlText w:val="%1."/>
      <w:lvlJc w:val="left"/>
      <w:pPr>
        <w:ind w:left="720" w:hanging="360"/>
      </w:pPr>
    </w:lvl>
    <w:lvl w:ilvl="1" w:tplc="AFA616E2">
      <w:start w:val="1"/>
      <w:numFmt w:val="lowerLetter"/>
      <w:lvlText w:val="%2."/>
      <w:lvlJc w:val="left"/>
      <w:pPr>
        <w:ind w:left="1440" w:hanging="360"/>
      </w:pPr>
    </w:lvl>
    <w:lvl w:ilvl="2" w:tplc="63FC35C0">
      <w:start w:val="1"/>
      <w:numFmt w:val="lowerRoman"/>
      <w:lvlText w:val="%3."/>
      <w:lvlJc w:val="right"/>
      <w:pPr>
        <w:ind w:left="2160" w:hanging="180"/>
      </w:pPr>
    </w:lvl>
    <w:lvl w:ilvl="3" w:tplc="607A8EF8">
      <w:start w:val="1"/>
      <w:numFmt w:val="decimal"/>
      <w:lvlText w:val="%4."/>
      <w:lvlJc w:val="left"/>
      <w:pPr>
        <w:ind w:left="2880" w:hanging="360"/>
      </w:pPr>
    </w:lvl>
    <w:lvl w:ilvl="4" w:tplc="37F2B24C">
      <w:start w:val="1"/>
      <w:numFmt w:val="lowerLetter"/>
      <w:lvlText w:val="%5."/>
      <w:lvlJc w:val="left"/>
      <w:pPr>
        <w:ind w:left="3600" w:hanging="360"/>
      </w:pPr>
    </w:lvl>
    <w:lvl w:ilvl="5" w:tplc="876CC734">
      <w:start w:val="1"/>
      <w:numFmt w:val="lowerRoman"/>
      <w:lvlText w:val="%6."/>
      <w:lvlJc w:val="right"/>
      <w:pPr>
        <w:ind w:left="4320" w:hanging="180"/>
      </w:pPr>
    </w:lvl>
    <w:lvl w:ilvl="6" w:tplc="8BD62D3C">
      <w:start w:val="1"/>
      <w:numFmt w:val="decimal"/>
      <w:lvlText w:val="%7."/>
      <w:lvlJc w:val="left"/>
      <w:pPr>
        <w:ind w:left="5040" w:hanging="360"/>
      </w:pPr>
    </w:lvl>
    <w:lvl w:ilvl="7" w:tplc="BAFCD31A">
      <w:start w:val="1"/>
      <w:numFmt w:val="lowerLetter"/>
      <w:lvlText w:val="%8."/>
      <w:lvlJc w:val="left"/>
      <w:pPr>
        <w:ind w:left="5760" w:hanging="360"/>
      </w:pPr>
    </w:lvl>
    <w:lvl w:ilvl="8" w:tplc="2138C018">
      <w:start w:val="1"/>
      <w:numFmt w:val="lowerRoman"/>
      <w:lvlText w:val="%9."/>
      <w:lvlJc w:val="right"/>
      <w:pPr>
        <w:ind w:left="6480" w:hanging="180"/>
      </w:pPr>
    </w:lvl>
  </w:abstractNum>
  <w:abstractNum w:abstractNumId="8" w15:restartNumberingAfterBreak="0">
    <w:nsid w:val="38B5497F"/>
    <w:multiLevelType w:val="hybridMultilevel"/>
    <w:tmpl w:val="2FCE6686"/>
    <w:lvl w:ilvl="0" w:tplc="9FE0F8F2">
      <w:start w:val="1"/>
      <w:numFmt w:val="decimal"/>
      <w:pStyle w:val="ListParagraph"/>
      <w:lvlText w:val="%1."/>
      <w:lvlJc w:val="left"/>
      <w:pPr>
        <w:ind w:left="3330" w:hanging="360"/>
      </w:pPr>
      <w:rPr>
        <w:b w:val="0"/>
        <w:bCs w:val="0"/>
      </w:rPr>
    </w:lvl>
    <w:lvl w:ilvl="1" w:tplc="04090019" w:tentative="1">
      <w:start w:val="1"/>
      <w:numFmt w:val="lowerLetter"/>
      <w:lvlText w:val="%2."/>
      <w:lvlJc w:val="left"/>
      <w:pPr>
        <w:ind w:left="12330" w:hanging="360"/>
      </w:pPr>
    </w:lvl>
    <w:lvl w:ilvl="2" w:tplc="0409001B" w:tentative="1">
      <w:start w:val="1"/>
      <w:numFmt w:val="lowerRoman"/>
      <w:lvlText w:val="%3."/>
      <w:lvlJc w:val="right"/>
      <w:pPr>
        <w:ind w:left="13050" w:hanging="180"/>
      </w:pPr>
    </w:lvl>
    <w:lvl w:ilvl="3" w:tplc="0409000F" w:tentative="1">
      <w:start w:val="1"/>
      <w:numFmt w:val="decimal"/>
      <w:lvlText w:val="%4."/>
      <w:lvlJc w:val="left"/>
      <w:pPr>
        <w:ind w:left="13770" w:hanging="360"/>
      </w:pPr>
    </w:lvl>
    <w:lvl w:ilvl="4" w:tplc="04090019" w:tentative="1">
      <w:start w:val="1"/>
      <w:numFmt w:val="lowerLetter"/>
      <w:lvlText w:val="%5."/>
      <w:lvlJc w:val="left"/>
      <w:pPr>
        <w:ind w:left="14490" w:hanging="360"/>
      </w:pPr>
    </w:lvl>
    <w:lvl w:ilvl="5" w:tplc="0409001B" w:tentative="1">
      <w:start w:val="1"/>
      <w:numFmt w:val="lowerRoman"/>
      <w:lvlText w:val="%6."/>
      <w:lvlJc w:val="right"/>
      <w:pPr>
        <w:ind w:left="15210" w:hanging="180"/>
      </w:pPr>
    </w:lvl>
    <w:lvl w:ilvl="6" w:tplc="0409000F" w:tentative="1">
      <w:start w:val="1"/>
      <w:numFmt w:val="decimal"/>
      <w:lvlText w:val="%7."/>
      <w:lvlJc w:val="left"/>
      <w:pPr>
        <w:ind w:left="15930" w:hanging="360"/>
      </w:pPr>
    </w:lvl>
    <w:lvl w:ilvl="7" w:tplc="04090019" w:tentative="1">
      <w:start w:val="1"/>
      <w:numFmt w:val="lowerLetter"/>
      <w:lvlText w:val="%8."/>
      <w:lvlJc w:val="left"/>
      <w:pPr>
        <w:ind w:left="16650" w:hanging="360"/>
      </w:pPr>
    </w:lvl>
    <w:lvl w:ilvl="8" w:tplc="0409001B" w:tentative="1">
      <w:start w:val="1"/>
      <w:numFmt w:val="lowerRoman"/>
      <w:lvlText w:val="%9."/>
      <w:lvlJc w:val="right"/>
      <w:pPr>
        <w:ind w:left="17370" w:hanging="180"/>
      </w:pPr>
    </w:lvl>
  </w:abstractNum>
  <w:abstractNum w:abstractNumId="9" w15:restartNumberingAfterBreak="0">
    <w:nsid w:val="432F1642"/>
    <w:multiLevelType w:val="hybridMultilevel"/>
    <w:tmpl w:val="4894E56E"/>
    <w:styleLink w:val="ImportedStyle1"/>
    <w:lvl w:ilvl="0" w:tplc="38EAEB88">
      <w:start w:val="1"/>
      <w:numFmt w:val="decimal"/>
      <w:lvlText w:val="%1."/>
      <w:lvlJc w:val="left"/>
      <w:pPr>
        <w:tabs>
          <w:tab w:val="num" w:pos="2160"/>
        </w:tabs>
        <w:ind w:left="72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24391C">
      <w:start w:val="1"/>
      <w:numFmt w:val="decimal"/>
      <w:lvlText w:val="%2."/>
      <w:lvlJc w:val="left"/>
      <w:pPr>
        <w:tabs>
          <w:tab w:val="num" w:pos="2880"/>
        </w:tabs>
        <w:ind w:left="144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7CBEC2">
      <w:start w:val="1"/>
      <w:numFmt w:val="decimal"/>
      <w:lvlText w:val="%3."/>
      <w:lvlJc w:val="left"/>
      <w:pPr>
        <w:tabs>
          <w:tab w:val="num" w:pos="3600"/>
        </w:tabs>
        <w:ind w:left="216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94EE7C">
      <w:start w:val="1"/>
      <w:numFmt w:val="decimal"/>
      <w:lvlText w:val="%4."/>
      <w:lvlJc w:val="left"/>
      <w:pPr>
        <w:tabs>
          <w:tab w:val="num" w:pos="4320"/>
        </w:tabs>
        <w:ind w:left="288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648770">
      <w:start w:val="1"/>
      <w:numFmt w:val="decimal"/>
      <w:lvlText w:val="%5."/>
      <w:lvlJc w:val="left"/>
      <w:pPr>
        <w:tabs>
          <w:tab w:val="num" w:pos="5040"/>
        </w:tabs>
        <w:ind w:left="360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188698">
      <w:start w:val="1"/>
      <w:numFmt w:val="decimal"/>
      <w:lvlText w:val="%6."/>
      <w:lvlJc w:val="left"/>
      <w:pPr>
        <w:tabs>
          <w:tab w:val="num" w:pos="5760"/>
        </w:tabs>
        <w:ind w:left="432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752F494">
      <w:start w:val="1"/>
      <w:numFmt w:val="decimal"/>
      <w:lvlText w:val="%7."/>
      <w:lvlJc w:val="left"/>
      <w:pPr>
        <w:tabs>
          <w:tab w:val="num" w:pos="6480"/>
        </w:tabs>
        <w:ind w:left="504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2A8BE6">
      <w:start w:val="1"/>
      <w:numFmt w:val="decimal"/>
      <w:lvlText w:val="%8."/>
      <w:lvlJc w:val="left"/>
      <w:pPr>
        <w:tabs>
          <w:tab w:val="num" w:pos="7200"/>
        </w:tabs>
        <w:ind w:left="576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C060D4">
      <w:start w:val="1"/>
      <w:numFmt w:val="decimal"/>
      <w:lvlText w:val="%9."/>
      <w:lvlJc w:val="left"/>
      <w:pPr>
        <w:tabs>
          <w:tab w:val="num" w:pos="7920"/>
        </w:tabs>
        <w:ind w:left="648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ECA54AE"/>
    <w:multiLevelType w:val="hybridMultilevel"/>
    <w:tmpl w:val="0682E33E"/>
    <w:lvl w:ilvl="0" w:tplc="5E8E09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B664A9"/>
    <w:multiLevelType w:val="hybridMultilevel"/>
    <w:tmpl w:val="0C2AE3FA"/>
    <w:lvl w:ilvl="0" w:tplc="BE38FA4C">
      <w:start w:val="1"/>
      <w:numFmt w:val="upperRoman"/>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9272F"/>
    <w:multiLevelType w:val="hybridMultilevel"/>
    <w:tmpl w:val="AB462678"/>
    <w:lvl w:ilvl="0" w:tplc="684C8D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C271687"/>
    <w:multiLevelType w:val="hybridMultilevel"/>
    <w:tmpl w:val="CF8E050A"/>
    <w:lvl w:ilvl="0" w:tplc="CF6E6DB2">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46034F"/>
    <w:multiLevelType w:val="hybridMultilevel"/>
    <w:tmpl w:val="8FCE4B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385469"/>
    <w:multiLevelType w:val="hybridMultilevel"/>
    <w:tmpl w:val="22A8F6B8"/>
    <w:lvl w:ilvl="0" w:tplc="7FD0C234">
      <w:start w:val="1"/>
      <w:numFmt w:val="decimal"/>
      <w:pStyle w:val="NormalWeb"/>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num>
  <w:num w:numId="3">
    <w:abstractNumId w:val="10"/>
  </w:num>
  <w:num w:numId="4">
    <w:abstractNumId w:val="9"/>
  </w:num>
  <w:num w:numId="5">
    <w:abstractNumId w:val="0"/>
  </w:num>
  <w:num w:numId="6">
    <w:abstractNumId w:val="12"/>
  </w:num>
  <w:num w:numId="7">
    <w:abstractNumId w:val="13"/>
  </w:num>
  <w:num w:numId="8">
    <w:abstractNumId w:val="10"/>
  </w:num>
  <w:num w:numId="9">
    <w:abstractNumId w:val="9"/>
  </w:num>
  <w:num w:numId="10">
    <w:abstractNumId w:val="8"/>
  </w:num>
  <w:num w:numId="11">
    <w:abstractNumId w:val="6"/>
  </w:num>
  <w:num w:numId="12">
    <w:abstractNumId w:val="4"/>
  </w:num>
  <w:num w:numId="13">
    <w:abstractNumId w:val="8"/>
    <w:lvlOverride w:ilvl="0">
      <w:startOverride w:val="1"/>
    </w:lvlOverride>
  </w:num>
  <w:num w:numId="14">
    <w:abstractNumId w:val="5"/>
  </w:num>
  <w:num w:numId="15">
    <w:abstractNumId w:val="15"/>
  </w:num>
  <w:num w:numId="16">
    <w:abstractNumId w:val="15"/>
    <w:lvlOverride w:ilvl="0">
      <w:startOverride w:val="1"/>
    </w:lvlOverride>
  </w:num>
  <w:num w:numId="17">
    <w:abstractNumId w:val="15"/>
    <w:lvlOverride w:ilvl="0">
      <w:startOverride w:val="1"/>
    </w:lvlOverride>
  </w:num>
  <w:num w:numId="18">
    <w:abstractNumId w:val="1"/>
    <w:lvlOverride w:ilvl="0">
      <w:startOverride w:val="1"/>
    </w:lvlOverride>
    <w:lvlOverride w:ilvl="1"/>
    <w:lvlOverride w:ilvl="2"/>
    <w:lvlOverride w:ilvl="3"/>
    <w:lvlOverride w:ilvl="4"/>
    <w:lvlOverride w:ilvl="5"/>
    <w:lvlOverride w:ilvl="6"/>
    <w:lvlOverride w:ilvl="7"/>
    <w:lvlOverride w:ilvl="8"/>
  </w:num>
  <w:num w:numId="19">
    <w:abstractNumId w:val="15"/>
    <w:lvlOverride w:ilvl="0">
      <w:startOverride w:val="1"/>
    </w:lvlOverride>
  </w:num>
  <w:num w:numId="20">
    <w:abstractNumId w:val="3"/>
  </w:num>
  <w:num w:numId="21">
    <w:abstractNumId w:val="7"/>
  </w:num>
  <w:num w:numId="22">
    <w:abstractNumId w:val="14"/>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7E1"/>
    <w:rsid w:val="000043F4"/>
    <w:rsid w:val="000063A6"/>
    <w:rsid w:val="00013DF6"/>
    <w:rsid w:val="000144A5"/>
    <w:rsid w:val="000174B2"/>
    <w:rsid w:val="000237FC"/>
    <w:rsid w:val="000263BA"/>
    <w:rsid w:val="00033623"/>
    <w:rsid w:val="00036DF2"/>
    <w:rsid w:val="00041B1D"/>
    <w:rsid w:val="000475CD"/>
    <w:rsid w:val="000526B7"/>
    <w:rsid w:val="00055FDE"/>
    <w:rsid w:val="000616C2"/>
    <w:rsid w:val="00061704"/>
    <w:rsid w:val="00072AAA"/>
    <w:rsid w:val="000749DB"/>
    <w:rsid w:val="00077399"/>
    <w:rsid w:val="00080D97"/>
    <w:rsid w:val="000914C8"/>
    <w:rsid w:val="000940F2"/>
    <w:rsid w:val="000953A5"/>
    <w:rsid w:val="000A205B"/>
    <w:rsid w:val="000A367D"/>
    <w:rsid w:val="000C4C56"/>
    <w:rsid w:val="000C5D66"/>
    <w:rsid w:val="000C5FB1"/>
    <w:rsid w:val="000C63A2"/>
    <w:rsid w:val="000D1AA3"/>
    <w:rsid w:val="000D20DA"/>
    <w:rsid w:val="000D61D9"/>
    <w:rsid w:val="000E3BB7"/>
    <w:rsid w:val="000E4AC7"/>
    <w:rsid w:val="000E51AC"/>
    <w:rsid w:val="000F3AF6"/>
    <w:rsid w:val="000F4DC3"/>
    <w:rsid w:val="000F7036"/>
    <w:rsid w:val="000F7F78"/>
    <w:rsid w:val="0010080D"/>
    <w:rsid w:val="00106DF3"/>
    <w:rsid w:val="001103A9"/>
    <w:rsid w:val="00111675"/>
    <w:rsid w:val="00112253"/>
    <w:rsid w:val="001242EA"/>
    <w:rsid w:val="00132D2D"/>
    <w:rsid w:val="001332B7"/>
    <w:rsid w:val="001335D3"/>
    <w:rsid w:val="001359F2"/>
    <w:rsid w:val="001365DC"/>
    <w:rsid w:val="00140901"/>
    <w:rsid w:val="0014110C"/>
    <w:rsid w:val="00150C4C"/>
    <w:rsid w:val="00151F25"/>
    <w:rsid w:val="00153F62"/>
    <w:rsid w:val="00156028"/>
    <w:rsid w:val="00160A73"/>
    <w:rsid w:val="00161B82"/>
    <w:rsid w:val="001660BD"/>
    <w:rsid w:val="00175834"/>
    <w:rsid w:val="00180F17"/>
    <w:rsid w:val="001840D3"/>
    <w:rsid w:val="00184FF2"/>
    <w:rsid w:val="001852EB"/>
    <w:rsid w:val="00185608"/>
    <w:rsid w:val="00192CF4"/>
    <w:rsid w:val="0019733B"/>
    <w:rsid w:val="001A3003"/>
    <w:rsid w:val="001B3462"/>
    <w:rsid w:val="001B415F"/>
    <w:rsid w:val="001C0FC3"/>
    <w:rsid w:val="001C1E41"/>
    <w:rsid w:val="001C7640"/>
    <w:rsid w:val="001C7823"/>
    <w:rsid w:val="001D319B"/>
    <w:rsid w:val="001D37D9"/>
    <w:rsid w:val="001E0FCD"/>
    <w:rsid w:val="001E38E4"/>
    <w:rsid w:val="001E409C"/>
    <w:rsid w:val="001E4467"/>
    <w:rsid w:val="001E4D6C"/>
    <w:rsid w:val="001F373B"/>
    <w:rsid w:val="001F3CA3"/>
    <w:rsid w:val="001F3FD6"/>
    <w:rsid w:val="001F7C51"/>
    <w:rsid w:val="0020270F"/>
    <w:rsid w:val="0020563A"/>
    <w:rsid w:val="00206763"/>
    <w:rsid w:val="002068D7"/>
    <w:rsid w:val="00210706"/>
    <w:rsid w:val="002157C2"/>
    <w:rsid w:val="00217236"/>
    <w:rsid w:val="002210E3"/>
    <w:rsid w:val="0022324B"/>
    <w:rsid w:val="00225B08"/>
    <w:rsid w:val="00226078"/>
    <w:rsid w:val="002301BC"/>
    <w:rsid w:val="00230E20"/>
    <w:rsid w:val="00236212"/>
    <w:rsid w:val="00237750"/>
    <w:rsid w:val="00241CCE"/>
    <w:rsid w:val="002444E4"/>
    <w:rsid w:val="00246080"/>
    <w:rsid w:val="00252574"/>
    <w:rsid w:val="00253363"/>
    <w:rsid w:val="002606B2"/>
    <w:rsid w:val="002654CA"/>
    <w:rsid w:val="00266FAC"/>
    <w:rsid w:val="002732FF"/>
    <w:rsid w:val="00280C0E"/>
    <w:rsid w:val="00280C30"/>
    <w:rsid w:val="0028463A"/>
    <w:rsid w:val="002932FA"/>
    <w:rsid w:val="00294A4D"/>
    <w:rsid w:val="00294DA1"/>
    <w:rsid w:val="002A084B"/>
    <w:rsid w:val="002A3E0B"/>
    <w:rsid w:val="002A4150"/>
    <w:rsid w:val="002A5053"/>
    <w:rsid w:val="002A6CC2"/>
    <w:rsid w:val="002C099B"/>
    <w:rsid w:val="002C0EB1"/>
    <w:rsid w:val="002C4E69"/>
    <w:rsid w:val="002C52D4"/>
    <w:rsid w:val="002E5E07"/>
    <w:rsid w:val="002E7F93"/>
    <w:rsid w:val="002F4B9F"/>
    <w:rsid w:val="0030238B"/>
    <w:rsid w:val="00302675"/>
    <w:rsid w:val="00305C52"/>
    <w:rsid w:val="00307474"/>
    <w:rsid w:val="00310DE3"/>
    <w:rsid w:val="00314C46"/>
    <w:rsid w:val="0031608E"/>
    <w:rsid w:val="00321AA2"/>
    <w:rsid w:val="00321F0B"/>
    <w:rsid w:val="00322147"/>
    <w:rsid w:val="00323119"/>
    <w:rsid w:val="00323359"/>
    <w:rsid w:val="0032608B"/>
    <w:rsid w:val="0032714A"/>
    <w:rsid w:val="00336F8E"/>
    <w:rsid w:val="00340755"/>
    <w:rsid w:val="00340EE2"/>
    <w:rsid w:val="00344941"/>
    <w:rsid w:val="003463B3"/>
    <w:rsid w:val="003521C7"/>
    <w:rsid w:val="003522DE"/>
    <w:rsid w:val="00353BFE"/>
    <w:rsid w:val="003562BB"/>
    <w:rsid w:val="003562F2"/>
    <w:rsid w:val="00356B4C"/>
    <w:rsid w:val="0036143F"/>
    <w:rsid w:val="00371F0D"/>
    <w:rsid w:val="00373087"/>
    <w:rsid w:val="003730FC"/>
    <w:rsid w:val="00374982"/>
    <w:rsid w:val="00376323"/>
    <w:rsid w:val="00377255"/>
    <w:rsid w:val="00380363"/>
    <w:rsid w:val="00387C45"/>
    <w:rsid w:val="0039350F"/>
    <w:rsid w:val="00397F4D"/>
    <w:rsid w:val="003A18E4"/>
    <w:rsid w:val="003A1EBA"/>
    <w:rsid w:val="003B351F"/>
    <w:rsid w:val="003B3B43"/>
    <w:rsid w:val="003B4C9A"/>
    <w:rsid w:val="003B6A08"/>
    <w:rsid w:val="003C0F1D"/>
    <w:rsid w:val="003C675A"/>
    <w:rsid w:val="003D1A0B"/>
    <w:rsid w:val="003D1E07"/>
    <w:rsid w:val="003D47F3"/>
    <w:rsid w:val="003D7C61"/>
    <w:rsid w:val="003E1444"/>
    <w:rsid w:val="003E3A34"/>
    <w:rsid w:val="003E3ECD"/>
    <w:rsid w:val="003E43CE"/>
    <w:rsid w:val="003E4CD7"/>
    <w:rsid w:val="003E5E16"/>
    <w:rsid w:val="003E6EC7"/>
    <w:rsid w:val="003F302F"/>
    <w:rsid w:val="003F7B5B"/>
    <w:rsid w:val="00400397"/>
    <w:rsid w:val="0040068E"/>
    <w:rsid w:val="00401EDD"/>
    <w:rsid w:val="00405E51"/>
    <w:rsid w:val="00407DE8"/>
    <w:rsid w:val="00412FCF"/>
    <w:rsid w:val="00413EC5"/>
    <w:rsid w:val="0041666F"/>
    <w:rsid w:val="00416E8A"/>
    <w:rsid w:val="004303AC"/>
    <w:rsid w:val="00435F1A"/>
    <w:rsid w:val="004361BA"/>
    <w:rsid w:val="00450CB4"/>
    <w:rsid w:val="00451AFA"/>
    <w:rsid w:val="00454715"/>
    <w:rsid w:val="00463E1B"/>
    <w:rsid w:val="00471E68"/>
    <w:rsid w:val="00473A1E"/>
    <w:rsid w:val="0047538B"/>
    <w:rsid w:val="004763B8"/>
    <w:rsid w:val="004800FD"/>
    <w:rsid w:val="00482342"/>
    <w:rsid w:val="00482B77"/>
    <w:rsid w:val="0048599A"/>
    <w:rsid w:val="004878D6"/>
    <w:rsid w:val="0049179F"/>
    <w:rsid w:val="0049563D"/>
    <w:rsid w:val="00496626"/>
    <w:rsid w:val="00496A5D"/>
    <w:rsid w:val="004B0549"/>
    <w:rsid w:val="004B19E7"/>
    <w:rsid w:val="004C01DF"/>
    <w:rsid w:val="004C1613"/>
    <w:rsid w:val="004C5955"/>
    <w:rsid w:val="004C6DAC"/>
    <w:rsid w:val="004D3629"/>
    <w:rsid w:val="004D4D57"/>
    <w:rsid w:val="004D6D2A"/>
    <w:rsid w:val="004E196A"/>
    <w:rsid w:val="004E2169"/>
    <w:rsid w:val="004E2542"/>
    <w:rsid w:val="004F365F"/>
    <w:rsid w:val="004F45B9"/>
    <w:rsid w:val="004F5A89"/>
    <w:rsid w:val="00500242"/>
    <w:rsid w:val="00501083"/>
    <w:rsid w:val="005102ED"/>
    <w:rsid w:val="00510326"/>
    <w:rsid w:val="00510453"/>
    <w:rsid w:val="0051597B"/>
    <w:rsid w:val="00533D3C"/>
    <w:rsid w:val="00535255"/>
    <w:rsid w:val="0053703D"/>
    <w:rsid w:val="00541C09"/>
    <w:rsid w:val="00543CF9"/>
    <w:rsid w:val="00545038"/>
    <w:rsid w:val="0054668D"/>
    <w:rsid w:val="0055213F"/>
    <w:rsid w:val="00552DEA"/>
    <w:rsid w:val="005640BC"/>
    <w:rsid w:val="005657B4"/>
    <w:rsid w:val="005668DD"/>
    <w:rsid w:val="00567A7E"/>
    <w:rsid w:val="00567E90"/>
    <w:rsid w:val="00570D90"/>
    <w:rsid w:val="00572457"/>
    <w:rsid w:val="00574E44"/>
    <w:rsid w:val="005821A8"/>
    <w:rsid w:val="0058319B"/>
    <w:rsid w:val="00587AC6"/>
    <w:rsid w:val="00590975"/>
    <w:rsid w:val="00593ED7"/>
    <w:rsid w:val="00596982"/>
    <w:rsid w:val="005A0883"/>
    <w:rsid w:val="005A6248"/>
    <w:rsid w:val="005B6BD7"/>
    <w:rsid w:val="005C0BD5"/>
    <w:rsid w:val="005C5D49"/>
    <w:rsid w:val="005C61EA"/>
    <w:rsid w:val="005D2D32"/>
    <w:rsid w:val="005D3C40"/>
    <w:rsid w:val="005D524B"/>
    <w:rsid w:val="005D55DF"/>
    <w:rsid w:val="005D6D41"/>
    <w:rsid w:val="005D7CD9"/>
    <w:rsid w:val="005E2FDA"/>
    <w:rsid w:val="005E5959"/>
    <w:rsid w:val="005E5BA6"/>
    <w:rsid w:val="005E64AA"/>
    <w:rsid w:val="006023B0"/>
    <w:rsid w:val="00603506"/>
    <w:rsid w:val="006067D0"/>
    <w:rsid w:val="00611A56"/>
    <w:rsid w:val="00616AC3"/>
    <w:rsid w:val="00620415"/>
    <w:rsid w:val="00621073"/>
    <w:rsid w:val="0062179B"/>
    <w:rsid w:val="006221AE"/>
    <w:rsid w:val="00622BB5"/>
    <w:rsid w:val="00624693"/>
    <w:rsid w:val="00624A78"/>
    <w:rsid w:val="006410A5"/>
    <w:rsid w:val="00641519"/>
    <w:rsid w:val="00641FAF"/>
    <w:rsid w:val="00642075"/>
    <w:rsid w:val="00643205"/>
    <w:rsid w:val="00646DFD"/>
    <w:rsid w:val="0065053D"/>
    <w:rsid w:val="0065381B"/>
    <w:rsid w:val="00655B49"/>
    <w:rsid w:val="00665433"/>
    <w:rsid w:val="00670BEE"/>
    <w:rsid w:val="0067101A"/>
    <w:rsid w:val="0067186B"/>
    <w:rsid w:val="00671BB4"/>
    <w:rsid w:val="00671DB5"/>
    <w:rsid w:val="00673C86"/>
    <w:rsid w:val="00677573"/>
    <w:rsid w:val="00683049"/>
    <w:rsid w:val="00686651"/>
    <w:rsid w:val="006872E8"/>
    <w:rsid w:val="00691EC5"/>
    <w:rsid w:val="00692C37"/>
    <w:rsid w:val="00696FD6"/>
    <w:rsid w:val="006A065E"/>
    <w:rsid w:val="006A714F"/>
    <w:rsid w:val="006A736C"/>
    <w:rsid w:val="006A7B35"/>
    <w:rsid w:val="006B2611"/>
    <w:rsid w:val="006B37E1"/>
    <w:rsid w:val="006B7998"/>
    <w:rsid w:val="006C2E14"/>
    <w:rsid w:val="006D1E1C"/>
    <w:rsid w:val="006D48A7"/>
    <w:rsid w:val="006E1460"/>
    <w:rsid w:val="006E25F3"/>
    <w:rsid w:val="006F1897"/>
    <w:rsid w:val="006F3381"/>
    <w:rsid w:val="006F6482"/>
    <w:rsid w:val="006F6DCD"/>
    <w:rsid w:val="00700733"/>
    <w:rsid w:val="0070637D"/>
    <w:rsid w:val="0071080C"/>
    <w:rsid w:val="00711F7E"/>
    <w:rsid w:val="00715B60"/>
    <w:rsid w:val="00716176"/>
    <w:rsid w:val="0071639A"/>
    <w:rsid w:val="0072167E"/>
    <w:rsid w:val="00724388"/>
    <w:rsid w:val="007243D4"/>
    <w:rsid w:val="00724DDD"/>
    <w:rsid w:val="0072601B"/>
    <w:rsid w:val="00730435"/>
    <w:rsid w:val="007425D5"/>
    <w:rsid w:val="007462B9"/>
    <w:rsid w:val="00751405"/>
    <w:rsid w:val="00754CEF"/>
    <w:rsid w:val="00756A8B"/>
    <w:rsid w:val="0075732B"/>
    <w:rsid w:val="00760714"/>
    <w:rsid w:val="00762358"/>
    <w:rsid w:val="00763BB0"/>
    <w:rsid w:val="007667AB"/>
    <w:rsid w:val="00770AF8"/>
    <w:rsid w:val="007746BC"/>
    <w:rsid w:val="00775392"/>
    <w:rsid w:val="00775826"/>
    <w:rsid w:val="007778A4"/>
    <w:rsid w:val="007812CB"/>
    <w:rsid w:val="00781FBF"/>
    <w:rsid w:val="00786AAA"/>
    <w:rsid w:val="00796A99"/>
    <w:rsid w:val="00797BE3"/>
    <w:rsid w:val="007A12F2"/>
    <w:rsid w:val="007A174A"/>
    <w:rsid w:val="007A42B5"/>
    <w:rsid w:val="007A55BE"/>
    <w:rsid w:val="007A5ACA"/>
    <w:rsid w:val="007A7883"/>
    <w:rsid w:val="007B5C48"/>
    <w:rsid w:val="007B69CE"/>
    <w:rsid w:val="007C159C"/>
    <w:rsid w:val="007C2533"/>
    <w:rsid w:val="007C5DB7"/>
    <w:rsid w:val="007D1089"/>
    <w:rsid w:val="007E128C"/>
    <w:rsid w:val="007E4C4D"/>
    <w:rsid w:val="007E6B0C"/>
    <w:rsid w:val="007F1A1F"/>
    <w:rsid w:val="007F2848"/>
    <w:rsid w:val="007F3657"/>
    <w:rsid w:val="007F5F3A"/>
    <w:rsid w:val="007F75FD"/>
    <w:rsid w:val="008028B1"/>
    <w:rsid w:val="008040BB"/>
    <w:rsid w:val="00804820"/>
    <w:rsid w:val="008051B8"/>
    <w:rsid w:val="00807E6A"/>
    <w:rsid w:val="00813571"/>
    <w:rsid w:val="008139EA"/>
    <w:rsid w:val="00813AB2"/>
    <w:rsid w:val="00820CC5"/>
    <w:rsid w:val="008213F5"/>
    <w:rsid w:val="0082536E"/>
    <w:rsid w:val="0084092C"/>
    <w:rsid w:val="00843E1F"/>
    <w:rsid w:val="008515B0"/>
    <w:rsid w:val="00852C2B"/>
    <w:rsid w:val="00853A1E"/>
    <w:rsid w:val="00853B14"/>
    <w:rsid w:val="00854F19"/>
    <w:rsid w:val="008603BE"/>
    <w:rsid w:val="00861986"/>
    <w:rsid w:val="00861B3D"/>
    <w:rsid w:val="0086649D"/>
    <w:rsid w:val="008717AC"/>
    <w:rsid w:val="00871A13"/>
    <w:rsid w:val="00873FF5"/>
    <w:rsid w:val="00880F28"/>
    <w:rsid w:val="00881B40"/>
    <w:rsid w:val="00881BE6"/>
    <w:rsid w:val="00885452"/>
    <w:rsid w:val="008866EF"/>
    <w:rsid w:val="00886756"/>
    <w:rsid w:val="008931CE"/>
    <w:rsid w:val="008948BD"/>
    <w:rsid w:val="00894FF8"/>
    <w:rsid w:val="0089547D"/>
    <w:rsid w:val="00896C36"/>
    <w:rsid w:val="008A0C65"/>
    <w:rsid w:val="008A148E"/>
    <w:rsid w:val="008A52E3"/>
    <w:rsid w:val="008B1C83"/>
    <w:rsid w:val="008B5A91"/>
    <w:rsid w:val="008B6455"/>
    <w:rsid w:val="008B7DE9"/>
    <w:rsid w:val="008D0AFA"/>
    <w:rsid w:val="008E0046"/>
    <w:rsid w:val="008E11DE"/>
    <w:rsid w:val="008E139C"/>
    <w:rsid w:val="008E61BF"/>
    <w:rsid w:val="008E6D52"/>
    <w:rsid w:val="008F2E57"/>
    <w:rsid w:val="00901783"/>
    <w:rsid w:val="00901BB1"/>
    <w:rsid w:val="00904B6D"/>
    <w:rsid w:val="00904E91"/>
    <w:rsid w:val="009109B2"/>
    <w:rsid w:val="00911CDC"/>
    <w:rsid w:val="00912741"/>
    <w:rsid w:val="00913F57"/>
    <w:rsid w:val="00914CAC"/>
    <w:rsid w:val="009153AF"/>
    <w:rsid w:val="009155FE"/>
    <w:rsid w:val="0092259A"/>
    <w:rsid w:val="009264A3"/>
    <w:rsid w:val="009265CB"/>
    <w:rsid w:val="00927747"/>
    <w:rsid w:val="00927A1B"/>
    <w:rsid w:val="00930687"/>
    <w:rsid w:val="0093126A"/>
    <w:rsid w:val="00931882"/>
    <w:rsid w:val="009321F0"/>
    <w:rsid w:val="009358FD"/>
    <w:rsid w:val="0094450D"/>
    <w:rsid w:val="009477D6"/>
    <w:rsid w:val="00950273"/>
    <w:rsid w:val="00952ADA"/>
    <w:rsid w:val="00954EF8"/>
    <w:rsid w:val="00960D26"/>
    <w:rsid w:val="00962B02"/>
    <w:rsid w:val="009659FF"/>
    <w:rsid w:val="00973B02"/>
    <w:rsid w:val="00986005"/>
    <w:rsid w:val="009863ED"/>
    <w:rsid w:val="00990EF5"/>
    <w:rsid w:val="009943E8"/>
    <w:rsid w:val="0099695E"/>
    <w:rsid w:val="009A10B3"/>
    <w:rsid w:val="009A19AF"/>
    <w:rsid w:val="009B04CB"/>
    <w:rsid w:val="009B1373"/>
    <w:rsid w:val="009B3DE4"/>
    <w:rsid w:val="009B6302"/>
    <w:rsid w:val="009C6C81"/>
    <w:rsid w:val="009C6D56"/>
    <w:rsid w:val="009D4D1D"/>
    <w:rsid w:val="009D50FF"/>
    <w:rsid w:val="009E02A1"/>
    <w:rsid w:val="009E1501"/>
    <w:rsid w:val="009E7EA7"/>
    <w:rsid w:val="009F0634"/>
    <w:rsid w:val="009F0BC9"/>
    <w:rsid w:val="009F129C"/>
    <w:rsid w:val="009F26F3"/>
    <w:rsid w:val="009F4D0A"/>
    <w:rsid w:val="009F51C0"/>
    <w:rsid w:val="009F747E"/>
    <w:rsid w:val="00A008C5"/>
    <w:rsid w:val="00A016AE"/>
    <w:rsid w:val="00A0189D"/>
    <w:rsid w:val="00A0358F"/>
    <w:rsid w:val="00A05AF8"/>
    <w:rsid w:val="00A15150"/>
    <w:rsid w:val="00A16ED5"/>
    <w:rsid w:val="00A36B93"/>
    <w:rsid w:val="00A40690"/>
    <w:rsid w:val="00A5106D"/>
    <w:rsid w:val="00A53856"/>
    <w:rsid w:val="00A67EE8"/>
    <w:rsid w:val="00A72954"/>
    <w:rsid w:val="00A73495"/>
    <w:rsid w:val="00A74061"/>
    <w:rsid w:val="00A80822"/>
    <w:rsid w:val="00A91E9C"/>
    <w:rsid w:val="00A93F1D"/>
    <w:rsid w:val="00AA1AB8"/>
    <w:rsid w:val="00AA217F"/>
    <w:rsid w:val="00AA3473"/>
    <w:rsid w:val="00AB4E8E"/>
    <w:rsid w:val="00AB56F3"/>
    <w:rsid w:val="00AC10CD"/>
    <w:rsid w:val="00AC15F5"/>
    <w:rsid w:val="00AC18E2"/>
    <w:rsid w:val="00AC5335"/>
    <w:rsid w:val="00AC5F06"/>
    <w:rsid w:val="00AC5FD3"/>
    <w:rsid w:val="00AE1457"/>
    <w:rsid w:val="00AE3135"/>
    <w:rsid w:val="00AE5787"/>
    <w:rsid w:val="00AF1A3B"/>
    <w:rsid w:val="00AF1AC6"/>
    <w:rsid w:val="00AF2510"/>
    <w:rsid w:val="00AF33D0"/>
    <w:rsid w:val="00AF5956"/>
    <w:rsid w:val="00AF75FB"/>
    <w:rsid w:val="00B0031A"/>
    <w:rsid w:val="00B00463"/>
    <w:rsid w:val="00B051A7"/>
    <w:rsid w:val="00B06264"/>
    <w:rsid w:val="00B069A5"/>
    <w:rsid w:val="00B10194"/>
    <w:rsid w:val="00B13AFA"/>
    <w:rsid w:val="00B1436C"/>
    <w:rsid w:val="00B206DD"/>
    <w:rsid w:val="00B23878"/>
    <w:rsid w:val="00B23D15"/>
    <w:rsid w:val="00B302DB"/>
    <w:rsid w:val="00B3634C"/>
    <w:rsid w:val="00B46CDE"/>
    <w:rsid w:val="00B511DC"/>
    <w:rsid w:val="00B60690"/>
    <w:rsid w:val="00B645E4"/>
    <w:rsid w:val="00B668EC"/>
    <w:rsid w:val="00B71CCF"/>
    <w:rsid w:val="00B80472"/>
    <w:rsid w:val="00B813E6"/>
    <w:rsid w:val="00B81AAC"/>
    <w:rsid w:val="00B83A4A"/>
    <w:rsid w:val="00B84449"/>
    <w:rsid w:val="00B953FC"/>
    <w:rsid w:val="00B976E2"/>
    <w:rsid w:val="00B979AE"/>
    <w:rsid w:val="00BA39C8"/>
    <w:rsid w:val="00BA6783"/>
    <w:rsid w:val="00BA6E0C"/>
    <w:rsid w:val="00BB06A2"/>
    <w:rsid w:val="00BB6A32"/>
    <w:rsid w:val="00BB6E38"/>
    <w:rsid w:val="00BB72E6"/>
    <w:rsid w:val="00BB76A5"/>
    <w:rsid w:val="00BC3540"/>
    <w:rsid w:val="00BC6A2D"/>
    <w:rsid w:val="00BD1E32"/>
    <w:rsid w:val="00BD2328"/>
    <w:rsid w:val="00BD6319"/>
    <w:rsid w:val="00BE0FED"/>
    <w:rsid w:val="00BF088E"/>
    <w:rsid w:val="00BF0CC6"/>
    <w:rsid w:val="00BF216B"/>
    <w:rsid w:val="00BF26AD"/>
    <w:rsid w:val="00C004CC"/>
    <w:rsid w:val="00C00668"/>
    <w:rsid w:val="00C00F90"/>
    <w:rsid w:val="00C07F50"/>
    <w:rsid w:val="00C07F71"/>
    <w:rsid w:val="00C11C6B"/>
    <w:rsid w:val="00C121F5"/>
    <w:rsid w:val="00C12686"/>
    <w:rsid w:val="00C12B5F"/>
    <w:rsid w:val="00C1318A"/>
    <w:rsid w:val="00C16CD1"/>
    <w:rsid w:val="00C178DB"/>
    <w:rsid w:val="00C2000E"/>
    <w:rsid w:val="00C22DE2"/>
    <w:rsid w:val="00C23A42"/>
    <w:rsid w:val="00C23A80"/>
    <w:rsid w:val="00C41EB2"/>
    <w:rsid w:val="00C43456"/>
    <w:rsid w:val="00C43F68"/>
    <w:rsid w:val="00C44C39"/>
    <w:rsid w:val="00C44CF0"/>
    <w:rsid w:val="00C460AE"/>
    <w:rsid w:val="00C5072A"/>
    <w:rsid w:val="00C50BCE"/>
    <w:rsid w:val="00C563E5"/>
    <w:rsid w:val="00C67286"/>
    <w:rsid w:val="00C71F26"/>
    <w:rsid w:val="00C74BC7"/>
    <w:rsid w:val="00C76A4E"/>
    <w:rsid w:val="00C80781"/>
    <w:rsid w:val="00C8130B"/>
    <w:rsid w:val="00C82918"/>
    <w:rsid w:val="00C83D52"/>
    <w:rsid w:val="00C85143"/>
    <w:rsid w:val="00C92729"/>
    <w:rsid w:val="00C9292D"/>
    <w:rsid w:val="00C97F3C"/>
    <w:rsid w:val="00CA2552"/>
    <w:rsid w:val="00CA478A"/>
    <w:rsid w:val="00CA7437"/>
    <w:rsid w:val="00CB01B1"/>
    <w:rsid w:val="00CB0D56"/>
    <w:rsid w:val="00CB177D"/>
    <w:rsid w:val="00CB2066"/>
    <w:rsid w:val="00CB20F6"/>
    <w:rsid w:val="00CB45BB"/>
    <w:rsid w:val="00CB4E2A"/>
    <w:rsid w:val="00CB67DA"/>
    <w:rsid w:val="00CB6A88"/>
    <w:rsid w:val="00CB7498"/>
    <w:rsid w:val="00CC4B6E"/>
    <w:rsid w:val="00CC4CA9"/>
    <w:rsid w:val="00CD0465"/>
    <w:rsid w:val="00CD4BE2"/>
    <w:rsid w:val="00CD6944"/>
    <w:rsid w:val="00CD737B"/>
    <w:rsid w:val="00CE051C"/>
    <w:rsid w:val="00CE4481"/>
    <w:rsid w:val="00CE61C9"/>
    <w:rsid w:val="00CE6EE1"/>
    <w:rsid w:val="00CF65B2"/>
    <w:rsid w:val="00D00983"/>
    <w:rsid w:val="00D02A2F"/>
    <w:rsid w:val="00D07F56"/>
    <w:rsid w:val="00D30344"/>
    <w:rsid w:val="00D31AC6"/>
    <w:rsid w:val="00D320CA"/>
    <w:rsid w:val="00D33F03"/>
    <w:rsid w:val="00D36EAC"/>
    <w:rsid w:val="00D44EAD"/>
    <w:rsid w:val="00D51057"/>
    <w:rsid w:val="00D52AB9"/>
    <w:rsid w:val="00D537C5"/>
    <w:rsid w:val="00D53C98"/>
    <w:rsid w:val="00D54E33"/>
    <w:rsid w:val="00D60A90"/>
    <w:rsid w:val="00D64FD3"/>
    <w:rsid w:val="00D6793C"/>
    <w:rsid w:val="00D735CF"/>
    <w:rsid w:val="00D741B5"/>
    <w:rsid w:val="00D74ACC"/>
    <w:rsid w:val="00D820A6"/>
    <w:rsid w:val="00D82B35"/>
    <w:rsid w:val="00D82D1A"/>
    <w:rsid w:val="00D83A23"/>
    <w:rsid w:val="00D83E14"/>
    <w:rsid w:val="00D83E21"/>
    <w:rsid w:val="00D864A7"/>
    <w:rsid w:val="00D963A6"/>
    <w:rsid w:val="00D97450"/>
    <w:rsid w:val="00DA3E4D"/>
    <w:rsid w:val="00DB1C47"/>
    <w:rsid w:val="00DB24FA"/>
    <w:rsid w:val="00DB3E88"/>
    <w:rsid w:val="00DB467F"/>
    <w:rsid w:val="00DC11B7"/>
    <w:rsid w:val="00DC68D6"/>
    <w:rsid w:val="00DD0EA3"/>
    <w:rsid w:val="00DD3A08"/>
    <w:rsid w:val="00DD5A8E"/>
    <w:rsid w:val="00DD6643"/>
    <w:rsid w:val="00DD73A7"/>
    <w:rsid w:val="00DE2B10"/>
    <w:rsid w:val="00DE6D03"/>
    <w:rsid w:val="00DF34DE"/>
    <w:rsid w:val="00DF4D8A"/>
    <w:rsid w:val="00E00A83"/>
    <w:rsid w:val="00E06BDC"/>
    <w:rsid w:val="00E11BE0"/>
    <w:rsid w:val="00E12291"/>
    <w:rsid w:val="00E12AEE"/>
    <w:rsid w:val="00E1431D"/>
    <w:rsid w:val="00E15673"/>
    <w:rsid w:val="00E16084"/>
    <w:rsid w:val="00E160CC"/>
    <w:rsid w:val="00E205DA"/>
    <w:rsid w:val="00E20B0A"/>
    <w:rsid w:val="00E231B5"/>
    <w:rsid w:val="00E25878"/>
    <w:rsid w:val="00E279DD"/>
    <w:rsid w:val="00E27EAE"/>
    <w:rsid w:val="00E47B60"/>
    <w:rsid w:val="00E546A9"/>
    <w:rsid w:val="00E54965"/>
    <w:rsid w:val="00E54FE4"/>
    <w:rsid w:val="00E60125"/>
    <w:rsid w:val="00E6073D"/>
    <w:rsid w:val="00E60C31"/>
    <w:rsid w:val="00E6559D"/>
    <w:rsid w:val="00E66782"/>
    <w:rsid w:val="00E70D91"/>
    <w:rsid w:val="00E71694"/>
    <w:rsid w:val="00E773A5"/>
    <w:rsid w:val="00E84360"/>
    <w:rsid w:val="00E86A0B"/>
    <w:rsid w:val="00EA023E"/>
    <w:rsid w:val="00EA1C61"/>
    <w:rsid w:val="00EA7280"/>
    <w:rsid w:val="00EA7B7C"/>
    <w:rsid w:val="00EB2727"/>
    <w:rsid w:val="00EB771C"/>
    <w:rsid w:val="00EC3122"/>
    <w:rsid w:val="00ED096D"/>
    <w:rsid w:val="00ED1FC1"/>
    <w:rsid w:val="00ED255B"/>
    <w:rsid w:val="00ED3699"/>
    <w:rsid w:val="00ED46C2"/>
    <w:rsid w:val="00EE06D6"/>
    <w:rsid w:val="00EE0C17"/>
    <w:rsid w:val="00EE1963"/>
    <w:rsid w:val="00EE1A5F"/>
    <w:rsid w:val="00EE2E6F"/>
    <w:rsid w:val="00EE3A7B"/>
    <w:rsid w:val="00EE4589"/>
    <w:rsid w:val="00F07F1C"/>
    <w:rsid w:val="00F107F6"/>
    <w:rsid w:val="00F112F9"/>
    <w:rsid w:val="00F14C73"/>
    <w:rsid w:val="00F16DD7"/>
    <w:rsid w:val="00F17B45"/>
    <w:rsid w:val="00F21A07"/>
    <w:rsid w:val="00F24B18"/>
    <w:rsid w:val="00F270EA"/>
    <w:rsid w:val="00F276FA"/>
    <w:rsid w:val="00F33354"/>
    <w:rsid w:val="00F33E2F"/>
    <w:rsid w:val="00F36562"/>
    <w:rsid w:val="00F36D77"/>
    <w:rsid w:val="00F42927"/>
    <w:rsid w:val="00F44F88"/>
    <w:rsid w:val="00F461F1"/>
    <w:rsid w:val="00F50AEC"/>
    <w:rsid w:val="00F53443"/>
    <w:rsid w:val="00F5415F"/>
    <w:rsid w:val="00F60132"/>
    <w:rsid w:val="00F6118D"/>
    <w:rsid w:val="00F61841"/>
    <w:rsid w:val="00F63C0C"/>
    <w:rsid w:val="00F746AC"/>
    <w:rsid w:val="00F8179E"/>
    <w:rsid w:val="00F82542"/>
    <w:rsid w:val="00F867C7"/>
    <w:rsid w:val="00F87DBD"/>
    <w:rsid w:val="00F9061C"/>
    <w:rsid w:val="00F93B30"/>
    <w:rsid w:val="00F93D65"/>
    <w:rsid w:val="00F94E22"/>
    <w:rsid w:val="00FA4444"/>
    <w:rsid w:val="00FA7970"/>
    <w:rsid w:val="00FB21B5"/>
    <w:rsid w:val="00FB7DE1"/>
    <w:rsid w:val="00FC0F6F"/>
    <w:rsid w:val="00FC14E0"/>
    <w:rsid w:val="00FD298A"/>
    <w:rsid w:val="00FD45A9"/>
    <w:rsid w:val="00FD5EC4"/>
    <w:rsid w:val="00FD6E7A"/>
    <w:rsid w:val="00FE21F9"/>
    <w:rsid w:val="00FE2A70"/>
    <w:rsid w:val="00FE3CB0"/>
    <w:rsid w:val="00FE4927"/>
    <w:rsid w:val="00FE49BB"/>
    <w:rsid w:val="00FE77DA"/>
    <w:rsid w:val="00FE7C5A"/>
    <w:rsid w:val="00FF03BE"/>
    <w:rsid w:val="00FF0AB0"/>
    <w:rsid w:val="00FF0E16"/>
    <w:rsid w:val="00FF2214"/>
    <w:rsid w:val="00FF5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6835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571"/>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uiPriority w:val="9"/>
    <w:qFormat/>
    <w:rsid w:val="00280C0E"/>
    <w:pPr>
      <w:numPr>
        <w:numId w:val="7"/>
      </w:numPr>
      <w:spacing w:before="100" w:after="100" w:line="276" w:lineRule="auto"/>
      <w:outlineLvl w:val="0"/>
    </w:pPr>
    <w:rPr>
      <w:b/>
    </w:rPr>
  </w:style>
  <w:style w:type="paragraph" w:styleId="Heading2">
    <w:name w:val="heading 2"/>
    <w:basedOn w:val="ListParagraph"/>
    <w:next w:val="Normal"/>
    <w:link w:val="Heading2Char"/>
    <w:uiPriority w:val="9"/>
    <w:unhideWhenUsed/>
    <w:qFormat/>
    <w:rsid w:val="00813571"/>
    <w:pPr>
      <w:ind w:left="1170"/>
      <w:outlineLvl w:val="1"/>
    </w:pPr>
    <w:rPr>
      <w:rFonts w:eastAsia="Calibri"/>
      <w:bCs/>
      <w:i/>
      <w:sz w:val="22"/>
      <w:szCs w:val="22"/>
      <w:shd w:val="clear" w:color="auto" w:fill="FFFFFF"/>
    </w:rPr>
  </w:style>
  <w:style w:type="paragraph" w:styleId="Heading4">
    <w:name w:val="heading 4"/>
    <w:basedOn w:val="Normal"/>
    <w:next w:val="Normal"/>
    <w:link w:val="Heading4Char"/>
    <w:uiPriority w:val="9"/>
    <w:semiHidden/>
    <w:unhideWhenUsed/>
    <w:qFormat/>
    <w:rsid w:val="00B6069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13571"/>
    <w:rPr>
      <w:color w:val="0563C1" w:themeColor="hyperlink"/>
      <w:u w:val="single"/>
    </w:rPr>
  </w:style>
  <w:style w:type="character" w:styleId="UnresolvedMention">
    <w:name w:val="Unresolved Mention"/>
    <w:basedOn w:val="DefaultParagraphFont"/>
    <w:uiPriority w:val="99"/>
    <w:semiHidden/>
    <w:unhideWhenUsed/>
    <w:rsid w:val="00813571"/>
    <w:rPr>
      <w:color w:val="605E5C"/>
      <w:shd w:val="clear" w:color="auto" w:fill="E1DFDD"/>
    </w:rPr>
  </w:style>
  <w:style w:type="character" w:styleId="FollowedHyperlink">
    <w:name w:val="FollowedHyperlink"/>
    <w:basedOn w:val="DefaultParagraphFont"/>
    <w:uiPriority w:val="99"/>
    <w:semiHidden/>
    <w:unhideWhenUsed/>
    <w:rsid w:val="00813571"/>
    <w:rPr>
      <w:color w:val="954F72" w:themeColor="followedHyperlink"/>
      <w:u w:val="single"/>
    </w:rPr>
  </w:style>
  <w:style w:type="paragraph" w:styleId="Header">
    <w:name w:val="header"/>
    <w:basedOn w:val="Normal"/>
    <w:link w:val="HeaderChar"/>
    <w:uiPriority w:val="99"/>
    <w:unhideWhenUsed/>
    <w:rsid w:val="00813571"/>
    <w:pPr>
      <w:tabs>
        <w:tab w:val="center" w:pos="4680"/>
        <w:tab w:val="right" w:pos="9360"/>
      </w:tabs>
    </w:pPr>
  </w:style>
  <w:style w:type="character" w:customStyle="1" w:styleId="HeaderChar">
    <w:name w:val="Header Char"/>
    <w:basedOn w:val="DefaultParagraphFont"/>
    <w:link w:val="Header"/>
    <w:uiPriority w:val="99"/>
    <w:rsid w:val="008135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13571"/>
    <w:pPr>
      <w:tabs>
        <w:tab w:val="center" w:pos="4680"/>
        <w:tab w:val="right" w:pos="9360"/>
      </w:tabs>
    </w:pPr>
  </w:style>
  <w:style w:type="character" w:customStyle="1" w:styleId="FooterChar">
    <w:name w:val="Footer Char"/>
    <w:basedOn w:val="DefaultParagraphFont"/>
    <w:link w:val="Footer"/>
    <w:uiPriority w:val="99"/>
    <w:rsid w:val="00813571"/>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13571"/>
    <w:rPr>
      <w:sz w:val="16"/>
      <w:szCs w:val="16"/>
    </w:rPr>
  </w:style>
  <w:style w:type="paragraph" w:styleId="CommentText">
    <w:name w:val="annotation text"/>
    <w:basedOn w:val="Normal"/>
    <w:link w:val="CommentTextChar"/>
    <w:uiPriority w:val="99"/>
    <w:unhideWhenUsed/>
    <w:rsid w:val="00813571"/>
    <w:pPr>
      <w:jc w:val="both"/>
    </w:pPr>
    <w:rPr>
      <w:rFonts w:eastAsia="Calibri"/>
      <w:bCs/>
      <w:sz w:val="20"/>
      <w:szCs w:val="20"/>
    </w:rPr>
  </w:style>
  <w:style w:type="character" w:customStyle="1" w:styleId="CommentTextChar">
    <w:name w:val="Comment Text Char"/>
    <w:basedOn w:val="DefaultParagraphFont"/>
    <w:link w:val="CommentText"/>
    <w:uiPriority w:val="99"/>
    <w:rsid w:val="00813571"/>
    <w:rPr>
      <w:rFonts w:ascii="Times New Roman" w:eastAsia="Calibri" w:hAnsi="Times New Roman" w:cs="Times New Roman"/>
      <w:bCs/>
      <w:sz w:val="20"/>
      <w:szCs w:val="20"/>
    </w:rPr>
  </w:style>
  <w:style w:type="paragraph" w:styleId="CommentSubject">
    <w:name w:val="annotation subject"/>
    <w:basedOn w:val="CommentText"/>
    <w:next w:val="CommentText"/>
    <w:link w:val="CommentSubjectChar"/>
    <w:uiPriority w:val="99"/>
    <w:semiHidden/>
    <w:unhideWhenUsed/>
    <w:rsid w:val="00813571"/>
    <w:pPr>
      <w:jc w:val="left"/>
    </w:pPr>
    <w:rPr>
      <w:b/>
    </w:rPr>
  </w:style>
  <w:style w:type="character" w:customStyle="1" w:styleId="CommentSubjectChar">
    <w:name w:val="Comment Subject Char"/>
    <w:basedOn w:val="CommentTextChar"/>
    <w:link w:val="CommentSubject"/>
    <w:uiPriority w:val="99"/>
    <w:semiHidden/>
    <w:rsid w:val="0081357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813571"/>
    <w:rPr>
      <w:rFonts w:ascii="Tahoma" w:hAnsi="Tahoma" w:cs="Tahoma"/>
      <w:sz w:val="16"/>
      <w:szCs w:val="16"/>
    </w:rPr>
  </w:style>
  <w:style w:type="character" w:customStyle="1" w:styleId="BalloonTextChar">
    <w:name w:val="Balloon Text Char"/>
    <w:basedOn w:val="DefaultParagraphFont"/>
    <w:link w:val="BalloonText"/>
    <w:uiPriority w:val="99"/>
    <w:semiHidden/>
    <w:rsid w:val="00813571"/>
    <w:rPr>
      <w:rFonts w:ascii="Tahoma" w:eastAsia="Times New Roman" w:hAnsi="Tahoma" w:cs="Tahoma"/>
      <w:sz w:val="16"/>
      <w:szCs w:val="16"/>
    </w:rPr>
  </w:style>
  <w:style w:type="character" w:styleId="Emphasis">
    <w:name w:val="Emphasis"/>
    <w:basedOn w:val="DefaultParagraphFont"/>
    <w:uiPriority w:val="20"/>
    <w:qFormat/>
    <w:rsid w:val="00813571"/>
    <w:rPr>
      <w:i/>
      <w:iCs/>
    </w:rPr>
  </w:style>
  <w:style w:type="paragraph" w:styleId="EndnoteText">
    <w:name w:val="endnote text"/>
    <w:basedOn w:val="Normal"/>
    <w:link w:val="EndnoteTextChar"/>
    <w:uiPriority w:val="99"/>
    <w:unhideWhenUsed/>
    <w:rsid w:val="00B813E6"/>
    <w:pPr>
      <w:spacing w:line="276" w:lineRule="auto"/>
      <w:jc w:val="both"/>
    </w:pPr>
    <w:rPr>
      <w:bCs/>
      <w:sz w:val="20"/>
      <w:szCs w:val="20"/>
      <w:lang w:eastAsia="zh-CN"/>
    </w:rPr>
  </w:style>
  <w:style w:type="character" w:customStyle="1" w:styleId="EndnoteTextChar">
    <w:name w:val="Endnote Text Char"/>
    <w:basedOn w:val="DefaultParagraphFont"/>
    <w:link w:val="EndnoteText"/>
    <w:uiPriority w:val="99"/>
    <w:rsid w:val="00B813E6"/>
    <w:rPr>
      <w:rFonts w:ascii="Times New Roman" w:eastAsia="Times New Roman" w:hAnsi="Times New Roman" w:cs="Times New Roman"/>
      <w:bCs/>
      <w:sz w:val="20"/>
      <w:szCs w:val="20"/>
      <w:lang w:eastAsia="zh-CN"/>
    </w:rPr>
  </w:style>
  <w:style w:type="character" w:styleId="FootnoteReference">
    <w:name w:val="footnote reference"/>
    <w:basedOn w:val="DefaultParagraphFont"/>
    <w:unhideWhenUsed/>
    <w:rsid w:val="00813571"/>
    <w:rPr>
      <w:vertAlign w:val="superscript"/>
    </w:rPr>
  </w:style>
  <w:style w:type="paragraph" w:styleId="FootnoteText">
    <w:name w:val="footnote text"/>
    <w:aliases w:val="Char,Footnote Text Char Char,Footnote Text Char1 Char Char,Footnote Text Char Char1 Char Char,Footnote Text Char1 Char Char Char Char,Footnote Text Char Char1 Char Char Char Char,Texto nota pie,FA Fu"/>
    <w:basedOn w:val="Normal"/>
    <w:link w:val="FootnoteTextChar"/>
    <w:uiPriority w:val="99"/>
    <w:unhideWhenUsed/>
    <w:rsid w:val="00813571"/>
    <w:rPr>
      <w:sz w:val="20"/>
      <w:szCs w:val="20"/>
    </w:rPr>
  </w:style>
  <w:style w:type="character" w:customStyle="1" w:styleId="FootnoteTextChar">
    <w:name w:val="Footnote Text Char"/>
    <w:aliases w:val="Char Char,Footnote Text Char Char Char,Footnote Text Char1 Char Char Char,Footnote Text Char Char1 Char Char Char,Footnote Text Char1 Char Char Char Char Char,Footnote Text Char Char1 Char Char Char Char Char,Texto nota pie Char"/>
    <w:basedOn w:val="DefaultParagraphFont"/>
    <w:link w:val="FootnoteText"/>
    <w:uiPriority w:val="99"/>
    <w:rsid w:val="00813571"/>
    <w:rPr>
      <w:rFonts w:ascii="Times New Roman" w:eastAsia="Times New Roman" w:hAnsi="Times New Roman" w:cs="Times New Roman"/>
      <w:sz w:val="20"/>
      <w:szCs w:val="20"/>
    </w:rPr>
  </w:style>
  <w:style w:type="paragraph" w:styleId="ListParagraph">
    <w:name w:val="List Paragraph"/>
    <w:basedOn w:val="Normal"/>
    <w:uiPriority w:val="34"/>
    <w:qFormat/>
    <w:rsid w:val="007E4C4D"/>
    <w:pPr>
      <w:numPr>
        <w:numId w:val="10"/>
      </w:numPr>
      <w:spacing w:after="200"/>
      <w:ind w:left="0" w:firstLine="0"/>
      <w:jc w:val="both"/>
    </w:pPr>
  </w:style>
  <w:style w:type="character" w:customStyle="1" w:styleId="Heading1Char">
    <w:name w:val="Heading 1 Char"/>
    <w:basedOn w:val="DefaultParagraphFont"/>
    <w:link w:val="Heading1"/>
    <w:uiPriority w:val="9"/>
    <w:rsid w:val="00280C0E"/>
    <w:rPr>
      <w:rFonts w:ascii="Times New Roman" w:eastAsia="Times New Roman" w:hAnsi="Times New Roman" w:cs="Times New Roman"/>
      <w:b/>
      <w:sz w:val="24"/>
      <w:szCs w:val="24"/>
    </w:rPr>
  </w:style>
  <w:style w:type="character" w:customStyle="1" w:styleId="Heading2Char">
    <w:name w:val="Heading 2 Char"/>
    <w:basedOn w:val="DefaultParagraphFont"/>
    <w:link w:val="Heading2"/>
    <w:uiPriority w:val="9"/>
    <w:rsid w:val="00813571"/>
    <w:rPr>
      <w:rFonts w:ascii="Times New Roman" w:eastAsia="Calibri" w:hAnsi="Times New Roman" w:cs="Times New Roman"/>
      <w:bCs/>
      <w:i/>
    </w:rPr>
  </w:style>
  <w:style w:type="numbering" w:customStyle="1" w:styleId="ImportedStyle1">
    <w:name w:val="Imported Style 1"/>
    <w:rsid w:val="00813571"/>
    <w:pPr>
      <w:numPr>
        <w:numId w:val="4"/>
      </w:numPr>
    </w:pPr>
  </w:style>
  <w:style w:type="paragraph" w:styleId="ListNumber">
    <w:name w:val="List Number"/>
    <w:rsid w:val="00813571"/>
    <w:pPr>
      <w:widowControl w:val="0"/>
      <w:pBdr>
        <w:top w:val="nil"/>
        <w:left w:val="nil"/>
        <w:bottom w:val="nil"/>
        <w:right w:val="nil"/>
        <w:between w:val="nil"/>
        <w:bar w:val="nil"/>
      </w:pBdr>
      <w:tabs>
        <w:tab w:val="left" w:pos="360"/>
      </w:tabs>
      <w:suppressAutoHyphens/>
      <w:spacing w:after="0" w:line="240" w:lineRule="auto"/>
    </w:pPr>
    <w:rPr>
      <w:rFonts w:ascii="Times New Roman" w:eastAsia="Times New Roman" w:hAnsi="Times New Roman" w:cs="Times New Roman"/>
      <w:color w:val="000000"/>
      <w:kern w:val="3"/>
      <w:sz w:val="24"/>
      <w:szCs w:val="24"/>
      <w:u w:color="000000"/>
      <w:bdr w:val="nil"/>
      <w:lang w:eastAsia="en-GB"/>
      <w14:textOutline w14:w="0" w14:cap="flat" w14:cmpd="sng" w14:algn="ctr">
        <w14:noFill/>
        <w14:prstDash w14:val="solid"/>
        <w14:bevel/>
      </w14:textOutline>
    </w:rPr>
  </w:style>
  <w:style w:type="paragraph" w:customStyle="1" w:styleId="m3441067232109396579msolistparagraph">
    <w:name w:val="m_3441067232109396579msolistparagraph"/>
    <w:basedOn w:val="Normal"/>
    <w:rsid w:val="00813571"/>
    <w:pPr>
      <w:spacing w:before="100" w:beforeAutospacing="1" w:after="100" w:afterAutospacing="1"/>
    </w:pPr>
  </w:style>
  <w:style w:type="paragraph" w:styleId="NormalWeb">
    <w:name w:val="Normal (Web)"/>
    <w:basedOn w:val="ListParagraph"/>
    <w:uiPriority w:val="99"/>
    <w:unhideWhenUsed/>
    <w:rsid w:val="00CB2066"/>
    <w:pPr>
      <w:numPr>
        <w:numId w:val="15"/>
      </w:numPr>
    </w:pPr>
  </w:style>
  <w:style w:type="character" w:styleId="Strong">
    <w:name w:val="Strong"/>
    <w:basedOn w:val="DefaultParagraphFont"/>
    <w:uiPriority w:val="22"/>
    <w:qFormat/>
    <w:rsid w:val="00813571"/>
    <w:rPr>
      <w:b/>
      <w:bCs/>
    </w:rPr>
  </w:style>
  <w:style w:type="character" w:customStyle="1" w:styleId="UnresolvedMention1">
    <w:name w:val="Unresolved Mention1"/>
    <w:basedOn w:val="DefaultParagraphFont"/>
    <w:uiPriority w:val="99"/>
    <w:semiHidden/>
    <w:unhideWhenUsed/>
    <w:rsid w:val="00813571"/>
    <w:rPr>
      <w:color w:val="605E5C"/>
      <w:shd w:val="clear" w:color="auto" w:fill="E1DFDD"/>
    </w:rPr>
  </w:style>
  <w:style w:type="character" w:customStyle="1" w:styleId="UnresolvedMention2">
    <w:name w:val="Unresolved Mention2"/>
    <w:basedOn w:val="DefaultParagraphFont"/>
    <w:uiPriority w:val="99"/>
    <w:semiHidden/>
    <w:unhideWhenUsed/>
    <w:rsid w:val="00813571"/>
    <w:rPr>
      <w:color w:val="605E5C"/>
      <w:shd w:val="clear" w:color="auto" w:fill="E1DFDD"/>
    </w:rPr>
  </w:style>
  <w:style w:type="character" w:customStyle="1" w:styleId="UnresolvedMention3">
    <w:name w:val="Unresolved Mention3"/>
    <w:basedOn w:val="DefaultParagraphFont"/>
    <w:uiPriority w:val="99"/>
    <w:semiHidden/>
    <w:unhideWhenUsed/>
    <w:rsid w:val="00813571"/>
    <w:rPr>
      <w:color w:val="605E5C"/>
      <w:shd w:val="clear" w:color="auto" w:fill="E1DFDD"/>
    </w:rPr>
  </w:style>
  <w:style w:type="paragraph" w:styleId="BodyText">
    <w:name w:val="Body Text"/>
    <w:basedOn w:val="Normal"/>
    <w:link w:val="BodyTextChar"/>
    <w:uiPriority w:val="99"/>
    <w:semiHidden/>
    <w:unhideWhenUsed/>
    <w:rsid w:val="00D02A2F"/>
    <w:pPr>
      <w:spacing w:after="120"/>
    </w:pPr>
  </w:style>
  <w:style w:type="character" w:customStyle="1" w:styleId="BodyTextChar">
    <w:name w:val="Body Text Char"/>
    <w:basedOn w:val="DefaultParagraphFont"/>
    <w:link w:val="BodyText"/>
    <w:uiPriority w:val="99"/>
    <w:semiHidden/>
    <w:rsid w:val="00D02A2F"/>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rsid w:val="00894FF8"/>
    <w:rPr>
      <w:vertAlign w:val="superscript"/>
    </w:rPr>
  </w:style>
  <w:style w:type="paragraph" w:styleId="Revision">
    <w:name w:val="Revision"/>
    <w:hidden/>
    <w:uiPriority w:val="99"/>
    <w:semiHidden/>
    <w:rsid w:val="009153AF"/>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15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60690"/>
    <w:rPr>
      <w:rFonts w:asciiTheme="majorHAnsi" w:eastAsiaTheme="majorEastAsia" w:hAnsiTheme="majorHAnsi" w:cstheme="majorBidi"/>
      <w:i/>
      <w:iCs/>
      <w:color w:val="2F5496" w:themeColor="accent1" w:themeShade="BF"/>
      <w:sz w:val="24"/>
      <w:szCs w:val="24"/>
    </w:rPr>
  </w:style>
  <w:style w:type="character" w:customStyle="1" w:styleId="gmail-msofootnotereference">
    <w:name w:val="gmail-msofootnotereference"/>
    <w:basedOn w:val="DefaultParagraphFont"/>
    <w:rsid w:val="00BD6319"/>
  </w:style>
  <w:style w:type="paragraph" w:styleId="NoSpacing">
    <w:name w:val="No Spacing"/>
    <w:link w:val="NoSpacingChar"/>
    <w:uiPriority w:val="1"/>
    <w:qFormat/>
    <w:rsid w:val="001C7823"/>
    <w:pPr>
      <w:spacing w:after="0" w:line="240" w:lineRule="auto"/>
    </w:pPr>
    <w:rPr>
      <w:rFonts w:eastAsiaTheme="minorEastAsia"/>
    </w:rPr>
  </w:style>
  <w:style w:type="character" w:customStyle="1" w:styleId="NoSpacingChar">
    <w:name w:val="No Spacing Char"/>
    <w:basedOn w:val="DefaultParagraphFont"/>
    <w:link w:val="NoSpacing"/>
    <w:uiPriority w:val="1"/>
    <w:rsid w:val="001C7823"/>
    <w:rPr>
      <w:rFonts w:eastAsiaTheme="minorEastAsia"/>
    </w:rPr>
  </w:style>
  <w:style w:type="paragraph" w:customStyle="1" w:styleId="paragraph">
    <w:name w:val="paragraph"/>
    <w:basedOn w:val="Normal"/>
    <w:rsid w:val="001C7823"/>
    <w:pPr>
      <w:spacing w:before="100" w:beforeAutospacing="1" w:after="100" w:afterAutospacing="1"/>
    </w:pPr>
  </w:style>
  <w:style w:type="character" w:customStyle="1" w:styleId="normaltextrun">
    <w:name w:val="normaltextrun"/>
    <w:basedOn w:val="DefaultParagraphFont"/>
    <w:rsid w:val="001C7823"/>
  </w:style>
  <w:style w:type="character" w:customStyle="1" w:styleId="eop">
    <w:name w:val="eop"/>
    <w:basedOn w:val="DefaultParagraphFont"/>
    <w:rsid w:val="001C7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319">
      <w:bodyDiv w:val="1"/>
      <w:marLeft w:val="0"/>
      <w:marRight w:val="0"/>
      <w:marTop w:val="0"/>
      <w:marBottom w:val="0"/>
      <w:divBdr>
        <w:top w:val="none" w:sz="0" w:space="0" w:color="auto"/>
        <w:left w:val="none" w:sz="0" w:space="0" w:color="auto"/>
        <w:bottom w:val="none" w:sz="0" w:space="0" w:color="auto"/>
        <w:right w:val="none" w:sz="0" w:space="0" w:color="auto"/>
      </w:divBdr>
    </w:div>
    <w:div w:id="113640284">
      <w:bodyDiv w:val="1"/>
      <w:marLeft w:val="0"/>
      <w:marRight w:val="0"/>
      <w:marTop w:val="0"/>
      <w:marBottom w:val="0"/>
      <w:divBdr>
        <w:top w:val="none" w:sz="0" w:space="0" w:color="auto"/>
        <w:left w:val="none" w:sz="0" w:space="0" w:color="auto"/>
        <w:bottom w:val="none" w:sz="0" w:space="0" w:color="auto"/>
        <w:right w:val="none" w:sz="0" w:space="0" w:color="auto"/>
      </w:divBdr>
    </w:div>
    <w:div w:id="129133588">
      <w:bodyDiv w:val="1"/>
      <w:marLeft w:val="0"/>
      <w:marRight w:val="0"/>
      <w:marTop w:val="0"/>
      <w:marBottom w:val="0"/>
      <w:divBdr>
        <w:top w:val="none" w:sz="0" w:space="0" w:color="auto"/>
        <w:left w:val="none" w:sz="0" w:space="0" w:color="auto"/>
        <w:bottom w:val="none" w:sz="0" w:space="0" w:color="auto"/>
        <w:right w:val="none" w:sz="0" w:space="0" w:color="auto"/>
      </w:divBdr>
    </w:div>
    <w:div w:id="181016100">
      <w:bodyDiv w:val="1"/>
      <w:marLeft w:val="0"/>
      <w:marRight w:val="0"/>
      <w:marTop w:val="0"/>
      <w:marBottom w:val="0"/>
      <w:divBdr>
        <w:top w:val="none" w:sz="0" w:space="0" w:color="auto"/>
        <w:left w:val="none" w:sz="0" w:space="0" w:color="auto"/>
        <w:bottom w:val="none" w:sz="0" w:space="0" w:color="auto"/>
        <w:right w:val="none" w:sz="0" w:space="0" w:color="auto"/>
      </w:divBdr>
    </w:div>
    <w:div w:id="634528973">
      <w:bodyDiv w:val="1"/>
      <w:marLeft w:val="0"/>
      <w:marRight w:val="0"/>
      <w:marTop w:val="0"/>
      <w:marBottom w:val="0"/>
      <w:divBdr>
        <w:top w:val="none" w:sz="0" w:space="0" w:color="auto"/>
        <w:left w:val="none" w:sz="0" w:space="0" w:color="auto"/>
        <w:bottom w:val="none" w:sz="0" w:space="0" w:color="auto"/>
        <w:right w:val="none" w:sz="0" w:space="0" w:color="auto"/>
      </w:divBdr>
    </w:div>
    <w:div w:id="733697618">
      <w:bodyDiv w:val="1"/>
      <w:marLeft w:val="0"/>
      <w:marRight w:val="0"/>
      <w:marTop w:val="0"/>
      <w:marBottom w:val="0"/>
      <w:divBdr>
        <w:top w:val="none" w:sz="0" w:space="0" w:color="auto"/>
        <w:left w:val="none" w:sz="0" w:space="0" w:color="auto"/>
        <w:bottom w:val="none" w:sz="0" w:space="0" w:color="auto"/>
        <w:right w:val="none" w:sz="0" w:space="0" w:color="auto"/>
      </w:divBdr>
    </w:div>
    <w:div w:id="861631567">
      <w:bodyDiv w:val="1"/>
      <w:marLeft w:val="0"/>
      <w:marRight w:val="0"/>
      <w:marTop w:val="0"/>
      <w:marBottom w:val="0"/>
      <w:divBdr>
        <w:top w:val="none" w:sz="0" w:space="0" w:color="auto"/>
        <w:left w:val="none" w:sz="0" w:space="0" w:color="auto"/>
        <w:bottom w:val="none" w:sz="0" w:space="0" w:color="auto"/>
        <w:right w:val="none" w:sz="0" w:space="0" w:color="auto"/>
      </w:divBdr>
    </w:div>
    <w:div w:id="1167743587">
      <w:bodyDiv w:val="1"/>
      <w:marLeft w:val="0"/>
      <w:marRight w:val="0"/>
      <w:marTop w:val="0"/>
      <w:marBottom w:val="0"/>
      <w:divBdr>
        <w:top w:val="none" w:sz="0" w:space="0" w:color="auto"/>
        <w:left w:val="none" w:sz="0" w:space="0" w:color="auto"/>
        <w:bottom w:val="none" w:sz="0" w:space="0" w:color="auto"/>
        <w:right w:val="none" w:sz="0" w:space="0" w:color="auto"/>
      </w:divBdr>
    </w:div>
    <w:div w:id="1356467768">
      <w:bodyDiv w:val="1"/>
      <w:marLeft w:val="0"/>
      <w:marRight w:val="0"/>
      <w:marTop w:val="0"/>
      <w:marBottom w:val="0"/>
      <w:divBdr>
        <w:top w:val="none" w:sz="0" w:space="0" w:color="auto"/>
        <w:left w:val="none" w:sz="0" w:space="0" w:color="auto"/>
        <w:bottom w:val="none" w:sz="0" w:space="0" w:color="auto"/>
        <w:right w:val="none" w:sz="0" w:space="0" w:color="auto"/>
      </w:divBdr>
    </w:div>
    <w:div w:id="1472553765">
      <w:bodyDiv w:val="1"/>
      <w:marLeft w:val="0"/>
      <w:marRight w:val="0"/>
      <w:marTop w:val="0"/>
      <w:marBottom w:val="0"/>
      <w:divBdr>
        <w:top w:val="none" w:sz="0" w:space="0" w:color="auto"/>
        <w:left w:val="none" w:sz="0" w:space="0" w:color="auto"/>
        <w:bottom w:val="none" w:sz="0" w:space="0" w:color="auto"/>
        <w:right w:val="none" w:sz="0" w:space="0" w:color="auto"/>
      </w:divBdr>
    </w:div>
    <w:div w:id="1707827706">
      <w:bodyDiv w:val="1"/>
      <w:marLeft w:val="0"/>
      <w:marRight w:val="0"/>
      <w:marTop w:val="0"/>
      <w:marBottom w:val="0"/>
      <w:divBdr>
        <w:top w:val="none" w:sz="0" w:space="0" w:color="auto"/>
        <w:left w:val="none" w:sz="0" w:space="0" w:color="auto"/>
        <w:bottom w:val="none" w:sz="0" w:space="0" w:color="auto"/>
        <w:right w:val="none" w:sz="0" w:space="0" w:color="auto"/>
      </w:divBdr>
    </w:div>
    <w:div w:id="1727603079">
      <w:bodyDiv w:val="1"/>
      <w:marLeft w:val="0"/>
      <w:marRight w:val="0"/>
      <w:marTop w:val="0"/>
      <w:marBottom w:val="0"/>
      <w:divBdr>
        <w:top w:val="none" w:sz="0" w:space="0" w:color="auto"/>
        <w:left w:val="none" w:sz="0" w:space="0" w:color="auto"/>
        <w:bottom w:val="none" w:sz="0" w:space="0" w:color="auto"/>
        <w:right w:val="none" w:sz="0" w:space="0" w:color="auto"/>
      </w:divBdr>
    </w:div>
    <w:div w:id="1728794836">
      <w:bodyDiv w:val="1"/>
      <w:marLeft w:val="0"/>
      <w:marRight w:val="0"/>
      <w:marTop w:val="0"/>
      <w:marBottom w:val="0"/>
      <w:divBdr>
        <w:top w:val="none" w:sz="0" w:space="0" w:color="auto"/>
        <w:left w:val="none" w:sz="0" w:space="0" w:color="auto"/>
        <w:bottom w:val="none" w:sz="0" w:space="0" w:color="auto"/>
        <w:right w:val="none" w:sz="0" w:space="0" w:color="auto"/>
      </w:divBdr>
    </w:div>
    <w:div w:id="1820731933">
      <w:bodyDiv w:val="1"/>
      <w:marLeft w:val="0"/>
      <w:marRight w:val="0"/>
      <w:marTop w:val="0"/>
      <w:marBottom w:val="0"/>
      <w:divBdr>
        <w:top w:val="none" w:sz="0" w:space="0" w:color="auto"/>
        <w:left w:val="none" w:sz="0" w:space="0" w:color="auto"/>
        <w:bottom w:val="none" w:sz="0" w:space="0" w:color="auto"/>
        <w:right w:val="none" w:sz="0" w:space="0" w:color="auto"/>
      </w:divBdr>
      <w:divsChild>
        <w:div w:id="101533306">
          <w:marLeft w:val="0"/>
          <w:marRight w:val="0"/>
          <w:marTop w:val="0"/>
          <w:marBottom w:val="0"/>
          <w:divBdr>
            <w:top w:val="none" w:sz="0" w:space="0" w:color="auto"/>
            <w:left w:val="none" w:sz="0" w:space="0" w:color="auto"/>
            <w:bottom w:val="none" w:sz="0" w:space="0" w:color="auto"/>
            <w:right w:val="none" w:sz="0" w:space="0" w:color="auto"/>
          </w:divBdr>
        </w:div>
        <w:div w:id="1329285927">
          <w:marLeft w:val="0"/>
          <w:marRight w:val="0"/>
          <w:marTop w:val="0"/>
          <w:marBottom w:val="0"/>
          <w:divBdr>
            <w:top w:val="none" w:sz="0" w:space="0" w:color="auto"/>
            <w:left w:val="none" w:sz="0" w:space="0" w:color="auto"/>
            <w:bottom w:val="none" w:sz="0" w:space="0" w:color="auto"/>
            <w:right w:val="none" w:sz="0" w:space="0" w:color="auto"/>
          </w:divBdr>
        </w:div>
        <w:div w:id="770785995">
          <w:marLeft w:val="0"/>
          <w:marRight w:val="0"/>
          <w:marTop w:val="0"/>
          <w:marBottom w:val="0"/>
          <w:divBdr>
            <w:top w:val="none" w:sz="0" w:space="0" w:color="auto"/>
            <w:left w:val="none" w:sz="0" w:space="0" w:color="auto"/>
            <w:bottom w:val="none" w:sz="0" w:space="0" w:color="auto"/>
            <w:right w:val="none" w:sz="0" w:space="0" w:color="auto"/>
          </w:divBdr>
        </w:div>
        <w:div w:id="167526400">
          <w:marLeft w:val="0"/>
          <w:marRight w:val="0"/>
          <w:marTop w:val="0"/>
          <w:marBottom w:val="0"/>
          <w:divBdr>
            <w:top w:val="none" w:sz="0" w:space="0" w:color="auto"/>
            <w:left w:val="none" w:sz="0" w:space="0" w:color="auto"/>
            <w:bottom w:val="none" w:sz="0" w:space="0" w:color="auto"/>
            <w:right w:val="none" w:sz="0" w:space="0" w:color="auto"/>
          </w:divBdr>
        </w:div>
        <w:div w:id="1797210856">
          <w:marLeft w:val="0"/>
          <w:marRight w:val="0"/>
          <w:marTop w:val="0"/>
          <w:marBottom w:val="0"/>
          <w:divBdr>
            <w:top w:val="none" w:sz="0" w:space="0" w:color="auto"/>
            <w:left w:val="none" w:sz="0" w:space="0" w:color="auto"/>
            <w:bottom w:val="none" w:sz="0" w:space="0" w:color="auto"/>
            <w:right w:val="none" w:sz="0" w:space="0" w:color="auto"/>
          </w:divBdr>
        </w:div>
        <w:div w:id="1268124834">
          <w:marLeft w:val="0"/>
          <w:marRight w:val="0"/>
          <w:marTop w:val="0"/>
          <w:marBottom w:val="0"/>
          <w:divBdr>
            <w:top w:val="none" w:sz="0" w:space="0" w:color="auto"/>
            <w:left w:val="none" w:sz="0" w:space="0" w:color="auto"/>
            <w:bottom w:val="none" w:sz="0" w:space="0" w:color="auto"/>
            <w:right w:val="none" w:sz="0" w:space="0" w:color="auto"/>
          </w:divBdr>
        </w:div>
        <w:div w:id="952828252">
          <w:marLeft w:val="0"/>
          <w:marRight w:val="0"/>
          <w:marTop w:val="0"/>
          <w:marBottom w:val="0"/>
          <w:divBdr>
            <w:top w:val="none" w:sz="0" w:space="0" w:color="auto"/>
            <w:left w:val="none" w:sz="0" w:space="0" w:color="auto"/>
            <w:bottom w:val="none" w:sz="0" w:space="0" w:color="auto"/>
            <w:right w:val="none" w:sz="0" w:space="0" w:color="auto"/>
          </w:divBdr>
        </w:div>
        <w:div w:id="718624709">
          <w:marLeft w:val="0"/>
          <w:marRight w:val="0"/>
          <w:marTop w:val="0"/>
          <w:marBottom w:val="0"/>
          <w:divBdr>
            <w:top w:val="none" w:sz="0" w:space="0" w:color="auto"/>
            <w:left w:val="none" w:sz="0" w:space="0" w:color="auto"/>
            <w:bottom w:val="none" w:sz="0" w:space="0" w:color="auto"/>
            <w:right w:val="none" w:sz="0" w:space="0" w:color="auto"/>
          </w:divBdr>
        </w:div>
        <w:div w:id="1187794145">
          <w:marLeft w:val="0"/>
          <w:marRight w:val="0"/>
          <w:marTop w:val="0"/>
          <w:marBottom w:val="0"/>
          <w:divBdr>
            <w:top w:val="none" w:sz="0" w:space="0" w:color="auto"/>
            <w:left w:val="none" w:sz="0" w:space="0" w:color="auto"/>
            <w:bottom w:val="none" w:sz="0" w:space="0" w:color="auto"/>
            <w:right w:val="none" w:sz="0" w:space="0" w:color="auto"/>
          </w:divBdr>
        </w:div>
        <w:div w:id="1948806810">
          <w:marLeft w:val="0"/>
          <w:marRight w:val="0"/>
          <w:marTop w:val="0"/>
          <w:marBottom w:val="0"/>
          <w:divBdr>
            <w:top w:val="none" w:sz="0" w:space="0" w:color="auto"/>
            <w:left w:val="none" w:sz="0" w:space="0" w:color="auto"/>
            <w:bottom w:val="none" w:sz="0" w:space="0" w:color="auto"/>
            <w:right w:val="none" w:sz="0" w:space="0" w:color="auto"/>
          </w:divBdr>
        </w:div>
        <w:div w:id="871571826">
          <w:marLeft w:val="0"/>
          <w:marRight w:val="0"/>
          <w:marTop w:val="0"/>
          <w:marBottom w:val="0"/>
          <w:divBdr>
            <w:top w:val="none" w:sz="0" w:space="0" w:color="auto"/>
            <w:left w:val="none" w:sz="0" w:space="0" w:color="auto"/>
            <w:bottom w:val="none" w:sz="0" w:space="0" w:color="auto"/>
            <w:right w:val="none" w:sz="0" w:space="0" w:color="auto"/>
          </w:divBdr>
        </w:div>
        <w:div w:id="475076283">
          <w:marLeft w:val="0"/>
          <w:marRight w:val="0"/>
          <w:marTop w:val="0"/>
          <w:marBottom w:val="0"/>
          <w:divBdr>
            <w:top w:val="none" w:sz="0" w:space="0" w:color="auto"/>
            <w:left w:val="none" w:sz="0" w:space="0" w:color="auto"/>
            <w:bottom w:val="none" w:sz="0" w:space="0" w:color="auto"/>
            <w:right w:val="none" w:sz="0" w:space="0" w:color="auto"/>
          </w:divBdr>
        </w:div>
        <w:div w:id="433786071">
          <w:marLeft w:val="0"/>
          <w:marRight w:val="0"/>
          <w:marTop w:val="0"/>
          <w:marBottom w:val="0"/>
          <w:divBdr>
            <w:top w:val="none" w:sz="0" w:space="0" w:color="auto"/>
            <w:left w:val="none" w:sz="0" w:space="0" w:color="auto"/>
            <w:bottom w:val="none" w:sz="0" w:space="0" w:color="auto"/>
            <w:right w:val="none" w:sz="0" w:space="0" w:color="auto"/>
          </w:divBdr>
        </w:div>
        <w:div w:id="285624911">
          <w:marLeft w:val="0"/>
          <w:marRight w:val="0"/>
          <w:marTop w:val="0"/>
          <w:marBottom w:val="0"/>
          <w:divBdr>
            <w:top w:val="none" w:sz="0" w:space="0" w:color="auto"/>
            <w:left w:val="none" w:sz="0" w:space="0" w:color="auto"/>
            <w:bottom w:val="none" w:sz="0" w:space="0" w:color="auto"/>
            <w:right w:val="none" w:sz="0" w:space="0" w:color="auto"/>
          </w:divBdr>
        </w:div>
        <w:div w:id="1599678867">
          <w:marLeft w:val="0"/>
          <w:marRight w:val="0"/>
          <w:marTop w:val="0"/>
          <w:marBottom w:val="0"/>
          <w:divBdr>
            <w:top w:val="none" w:sz="0" w:space="0" w:color="auto"/>
            <w:left w:val="none" w:sz="0" w:space="0" w:color="auto"/>
            <w:bottom w:val="none" w:sz="0" w:space="0" w:color="auto"/>
            <w:right w:val="none" w:sz="0" w:space="0" w:color="auto"/>
          </w:divBdr>
        </w:div>
        <w:div w:id="198788776">
          <w:marLeft w:val="0"/>
          <w:marRight w:val="0"/>
          <w:marTop w:val="0"/>
          <w:marBottom w:val="0"/>
          <w:divBdr>
            <w:top w:val="none" w:sz="0" w:space="0" w:color="auto"/>
            <w:left w:val="none" w:sz="0" w:space="0" w:color="auto"/>
            <w:bottom w:val="none" w:sz="0" w:space="0" w:color="auto"/>
            <w:right w:val="none" w:sz="0" w:space="0" w:color="auto"/>
          </w:divBdr>
        </w:div>
        <w:div w:id="1038362016">
          <w:marLeft w:val="0"/>
          <w:marRight w:val="0"/>
          <w:marTop w:val="0"/>
          <w:marBottom w:val="0"/>
          <w:divBdr>
            <w:top w:val="none" w:sz="0" w:space="0" w:color="auto"/>
            <w:left w:val="none" w:sz="0" w:space="0" w:color="auto"/>
            <w:bottom w:val="none" w:sz="0" w:space="0" w:color="auto"/>
            <w:right w:val="none" w:sz="0" w:space="0" w:color="auto"/>
          </w:divBdr>
        </w:div>
        <w:div w:id="2096702883">
          <w:marLeft w:val="0"/>
          <w:marRight w:val="0"/>
          <w:marTop w:val="0"/>
          <w:marBottom w:val="0"/>
          <w:divBdr>
            <w:top w:val="none" w:sz="0" w:space="0" w:color="auto"/>
            <w:left w:val="none" w:sz="0" w:space="0" w:color="auto"/>
            <w:bottom w:val="none" w:sz="0" w:space="0" w:color="auto"/>
            <w:right w:val="none" w:sz="0" w:space="0" w:color="auto"/>
          </w:divBdr>
        </w:div>
        <w:div w:id="1781803912">
          <w:marLeft w:val="0"/>
          <w:marRight w:val="0"/>
          <w:marTop w:val="0"/>
          <w:marBottom w:val="0"/>
          <w:divBdr>
            <w:top w:val="none" w:sz="0" w:space="0" w:color="auto"/>
            <w:left w:val="none" w:sz="0" w:space="0" w:color="auto"/>
            <w:bottom w:val="none" w:sz="0" w:space="0" w:color="auto"/>
            <w:right w:val="none" w:sz="0" w:space="0" w:color="auto"/>
          </w:divBdr>
        </w:div>
        <w:div w:id="627861276">
          <w:marLeft w:val="0"/>
          <w:marRight w:val="0"/>
          <w:marTop w:val="0"/>
          <w:marBottom w:val="0"/>
          <w:divBdr>
            <w:top w:val="none" w:sz="0" w:space="0" w:color="auto"/>
            <w:left w:val="none" w:sz="0" w:space="0" w:color="auto"/>
            <w:bottom w:val="none" w:sz="0" w:space="0" w:color="auto"/>
            <w:right w:val="none" w:sz="0" w:space="0" w:color="auto"/>
          </w:divBdr>
        </w:div>
        <w:div w:id="1346787087">
          <w:marLeft w:val="0"/>
          <w:marRight w:val="0"/>
          <w:marTop w:val="0"/>
          <w:marBottom w:val="0"/>
          <w:divBdr>
            <w:top w:val="none" w:sz="0" w:space="0" w:color="auto"/>
            <w:left w:val="none" w:sz="0" w:space="0" w:color="auto"/>
            <w:bottom w:val="none" w:sz="0" w:space="0" w:color="auto"/>
            <w:right w:val="none" w:sz="0" w:space="0" w:color="auto"/>
          </w:divBdr>
        </w:div>
        <w:div w:id="25955560">
          <w:marLeft w:val="0"/>
          <w:marRight w:val="0"/>
          <w:marTop w:val="0"/>
          <w:marBottom w:val="0"/>
          <w:divBdr>
            <w:top w:val="none" w:sz="0" w:space="0" w:color="auto"/>
            <w:left w:val="none" w:sz="0" w:space="0" w:color="auto"/>
            <w:bottom w:val="none" w:sz="0" w:space="0" w:color="auto"/>
            <w:right w:val="none" w:sz="0" w:space="0" w:color="auto"/>
          </w:divBdr>
        </w:div>
        <w:div w:id="978462749">
          <w:marLeft w:val="0"/>
          <w:marRight w:val="0"/>
          <w:marTop w:val="0"/>
          <w:marBottom w:val="0"/>
          <w:divBdr>
            <w:top w:val="none" w:sz="0" w:space="0" w:color="auto"/>
            <w:left w:val="none" w:sz="0" w:space="0" w:color="auto"/>
            <w:bottom w:val="none" w:sz="0" w:space="0" w:color="auto"/>
            <w:right w:val="none" w:sz="0" w:space="0" w:color="auto"/>
          </w:divBdr>
        </w:div>
        <w:div w:id="1895582440">
          <w:marLeft w:val="0"/>
          <w:marRight w:val="0"/>
          <w:marTop w:val="0"/>
          <w:marBottom w:val="0"/>
          <w:divBdr>
            <w:top w:val="none" w:sz="0" w:space="0" w:color="auto"/>
            <w:left w:val="none" w:sz="0" w:space="0" w:color="auto"/>
            <w:bottom w:val="none" w:sz="0" w:space="0" w:color="auto"/>
            <w:right w:val="none" w:sz="0" w:space="0" w:color="auto"/>
          </w:divBdr>
        </w:div>
        <w:div w:id="1016153504">
          <w:marLeft w:val="0"/>
          <w:marRight w:val="0"/>
          <w:marTop w:val="0"/>
          <w:marBottom w:val="0"/>
          <w:divBdr>
            <w:top w:val="none" w:sz="0" w:space="0" w:color="auto"/>
            <w:left w:val="none" w:sz="0" w:space="0" w:color="auto"/>
            <w:bottom w:val="none" w:sz="0" w:space="0" w:color="auto"/>
            <w:right w:val="none" w:sz="0" w:space="0" w:color="auto"/>
          </w:divBdr>
        </w:div>
        <w:div w:id="616061715">
          <w:marLeft w:val="0"/>
          <w:marRight w:val="0"/>
          <w:marTop w:val="0"/>
          <w:marBottom w:val="0"/>
          <w:divBdr>
            <w:top w:val="none" w:sz="0" w:space="0" w:color="auto"/>
            <w:left w:val="none" w:sz="0" w:space="0" w:color="auto"/>
            <w:bottom w:val="none" w:sz="0" w:space="0" w:color="auto"/>
            <w:right w:val="none" w:sz="0" w:space="0" w:color="auto"/>
          </w:divBdr>
        </w:div>
        <w:div w:id="227308823">
          <w:marLeft w:val="0"/>
          <w:marRight w:val="0"/>
          <w:marTop w:val="0"/>
          <w:marBottom w:val="0"/>
          <w:divBdr>
            <w:top w:val="none" w:sz="0" w:space="0" w:color="auto"/>
            <w:left w:val="none" w:sz="0" w:space="0" w:color="auto"/>
            <w:bottom w:val="none" w:sz="0" w:space="0" w:color="auto"/>
            <w:right w:val="none" w:sz="0" w:space="0" w:color="auto"/>
          </w:divBdr>
        </w:div>
        <w:div w:id="721636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s://ministeriopublico.gob.pa/wp-content/uploads/2016/09/constitucion-politica-con-indice-analitico.pdf" TargetMode="External"/><Relationship Id="rId13" Type="http://schemas.openxmlformats.org/officeDocument/2006/relationships/hyperlink" Target="https://tbinternet.ohchr.org/_layouts/15/treatybodyexternal/Download.aspx?symbolno=CCPR%2fC%2fPAN%2fCO%2f3&amp;Lang=en" TargetMode="External"/><Relationship Id="rId18" Type="http://schemas.openxmlformats.org/officeDocument/2006/relationships/hyperlink" Target="https://www.spiegel.de/international/world/crossing-the-darien-gap-a-deadly-jungle-on-the-trek-to-america-a-a5a01a5f-bd44-4d48-b115-0b481ae83906" TargetMode="External"/><Relationship Id="rId26" Type="http://schemas.openxmlformats.org/officeDocument/2006/relationships/hyperlink" Target="https://undocs.org/CEDAW/C/GC/38" TargetMode="External"/><Relationship Id="rId3" Type="http://schemas.openxmlformats.org/officeDocument/2006/relationships/hyperlink" Target="https://www.wsj.com/articles/rapes-of-u-s-bound-migrants-make-a-treacherous-route-even-more-dangerous-11630956539" TargetMode="External"/><Relationship Id="rId21" Type="http://schemas.openxmlformats.org/officeDocument/2006/relationships/hyperlink" Target="https://nacla.org/perilous-journey-along-darien-gap" TargetMode="External"/><Relationship Id="rId7" Type="http://schemas.openxmlformats.org/officeDocument/2006/relationships/hyperlink" Target="https://www.corteidh.or.cr/tablas/R22024.pdf" TargetMode="External"/><Relationship Id="rId12" Type="http://schemas.openxmlformats.org/officeDocument/2006/relationships/hyperlink" Target="https://tbinternet.ohchr.org/_layouts/15/treatybodyexternal/Download.aspx?symbolno=CERD/C/PAN/CO/15-20&amp;Lang=En" TargetMode="External"/><Relationship Id="rId17" Type="http://schemas.openxmlformats.org/officeDocument/2006/relationships/hyperlink" Target="https://hemisphericinstitute.org/en/emisferica-14-1-expulsion/14-1-essays/between-rights-and-rightlessness-haitian-migrants-and-the-elusive-promises-of-humanitarianism.html" TargetMode="External"/><Relationship Id="rId25" Type="http://schemas.openxmlformats.org/officeDocument/2006/relationships/hyperlink" Target="https://undocs.org/CEDAW/C/GC/35" TargetMode="External"/><Relationship Id="rId2" Type="http://schemas.openxmlformats.org/officeDocument/2006/relationships/hyperlink" Target="https://apnews.com/article/colombia-haiti-sexual-abuse-sexual-assault-panama-296a1c9de2e06eadffb74f378fddad60" TargetMode="External"/><Relationship Id="rId16" Type="http://schemas.openxmlformats.org/officeDocument/2006/relationships/hyperlink" Target="https://documents-dds-ny.un.org/doc/UNDOC/GEN/G20/034/57/PDF/G2003457.pdf" TargetMode="External"/><Relationship Id="rId20" Type="http://schemas.openxmlformats.org/officeDocument/2006/relationships/hyperlink" Target="https://www.amnestyusa.org/wp-content/uploads/2021/10/Not-Safe-Anywhere-Haitians-need-urgent-international-protection-READY-FOR-PUBLISHING1.pdf" TargetMode="External"/><Relationship Id="rId1" Type="http://schemas.openxmlformats.org/officeDocument/2006/relationships/hyperlink" Target="https://imumi.org/attachments/2020/A-Journey-of-Hope-Haitian-Womens-Migration-to%20-Tapachula.pdf" TargetMode="External"/><Relationship Id="rId6" Type="http://schemas.openxmlformats.org/officeDocument/2006/relationships/hyperlink" Target="https://ministeriopublico.gob.pa/wp-content/uploads/2016/09/constitucion-politica-con-indice-analitico.pdf" TargetMode="External"/><Relationship Id="rId11" Type="http://schemas.openxmlformats.org/officeDocument/2006/relationships/hyperlink" Target="https://www.ohchr.org/EN/Countries/LACRegion/Pages/PAIndex.aspx" TargetMode="External"/><Relationship Id="rId24" Type="http://schemas.openxmlformats.org/officeDocument/2006/relationships/hyperlink" Target="https://documents-dds-ny.un.org/doc/UNDOC/GEN/N14/627/90/PDF/N1462790.pdf" TargetMode="External"/><Relationship Id="rId5" Type="http://schemas.openxmlformats.org/officeDocument/2006/relationships/hyperlink" Target="https://www.ohchr.org/en/professionalinterest/pages/cedaw.aspx" TargetMode="External"/><Relationship Id="rId15" Type="http://schemas.openxmlformats.org/officeDocument/2006/relationships/hyperlink" Target="https://www.undocs.org/en/CEDAW/C/PAN/8" TargetMode="External"/><Relationship Id="rId23" Type="http://schemas.openxmlformats.org/officeDocument/2006/relationships/hyperlink" Target="https://www.doctorswithoutborders.org/what-we-do/news-stories/story/darien-gap-nightmare-1001-demons" TargetMode="External"/><Relationship Id="rId28" Type="http://schemas.openxmlformats.org/officeDocument/2006/relationships/hyperlink" Target="http://blogs.law.columbia.edu/critique1313/files/2020/02/1229039.pdf" TargetMode="External"/><Relationship Id="rId10" Type="http://schemas.openxmlformats.org/officeDocument/2006/relationships/hyperlink" Target="https://www.acnur.org/fileadmin/Documentos/BDL/2008/6077.pdf" TargetMode="External"/><Relationship Id="rId19" Type="http://schemas.openxmlformats.org/officeDocument/2006/relationships/hyperlink" Target="https://www.lawfareblog.com/case-study-outsourcing-us-border-control" TargetMode="External"/><Relationship Id="rId4" Type="http://schemas.openxmlformats.org/officeDocument/2006/relationships/hyperlink" Target="https://www.nytimes.com/2021/10/02/world/americas/haitian-migrants-mexican-border.html" TargetMode="External"/><Relationship Id="rId9" Type="http://schemas.openxmlformats.org/officeDocument/2006/relationships/hyperlink" Target="https://www.acnur.org/fileadmin/Documentos/BDL/2008/6077.pdf" TargetMode="External"/><Relationship Id="rId14" Type="http://schemas.openxmlformats.org/officeDocument/2006/relationships/hyperlink" Target="https://tbinternet.ohchr.org/_layouts/15/treatybodyexternal/Download.aspx?symbolno=CCPR/C/PAN/CO/3&amp;Lang=En" TargetMode="External"/><Relationship Id="rId22" Type="http://schemas.openxmlformats.org/officeDocument/2006/relationships/hyperlink" Target="https://www.doctorswithoutborders.org/what-we-do/news-stories/story/safe-routes-urgently-needed-thousands-migrants-crossing-darien-gap" TargetMode="External"/><Relationship Id="rId27" Type="http://schemas.openxmlformats.org/officeDocument/2006/relationships/hyperlink" Target="https://undocs.org/en/S/RES/1325(20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11B14-515B-49CD-ACB6-B078D2DE764D}">
  <ds:schemaRefs>
    <ds:schemaRef ds:uri="http://schemas.openxmlformats.org/officeDocument/2006/bibliography"/>
  </ds:schemaRefs>
</ds:datastoreItem>
</file>

<file path=customXml/itemProps2.xml><?xml version="1.0" encoding="utf-8"?>
<ds:datastoreItem xmlns:ds="http://schemas.openxmlformats.org/officeDocument/2006/customXml" ds:itemID="{0AB8326C-B1B8-4556-BD99-14091C6467F5}"/>
</file>

<file path=customXml/itemProps3.xml><?xml version="1.0" encoding="utf-8"?>
<ds:datastoreItem xmlns:ds="http://schemas.openxmlformats.org/officeDocument/2006/customXml" ds:itemID="{0B250FC7-BF7B-4FD4-B21C-DCED91529F68}"/>
</file>

<file path=customXml/itemProps4.xml><?xml version="1.0" encoding="utf-8"?>
<ds:datastoreItem xmlns:ds="http://schemas.openxmlformats.org/officeDocument/2006/customXml" ds:itemID="{08F7B738-F3E8-483C-9351-4AAD164C16A4}"/>
</file>

<file path=docProps/app.xml><?xml version="1.0" encoding="utf-8"?>
<Properties xmlns="http://schemas.openxmlformats.org/officeDocument/2006/extended-properties" xmlns:vt="http://schemas.openxmlformats.org/officeDocument/2006/docPropsVTypes">
  <Template>Normal.dotm</Template>
  <TotalTime>0</TotalTime>
  <Pages>10</Pages>
  <Words>2673</Words>
  <Characters>15239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2022-01-12T17:23:00Z</dcterms:created>
  <dcterms:modified xsi:type="dcterms:W3CDTF">2022-01-12T17:49:00Z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