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17AE4" w:rsidRPr="00F36060" w14:paraId="6CE1B708" w14:textId="77777777" w:rsidTr="00B6553F">
        <w:trPr>
          <w:cantSplit/>
          <w:trHeight w:hRule="exact" w:val="851"/>
        </w:trPr>
        <w:tc>
          <w:tcPr>
            <w:tcW w:w="1276" w:type="dxa"/>
            <w:tcBorders>
              <w:bottom w:val="single" w:sz="4" w:space="0" w:color="auto"/>
            </w:tcBorders>
            <w:vAlign w:val="bottom"/>
          </w:tcPr>
          <w:p w14:paraId="33C73ABA" w14:textId="77777777" w:rsidR="00217AE4" w:rsidRPr="00A0276A" w:rsidRDefault="00217AE4" w:rsidP="00217AE4">
            <w:pPr>
              <w:spacing w:after="80"/>
              <w:rPr>
                <w:lang w:val="fr-CH"/>
              </w:rPr>
            </w:pPr>
          </w:p>
        </w:tc>
        <w:tc>
          <w:tcPr>
            <w:tcW w:w="2268" w:type="dxa"/>
            <w:tcBorders>
              <w:bottom w:val="single" w:sz="4" w:space="0" w:color="auto"/>
            </w:tcBorders>
            <w:vAlign w:val="bottom"/>
          </w:tcPr>
          <w:p w14:paraId="7D24C8DC" w14:textId="76638C4A" w:rsidR="00217AE4" w:rsidRPr="00226F34" w:rsidRDefault="00217AE4" w:rsidP="00217AE4">
            <w:pPr>
              <w:spacing w:after="80" w:line="300" w:lineRule="exact"/>
              <w:rPr>
                <w:b/>
              </w:rPr>
            </w:pPr>
          </w:p>
        </w:tc>
        <w:tc>
          <w:tcPr>
            <w:tcW w:w="6095" w:type="dxa"/>
            <w:gridSpan w:val="2"/>
            <w:tcBorders>
              <w:bottom w:val="single" w:sz="4" w:space="0" w:color="auto"/>
            </w:tcBorders>
            <w:vAlign w:val="bottom"/>
          </w:tcPr>
          <w:p w14:paraId="72DD2904" w14:textId="77777777" w:rsidR="00217AE4" w:rsidRPr="00F36060" w:rsidRDefault="00217AE4" w:rsidP="00217AE4">
            <w:pPr>
              <w:jc w:val="right"/>
              <w:rPr>
                <w:sz w:val="20"/>
                <w:szCs w:val="20"/>
                <w:lang w:val="en-GB"/>
              </w:rPr>
            </w:pPr>
          </w:p>
          <w:p w14:paraId="297B772A" w14:textId="6B2CF6D8" w:rsidR="00217AE4" w:rsidRPr="00F36060" w:rsidRDefault="00217AE4" w:rsidP="00217AE4">
            <w:pPr>
              <w:jc w:val="right"/>
              <w:rPr>
                <w:sz w:val="20"/>
                <w:szCs w:val="20"/>
                <w:lang w:val="fr-FR"/>
              </w:rPr>
            </w:pPr>
            <w:r w:rsidRPr="00F36060">
              <w:rPr>
                <w:sz w:val="28"/>
                <w:szCs w:val="28"/>
                <w:lang w:val="fr-FR"/>
              </w:rPr>
              <w:t>CCPR</w:t>
            </w:r>
            <w:r w:rsidRPr="00F36060">
              <w:rPr>
                <w:sz w:val="20"/>
                <w:szCs w:val="20"/>
                <w:lang w:val="fr-FR"/>
              </w:rPr>
              <w:t xml:space="preserve">/C/139/D/3056/2017, </w:t>
            </w:r>
            <w:r w:rsidRPr="00F36060">
              <w:rPr>
                <w:sz w:val="28"/>
                <w:szCs w:val="28"/>
                <w:lang w:val="fr-FR"/>
              </w:rPr>
              <w:t>CCPR</w:t>
            </w:r>
            <w:r w:rsidRPr="00F36060">
              <w:rPr>
                <w:sz w:val="20"/>
                <w:szCs w:val="20"/>
                <w:lang w:val="fr-FR"/>
              </w:rPr>
              <w:t>/C/139/D/3100/2018</w:t>
            </w:r>
          </w:p>
          <w:p w14:paraId="073A9138" w14:textId="13F4B8B0" w:rsidR="00217AE4" w:rsidRPr="00F36060" w:rsidRDefault="00217AE4" w:rsidP="00217AE4">
            <w:pPr>
              <w:jc w:val="right"/>
              <w:rPr>
                <w:sz w:val="20"/>
                <w:szCs w:val="20"/>
                <w:lang w:val="fr-FR"/>
              </w:rPr>
            </w:pPr>
            <w:r w:rsidRPr="00F36060">
              <w:rPr>
                <w:sz w:val="28"/>
                <w:szCs w:val="28"/>
                <w:lang w:val="fr-FR"/>
              </w:rPr>
              <w:t>CCPR</w:t>
            </w:r>
            <w:r w:rsidRPr="00F36060">
              <w:rPr>
                <w:sz w:val="20"/>
                <w:szCs w:val="20"/>
                <w:lang w:val="fr-FR"/>
              </w:rPr>
              <w:t xml:space="preserve">/C/139/D/3130/2018, </w:t>
            </w:r>
            <w:r w:rsidRPr="00F36060">
              <w:rPr>
                <w:sz w:val="28"/>
                <w:szCs w:val="28"/>
                <w:lang w:val="fr-FR"/>
              </w:rPr>
              <w:t>CCPR</w:t>
            </w:r>
            <w:r w:rsidRPr="00F36060">
              <w:rPr>
                <w:sz w:val="20"/>
                <w:szCs w:val="20"/>
                <w:lang w:val="fr-FR"/>
              </w:rPr>
              <w:t>/C/139/D/3134/201</w:t>
            </w:r>
            <w:r w:rsidR="00DF1194" w:rsidRPr="00F36060">
              <w:rPr>
                <w:sz w:val="20"/>
                <w:szCs w:val="20"/>
                <w:lang w:val="fr-FR"/>
              </w:rPr>
              <w:t>8</w:t>
            </w:r>
          </w:p>
        </w:tc>
      </w:tr>
      <w:tr w:rsidR="00226F34" w:rsidRPr="00226F34"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2E5DE5F2" w:rsidR="000128E3" w:rsidRPr="00F36060" w:rsidRDefault="000128E3" w:rsidP="00B6553F">
            <w:pPr>
              <w:spacing w:before="120"/>
              <w:rPr>
                <w:lang w:val="fr-FR"/>
              </w:rPr>
            </w:pPr>
          </w:p>
        </w:tc>
        <w:tc>
          <w:tcPr>
            <w:tcW w:w="5528" w:type="dxa"/>
            <w:gridSpan w:val="2"/>
            <w:tcBorders>
              <w:top w:val="single" w:sz="4" w:space="0" w:color="auto"/>
              <w:bottom w:val="single" w:sz="12" w:space="0" w:color="auto"/>
            </w:tcBorders>
          </w:tcPr>
          <w:p w14:paraId="4D984898" w14:textId="0A13A9F9" w:rsidR="00C7385F" w:rsidRPr="00F36060" w:rsidRDefault="00C7385F" w:rsidP="00267F5F">
            <w:pPr>
              <w:spacing w:before="120" w:line="380" w:lineRule="exact"/>
              <w:rPr>
                <w:b/>
                <w:sz w:val="34"/>
                <w:szCs w:val="40"/>
                <w:lang w:val="fr-FR"/>
              </w:rPr>
            </w:pPr>
          </w:p>
          <w:p w14:paraId="566DA90D" w14:textId="77777777" w:rsidR="003E6A45" w:rsidRPr="00F36060" w:rsidRDefault="003E6A45" w:rsidP="00267F5F">
            <w:pPr>
              <w:spacing w:before="120" w:line="380" w:lineRule="exact"/>
              <w:rPr>
                <w:b/>
                <w:sz w:val="34"/>
                <w:szCs w:val="40"/>
                <w:lang w:val="fr-FR"/>
              </w:rPr>
            </w:pPr>
          </w:p>
          <w:p w14:paraId="31790407" w14:textId="134ADB4C" w:rsidR="003E6A45" w:rsidRPr="00226F34" w:rsidRDefault="003E6A45" w:rsidP="00267F5F">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0A9C3E23" w14:textId="55E93417" w:rsidR="00FC70CA" w:rsidRPr="00226F34" w:rsidRDefault="00FC70CA" w:rsidP="00FC70CA">
            <w:pPr>
              <w:spacing w:before="240" w:line="240" w:lineRule="exact"/>
              <w:rPr>
                <w:sz w:val="20"/>
                <w:szCs w:val="20"/>
                <w:lang w:eastAsia="en-GB"/>
              </w:rPr>
            </w:pPr>
            <w:r w:rsidRPr="00226F34">
              <w:rPr>
                <w:sz w:val="20"/>
                <w:szCs w:val="20"/>
              </w:rPr>
              <w:t xml:space="preserve">Distr.: </w:t>
            </w:r>
            <w:r w:rsidR="00BF71FC">
              <w:rPr>
                <w:sz w:val="20"/>
                <w:szCs w:val="20"/>
              </w:rPr>
              <w:t>General</w:t>
            </w:r>
          </w:p>
          <w:p w14:paraId="27088408" w14:textId="6E803A88" w:rsidR="00FC70CA" w:rsidRPr="00226F34" w:rsidRDefault="00F15309" w:rsidP="00FC70CA">
            <w:pPr>
              <w:spacing w:line="240" w:lineRule="exact"/>
              <w:rPr>
                <w:sz w:val="20"/>
                <w:szCs w:val="20"/>
              </w:rPr>
            </w:pPr>
            <w:r>
              <w:rPr>
                <w:sz w:val="20"/>
                <w:szCs w:val="20"/>
              </w:rPr>
              <w:t xml:space="preserve">12 </w:t>
            </w:r>
            <w:r w:rsidR="00382795">
              <w:rPr>
                <w:sz w:val="20"/>
                <w:szCs w:val="20"/>
              </w:rPr>
              <w:t>October</w:t>
            </w:r>
            <w:r w:rsidR="007F5B63" w:rsidRPr="00226F34">
              <w:rPr>
                <w:sz w:val="20"/>
                <w:szCs w:val="20"/>
              </w:rPr>
              <w:t xml:space="preserve"> </w:t>
            </w:r>
            <w:r w:rsidR="00FC70CA" w:rsidRPr="00226F34">
              <w:rPr>
                <w:sz w:val="20"/>
                <w:szCs w:val="20"/>
              </w:rPr>
              <w:t>20</w:t>
            </w:r>
            <w:r w:rsidR="000203CD" w:rsidRPr="00226F34">
              <w:rPr>
                <w:sz w:val="20"/>
                <w:szCs w:val="20"/>
              </w:rPr>
              <w:t>2</w:t>
            </w:r>
            <w:r w:rsidR="001D7415" w:rsidRPr="00226F34">
              <w:rPr>
                <w:sz w:val="20"/>
                <w:szCs w:val="20"/>
              </w:rPr>
              <w:t>3</w:t>
            </w:r>
          </w:p>
          <w:p w14:paraId="0CBDED0B" w14:textId="77777777" w:rsidR="00FC70CA" w:rsidRPr="00226F34" w:rsidRDefault="00FC70CA" w:rsidP="00FC70CA">
            <w:pPr>
              <w:spacing w:line="240" w:lineRule="exact"/>
              <w:rPr>
                <w:sz w:val="20"/>
                <w:szCs w:val="20"/>
              </w:rPr>
            </w:pPr>
          </w:p>
          <w:p w14:paraId="6D3B7312" w14:textId="77777777" w:rsidR="00FC70CA" w:rsidRPr="00226F34" w:rsidRDefault="00FC70CA" w:rsidP="00FC70CA">
            <w:pPr>
              <w:spacing w:line="240" w:lineRule="exact"/>
              <w:rPr>
                <w:sz w:val="20"/>
                <w:szCs w:val="20"/>
              </w:rPr>
            </w:pPr>
            <w:r w:rsidRPr="00226F34">
              <w:rPr>
                <w:sz w:val="20"/>
                <w:szCs w:val="20"/>
              </w:rPr>
              <w:t>Original: English</w:t>
            </w:r>
          </w:p>
          <w:p w14:paraId="347F1227" w14:textId="48526DFD" w:rsidR="000128E3" w:rsidRPr="00226F34" w:rsidRDefault="000128E3" w:rsidP="006B27AB">
            <w:pPr>
              <w:spacing w:line="240" w:lineRule="exact"/>
            </w:pPr>
          </w:p>
        </w:tc>
      </w:tr>
    </w:tbl>
    <w:p w14:paraId="2E1F0138" w14:textId="77777777" w:rsidR="008C017D" w:rsidRPr="00226F34" w:rsidRDefault="008C017D" w:rsidP="008C017D">
      <w:pPr>
        <w:spacing w:line="20" w:lineRule="exact"/>
        <w:rPr>
          <w:b/>
          <w:sz w:val="2"/>
        </w:rPr>
      </w:pPr>
    </w:p>
    <w:p w14:paraId="767E82AE" w14:textId="19D80DCF" w:rsidR="00FC70CA" w:rsidRDefault="00FC70CA" w:rsidP="00FC70CA">
      <w:pPr>
        <w:spacing w:before="120"/>
        <w:rPr>
          <w:b/>
        </w:rPr>
      </w:pPr>
      <w:r w:rsidRPr="00226F34">
        <w:rPr>
          <w:b/>
        </w:rPr>
        <w:t>Human Rights Committee</w:t>
      </w:r>
    </w:p>
    <w:p w14:paraId="6A6D675A" w14:textId="74169E36" w:rsidR="008A5196" w:rsidRPr="00226F34" w:rsidRDefault="00FC70CA" w:rsidP="005438E0">
      <w:pPr>
        <w:pStyle w:val="HChG"/>
        <w:rPr>
          <w:sz w:val="20"/>
        </w:rPr>
      </w:pPr>
      <w:r w:rsidRPr="00226F34">
        <w:tab/>
      </w:r>
      <w:r w:rsidR="00DD0474">
        <w:tab/>
      </w:r>
      <w:r w:rsidR="00DD0474">
        <w:tab/>
      </w:r>
      <w:r w:rsidR="00BF71FC" w:rsidRPr="00F07373">
        <w:t xml:space="preserve">Views adopted by the Committee under article 5 (4) of the Optional Protocol, concerning </w:t>
      </w:r>
      <w:r w:rsidR="00BF71FC">
        <w:t>c</w:t>
      </w:r>
      <w:r w:rsidR="008A5196" w:rsidRPr="00226F34">
        <w:t>ommunication</w:t>
      </w:r>
      <w:r w:rsidR="00A85D29" w:rsidRPr="00226F34">
        <w:t>s</w:t>
      </w:r>
      <w:r w:rsidR="008A5196" w:rsidRPr="00226F34">
        <w:t xml:space="preserve"> No</w:t>
      </w:r>
      <w:r w:rsidR="00A85D29" w:rsidRPr="00226F34">
        <w:t>s</w:t>
      </w:r>
      <w:r w:rsidR="008A5196" w:rsidRPr="00226F34">
        <w:t xml:space="preserve">. </w:t>
      </w:r>
      <w:r w:rsidR="00DF1194">
        <w:t>3056</w:t>
      </w:r>
      <w:r w:rsidR="00A85D29" w:rsidRPr="00226F34">
        <w:t>/201</w:t>
      </w:r>
      <w:r w:rsidR="00DF1194">
        <w:t>7, 3100/2018, 3130/2018 and 3134/2018</w:t>
      </w:r>
      <w:r w:rsidR="00BF71FC" w:rsidRPr="00F36060">
        <w:rPr>
          <w:rStyle w:val="FootnoteReference"/>
          <w:sz w:val="20"/>
          <w:vertAlign w:val="baseline"/>
        </w:rPr>
        <w:footnoteReference w:customMarkFollows="1" w:id="2"/>
        <w:t>*</w:t>
      </w:r>
      <w:r w:rsidR="00BF71FC" w:rsidRPr="00F36060">
        <w:rPr>
          <w:sz w:val="20"/>
          <w:vertAlign w:val="superscript"/>
        </w:rPr>
        <w:t>,</w:t>
      </w:r>
      <w:r w:rsidR="00BF71FC" w:rsidRPr="00F36060">
        <w:rPr>
          <w:rStyle w:val="FootnoteReference"/>
          <w:sz w:val="20"/>
          <w:vertAlign w:val="baseline"/>
        </w:rPr>
        <w:footnoteReference w:customMarkFollows="1" w:id="3"/>
        <w:t>**</w:t>
      </w:r>
    </w:p>
    <w:p w14:paraId="0D447577" w14:textId="6A5E9377" w:rsidR="000128E3" w:rsidRPr="00226F34" w:rsidRDefault="00683EF7" w:rsidP="00985865">
      <w:pPr>
        <w:pStyle w:val="SingleTxtG"/>
        <w:ind w:left="4536" w:hanging="3402"/>
        <w:jc w:val="left"/>
      </w:pPr>
      <w:r w:rsidRPr="00226F34">
        <w:rPr>
          <w:i/>
        </w:rPr>
        <w:t>Communication s</w:t>
      </w:r>
      <w:r w:rsidR="000128E3" w:rsidRPr="00226F34">
        <w:rPr>
          <w:i/>
        </w:rPr>
        <w:t>ubmitted by:</w:t>
      </w:r>
      <w:r w:rsidR="000128E3" w:rsidRPr="00226F34">
        <w:tab/>
      </w:r>
      <w:r w:rsidR="00DF1194">
        <w:t xml:space="preserve">Olga </w:t>
      </w:r>
      <w:proofErr w:type="spellStart"/>
      <w:r w:rsidR="00DF1194">
        <w:t>Nikolaichik</w:t>
      </w:r>
      <w:proofErr w:type="spellEnd"/>
      <w:r w:rsidR="00DF1194">
        <w:t xml:space="preserve"> (</w:t>
      </w:r>
      <w:r w:rsidR="00554941">
        <w:t xml:space="preserve">represented by counsel, </w:t>
      </w:r>
      <w:r w:rsidR="00A153F9">
        <w:t>Leonid</w:t>
      </w:r>
      <w:r w:rsidR="00554941">
        <w:t xml:space="preserve"> </w:t>
      </w:r>
      <w:proofErr w:type="spellStart"/>
      <w:r w:rsidR="00554941">
        <w:t>Sudalenko</w:t>
      </w:r>
      <w:proofErr w:type="spellEnd"/>
      <w:r w:rsidR="00DF1194">
        <w:t xml:space="preserve">), Anna </w:t>
      </w:r>
      <w:proofErr w:type="spellStart"/>
      <w:r w:rsidR="00DF1194">
        <w:t>Krasulina</w:t>
      </w:r>
      <w:proofErr w:type="spellEnd"/>
      <w:r w:rsidR="00DF1194">
        <w:t xml:space="preserve"> (</w:t>
      </w:r>
      <w:r w:rsidR="00554941">
        <w:t xml:space="preserve">represented by counsel, Leonid </w:t>
      </w:r>
      <w:proofErr w:type="spellStart"/>
      <w:r w:rsidR="00554941">
        <w:t>Sudalenko</w:t>
      </w:r>
      <w:proofErr w:type="spellEnd"/>
      <w:r w:rsidR="00DF1194">
        <w:t>), Artem Kovalev (</w:t>
      </w:r>
      <w:r w:rsidR="00A153F9">
        <w:t xml:space="preserve">represented by counsel, Leonid </w:t>
      </w:r>
      <w:proofErr w:type="spellStart"/>
      <w:r w:rsidR="00A153F9">
        <w:t>Sudalenko</w:t>
      </w:r>
      <w:proofErr w:type="spellEnd"/>
      <w:r w:rsidR="00DF1194">
        <w:t>), Vadim Vasiliev (not represented)</w:t>
      </w:r>
    </w:p>
    <w:p w14:paraId="165B2091" w14:textId="1219ADCA" w:rsidR="000128E3" w:rsidRPr="00226F34" w:rsidRDefault="000128E3" w:rsidP="007113A4">
      <w:pPr>
        <w:pStyle w:val="SingleTxtG"/>
        <w:ind w:left="4536" w:hanging="3402"/>
        <w:jc w:val="left"/>
      </w:pPr>
      <w:r w:rsidRPr="00226F34">
        <w:rPr>
          <w:i/>
        </w:rPr>
        <w:t>Alleged victim:</w:t>
      </w:r>
      <w:r w:rsidRPr="00226F34">
        <w:tab/>
      </w:r>
      <w:r w:rsidR="00D7781D" w:rsidRPr="00226F34">
        <w:t>T</w:t>
      </w:r>
      <w:r w:rsidR="00DD26A8" w:rsidRPr="00226F34">
        <w:t>he author</w:t>
      </w:r>
      <w:r w:rsidR="00A85D29" w:rsidRPr="00226F34">
        <w:t>s</w:t>
      </w:r>
    </w:p>
    <w:p w14:paraId="40FD05FA" w14:textId="768B2FA2" w:rsidR="000128E3" w:rsidRPr="00226F34" w:rsidRDefault="000128E3" w:rsidP="007113A4">
      <w:pPr>
        <w:pStyle w:val="SingleTxtG"/>
        <w:ind w:left="4536" w:hanging="3402"/>
        <w:jc w:val="left"/>
      </w:pPr>
      <w:r w:rsidRPr="00226F34">
        <w:rPr>
          <w:i/>
        </w:rPr>
        <w:t>State party:</w:t>
      </w:r>
      <w:r w:rsidRPr="00226F34">
        <w:tab/>
      </w:r>
      <w:r w:rsidR="00DF1194">
        <w:t>Belarus</w:t>
      </w:r>
    </w:p>
    <w:p w14:paraId="45DB11F6" w14:textId="67680DE7" w:rsidR="000128E3" w:rsidRPr="00226F34" w:rsidRDefault="000128E3" w:rsidP="007113A4">
      <w:pPr>
        <w:pStyle w:val="SingleTxtG"/>
        <w:ind w:left="4536" w:hanging="3402"/>
        <w:jc w:val="left"/>
      </w:pPr>
      <w:r w:rsidRPr="00226F34">
        <w:rPr>
          <w:i/>
        </w:rPr>
        <w:t>Date</w:t>
      </w:r>
      <w:r w:rsidR="00A85D29" w:rsidRPr="00226F34">
        <w:rPr>
          <w:i/>
        </w:rPr>
        <w:t>s</w:t>
      </w:r>
      <w:r w:rsidRPr="00226F34">
        <w:rPr>
          <w:i/>
        </w:rPr>
        <w:t xml:space="preserve"> of communication</w:t>
      </w:r>
      <w:r w:rsidR="00A85D29" w:rsidRPr="00226F34">
        <w:rPr>
          <w:i/>
        </w:rPr>
        <w:t>s</w:t>
      </w:r>
      <w:r w:rsidRPr="00226F34">
        <w:rPr>
          <w:i/>
        </w:rPr>
        <w:t>:</w:t>
      </w:r>
      <w:r w:rsidRPr="00226F34">
        <w:tab/>
      </w:r>
      <w:r w:rsidR="00DF1194">
        <w:t>7 February 2017</w:t>
      </w:r>
      <w:r w:rsidR="00A85D29" w:rsidRPr="00226F34">
        <w:t xml:space="preserve"> (communication No. </w:t>
      </w:r>
      <w:r w:rsidR="00DF1194">
        <w:t>3056</w:t>
      </w:r>
      <w:r w:rsidR="00A85D29" w:rsidRPr="00226F34">
        <w:t>/201</w:t>
      </w:r>
      <w:r w:rsidR="00DF1194">
        <w:t>7</w:t>
      </w:r>
      <w:r w:rsidR="00A85D29" w:rsidRPr="00226F34">
        <w:t xml:space="preserve">), </w:t>
      </w:r>
      <w:r w:rsidR="00DF1194">
        <w:t>5 June 2017</w:t>
      </w:r>
      <w:r w:rsidR="00A85D29" w:rsidRPr="00226F34">
        <w:t xml:space="preserve"> (communication No. </w:t>
      </w:r>
      <w:r w:rsidR="00DF1194">
        <w:t>3100</w:t>
      </w:r>
      <w:r w:rsidR="00A85D29" w:rsidRPr="00226F34">
        <w:rPr>
          <w:lang w:val="en-US"/>
        </w:rPr>
        <w:t>/201</w:t>
      </w:r>
      <w:r w:rsidR="00DF1194">
        <w:rPr>
          <w:lang w:val="en-US"/>
        </w:rPr>
        <w:t>8</w:t>
      </w:r>
      <w:r w:rsidR="00A85D29" w:rsidRPr="00226F34">
        <w:rPr>
          <w:lang w:val="en-US"/>
        </w:rPr>
        <w:t>)</w:t>
      </w:r>
      <w:r w:rsidR="00DF1194">
        <w:rPr>
          <w:lang w:val="en-US"/>
        </w:rPr>
        <w:t>,</w:t>
      </w:r>
      <w:r w:rsidRPr="00226F34">
        <w:t xml:space="preserve"> (initial submission</w:t>
      </w:r>
      <w:r w:rsidR="00A85D29" w:rsidRPr="00226F34">
        <w:t>s</w:t>
      </w:r>
      <w:r w:rsidRPr="00226F34">
        <w:t>)</w:t>
      </w:r>
      <w:r w:rsidR="00DF1194">
        <w:t xml:space="preserve">, 12 June 2017 (communication No. </w:t>
      </w:r>
      <w:bookmarkStart w:id="0" w:name="_Hlk139378406"/>
      <w:r w:rsidR="00DF1194">
        <w:t>3130/2018</w:t>
      </w:r>
      <w:bookmarkEnd w:id="0"/>
      <w:r w:rsidR="00DF1194">
        <w:t>) and 28 January 2018 (communication No. 3134/2018) (initial submissions)</w:t>
      </w:r>
    </w:p>
    <w:p w14:paraId="004CED20" w14:textId="45C6A3EA" w:rsidR="000128E3" w:rsidRPr="000A4090" w:rsidRDefault="000128E3" w:rsidP="000A4090">
      <w:pPr>
        <w:pStyle w:val="SingleTxtG"/>
        <w:ind w:left="4536" w:hanging="3402"/>
        <w:jc w:val="left"/>
        <w:rPr>
          <w:lang w:val="en-US"/>
        </w:rPr>
      </w:pPr>
      <w:r w:rsidRPr="00226F34">
        <w:rPr>
          <w:i/>
        </w:rPr>
        <w:t>Document references:</w:t>
      </w:r>
      <w:r w:rsidRPr="00226F34">
        <w:tab/>
      </w:r>
      <w:r w:rsidR="00A85D29" w:rsidRPr="00226F34">
        <w:rPr>
          <w:rFonts w:eastAsia="SimSun"/>
          <w:lang w:eastAsia="zh-CN"/>
        </w:rPr>
        <w:t>Decisions taken pursuant to rule 9</w:t>
      </w:r>
      <w:r w:rsidR="00563F6B">
        <w:rPr>
          <w:rFonts w:eastAsia="SimSun"/>
          <w:lang w:eastAsia="zh-CN"/>
        </w:rPr>
        <w:t>7</w:t>
      </w:r>
      <w:r w:rsidR="00A85D29" w:rsidRPr="00226F34">
        <w:rPr>
          <w:rFonts w:eastAsia="SimSun"/>
          <w:lang w:eastAsia="zh-CN"/>
        </w:rPr>
        <w:t xml:space="preserve"> of the Committee’s </w:t>
      </w:r>
      <w:r w:rsidR="00A85D29" w:rsidRPr="000A4090">
        <w:rPr>
          <w:rFonts w:eastAsia="SimSun"/>
          <w:lang w:eastAsia="zh-CN"/>
        </w:rPr>
        <w:t>rules of procedure, transmitted to the State party</w:t>
      </w:r>
      <w:r w:rsidR="00A85D29" w:rsidRPr="000A4090">
        <w:t xml:space="preserve"> on</w:t>
      </w:r>
      <w:r w:rsidR="000A4090" w:rsidRPr="000A4090">
        <w:t xml:space="preserve"> </w:t>
      </w:r>
      <w:r w:rsidR="00563F6B" w:rsidRPr="000A4090">
        <w:t>29 November 2017 (communication No.</w:t>
      </w:r>
      <w:r w:rsidR="000A4090" w:rsidRPr="000A4090">
        <w:t xml:space="preserve"> </w:t>
      </w:r>
      <w:r w:rsidR="002B28EA">
        <w:t>3056</w:t>
      </w:r>
      <w:r w:rsidR="000A4090" w:rsidRPr="000A4090">
        <w:t>/201</w:t>
      </w:r>
      <w:r w:rsidR="002B28EA">
        <w:t>7</w:t>
      </w:r>
      <w:r w:rsidR="000A4090" w:rsidRPr="000A4090">
        <w:t xml:space="preserve">), 22 January 2018 (communication No. 3100/2018), 2 March 2018 (communication No. 3130/2018) and 12 June 2018 (communication No. 3134/2018) </w:t>
      </w:r>
      <w:r w:rsidRPr="000A4090">
        <w:t>(not</w:t>
      </w:r>
      <w:r w:rsidRPr="00226F34">
        <w:t xml:space="preserve"> issued in document form)</w:t>
      </w:r>
    </w:p>
    <w:p w14:paraId="2231A78A" w14:textId="55B493DF" w:rsidR="000128E3" w:rsidRPr="00226F34" w:rsidRDefault="000128E3" w:rsidP="007113A4">
      <w:pPr>
        <w:pStyle w:val="SingleTxtG"/>
        <w:ind w:left="4536" w:hanging="3402"/>
        <w:jc w:val="left"/>
        <w:rPr>
          <w:i/>
          <w:lang w:val="en-US"/>
        </w:rPr>
      </w:pPr>
      <w:r w:rsidRPr="00226F34">
        <w:rPr>
          <w:i/>
        </w:rPr>
        <w:t xml:space="preserve">Date of adoption of </w:t>
      </w:r>
      <w:r w:rsidR="00B970A5" w:rsidRPr="00226F34">
        <w:rPr>
          <w:i/>
        </w:rPr>
        <w:t>decision</w:t>
      </w:r>
      <w:r w:rsidRPr="00226F34">
        <w:rPr>
          <w:i/>
        </w:rPr>
        <w:t>:</w:t>
      </w:r>
      <w:r w:rsidRPr="00226F34">
        <w:tab/>
      </w:r>
      <w:r w:rsidR="00BF71FC">
        <w:t>12 October</w:t>
      </w:r>
      <w:r w:rsidR="00997F10">
        <w:t xml:space="preserve"> </w:t>
      </w:r>
      <w:r w:rsidRPr="00226F34">
        <w:t>20</w:t>
      </w:r>
      <w:r w:rsidR="000203CD" w:rsidRPr="00226F34">
        <w:t>2</w:t>
      </w:r>
      <w:r w:rsidR="00D85DCB" w:rsidRPr="00226F34">
        <w:t>3</w:t>
      </w:r>
    </w:p>
    <w:p w14:paraId="63879879" w14:textId="0B99A38A" w:rsidR="004C2BA3" w:rsidRDefault="000128E3" w:rsidP="007113A4">
      <w:pPr>
        <w:pStyle w:val="SingleTxtG"/>
        <w:ind w:left="4536" w:hanging="3402"/>
        <w:jc w:val="left"/>
      </w:pPr>
      <w:r w:rsidRPr="00226F34">
        <w:rPr>
          <w:i/>
          <w:iCs/>
        </w:rPr>
        <w:t>Subject matter:</w:t>
      </w:r>
      <w:r w:rsidRPr="00226F34">
        <w:tab/>
      </w:r>
      <w:r w:rsidR="004C2BA3">
        <w:rPr>
          <w:lang w:val="en-US"/>
        </w:rPr>
        <w:t xml:space="preserve">Imposition of fines and administrative arrests for participating in peaceful </w:t>
      </w:r>
      <w:r w:rsidR="008363D3">
        <w:rPr>
          <w:lang w:val="en-US"/>
        </w:rPr>
        <w:t>assemblies</w:t>
      </w:r>
      <w:r w:rsidR="004C2BA3">
        <w:rPr>
          <w:lang w:val="en-US"/>
        </w:rPr>
        <w:t xml:space="preserve">; freedom of </w:t>
      </w:r>
      <w:proofErr w:type="gramStart"/>
      <w:r w:rsidR="004C2BA3">
        <w:rPr>
          <w:lang w:val="en-US"/>
        </w:rPr>
        <w:t>expression</w:t>
      </w:r>
      <w:proofErr w:type="gramEnd"/>
      <w:r w:rsidR="004C2BA3">
        <w:t xml:space="preserve"> </w:t>
      </w:r>
    </w:p>
    <w:p w14:paraId="061F6F28" w14:textId="3E52B65E" w:rsidR="000128E3" w:rsidRPr="002B28EA" w:rsidRDefault="000128E3" w:rsidP="007113A4">
      <w:pPr>
        <w:pStyle w:val="SingleTxtG"/>
        <w:ind w:left="4536" w:hanging="3402"/>
        <w:jc w:val="left"/>
        <w:rPr>
          <w:lang w:val="en-US"/>
        </w:rPr>
      </w:pPr>
      <w:r w:rsidRPr="00A153F9">
        <w:rPr>
          <w:i/>
          <w:iCs/>
        </w:rPr>
        <w:t xml:space="preserve">Procedural issue: </w:t>
      </w:r>
      <w:r w:rsidRPr="00A153F9">
        <w:rPr>
          <w:i/>
          <w:iCs/>
        </w:rPr>
        <w:tab/>
      </w:r>
      <w:r w:rsidR="004C2BA3" w:rsidRPr="00A153F9">
        <w:rPr>
          <w:lang w:val="en-US"/>
        </w:rPr>
        <w:t>Ex</w:t>
      </w:r>
      <w:r w:rsidR="004C2BA3" w:rsidRPr="002B28EA">
        <w:rPr>
          <w:lang w:val="en-US"/>
        </w:rPr>
        <w:t>haustion of domestic remedies</w:t>
      </w:r>
      <w:r w:rsidR="00A153F9" w:rsidRPr="002B28EA">
        <w:rPr>
          <w:lang w:val="en-US"/>
        </w:rPr>
        <w:t>; substantiation</w:t>
      </w:r>
    </w:p>
    <w:p w14:paraId="7EF7F50B" w14:textId="6CA6E547" w:rsidR="000128E3" w:rsidRPr="00226F34" w:rsidRDefault="000128E3" w:rsidP="007113A4">
      <w:pPr>
        <w:pStyle w:val="SingleTxtG"/>
        <w:ind w:left="4536" w:hanging="3402"/>
        <w:jc w:val="left"/>
      </w:pPr>
      <w:r w:rsidRPr="002B28EA">
        <w:rPr>
          <w:i/>
          <w:iCs/>
        </w:rPr>
        <w:t>Substantive issue</w:t>
      </w:r>
      <w:r w:rsidR="008528FD" w:rsidRPr="002B28EA">
        <w:rPr>
          <w:i/>
          <w:iCs/>
        </w:rPr>
        <w:t>s</w:t>
      </w:r>
      <w:r w:rsidRPr="002B28EA">
        <w:rPr>
          <w:i/>
          <w:iCs/>
        </w:rPr>
        <w:t xml:space="preserve">: </w:t>
      </w:r>
      <w:r w:rsidRPr="002B28EA">
        <w:rPr>
          <w:i/>
          <w:iCs/>
        </w:rPr>
        <w:tab/>
      </w:r>
      <w:r w:rsidR="004C2BA3" w:rsidRPr="002B28EA">
        <w:rPr>
          <w:iCs/>
        </w:rPr>
        <w:t>Freedom</w:t>
      </w:r>
      <w:r w:rsidR="004C2BA3">
        <w:rPr>
          <w:iCs/>
        </w:rPr>
        <w:t xml:space="preserve"> of assembly; freedom of expression</w:t>
      </w:r>
    </w:p>
    <w:p w14:paraId="0980AAF3" w14:textId="708B2E48" w:rsidR="00364901" w:rsidRPr="00A153F9" w:rsidRDefault="000128E3" w:rsidP="002B28EA">
      <w:pPr>
        <w:pStyle w:val="SingleTxtG"/>
        <w:ind w:left="4536" w:hanging="3402"/>
        <w:jc w:val="left"/>
        <w:rPr>
          <w:lang w:val="en-US"/>
        </w:rPr>
      </w:pPr>
      <w:r w:rsidRPr="00226F34">
        <w:rPr>
          <w:i/>
          <w:iCs/>
        </w:rPr>
        <w:lastRenderedPageBreak/>
        <w:t>Articles of the Covenant:</w:t>
      </w:r>
      <w:r w:rsidRPr="00226F34">
        <w:t xml:space="preserve"> </w:t>
      </w:r>
      <w:r w:rsidRPr="00226F34">
        <w:tab/>
      </w:r>
      <w:r w:rsidR="004C2BA3">
        <w:t xml:space="preserve">2 (2), (3), 19 and 21  </w:t>
      </w:r>
    </w:p>
    <w:p w14:paraId="679F5603" w14:textId="3C2C1B70" w:rsidR="004C2BA3" w:rsidRDefault="000128E3" w:rsidP="004C2BA3">
      <w:pPr>
        <w:pStyle w:val="SingleTxtG"/>
        <w:ind w:left="4536" w:hanging="3402"/>
        <w:jc w:val="left"/>
        <w:rPr>
          <w:iCs/>
        </w:rPr>
      </w:pPr>
      <w:r w:rsidRPr="00A153F9">
        <w:rPr>
          <w:i/>
          <w:iCs/>
        </w:rPr>
        <w:t>Articles of the Optional Protocol:</w:t>
      </w:r>
      <w:r w:rsidRPr="00A153F9">
        <w:rPr>
          <w:i/>
          <w:iCs/>
        </w:rPr>
        <w:tab/>
      </w:r>
      <w:r w:rsidR="004C2BA3" w:rsidRPr="00A153F9">
        <w:rPr>
          <w:iCs/>
        </w:rPr>
        <w:t>2</w:t>
      </w:r>
      <w:r w:rsidR="004C2BA3" w:rsidRPr="00A153F9">
        <w:rPr>
          <w:iCs/>
          <w:lang w:val="en-US"/>
        </w:rPr>
        <w:t xml:space="preserve"> and </w:t>
      </w:r>
      <w:r w:rsidR="00A153F9" w:rsidRPr="00A153F9">
        <w:rPr>
          <w:iCs/>
          <w:lang w:val="en-US"/>
        </w:rPr>
        <w:t>3</w:t>
      </w:r>
    </w:p>
    <w:p w14:paraId="11E8DCF5" w14:textId="47D7E4B7" w:rsidR="005D4560" w:rsidRDefault="005D4560" w:rsidP="005D4560">
      <w:pPr>
        <w:pStyle w:val="SingleTxtG"/>
      </w:pPr>
      <w:r>
        <w:t>1.1</w:t>
      </w:r>
      <w:r>
        <w:tab/>
      </w:r>
      <w:r w:rsidR="00B13D28" w:rsidRPr="00226F34">
        <w:t>The author</w:t>
      </w:r>
      <w:r w:rsidR="00A85D29" w:rsidRPr="00226F34">
        <w:t>s</w:t>
      </w:r>
      <w:r w:rsidR="00B13D28" w:rsidRPr="00226F34">
        <w:t xml:space="preserve"> of the communication</w:t>
      </w:r>
      <w:r w:rsidR="00A85D29" w:rsidRPr="00226F34">
        <w:t>s</w:t>
      </w:r>
      <w:r w:rsidR="00B13D28" w:rsidRPr="00226F34">
        <w:t xml:space="preserve"> </w:t>
      </w:r>
      <w:r w:rsidR="00A85D29" w:rsidRPr="00226F34">
        <w:t xml:space="preserve">are </w:t>
      </w:r>
      <w:r w:rsidR="00563F6B">
        <w:t xml:space="preserve">Olga </w:t>
      </w:r>
      <w:proofErr w:type="spellStart"/>
      <w:r w:rsidR="00563F6B">
        <w:t>Nikolaichik</w:t>
      </w:r>
      <w:proofErr w:type="spellEnd"/>
      <w:r w:rsidR="00563F6B">
        <w:t xml:space="preserve"> </w:t>
      </w:r>
      <w:r w:rsidR="00563F6B" w:rsidRPr="00226F34">
        <w:t xml:space="preserve">(communication No. </w:t>
      </w:r>
      <w:r w:rsidR="00563F6B">
        <w:t>3056</w:t>
      </w:r>
      <w:r w:rsidR="00563F6B" w:rsidRPr="00226F34">
        <w:t>/201</w:t>
      </w:r>
      <w:r w:rsidR="00563F6B">
        <w:t>7</w:t>
      </w:r>
      <w:r w:rsidR="00563F6B" w:rsidRPr="00226F34">
        <w:t xml:space="preserve">), </w:t>
      </w:r>
      <w:r w:rsidR="00563F6B">
        <w:t xml:space="preserve">Anna </w:t>
      </w:r>
      <w:proofErr w:type="spellStart"/>
      <w:r w:rsidR="00563F6B">
        <w:t>Krasulina</w:t>
      </w:r>
      <w:proofErr w:type="spellEnd"/>
      <w:r w:rsidR="00563F6B">
        <w:t xml:space="preserve"> </w:t>
      </w:r>
      <w:r w:rsidR="00563F6B" w:rsidRPr="00226F34">
        <w:t xml:space="preserve">(communication No. </w:t>
      </w:r>
      <w:r w:rsidR="00563F6B">
        <w:t>3100</w:t>
      </w:r>
      <w:r w:rsidR="00563F6B" w:rsidRPr="00226F34">
        <w:rPr>
          <w:lang w:val="en-US"/>
        </w:rPr>
        <w:t>/201</w:t>
      </w:r>
      <w:r w:rsidR="00563F6B">
        <w:rPr>
          <w:lang w:val="en-US"/>
        </w:rPr>
        <w:t>8</w:t>
      </w:r>
      <w:r w:rsidR="00563F6B" w:rsidRPr="00226F34">
        <w:rPr>
          <w:lang w:val="en-US"/>
        </w:rPr>
        <w:t>)</w:t>
      </w:r>
      <w:r w:rsidR="00563F6B">
        <w:rPr>
          <w:lang w:val="en-US"/>
        </w:rPr>
        <w:t>,</w:t>
      </w:r>
      <w:r w:rsidR="00563F6B" w:rsidRPr="00226F34">
        <w:t xml:space="preserve"> </w:t>
      </w:r>
      <w:r w:rsidR="00563F6B">
        <w:t>Artem Kovalev (communication No. 3130/2018) and Vadim Vasiliev (communication No. 3134/2018)</w:t>
      </w:r>
      <w:r w:rsidR="002B28EA">
        <w:t>,</w:t>
      </w:r>
      <w:r w:rsidR="00A85D29" w:rsidRPr="00226F34">
        <w:rPr>
          <w:lang w:val="en-US"/>
        </w:rPr>
        <w:t xml:space="preserve"> </w:t>
      </w:r>
      <w:r w:rsidR="00A85D29" w:rsidRPr="00226F34">
        <w:t xml:space="preserve">nationals of </w:t>
      </w:r>
      <w:r w:rsidR="00563F6B">
        <w:t xml:space="preserve">Belarus </w:t>
      </w:r>
      <w:r w:rsidR="00A85D29" w:rsidRPr="00226F34">
        <w:t xml:space="preserve">born in </w:t>
      </w:r>
      <w:r w:rsidR="00563F6B">
        <w:t>1968, 1969, 1994 and 1985</w:t>
      </w:r>
      <w:r w:rsidR="00A85D29" w:rsidRPr="00226F34">
        <w:t>, respectively.</w:t>
      </w:r>
      <w:r w:rsidR="00D94433" w:rsidRPr="00226F34">
        <w:t xml:space="preserve"> </w:t>
      </w:r>
      <w:r w:rsidR="00230A7C" w:rsidRPr="00226F34">
        <w:t xml:space="preserve">They </w:t>
      </w:r>
      <w:r w:rsidR="00D94433" w:rsidRPr="00226F34">
        <w:t xml:space="preserve">claim that the State party has violated </w:t>
      </w:r>
      <w:r w:rsidR="00D94433" w:rsidRPr="002B28EA">
        <w:t>their rights under article</w:t>
      </w:r>
      <w:r w:rsidR="002B28EA" w:rsidRPr="002B28EA">
        <w:t>s 19 and 21, taken separately and in conjunction with article 2 (2) and (3),</w:t>
      </w:r>
      <w:r w:rsidR="00A85D29" w:rsidRPr="002B28EA">
        <w:t xml:space="preserve"> of the International Covenant on Civil and Political Rights</w:t>
      </w:r>
      <w:r w:rsidR="002B28EA">
        <w:t xml:space="preserve"> (Covenant)</w:t>
      </w:r>
      <w:r w:rsidR="00A85D29" w:rsidRPr="002B28EA">
        <w:t>.</w:t>
      </w:r>
      <w:r w:rsidR="00D94433" w:rsidRPr="002B28EA">
        <w:t xml:space="preserve"> </w:t>
      </w:r>
      <w:r w:rsidR="00563F6B" w:rsidRPr="002B28EA">
        <w:t>The Optional Protocol entered</w:t>
      </w:r>
      <w:r w:rsidR="00563F6B" w:rsidRPr="003D5705">
        <w:t xml:space="preserve"> into force for Belarus on 30 December 1992.</w:t>
      </w:r>
      <w:r w:rsidR="00563F6B">
        <w:t xml:space="preserve"> </w:t>
      </w:r>
      <w:r w:rsidR="00A85D29" w:rsidRPr="00226F34">
        <w:t xml:space="preserve">The </w:t>
      </w:r>
      <w:r w:rsidR="002B28EA">
        <w:t>authors of communications Nos. 3056/2017, 3100/2018, 3130/2018 are represented by counsel</w:t>
      </w:r>
      <w:r w:rsidR="00A85D29" w:rsidRPr="00226F34">
        <w:t>.</w:t>
      </w:r>
      <w:r w:rsidR="002B28EA">
        <w:t xml:space="preserve"> The author of communication No. 3134/2018 is not represented.</w:t>
      </w:r>
    </w:p>
    <w:p w14:paraId="2D0AC6FD" w14:textId="2D18F819" w:rsidR="005D4560" w:rsidRDefault="005D4560" w:rsidP="005D4560">
      <w:pPr>
        <w:pStyle w:val="SingleTxtG"/>
      </w:pPr>
      <w:r>
        <w:t>1.2</w:t>
      </w:r>
      <w:r>
        <w:tab/>
      </w:r>
      <w:r w:rsidR="0016448F" w:rsidRPr="00E86AA2">
        <w:t>The present communication</w:t>
      </w:r>
      <w:r w:rsidR="00C24D8D">
        <w:t>s</w:t>
      </w:r>
      <w:r w:rsidR="0016448F" w:rsidRPr="00E86AA2">
        <w:t xml:space="preserve"> </w:t>
      </w:r>
      <w:r w:rsidR="00C24D8D">
        <w:t>were</w:t>
      </w:r>
      <w:r w:rsidR="00C24D8D" w:rsidRPr="00E86AA2">
        <w:t xml:space="preserve"> </w:t>
      </w:r>
      <w:r w:rsidR="0016448F" w:rsidRPr="00E86AA2">
        <w:t>submitted for consideration before the State party’s denunciation of the Optional Protocol became effective on 8 February 2023. In accordance with article 12 (2) of the Optional Protocol and the Committee’s previous case law, the State party continues to be subject to the application of the Optional Protocol as regards the present communication</w:t>
      </w:r>
      <w:r w:rsidR="00C24D8D">
        <w:t>s</w:t>
      </w:r>
      <w:r w:rsidR="0016448F" w:rsidRPr="00E86AA2">
        <w:t>.</w:t>
      </w:r>
      <w:r w:rsidR="0016448F" w:rsidRPr="00E86AA2">
        <w:rPr>
          <w:rStyle w:val="FootnoteReference"/>
        </w:rPr>
        <w:footnoteReference w:id="4"/>
      </w:r>
    </w:p>
    <w:p w14:paraId="3ADC4CC7" w14:textId="6B895D6D" w:rsidR="00E42BF1" w:rsidRPr="00226F34" w:rsidRDefault="005D4560" w:rsidP="005D4560">
      <w:pPr>
        <w:pStyle w:val="SingleTxtG"/>
      </w:pPr>
      <w:r>
        <w:t>1.3</w:t>
      </w:r>
      <w:r>
        <w:tab/>
      </w:r>
      <w:r w:rsidR="00E42BF1" w:rsidRPr="00DD0474">
        <w:t>On, pursuant</w:t>
      </w:r>
      <w:r w:rsidR="00E42BF1" w:rsidRPr="00E42BF1">
        <w:t xml:space="preserve"> to rule 97 (3) of the Committee’s rules of procedure, the Committee decided to join communications </w:t>
      </w:r>
      <w:r w:rsidR="00563F6B">
        <w:t>3056</w:t>
      </w:r>
      <w:r w:rsidR="00563F6B" w:rsidRPr="00226F34">
        <w:t>/201</w:t>
      </w:r>
      <w:r w:rsidR="00563F6B">
        <w:t>7, 3100</w:t>
      </w:r>
      <w:r w:rsidR="00563F6B" w:rsidRPr="0016448F">
        <w:rPr>
          <w:lang w:val="en-US"/>
        </w:rPr>
        <w:t xml:space="preserve">/2018, </w:t>
      </w:r>
      <w:r w:rsidR="00563F6B">
        <w:t xml:space="preserve">3130/2018 and 3134/2018 </w:t>
      </w:r>
      <w:r w:rsidR="00E42BF1">
        <w:t xml:space="preserve">submitted by </w:t>
      </w:r>
      <w:r w:rsidR="00563F6B">
        <w:t>four</w:t>
      </w:r>
      <w:r w:rsidR="00E42BF1">
        <w:t xml:space="preserve"> different authors </w:t>
      </w:r>
      <w:r w:rsidR="00E42BF1" w:rsidRPr="00E42BF1">
        <w:t>for a joint decision, in view of substantial factual and legal similarity.</w:t>
      </w:r>
    </w:p>
    <w:p w14:paraId="6B657A39" w14:textId="406E09B0" w:rsidR="00A85D29" w:rsidRPr="00226F34" w:rsidRDefault="00B13D28" w:rsidP="00A85D29">
      <w:pPr>
        <w:pStyle w:val="H23G"/>
      </w:pPr>
      <w:r w:rsidRPr="00226F34">
        <w:tab/>
      </w:r>
      <w:r w:rsidRPr="00226F34">
        <w:tab/>
      </w:r>
      <w:r w:rsidR="00A85D29" w:rsidRPr="00226F34">
        <w:t xml:space="preserve">The facts as submitted by the </w:t>
      </w:r>
      <w:proofErr w:type="gramStart"/>
      <w:r w:rsidR="00382795" w:rsidRPr="00226F34">
        <w:t>authors</w:t>
      </w:r>
      <w:proofErr w:type="gramEnd"/>
    </w:p>
    <w:p w14:paraId="63944D07" w14:textId="7194B5A7" w:rsidR="00A85D29" w:rsidRPr="00226F34" w:rsidRDefault="00001C3D" w:rsidP="00B67BE1">
      <w:pPr>
        <w:pStyle w:val="SingleTxtG"/>
        <w:rPr>
          <w:lang w:val="en-US"/>
        </w:rPr>
      </w:pPr>
      <w:r w:rsidRPr="00226F34">
        <w:rPr>
          <w:lang w:val="en-US"/>
        </w:rPr>
        <w:t>2.1</w:t>
      </w:r>
      <w:r w:rsidRPr="00226F34">
        <w:rPr>
          <w:lang w:val="en-US"/>
        </w:rPr>
        <w:tab/>
      </w:r>
      <w:r w:rsidR="00B67BE1">
        <w:rPr>
          <w:lang w:val="en-US"/>
        </w:rPr>
        <w:t xml:space="preserve">The four communications relate to administrative convictions under article 23.34 of the Code of Administrative Offenses (“Violation of the procedure for organizing and holding mass events”). </w:t>
      </w:r>
      <w:r w:rsidR="00A85D29" w:rsidRPr="00226F34">
        <w:t>The facts relevant to each communication are summarized below.</w:t>
      </w:r>
    </w:p>
    <w:p w14:paraId="08FE5744" w14:textId="25401CF0" w:rsidR="00A85D29" w:rsidRPr="00226F34" w:rsidRDefault="00A85D29" w:rsidP="0059786F">
      <w:pPr>
        <w:pStyle w:val="SingleTxtG"/>
        <w:rPr>
          <w:i/>
          <w:iCs/>
        </w:rPr>
      </w:pPr>
      <w:r w:rsidRPr="00226F34">
        <w:rPr>
          <w:i/>
          <w:iCs/>
        </w:rPr>
        <w:t xml:space="preserve">Communication No. </w:t>
      </w:r>
      <w:r w:rsidR="001A0984">
        <w:rPr>
          <w:i/>
          <w:iCs/>
        </w:rPr>
        <w:t>3056/</w:t>
      </w:r>
      <w:r w:rsidR="00687C7B">
        <w:rPr>
          <w:i/>
          <w:iCs/>
        </w:rPr>
        <w:t>2</w:t>
      </w:r>
      <w:r w:rsidR="001A0984">
        <w:rPr>
          <w:i/>
          <w:iCs/>
        </w:rPr>
        <w:t xml:space="preserve">017, Olga </w:t>
      </w:r>
      <w:proofErr w:type="spellStart"/>
      <w:r w:rsidR="001A0984">
        <w:rPr>
          <w:i/>
          <w:iCs/>
        </w:rPr>
        <w:t>Nikolaichik</w:t>
      </w:r>
      <w:proofErr w:type="spellEnd"/>
      <w:r w:rsidR="001A0984">
        <w:rPr>
          <w:i/>
          <w:iCs/>
        </w:rPr>
        <w:t xml:space="preserve"> v. Belarus</w:t>
      </w:r>
    </w:p>
    <w:p w14:paraId="711BE35B" w14:textId="1B189140" w:rsidR="004C2BA3" w:rsidRDefault="00346547" w:rsidP="001A0984">
      <w:pPr>
        <w:pStyle w:val="SingleTxtG"/>
        <w:rPr>
          <w:lang w:val="en-US"/>
        </w:rPr>
      </w:pPr>
      <w:r w:rsidRPr="00226F34">
        <w:rPr>
          <w:lang w:val="en-US"/>
        </w:rPr>
        <w:t>2.2</w:t>
      </w:r>
      <w:r w:rsidRPr="00226F34">
        <w:rPr>
          <w:lang w:val="en-US"/>
        </w:rPr>
        <w:tab/>
      </w:r>
      <w:bookmarkStart w:id="1" w:name="_Hlk134791083"/>
      <w:r w:rsidR="001A0984">
        <w:rPr>
          <w:lang w:val="en-US"/>
        </w:rPr>
        <w:t xml:space="preserve">The author </w:t>
      </w:r>
      <w:r w:rsidR="00E762C0">
        <w:rPr>
          <w:lang w:val="en-US"/>
        </w:rPr>
        <w:t xml:space="preserve">of communication No. 3056/2017 </w:t>
      </w:r>
      <w:r w:rsidR="001A0984">
        <w:rPr>
          <w:lang w:val="en-US"/>
        </w:rPr>
        <w:t xml:space="preserve">has repeatedly been imposed </w:t>
      </w:r>
      <w:r w:rsidR="004C2BA3">
        <w:rPr>
          <w:lang w:val="en-US"/>
        </w:rPr>
        <w:t xml:space="preserve">significant </w:t>
      </w:r>
      <w:r w:rsidR="001A0984">
        <w:rPr>
          <w:lang w:val="en-US"/>
        </w:rPr>
        <w:t>administrative fines</w:t>
      </w:r>
      <w:r w:rsidR="00C31EAB">
        <w:rPr>
          <w:lang w:val="en-US"/>
        </w:rPr>
        <w:t xml:space="preserve"> under article 23.34 of the Code of Administrative Offenses</w:t>
      </w:r>
      <w:r w:rsidR="001A0984">
        <w:rPr>
          <w:lang w:val="en-US"/>
        </w:rPr>
        <w:t xml:space="preserve"> for </w:t>
      </w:r>
      <w:r w:rsidR="00E762C0">
        <w:rPr>
          <w:lang w:val="en-US"/>
        </w:rPr>
        <w:t>unauthorized</w:t>
      </w:r>
      <w:r w:rsidR="001A0984">
        <w:rPr>
          <w:lang w:val="en-US"/>
        </w:rPr>
        <w:t xml:space="preserve"> picketing.</w:t>
      </w:r>
    </w:p>
    <w:p w14:paraId="6B025CEC" w14:textId="0E7A832D" w:rsidR="004C2BA3" w:rsidRDefault="004C2BA3" w:rsidP="001A0984">
      <w:pPr>
        <w:pStyle w:val="SingleTxtG"/>
        <w:rPr>
          <w:lang w:val="en-US"/>
        </w:rPr>
      </w:pPr>
      <w:r>
        <w:rPr>
          <w:lang w:val="en-US"/>
        </w:rPr>
        <w:t>2.3</w:t>
      </w:r>
      <w:r>
        <w:rPr>
          <w:lang w:val="en-US"/>
        </w:rPr>
        <w:tab/>
      </w:r>
      <w:r w:rsidR="001A0984">
        <w:rPr>
          <w:lang w:val="en-US"/>
        </w:rPr>
        <w:t xml:space="preserve">On 24 March 2016, a fine of 10,500,000 </w:t>
      </w:r>
      <w:r w:rsidR="00C31EAB">
        <w:rPr>
          <w:lang w:val="en-US"/>
        </w:rPr>
        <w:t xml:space="preserve">non-redenominated </w:t>
      </w:r>
      <w:r w:rsidR="001A0984">
        <w:rPr>
          <w:lang w:val="en-US"/>
        </w:rPr>
        <w:t xml:space="preserve">Belarusian </w:t>
      </w:r>
      <w:proofErr w:type="spellStart"/>
      <w:r w:rsidR="001A0984">
        <w:rPr>
          <w:lang w:val="en-US"/>
        </w:rPr>
        <w:t>rubleswas</w:t>
      </w:r>
      <w:proofErr w:type="spellEnd"/>
      <w:r w:rsidR="001A0984">
        <w:rPr>
          <w:lang w:val="en-US"/>
        </w:rPr>
        <w:t xml:space="preserve"> imposed on her by </w:t>
      </w:r>
      <w:proofErr w:type="spellStart"/>
      <w:r w:rsidR="001A0984">
        <w:rPr>
          <w:lang w:val="en-US"/>
        </w:rPr>
        <w:t>Tsentralny</w:t>
      </w:r>
      <w:proofErr w:type="spellEnd"/>
      <w:r w:rsidR="001A0984">
        <w:rPr>
          <w:lang w:val="en-US"/>
        </w:rPr>
        <w:t xml:space="preserve"> District Court of Minsk</w:t>
      </w:r>
      <w:r w:rsidR="00C31EAB">
        <w:rPr>
          <w:lang w:val="en-US"/>
        </w:rPr>
        <w:t xml:space="preserve"> due to her picketing in front of the Embassy of Russian Federation in Minsk</w:t>
      </w:r>
      <w:r w:rsidR="009E642A">
        <w:rPr>
          <w:lang w:val="en-US"/>
        </w:rPr>
        <w:t>. Th</w:t>
      </w:r>
      <w:r w:rsidR="00C31EAB">
        <w:rPr>
          <w:lang w:val="en-US"/>
        </w:rPr>
        <w:t>e author had held</w:t>
      </w:r>
      <w:r w:rsidR="009E642A">
        <w:rPr>
          <w:lang w:val="en-US"/>
        </w:rPr>
        <w:t xml:space="preserve"> the</w:t>
      </w:r>
      <w:r w:rsidR="00C31EAB">
        <w:rPr>
          <w:lang w:val="en-US"/>
        </w:rPr>
        <w:t xml:space="preserve"> Belarus</w:t>
      </w:r>
      <w:r w:rsidR="009E642A">
        <w:rPr>
          <w:lang w:val="en-US"/>
        </w:rPr>
        <w:t>ian</w:t>
      </w:r>
      <w:r w:rsidR="00C31EAB">
        <w:rPr>
          <w:lang w:val="en-US"/>
        </w:rPr>
        <w:t xml:space="preserve"> national flag and shouted slogans.</w:t>
      </w:r>
      <w:r w:rsidR="001A0984">
        <w:rPr>
          <w:lang w:val="en-US"/>
        </w:rPr>
        <w:t xml:space="preserve"> </w:t>
      </w:r>
      <w:r w:rsidR="009E642A">
        <w:rPr>
          <w:lang w:val="en-US"/>
        </w:rPr>
        <w:t>Her</w:t>
      </w:r>
      <w:r w:rsidR="001A0984">
        <w:rPr>
          <w:lang w:val="en-US"/>
        </w:rPr>
        <w:t xml:space="preserve"> cassation appeal against this judgement was rejected by Minsk City Court on 19 April 2016.</w:t>
      </w:r>
    </w:p>
    <w:p w14:paraId="04672946" w14:textId="6570EFB7" w:rsidR="004C2BA3" w:rsidRDefault="004C2BA3" w:rsidP="001A0984">
      <w:pPr>
        <w:pStyle w:val="SingleTxtG"/>
        <w:rPr>
          <w:lang w:val="en-US"/>
        </w:rPr>
      </w:pPr>
      <w:r>
        <w:rPr>
          <w:lang w:val="en-US"/>
        </w:rPr>
        <w:t>2.4</w:t>
      </w:r>
      <w:r>
        <w:rPr>
          <w:lang w:val="en-US"/>
        </w:rPr>
        <w:tab/>
      </w:r>
      <w:r w:rsidR="001A0984">
        <w:rPr>
          <w:lang w:val="en-US"/>
        </w:rPr>
        <w:t xml:space="preserve">On 13 June 2016, a fine of 8,400,000 non-redenominated </w:t>
      </w:r>
      <w:proofErr w:type="spellStart"/>
      <w:r w:rsidR="001A0984">
        <w:rPr>
          <w:lang w:val="en-US"/>
        </w:rPr>
        <w:t>Belarusianrubles</w:t>
      </w:r>
      <w:proofErr w:type="spellEnd"/>
      <w:r w:rsidR="001A0984">
        <w:rPr>
          <w:lang w:val="en-US"/>
        </w:rPr>
        <w:t xml:space="preserve"> was imposed on her by </w:t>
      </w:r>
      <w:proofErr w:type="spellStart"/>
      <w:r w:rsidR="001A0984">
        <w:rPr>
          <w:lang w:val="en-US"/>
        </w:rPr>
        <w:t>Partizansky</w:t>
      </w:r>
      <w:proofErr w:type="spellEnd"/>
      <w:r w:rsidR="001A0984">
        <w:rPr>
          <w:lang w:val="en-US"/>
        </w:rPr>
        <w:t xml:space="preserve"> District Court of Minsk</w:t>
      </w:r>
      <w:r w:rsidR="00C31EAB">
        <w:rPr>
          <w:lang w:val="en-US"/>
        </w:rPr>
        <w:t xml:space="preserve"> due to her participation in a picket in </w:t>
      </w:r>
      <w:proofErr w:type="spellStart"/>
      <w:r w:rsidR="00C31EAB">
        <w:rPr>
          <w:lang w:val="en-US"/>
        </w:rPr>
        <w:t>honour</w:t>
      </w:r>
      <w:proofErr w:type="spellEnd"/>
      <w:r w:rsidR="00C31EAB">
        <w:rPr>
          <w:lang w:val="en-US"/>
        </w:rPr>
        <w:t xml:space="preserve"> of disappeared politicians and journalist. The author had held a </w:t>
      </w:r>
      <w:r w:rsidR="00687C7B">
        <w:rPr>
          <w:lang w:val="en-US"/>
        </w:rPr>
        <w:t>banner “Where is Z.? Where is G</w:t>
      </w:r>
      <w:r w:rsidR="001A0984">
        <w:rPr>
          <w:lang w:val="en-US"/>
        </w:rPr>
        <w:t>.</w:t>
      </w:r>
      <w:r w:rsidR="00687C7B">
        <w:rPr>
          <w:lang w:val="en-US"/>
        </w:rPr>
        <w:t>? Where is K.? Where is Z.?”</w:t>
      </w:r>
      <w:r w:rsidR="001A0984">
        <w:rPr>
          <w:lang w:val="en-US"/>
        </w:rPr>
        <w:t xml:space="preserve"> </w:t>
      </w:r>
      <w:r w:rsidR="00687C7B">
        <w:rPr>
          <w:lang w:val="en-US"/>
        </w:rPr>
        <w:t>Her</w:t>
      </w:r>
      <w:r w:rsidR="001A0984">
        <w:rPr>
          <w:lang w:val="en-US"/>
        </w:rPr>
        <w:t xml:space="preserve"> cassation appeal against this judgement was rejected on 29 July 2016 by Minsk City Court.</w:t>
      </w:r>
    </w:p>
    <w:p w14:paraId="6B9EDCFE" w14:textId="4BB89F64" w:rsidR="00C6698A" w:rsidRDefault="004C2BA3" w:rsidP="001A0984">
      <w:pPr>
        <w:pStyle w:val="SingleTxtG"/>
        <w:rPr>
          <w:lang w:val="en-US"/>
        </w:rPr>
      </w:pPr>
      <w:r>
        <w:rPr>
          <w:lang w:val="en-US"/>
        </w:rPr>
        <w:t>2.5</w:t>
      </w:r>
      <w:r>
        <w:rPr>
          <w:lang w:val="en-US"/>
        </w:rPr>
        <w:tab/>
      </w:r>
      <w:r w:rsidR="001A0984">
        <w:rPr>
          <w:lang w:val="en-US"/>
        </w:rPr>
        <w:t xml:space="preserve">On 15 September 2016, a fine of 1050 </w:t>
      </w:r>
      <w:r w:rsidR="00C31EAB">
        <w:rPr>
          <w:lang w:val="en-US"/>
        </w:rPr>
        <w:t xml:space="preserve">redenominated </w:t>
      </w:r>
      <w:r w:rsidR="001A0984">
        <w:rPr>
          <w:lang w:val="en-US"/>
        </w:rPr>
        <w:t xml:space="preserve">Belarusian </w:t>
      </w:r>
      <w:proofErr w:type="spellStart"/>
      <w:r w:rsidR="001A0984">
        <w:rPr>
          <w:lang w:val="en-US"/>
        </w:rPr>
        <w:t>rubles</w:t>
      </w:r>
      <w:r w:rsidR="00C31EAB">
        <w:rPr>
          <w:lang w:val="en-US"/>
        </w:rPr>
        <w:t>was</w:t>
      </w:r>
      <w:proofErr w:type="spellEnd"/>
      <w:r w:rsidR="00C31EAB">
        <w:rPr>
          <w:lang w:val="en-US"/>
        </w:rPr>
        <w:t xml:space="preserve"> imposed on the author by </w:t>
      </w:r>
      <w:proofErr w:type="spellStart"/>
      <w:r w:rsidR="00C31EAB">
        <w:rPr>
          <w:lang w:val="en-US"/>
        </w:rPr>
        <w:t>Leninsky</w:t>
      </w:r>
      <w:proofErr w:type="spellEnd"/>
      <w:r w:rsidR="00C31EAB">
        <w:rPr>
          <w:lang w:val="en-US"/>
        </w:rPr>
        <w:t xml:space="preserve"> District Court of Mins</w:t>
      </w:r>
      <w:r w:rsidR="00687C7B">
        <w:rPr>
          <w:lang w:val="en-US"/>
        </w:rPr>
        <w:t xml:space="preserve">k due to her picketing in front of </w:t>
      </w:r>
      <w:proofErr w:type="spellStart"/>
      <w:r w:rsidR="00687C7B">
        <w:rPr>
          <w:lang w:val="en-US"/>
        </w:rPr>
        <w:t>Tsentralny</w:t>
      </w:r>
      <w:proofErr w:type="spellEnd"/>
      <w:r w:rsidR="00687C7B">
        <w:rPr>
          <w:lang w:val="en-US"/>
        </w:rPr>
        <w:t xml:space="preserve"> District Court in support of a political prisoner. </w:t>
      </w:r>
      <w:r w:rsidR="009E642A">
        <w:rPr>
          <w:lang w:val="en-US"/>
        </w:rPr>
        <w:t>She</w:t>
      </w:r>
      <w:r w:rsidR="00687C7B">
        <w:rPr>
          <w:lang w:val="en-US"/>
        </w:rPr>
        <w:t xml:space="preserve"> had held a banner “Freedom to P</w:t>
      </w:r>
      <w:r w:rsidR="009E642A">
        <w:rPr>
          <w:lang w:val="en-US"/>
        </w:rPr>
        <w:t>.</w:t>
      </w:r>
      <w:r w:rsidR="00687C7B">
        <w:rPr>
          <w:lang w:val="en-US"/>
        </w:rPr>
        <w:t xml:space="preserve">, our history is </w:t>
      </w:r>
      <w:r w:rsidR="009E642A">
        <w:rPr>
          <w:lang w:val="en-US"/>
        </w:rPr>
        <w:t>on trial here</w:t>
      </w:r>
      <w:r w:rsidR="00687C7B">
        <w:rPr>
          <w:lang w:val="en-US"/>
        </w:rPr>
        <w:t>”.</w:t>
      </w:r>
    </w:p>
    <w:p w14:paraId="0C300ECF" w14:textId="6F056051" w:rsidR="00A85D29" w:rsidRPr="00226F34" w:rsidRDefault="00A85D29" w:rsidP="0059786F">
      <w:pPr>
        <w:pStyle w:val="SingleTxtG"/>
        <w:rPr>
          <w:i/>
          <w:iCs/>
        </w:rPr>
      </w:pPr>
      <w:r w:rsidRPr="00226F34">
        <w:rPr>
          <w:i/>
          <w:iCs/>
        </w:rPr>
        <w:t xml:space="preserve">Communication No. </w:t>
      </w:r>
      <w:r w:rsidR="00687C7B" w:rsidRPr="00687C7B">
        <w:rPr>
          <w:i/>
          <w:iCs/>
        </w:rPr>
        <w:t>3100/2018</w:t>
      </w:r>
      <w:r w:rsidRPr="00226F34">
        <w:rPr>
          <w:i/>
          <w:iCs/>
        </w:rPr>
        <w:t xml:space="preserve">, </w:t>
      </w:r>
      <w:r w:rsidR="00687C7B" w:rsidRPr="00687C7B">
        <w:rPr>
          <w:i/>
          <w:iCs/>
        </w:rPr>
        <w:t xml:space="preserve">Anna </w:t>
      </w:r>
      <w:proofErr w:type="spellStart"/>
      <w:r w:rsidR="00687C7B" w:rsidRPr="00687C7B">
        <w:rPr>
          <w:i/>
          <w:iCs/>
        </w:rPr>
        <w:t>Krasulina</w:t>
      </w:r>
      <w:proofErr w:type="spellEnd"/>
      <w:r w:rsidR="00687C7B">
        <w:rPr>
          <w:i/>
          <w:iCs/>
        </w:rPr>
        <w:t xml:space="preserve"> v. Belarus</w:t>
      </w:r>
    </w:p>
    <w:p w14:paraId="45AE82D3" w14:textId="30872098" w:rsidR="008F2674" w:rsidRDefault="008F2674" w:rsidP="00687C7B">
      <w:pPr>
        <w:pStyle w:val="SingleTxtG"/>
        <w:rPr>
          <w:iCs/>
        </w:rPr>
      </w:pPr>
      <w:r w:rsidRPr="00226F34">
        <w:rPr>
          <w:iCs/>
        </w:rPr>
        <w:t>2.</w:t>
      </w:r>
      <w:r w:rsidR="004C2BA3">
        <w:rPr>
          <w:iCs/>
        </w:rPr>
        <w:t>6</w:t>
      </w:r>
      <w:r w:rsidRPr="00226F34">
        <w:rPr>
          <w:iCs/>
        </w:rPr>
        <w:tab/>
      </w:r>
      <w:r w:rsidR="007F5A4F">
        <w:rPr>
          <w:iCs/>
        </w:rPr>
        <w:t xml:space="preserve">The author </w:t>
      </w:r>
      <w:r w:rsidR="00E762C0">
        <w:rPr>
          <w:iCs/>
        </w:rPr>
        <w:t xml:space="preserve">of communication No. 3100/2018 </w:t>
      </w:r>
      <w:r w:rsidR="007F5A4F">
        <w:rPr>
          <w:iCs/>
        </w:rPr>
        <w:t xml:space="preserve">is an activist of the United Civic Party. On 30 March 2017, she found herself near a temporary detention facility in Minsk, waiting for members of her party to be liberated from administrative arrests. She was holding a white-red-white flag. </w:t>
      </w:r>
      <w:r w:rsidR="009E642A">
        <w:rPr>
          <w:iCs/>
        </w:rPr>
        <w:t>Due to this, on</w:t>
      </w:r>
      <w:r w:rsidR="001D7032">
        <w:rPr>
          <w:iCs/>
        </w:rPr>
        <w:t xml:space="preserve"> </w:t>
      </w:r>
      <w:r w:rsidR="007F5A4F">
        <w:rPr>
          <w:iCs/>
        </w:rPr>
        <w:t>21 April</w:t>
      </w:r>
      <w:r w:rsidR="001D7032">
        <w:rPr>
          <w:iCs/>
        </w:rPr>
        <w:t xml:space="preserve"> 2017, </w:t>
      </w:r>
      <w:proofErr w:type="spellStart"/>
      <w:r w:rsidR="001D7032">
        <w:rPr>
          <w:iCs/>
        </w:rPr>
        <w:t>Moskovsky</w:t>
      </w:r>
      <w:proofErr w:type="spellEnd"/>
      <w:r w:rsidR="001D7032">
        <w:rPr>
          <w:iCs/>
        </w:rPr>
        <w:t xml:space="preserve"> District Court of Minsk imposed on her an administrative fine of 1150 Belarusian </w:t>
      </w:r>
      <w:proofErr w:type="spellStart"/>
      <w:r w:rsidR="001D7032">
        <w:rPr>
          <w:iCs/>
        </w:rPr>
        <w:t>rubles</w:t>
      </w:r>
      <w:proofErr w:type="spellEnd"/>
      <w:r w:rsidR="001D7032">
        <w:rPr>
          <w:iCs/>
        </w:rPr>
        <w:t xml:space="preserve"> (around 550 euros), which is higher </w:t>
      </w:r>
      <w:r w:rsidR="001D7032">
        <w:rPr>
          <w:iCs/>
        </w:rPr>
        <w:lastRenderedPageBreak/>
        <w:t>than an average salary</w:t>
      </w:r>
      <w:r w:rsidR="004C2BA3">
        <w:rPr>
          <w:iCs/>
        </w:rPr>
        <w:t>, under article 23.34 of the Code of Administrative Offenses</w:t>
      </w:r>
      <w:r w:rsidR="001D7032">
        <w:rPr>
          <w:iCs/>
        </w:rPr>
        <w:t>. On 17 May 2017, Minsk City Court rejected the author’s cassation appeal against this judgement.</w:t>
      </w:r>
    </w:p>
    <w:p w14:paraId="1EAC1BFE" w14:textId="77F7CF47" w:rsidR="001D7032" w:rsidRDefault="002862CF" w:rsidP="00687C7B">
      <w:pPr>
        <w:pStyle w:val="SingleTxtG"/>
        <w:rPr>
          <w:iCs/>
        </w:rPr>
      </w:pPr>
      <w:r w:rsidRPr="00226F34">
        <w:rPr>
          <w:i/>
          <w:iCs/>
        </w:rPr>
        <w:t>Communication No.</w:t>
      </w:r>
      <w:r>
        <w:rPr>
          <w:i/>
          <w:iCs/>
        </w:rPr>
        <w:t xml:space="preserve"> </w:t>
      </w:r>
      <w:r w:rsidRPr="002862CF">
        <w:rPr>
          <w:i/>
          <w:iCs/>
        </w:rPr>
        <w:t>3130/2018</w:t>
      </w:r>
      <w:r>
        <w:rPr>
          <w:i/>
          <w:iCs/>
        </w:rPr>
        <w:t xml:space="preserve">, </w:t>
      </w:r>
      <w:r w:rsidRPr="002862CF">
        <w:rPr>
          <w:i/>
          <w:iCs/>
        </w:rPr>
        <w:t>Artem Kovalev</w:t>
      </w:r>
      <w:r>
        <w:rPr>
          <w:i/>
          <w:iCs/>
        </w:rPr>
        <w:t xml:space="preserve"> v. Belarus</w:t>
      </w:r>
    </w:p>
    <w:p w14:paraId="6F441934" w14:textId="4AFA312C" w:rsidR="00687C7B" w:rsidRPr="00E0696B" w:rsidRDefault="002862CF" w:rsidP="00E0696B">
      <w:pPr>
        <w:pStyle w:val="SingleTxtG"/>
        <w:rPr>
          <w:iCs/>
          <w:lang w:val="en-US"/>
        </w:rPr>
      </w:pPr>
      <w:r>
        <w:rPr>
          <w:iCs/>
        </w:rPr>
        <w:t>2.</w:t>
      </w:r>
      <w:r w:rsidR="004C2BA3">
        <w:rPr>
          <w:iCs/>
        </w:rPr>
        <w:t>7</w:t>
      </w:r>
      <w:r>
        <w:rPr>
          <w:iCs/>
        </w:rPr>
        <w:tab/>
      </w:r>
      <w:r w:rsidR="00E762C0">
        <w:rPr>
          <w:iCs/>
        </w:rPr>
        <w:t>The author of</w:t>
      </w:r>
      <w:r w:rsidR="00472DB9">
        <w:rPr>
          <w:iCs/>
        </w:rPr>
        <w:t xml:space="preserve"> the</w:t>
      </w:r>
      <w:r w:rsidR="00E762C0">
        <w:rPr>
          <w:iCs/>
        </w:rPr>
        <w:t xml:space="preserve"> communication No. 3130/2018 </w:t>
      </w:r>
      <w:r w:rsidR="00BA4B0C">
        <w:rPr>
          <w:iCs/>
        </w:rPr>
        <w:t>participated</w:t>
      </w:r>
      <w:r w:rsidR="00E0696B">
        <w:rPr>
          <w:iCs/>
        </w:rPr>
        <w:t xml:space="preserve"> in an unauthorized peaceful march in Gomel </w:t>
      </w:r>
      <w:r w:rsidR="00E762C0">
        <w:rPr>
          <w:iCs/>
        </w:rPr>
        <w:t xml:space="preserve">on 19 February 2017 </w:t>
      </w:r>
      <w:r w:rsidR="00E0696B">
        <w:rPr>
          <w:iCs/>
        </w:rPr>
        <w:t xml:space="preserve">to protest the presidential Decree No. 3 “On prevention of </w:t>
      </w:r>
      <w:r w:rsidR="00E0696B">
        <w:rPr>
          <w:iCs/>
          <w:lang w:val="en-US"/>
        </w:rPr>
        <w:t xml:space="preserve">social dependency”. On </w:t>
      </w:r>
      <w:r>
        <w:rPr>
          <w:iCs/>
        </w:rPr>
        <w:t xml:space="preserve">23 March 2017, </w:t>
      </w:r>
      <w:r w:rsidR="00E762C0">
        <w:rPr>
          <w:iCs/>
        </w:rPr>
        <w:t>he</w:t>
      </w:r>
      <w:r>
        <w:rPr>
          <w:iCs/>
        </w:rPr>
        <w:t xml:space="preserve"> was convicted to an administrative arrest of 10 days by </w:t>
      </w:r>
      <w:proofErr w:type="spellStart"/>
      <w:r>
        <w:rPr>
          <w:iCs/>
        </w:rPr>
        <w:t>Chechersky</w:t>
      </w:r>
      <w:proofErr w:type="spellEnd"/>
      <w:r>
        <w:rPr>
          <w:iCs/>
        </w:rPr>
        <w:t xml:space="preserve"> District</w:t>
      </w:r>
      <w:r w:rsidR="00BA4B0C">
        <w:rPr>
          <w:iCs/>
        </w:rPr>
        <w:t xml:space="preserve"> Court</w:t>
      </w:r>
      <w:r>
        <w:rPr>
          <w:iCs/>
        </w:rPr>
        <w:t xml:space="preserve"> of Gomel Region</w:t>
      </w:r>
      <w:r w:rsidR="00E0696B">
        <w:rPr>
          <w:iCs/>
        </w:rPr>
        <w:t xml:space="preserve"> under article 23.34 of the Code of Administrative Offenses for </w:t>
      </w:r>
      <w:r w:rsidR="00BA4B0C">
        <w:rPr>
          <w:iCs/>
        </w:rPr>
        <w:t xml:space="preserve">breaching the </w:t>
      </w:r>
      <w:r w:rsidR="00E0696B">
        <w:rPr>
          <w:iCs/>
        </w:rPr>
        <w:t>public events</w:t>
      </w:r>
      <w:r w:rsidR="00BA4B0C">
        <w:rPr>
          <w:iCs/>
        </w:rPr>
        <w:t xml:space="preserve"> organization procedure</w:t>
      </w:r>
      <w:r>
        <w:rPr>
          <w:iCs/>
        </w:rPr>
        <w:t xml:space="preserve">. On 14 April 2017, Gomel Regional Court rejected </w:t>
      </w:r>
      <w:r w:rsidR="00BA4B0C">
        <w:rPr>
          <w:iCs/>
        </w:rPr>
        <w:t>his</w:t>
      </w:r>
      <w:r>
        <w:rPr>
          <w:iCs/>
        </w:rPr>
        <w:t xml:space="preserve"> cassation appeal against this judgement.</w:t>
      </w:r>
    </w:p>
    <w:p w14:paraId="2885D906" w14:textId="7615496C" w:rsidR="00E0696B" w:rsidRPr="00B67BE1" w:rsidRDefault="00E0696B" w:rsidP="00E0696B">
      <w:pPr>
        <w:pStyle w:val="SingleTxtG"/>
        <w:rPr>
          <w:iCs/>
        </w:rPr>
      </w:pPr>
      <w:r w:rsidRPr="00B67BE1">
        <w:rPr>
          <w:i/>
          <w:iCs/>
        </w:rPr>
        <w:t>Communication No. 3134/2018, Vadim Vasiliev v. Belarus</w:t>
      </w:r>
    </w:p>
    <w:p w14:paraId="717DB58E" w14:textId="63648FD4" w:rsidR="00E0696B" w:rsidRDefault="00B67BE1" w:rsidP="00B67BE1">
      <w:pPr>
        <w:pStyle w:val="SingleTxtG"/>
        <w:rPr>
          <w:iCs/>
        </w:rPr>
      </w:pPr>
      <w:r w:rsidRPr="00B67BE1">
        <w:rPr>
          <w:iCs/>
        </w:rPr>
        <w:t>2.</w:t>
      </w:r>
      <w:r w:rsidR="004C2BA3">
        <w:rPr>
          <w:iCs/>
        </w:rPr>
        <w:t>8</w:t>
      </w:r>
      <w:r w:rsidRPr="00B67BE1">
        <w:rPr>
          <w:iCs/>
        </w:rPr>
        <w:tab/>
      </w:r>
      <w:r w:rsidR="00E762C0">
        <w:rPr>
          <w:iCs/>
        </w:rPr>
        <w:t xml:space="preserve">The author of </w:t>
      </w:r>
      <w:r w:rsidR="00472DB9">
        <w:rPr>
          <w:iCs/>
        </w:rPr>
        <w:t xml:space="preserve">the </w:t>
      </w:r>
      <w:r w:rsidR="00E762C0">
        <w:rPr>
          <w:iCs/>
        </w:rPr>
        <w:t xml:space="preserve">communication No. 3134/2018 </w:t>
      </w:r>
      <w:r>
        <w:rPr>
          <w:iCs/>
        </w:rPr>
        <w:t>participated in an unauthorized peaceful demonstration “Mar</w:t>
      </w:r>
      <w:r w:rsidR="0066060E">
        <w:rPr>
          <w:iCs/>
        </w:rPr>
        <w:t>c</w:t>
      </w:r>
      <w:r>
        <w:rPr>
          <w:iCs/>
        </w:rPr>
        <w:t xml:space="preserve">h of angry Belarusians 2.0” on </w:t>
      </w:r>
      <w:proofErr w:type="spellStart"/>
      <w:r>
        <w:rPr>
          <w:iCs/>
        </w:rPr>
        <w:t>Nezavisimosty</w:t>
      </w:r>
      <w:proofErr w:type="spellEnd"/>
      <w:r>
        <w:rPr>
          <w:iCs/>
        </w:rPr>
        <w:t xml:space="preserve"> square in Minsk </w:t>
      </w:r>
      <w:r w:rsidR="00E762C0">
        <w:rPr>
          <w:iCs/>
        </w:rPr>
        <w:t xml:space="preserve">on 21 October 2017 to </w:t>
      </w:r>
      <w:proofErr w:type="gramStart"/>
      <w:r>
        <w:rPr>
          <w:iCs/>
        </w:rPr>
        <w:t xml:space="preserve">protest </w:t>
      </w:r>
      <w:r w:rsidR="009F151A">
        <w:rPr>
          <w:iCs/>
        </w:rPr>
        <w:t>against</w:t>
      </w:r>
      <w:proofErr w:type="gramEnd"/>
      <w:r w:rsidR="009F151A">
        <w:rPr>
          <w:iCs/>
        </w:rPr>
        <w:t xml:space="preserve"> </w:t>
      </w:r>
      <w:r w:rsidR="00E762C0">
        <w:rPr>
          <w:iCs/>
        </w:rPr>
        <w:t>taxation of</w:t>
      </w:r>
      <w:r>
        <w:rPr>
          <w:iCs/>
        </w:rPr>
        <w:t xml:space="preserve"> unemployed citizens. On</w:t>
      </w:r>
      <w:r w:rsidRPr="00B67BE1">
        <w:rPr>
          <w:iCs/>
        </w:rPr>
        <w:t xml:space="preserve"> 7 December 2017, </w:t>
      </w:r>
      <w:proofErr w:type="spellStart"/>
      <w:r w:rsidRPr="00B67BE1">
        <w:rPr>
          <w:iCs/>
        </w:rPr>
        <w:t>Zheleznodorozhny</w:t>
      </w:r>
      <w:proofErr w:type="spellEnd"/>
      <w:r w:rsidRPr="00B67BE1">
        <w:rPr>
          <w:iCs/>
        </w:rPr>
        <w:t xml:space="preserve"> Dist</w:t>
      </w:r>
      <w:r>
        <w:rPr>
          <w:iCs/>
        </w:rPr>
        <w:t xml:space="preserve">rict Court of Gomel imposed an administrative fine of 230 Belarusian </w:t>
      </w:r>
      <w:proofErr w:type="spellStart"/>
      <w:r>
        <w:rPr>
          <w:iCs/>
        </w:rPr>
        <w:t>rubles</w:t>
      </w:r>
      <w:proofErr w:type="spellEnd"/>
      <w:r>
        <w:rPr>
          <w:iCs/>
        </w:rPr>
        <w:t xml:space="preserve"> (around 100 euros) on the author under article 23.34 of the Code of Administrative Offenses. On 12 January 2018, the author’s cassation appeal against this judgement was rejected by Gomel Regional Court.</w:t>
      </w:r>
    </w:p>
    <w:p w14:paraId="1E2D5271" w14:textId="0444B627" w:rsidR="00CA4D53" w:rsidRPr="00B67BE1" w:rsidRDefault="00CA4D53" w:rsidP="00B67BE1">
      <w:pPr>
        <w:pStyle w:val="SingleTxtG"/>
        <w:rPr>
          <w:iCs/>
        </w:rPr>
      </w:pPr>
      <w:r>
        <w:rPr>
          <w:iCs/>
        </w:rPr>
        <w:t>2.9</w:t>
      </w:r>
      <w:r>
        <w:rPr>
          <w:iCs/>
        </w:rPr>
        <w:tab/>
        <w:t xml:space="preserve">All the authors submit that they have not attempted lodging supervisory review appeals with judicial and prosecutorial authorities, claiming ineffectiveness of these remedies with a reference to the Committee’s </w:t>
      </w:r>
      <w:r w:rsidR="006E4A22">
        <w:rPr>
          <w:iCs/>
        </w:rPr>
        <w:t>relevant case law.</w:t>
      </w:r>
      <w:r>
        <w:rPr>
          <w:iCs/>
        </w:rPr>
        <w:t xml:space="preserve"> </w:t>
      </w:r>
    </w:p>
    <w:bookmarkEnd w:id="1"/>
    <w:p w14:paraId="1064DC55" w14:textId="043A095A" w:rsidR="00817344" w:rsidRPr="00226F34" w:rsidRDefault="00133D27" w:rsidP="0035018D">
      <w:pPr>
        <w:pStyle w:val="H23G"/>
        <w:ind w:left="0" w:firstLine="0"/>
        <w:rPr>
          <w:lang w:val="en-US"/>
        </w:rPr>
      </w:pPr>
      <w:r w:rsidRPr="00B67BE1">
        <w:tab/>
      </w:r>
      <w:r w:rsidRPr="00B67BE1">
        <w:tab/>
      </w:r>
      <w:r w:rsidR="001A0A74" w:rsidRPr="00226F34">
        <w:t>Complain</w:t>
      </w:r>
      <w:r w:rsidR="00B35C17" w:rsidRPr="00226F34">
        <w:t>t</w:t>
      </w:r>
    </w:p>
    <w:p w14:paraId="6C7BAD3F" w14:textId="58766A2C" w:rsidR="00770D3F" w:rsidRPr="00347D01" w:rsidRDefault="001A0A74" w:rsidP="00687C7B">
      <w:pPr>
        <w:pStyle w:val="SingleTxtG"/>
        <w:rPr>
          <w:lang w:val="en-US"/>
        </w:rPr>
      </w:pPr>
      <w:bookmarkStart w:id="2" w:name="_Hlk133854653"/>
      <w:bookmarkStart w:id="3" w:name="_Hlk132292254"/>
      <w:r w:rsidRPr="00226F34">
        <w:t>3</w:t>
      </w:r>
      <w:r w:rsidR="007F5B63">
        <w:t>.</w:t>
      </w:r>
      <w:r w:rsidRPr="00226F34">
        <w:tab/>
      </w:r>
      <w:bookmarkEnd w:id="2"/>
      <w:r w:rsidR="00B67BE1">
        <w:t>The four authors</w:t>
      </w:r>
      <w:r w:rsidR="00742E8C">
        <w:t xml:space="preserve"> claim that the State party has</w:t>
      </w:r>
      <w:r w:rsidR="00B67BE1">
        <w:t xml:space="preserve"> violated articles 19 and 21 of the Covenant taken in conjunction with its article 2 (2) and (3)</w:t>
      </w:r>
      <w:r w:rsidR="00742E8C">
        <w:t xml:space="preserve"> because the restrictions imposed on their right to express their opinion in peaceful rallies </w:t>
      </w:r>
      <w:r w:rsidR="00C42305">
        <w:t>were</w:t>
      </w:r>
      <w:r w:rsidR="00742E8C">
        <w:t xml:space="preserve"> not necessary under articles 19 and 21 of the Covenant</w:t>
      </w:r>
      <w:r w:rsidR="00EB31B2">
        <w:t>.</w:t>
      </w:r>
    </w:p>
    <w:bookmarkEnd w:id="3"/>
    <w:p w14:paraId="6DBDCB21" w14:textId="76CCBEA2" w:rsidR="00BF450E" w:rsidRPr="00226F34" w:rsidRDefault="005438E0" w:rsidP="00EB31B2">
      <w:pPr>
        <w:pStyle w:val="H23G"/>
        <w:ind w:left="0" w:firstLine="0"/>
      </w:pPr>
      <w:r w:rsidRPr="00226F34">
        <w:tab/>
      </w:r>
      <w:r w:rsidRPr="00226F34">
        <w:tab/>
      </w:r>
      <w:r w:rsidR="00BF450E" w:rsidRPr="00226F34">
        <w:t xml:space="preserve">State party’s observations on </w:t>
      </w:r>
      <w:r w:rsidR="00EC0A2F" w:rsidRPr="00226F34">
        <w:t>the admissibility and</w:t>
      </w:r>
      <w:r w:rsidR="001C4BD3">
        <w:t xml:space="preserve"> </w:t>
      </w:r>
      <w:r w:rsidR="00E809CA" w:rsidRPr="00226F34">
        <w:t>merits</w:t>
      </w:r>
    </w:p>
    <w:p w14:paraId="40F537CE" w14:textId="43A30432" w:rsidR="00347D01" w:rsidRDefault="00F547C6" w:rsidP="00347D01">
      <w:pPr>
        <w:pStyle w:val="SingleTxtG"/>
        <w:rPr>
          <w:lang w:val="en-US"/>
        </w:rPr>
      </w:pPr>
      <w:r w:rsidRPr="00226F34">
        <w:rPr>
          <w:lang w:val="en-US"/>
        </w:rPr>
        <w:t>4</w:t>
      </w:r>
      <w:r w:rsidR="00617EB4" w:rsidRPr="00226F34">
        <w:t>.1</w:t>
      </w:r>
      <w:r w:rsidR="00617EB4" w:rsidRPr="00226F34">
        <w:tab/>
      </w:r>
      <w:bookmarkStart w:id="4" w:name="_Hlk134791438"/>
      <w:r w:rsidR="00347D01" w:rsidRPr="00226F34">
        <w:t xml:space="preserve">By notes </w:t>
      </w:r>
      <w:proofErr w:type="spellStart"/>
      <w:r w:rsidR="00347D01" w:rsidRPr="00226F34">
        <w:t>verbales</w:t>
      </w:r>
      <w:proofErr w:type="spellEnd"/>
      <w:r w:rsidR="00347D01" w:rsidRPr="00226F34">
        <w:t xml:space="preserve"> of </w:t>
      </w:r>
      <w:r w:rsidR="00347D01">
        <w:t>15 January</w:t>
      </w:r>
      <w:r w:rsidR="00347D01" w:rsidRPr="00226F34">
        <w:t xml:space="preserve"> and 16 June 2017 (communication No. </w:t>
      </w:r>
      <w:r w:rsidR="00347D01">
        <w:t>3056</w:t>
      </w:r>
      <w:r w:rsidR="00347D01" w:rsidRPr="00226F34">
        <w:t>/201</w:t>
      </w:r>
      <w:r w:rsidR="00347D01">
        <w:t>7</w:t>
      </w:r>
      <w:r w:rsidR="00347D01" w:rsidRPr="00226F34">
        <w:t xml:space="preserve">), </w:t>
      </w:r>
      <w:r w:rsidR="00347D01">
        <w:t>5 March 2018</w:t>
      </w:r>
      <w:r w:rsidR="00347D01" w:rsidRPr="00226F34">
        <w:t xml:space="preserve"> (communication No. </w:t>
      </w:r>
      <w:r w:rsidR="00347D01">
        <w:t>3100</w:t>
      </w:r>
      <w:r w:rsidR="00347D01" w:rsidRPr="00226F34">
        <w:t>/201</w:t>
      </w:r>
      <w:r w:rsidR="00347D01">
        <w:t>8</w:t>
      </w:r>
      <w:r w:rsidR="00347D01" w:rsidRPr="00226F34">
        <w:t>),</w:t>
      </w:r>
      <w:r w:rsidR="00347D01">
        <w:t xml:space="preserve"> 8 May 2018 (communication No. 3130/2018) and 26 July 2018 (communication No. 3134/2018)</w:t>
      </w:r>
      <w:r w:rsidR="00347D01" w:rsidRPr="00226F34">
        <w:t xml:space="preserve"> the State party submitted its observations on admissibility and merits of the communications</w:t>
      </w:r>
      <w:r w:rsidR="00347D01" w:rsidRPr="00226F34">
        <w:rPr>
          <w:lang w:val="en-US"/>
        </w:rPr>
        <w:t>.</w:t>
      </w:r>
    </w:p>
    <w:p w14:paraId="176B7DC3" w14:textId="0792F586" w:rsidR="00E762C0" w:rsidRPr="00226F34" w:rsidRDefault="00D032D3" w:rsidP="00ED55EF">
      <w:pPr>
        <w:pStyle w:val="SingleTxtG"/>
        <w:rPr>
          <w:i/>
          <w:iCs/>
        </w:rPr>
      </w:pPr>
      <w:r>
        <w:t>4.2</w:t>
      </w:r>
      <w:r>
        <w:tab/>
        <w:t xml:space="preserve">The State party confirms that the author of </w:t>
      </w:r>
      <w:r w:rsidR="00BA4B0C">
        <w:t xml:space="preserve">the </w:t>
      </w:r>
      <w:r>
        <w:t xml:space="preserve">communication No. 3056/2017 has been </w:t>
      </w:r>
      <w:r w:rsidR="00BA4B0C">
        <w:t>imposed fines</w:t>
      </w:r>
      <w:r>
        <w:t xml:space="preserve"> on three occasions under article 23.34 (1) and (3) of the Code of </w:t>
      </w:r>
      <w:r w:rsidR="00E762C0">
        <w:t>A</w:t>
      </w:r>
      <w:r>
        <w:t xml:space="preserve">dministrative Offenses for participation in </w:t>
      </w:r>
      <w:r w:rsidR="009E642A">
        <w:t>public</w:t>
      </w:r>
      <w:r>
        <w:t xml:space="preserve"> events </w:t>
      </w:r>
      <w:r w:rsidR="00BA4B0C">
        <w:t>not</w:t>
      </w:r>
      <w:r>
        <w:t xml:space="preserve"> authorized by Minsk City Executive Committee: on 24 March 2016 by </w:t>
      </w:r>
      <w:proofErr w:type="spellStart"/>
      <w:r>
        <w:t>Tsentralny</w:t>
      </w:r>
      <w:proofErr w:type="spellEnd"/>
      <w:r>
        <w:t xml:space="preserve"> District Court of Minsk, on 13 June 2016 by </w:t>
      </w:r>
      <w:proofErr w:type="spellStart"/>
      <w:r>
        <w:t>Partizansky</w:t>
      </w:r>
      <w:proofErr w:type="spellEnd"/>
      <w:r>
        <w:t xml:space="preserve"> District Court of Minsk and on 15 September 2016 by </w:t>
      </w:r>
      <w:proofErr w:type="spellStart"/>
      <w:r>
        <w:t>Leninsky</w:t>
      </w:r>
      <w:proofErr w:type="spellEnd"/>
      <w:r>
        <w:t xml:space="preserve"> District Court of Minsk. These</w:t>
      </w:r>
      <w:r w:rsidR="008C7A22">
        <w:t xml:space="preserve"> </w:t>
      </w:r>
      <w:r>
        <w:t xml:space="preserve">judgements were upheld by Minsk City Court on 19 April 2016, 29 July </w:t>
      </w:r>
      <w:proofErr w:type="gramStart"/>
      <w:r>
        <w:t>2016</w:t>
      </w:r>
      <w:proofErr w:type="gramEnd"/>
      <w:r>
        <w:t xml:space="preserve"> and 25 October 2016, respectively.</w:t>
      </w:r>
      <w:r w:rsidR="009B1F46">
        <w:t xml:space="preserve"> </w:t>
      </w:r>
      <w:r w:rsidR="00E762C0">
        <w:t>Minsk City Court’s</w:t>
      </w:r>
      <w:r w:rsidR="008C7A22">
        <w:t xml:space="preserve"> decisions</w:t>
      </w:r>
      <w:r w:rsidR="009B1F46">
        <w:t xml:space="preserve"> entered into force on the day of their adoption.</w:t>
      </w:r>
    </w:p>
    <w:p w14:paraId="24D92ADE" w14:textId="3542AB6D" w:rsidR="003520AF" w:rsidRPr="005D4560" w:rsidRDefault="00E762C0" w:rsidP="00ED55EF">
      <w:pPr>
        <w:pStyle w:val="SingleTxtG"/>
      </w:pPr>
      <w:r>
        <w:t>4.3</w:t>
      </w:r>
      <w:r>
        <w:tab/>
        <w:t xml:space="preserve">With regards to </w:t>
      </w:r>
      <w:r w:rsidR="00BA4B0C">
        <w:t xml:space="preserve">the </w:t>
      </w:r>
      <w:r>
        <w:t>communication No. 3100/2018, the State party</w:t>
      </w:r>
      <w:r w:rsidR="003520AF">
        <w:t xml:space="preserve"> submits that on </w:t>
      </w:r>
      <w:r>
        <w:t xml:space="preserve">21 April 2017, </w:t>
      </w:r>
      <w:proofErr w:type="spellStart"/>
      <w:r>
        <w:t>Moskovsky</w:t>
      </w:r>
      <w:proofErr w:type="spellEnd"/>
      <w:r>
        <w:t xml:space="preserve"> District Court of Minsk found </w:t>
      </w:r>
      <w:r w:rsidR="00BA4B0C">
        <w:t>the</w:t>
      </w:r>
      <w:r>
        <w:t xml:space="preserve"> author guilty of </w:t>
      </w:r>
      <w:r w:rsidR="00BA4B0C">
        <w:t>breaching</w:t>
      </w:r>
      <w:r>
        <w:t xml:space="preserve"> the procedure for organizing and conducting mass event</w:t>
      </w:r>
      <w:r w:rsidR="00BA4B0C">
        <w:t>s</w:t>
      </w:r>
      <w:r>
        <w:t xml:space="preserve"> under article 23.34 (3) of the Code of Administrative Offenses</w:t>
      </w:r>
      <w:r w:rsidR="003520AF">
        <w:t>. The conviction referred</w:t>
      </w:r>
      <w:r>
        <w:t xml:space="preserve"> to a meeting held on 30 March 2017 in front of</w:t>
      </w:r>
      <w:r w:rsidR="00BA4B0C">
        <w:t xml:space="preserve"> the</w:t>
      </w:r>
      <w:r>
        <w:t xml:space="preserve"> offenders’ isolation</w:t>
      </w:r>
      <w:r w:rsidR="009E642A">
        <w:t xml:space="preserve"> centre</w:t>
      </w:r>
      <w:r>
        <w:t xml:space="preserve"> of </w:t>
      </w:r>
      <w:r w:rsidR="00BA4B0C">
        <w:t xml:space="preserve">the </w:t>
      </w:r>
      <w:r>
        <w:t>Main Department of Internal Affairs of Minsk City Executive Committee. The author was imposed a fine of 50 basic units. This judgement was upheld on 17 May 2017 by</w:t>
      </w:r>
      <w:r w:rsidR="003520AF">
        <w:t xml:space="preserve"> a decision of</w:t>
      </w:r>
      <w:r>
        <w:t xml:space="preserve"> Minsk City Court</w:t>
      </w:r>
      <w:r w:rsidR="003520AF">
        <w:t>, which entered into force on the same day.</w:t>
      </w:r>
    </w:p>
    <w:p w14:paraId="209B4288" w14:textId="355D621B" w:rsidR="00BA4B0C" w:rsidRDefault="00BA4B0C" w:rsidP="00BA4B0C">
      <w:pPr>
        <w:pStyle w:val="SingleTxtG"/>
        <w:rPr>
          <w:iCs/>
        </w:rPr>
      </w:pPr>
      <w:r w:rsidRPr="00BA4B0C">
        <w:t>4.4</w:t>
      </w:r>
      <w:r w:rsidRPr="00BA4B0C">
        <w:tab/>
        <w:t>The State party subm</w:t>
      </w:r>
      <w:r>
        <w:t xml:space="preserve">its that on 23 March 2017, the author of the communication No. 3130/2018 was convicted by </w:t>
      </w:r>
      <w:proofErr w:type="spellStart"/>
      <w:r>
        <w:t>Chechersky</w:t>
      </w:r>
      <w:proofErr w:type="spellEnd"/>
      <w:r>
        <w:t xml:space="preserve"> District Court of Gomel Region </w:t>
      </w:r>
      <w:r>
        <w:rPr>
          <w:iCs/>
        </w:rPr>
        <w:t>under article 23.34 (1) of the Code of Administrative Offenses for violation of the procedure for conducting a meeting or a street march committed by a participant of such an event. He was punished with an administrative arrest of 10 days. The judgement was upheld by a decision of Gomel Regional Court on 14 April 2017, which entered into force on the same day.</w:t>
      </w:r>
    </w:p>
    <w:p w14:paraId="61C89589" w14:textId="41C66BEB" w:rsidR="00BA4B0C" w:rsidRPr="00BA4B0C" w:rsidRDefault="0052089E" w:rsidP="00303042">
      <w:pPr>
        <w:pStyle w:val="SingleTxtG"/>
      </w:pPr>
      <w:r>
        <w:rPr>
          <w:iCs/>
        </w:rPr>
        <w:lastRenderedPageBreak/>
        <w:t>4.5</w:t>
      </w:r>
      <w:r>
        <w:rPr>
          <w:iCs/>
        </w:rPr>
        <w:tab/>
      </w:r>
      <w:r w:rsidR="00303042">
        <w:rPr>
          <w:iCs/>
        </w:rPr>
        <w:t xml:space="preserve">As regards the communication No. 3134/2018, the State party submits that its author was found guilty of breaching the procedure for conducting a meeting under article 23.34 of the Code of Administrative Offenses by </w:t>
      </w:r>
      <w:proofErr w:type="spellStart"/>
      <w:r w:rsidR="00303042">
        <w:rPr>
          <w:iCs/>
        </w:rPr>
        <w:t>Zhelezhnodorozhny</w:t>
      </w:r>
      <w:proofErr w:type="spellEnd"/>
      <w:r w:rsidR="00303042">
        <w:rPr>
          <w:iCs/>
        </w:rPr>
        <w:t xml:space="preserve"> District of Gomel on 7 December 2017. He was imposed a fine of 10 basic units, which corresponded to 230 Belarusian </w:t>
      </w:r>
      <w:proofErr w:type="spellStart"/>
      <w:r w:rsidR="00303042">
        <w:rPr>
          <w:iCs/>
        </w:rPr>
        <w:t>rubles</w:t>
      </w:r>
      <w:proofErr w:type="spellEnd"/>
      <w:r w:rsidR="00303042">
        <w:rPr>
          <w:iCs/>
        </w:rPr>
        <w:t>. The judgement was upheld on 12 January 2018 by Gomel Regional Court. This decision entered into force on the same day.</w:t>
      </w:r>
    </w:p>
    <w:p w14:paraId="303D5DAE" w14:textId="7B718326" w:rsidR="00ED55EF" w:rsidRDefault="00303042" w:rsidP="00BA4B0C">
      <w:pPr>
        <w:pStyle w:val="SingleTxtG"/>
      </w:pPr>
      <w:r>
        <w:t>4.6</w:t>
      </w:r>
      <w:r>
        <w:tab/>
      </w:r>
      <w:r w:rsidR="003520AF">
        <w:t xml:space="preserve">In </w:t>
      </w:r>
      <w:r w:rsidR="005C1861">
        <w:t>response</w:t>
      </w:r>
      <w:r w:rsidR="003520AF">
        <w:t xml:space="preserve"> to all the four communications, the State party </w:t>
      </w:r>
      <w:r w:rsidR="00ED55EF">
        <w:rPr>
          <w:lang w:val="en-US"/>
        </w:rPr>
        <w:t>notes</w:t>
      </w:r>
      <w:r w:rsidR="003520AF">
        <w:t xml:space="preserve"> that</w:t>
      </w:r>
      <w:r w:rsidR="005C1861">
        <w:t xml:space="preserve"> article</w:t>
      </w:r>
      <w:r w:rsidR="003520AF">
        <w:t xml:space="preserve"> 12.11 (1) and (2) of the Procedural and Execution Code of the Republic of Belarus on Administrative Offenses allow</w:t>
      </w:r>
      <w:r w:rsidR="005C1861">
        <w:t>s</w:t>
      </w:r>
      <w:r w:rsidR="003520AF">
        <w:t xml:space="preserve"> for lodging supervisory review appeals against judicial decisions on administrative offenses with judicial and prosecutorial authorities. </w:t>
      </w:r>
      <w:r w:rsidR="00472DB9">
        <w:t xml:space="preserve">The </w:t>
      </w:r>
      <w:r w:rsidR="003520AF">
        <w:t>authors of communications Nos. 3056/2017 and 3100/2018 could have lodged supervisory review appeals with</w:t>
      </w:r>
      <w:r w:rsidR="005C1861">
        <w:t xml:space="preserve"> the</w:t>
      </w:r>
      <w:r w:rsidR="003520AF">
        <w:t xml:space="preserve"> Chairpersons of Minsk City Court and the Supreme Court of the Republic of Belarus</w:t>
      </w:r>
      <w:r w:rsidR="00BA4B0C">
        <w:t>, whereas the author</w:t>
      </w:r>
      <w:r>
        <w:t>s</w:t>
      </w:r>
      <w:r w:rsidR="00BA4B0C">
        <w:t xml:space="preserve"> of the communicati</w:t>
      </w:r>
      <w:r>
        <w:t>o</w:t>
      </w:r>
      <w:r w:rsidR="00BA4B0C">
        <w:t>n</w:t>
      </w:r>
      <w:r>
        <w:t>s</w:t>
      </w:r>
      <w:r w:rsidR="00BA4B0C">
        <w:t xml:space="preserve"> No</w:t>
      </w:r>
      <w:r>
        <w:t>s</w:t>
      </w:r>
      <w:r w:rsidR="00BA4B0C">
        <w:t>. 3130/2018</w:t>
      </w:r>
      <w:r>
        <w:t xml:space="preserve"> and 3134/2018</w:t>
      </w:r>
      <w:r w:rsidR="00BA4B0C">
        <w:t xml:space="preserve"> could have lodged supervisory review appeals with the Chairpersons of Gomel Regional Court and the Supreme Court of the Republic of Belarus. </w:t>
      </w:r>
      <w:r w:rsidR="005C1861">
        <w:t xml:space="preserve">All the authors </w:t>
      </w:r>
      <w:r w:rsidR="00BA4B0C">
        <w:t xml:space="preserve">could have </w:t>
      </w:r>
      <w:r w:rsidR="005C1861">
        <w:t>also</w:t>
      </w:r>
      <w:r w:rsidR="00BA4B0C">
        <w:t xml:space="preserve"> lodged supervisory review appeals with</w:t>
      </w:r>
      <w:r w:rsidR="003520AF">
        <w:t xml:space="preserve"> prosecutorial authorities. Article 12.11 (3) of </w:t>
      </w:r>
      <w:r w:rsidR="00CA4D53">
        <w:t>the above-mentioned</w:t>
      </w:r>
      <w:r w:rsidR="003520AF">
        <w:t xml:space="preserve"> Code establishes the deadline of 6 months for lodging supervisory review appeals against judgements on administrative offenses following their entry into force.</w:t>
      </w:r>
      <w:r w:rsidR="00472DB9">
        <w:t xml:space="preserve"> </w:t>
      </w:r>
      <w:r w:rsidR="003520AF">
        <w:t xml:space="preserve">There is no indication in the communications that </w:t>
      </w:r>
      <w:r w:rsidR="00CA4D53">
        <w:t>over this period</w:t>
      </w:r>
      <w:r w:rsidR="003520AF">
        <w:t>, their authors were unable to lodge supervisory review appeals or that any obstacles were created for their lodging such appeals.</w:t>
      </w:r>
    </w:p>
    <w:p w14:paraId="4CB14B01" w14:textId="400F1482" w:rsidR="00ED55EF" w:rsidRDefault="00303042" w:rsidP="00BA4B0C">
      <w:pPr>
        <w:pStyle w:val="SingleTxtG"/>
      </w:pPr>
      <w:r>
        <w:t>4.7</w:t>
      </w:r>
      <w:r>
        <w:tab/>
      </w:r>
      <w:r w:rsidR="002834D2">
        <w:t>The</w:t>
      </w:r>
      <w:r w:rsidR="00ED55EF">
        <w:t xml:space="preserve"> State party refutes the</w:t>
      </w:r>
      <w:r w:rsidR="00CA4D53">
        <w:t xml:space="preserve"> authors’</w:t>
      </w:r>
      <w:r w:rsidR="00ED55EF">
        <w:t xml:space="preserve"> </w:t>
      </w:r>
      <w:r w:rsidR="000037FC">
        <w:t>argument</w:t>
      </w:r>
      <w:r w:rsidR="00ED55EF">
        <w:t xml:space="preserve"> about ineffectiveness of supervisory review</w:t>
      </w:r>
      <w:r w:rsidR="000037FC">
        <w:t xml:space="preserve"> appeals to</w:t>
      </w:r>
      <w:r w:rsidR="00ED55EF">
        <w:t xml:space="preserve"> prosecutorial authorities. It states that in 2017</w:t>
      </w:r>
      <w:r w:rsidR="0016448F">
        <w:t xml:space="preserve"> alone</w:t>
      </w:r>
      <w:r w:rsidR="00ED55EF">
        <w:t xml:space="preserve">, prosecutorial authorities raised 3766 </w:t>
      </w:r>
      <w:proofErr w:type="gramStart"/>
      <w:r w:rsidR="00ED55EF">
        <w:t xml:space="preserve">protests </w:t>
      </w:r>
      <w:r w:rsidR="004E6BC5">
        <w:t>against</w:t>
      </w:r>
      <w:proofErr w:type="gramEnd"/>
      <w:r w:rsidR="00ED55EF">
        <w:t xml:space="preserve"> judgements </w:t>
      </w:r>
      <w:r w:rsidR="006E4A22">
        <w:t>on</w:t>
      </w:r>
      <w:r w:rsidR="00ED55EF">
        <w:t xml:space="preserve"> administrative offenses, 3665 (97%) of which were satisfied. The State party argues therefore </w:t>
      </w:r>
      <w:r w:rsidR="0052089E">
        <w:t>that supervisory review appeals to prosecutorial authorities are an effective remedy.</w:t>
      </w:r>
    </w:p>
    <w:p w14:paraId="2B8C1B78" w14:textId="544C0BBC" w:rsidR="003520AF" w:rsidRDefault="00303042" w:rsidP="00BA4B0C">
      <w:pPr>
        <w:pStyle w:val="SingleTxtG"/>
      </w:pPr>
      <w:r>
        <w:t>4.8</w:t>
      </w:r>
      <w:r>
        <w:tab/>
      </w:r>
      <w:r w:rsidR="006E4A22">
        <w:t>In light of the above, the</w:t>
      </w:r>
      <w:r w:rsidR="0052089E">
        <w:t xml:space="preserve"> State party concludes that</w:t>
      </w:r>
      <w:r w:rsidR="003520AF">
        <w:t xml:space="preserve"> the</w:t>
      </w:r>
      <w:r w:rsidR="0052089E">
        <w:t xml:space="preserve"> four</w:t>
      </w:r>
      <w:r w:rsidR="003520AF">
        <w:t xml:space="preserve"> communications are inadmissible under article 2 of the Optional Protocol due to non-exhaustion of domestic remedies and constitute an abuse of the right of submission under its article 3</w:t>
      </w:r>
      <w:r w:rsidR="00472DB9">
        <w:t>.</w:t>
      </w:r>
    </w:p>
    <w:p w14:paraId="659CFDA6" w14:textId="7199EAAB" w:rsidR="00B67BE1" w:rsidRPr="00303042" w:rsidRDefault="00303042" w:rsidP="00303042">
      <w:pPr>
        <w:pStyle w:val="SingleTxtG"/>
      </w:pPr>
      <w:r>
        <w:t>4.9</w:t>
      </w:r>
      <w:r>
        <w:tab/>
      </w:r>
      <w:r w:rsidR="00472DB9">
        <w:t xml:space="preserve">The State party rejects the authors’ claims </w:t>
      </w:r>
      <w:r w:rsidR="006E4A22">
        <w:t>about</w:t>
      </w:r>
      <w:r w:rsidR="00472DB9">
        <w:t xml:space="preserve"> violation of articles 19 and 21 of the Covenant. It argues that its Public Events Act of 30 December 1997 is compliant with articles 19 and 21 of the Covenant, including the restrictions </w:t>
      </w:r>
      <w:r w:rsidR="006E4A22">
        <w:t xml:space="preserve">it allows </w:t>
      </w:r>
      <w:r w:rsidR="00472DB9">
        <w:t>to the right to freedom of expression and the right to freedom of association. Articles 33 and 35 of the State party’s Constitution also guarantee the freedom of expression and the freedom of assembly insofar as their exercise does not violate the public order and the rights of other citizens.</w:t>
      </w:r>
    </w:p>
    <w:bookmarkEnd w:id="4"/>
    <w:p w14:paraId="34481A94" w14:textId="44B29DE7" w:rsidR="00BF65C9" w:rsidRPr="00226F34" w:rsidRDefault="00DC48DF" w:rsidP="00BF65C9">
      <w:pPr>
        <w:pStyle w:val="SingleTxtG"/>
        <w:rPr>
          <w:b/>
          <w:bCs/>
        </w:rPr>
      </w:pPr>
      <w:r w:rsidRPr="00226F34">
        <w:rPr>
          <w:b/>
          <w:bCs/>
        </w:rPr>
        <w:t>A</w:t>
      </w:r>
      <w:r w:rsidR="00BF65C9" w:rsidRPr="00226F34">
        <w:rPr>
          <w:b/>
          <w:bCs/>
        </w:rPr>
        <w:t>uthor</w:t>
      </w:r>
      <w:r w:rsidR="003A299D" w:rsidRPr="00226F34">
        <w:rPr>
          <w:b/>
          <w:bCs/>
        </w:rPr>
        <w:t>s</w:t>
      </w:r>
      <w:r w:rsidR="00BF65C9" w:rsidRPr="00226F34">
        <w:rPr>
          <w:b/>
          <w:bCs/>
        </w:rPr>
        <w:t>’ comments on the State party’s observations on the admissibility and merits</w:t>
      </w:r>
    </w:p>
    <w:p w14:paraId="759D8226" w14:textId="0DE064B3" w:rsidR="00DC48DF" w:rsidRDefault="003A299D" w:rsidP="00E1304F">
      <w:pPr>
        <w:pStyle w:val="SingleTxtG"/>
      </w:pPr>
      <w:r w:rsidRPr="00226F34">
        <w:t>5</w:t>
      </w:r>
      <w:r w:rsidR="000975D0" w:rsidRPr="00226F34">
        <w:t>.1</w:t>
      </w:r>
      <w:r w:rsidR="000E576C" w:rsidRPr="00226F34">
        <w:tab/>
      </w:r>
      <w:r w:rsidR="00DC48DF" w:rsidRPr="00226F34">
        <w:t>By submissions dated</w:t>
      </w:r>
      <w:r w:rsidR="00E1304F">
        <w:t xml:space="preserve"> 27 April 2018 (communication No. 3056/2017), 5 June 2018 (communication No. 3100/2018), 13 July 2018 (communication No. 3130/2018) and 23 November 2021 (communication No. 3134/2018), </w:t>
      </w:r>
      <w:r w:rsidR="00DC48DF" w:rsidRPr="00226F34">
        <w:t>the authors provided the following comments on the State party’s observations.</w:t>
      </w:r>
    </w:p>
    <w:p w14:paraId="796CEC07" w14:textId="4D280E56" w:rsidR="001F156C" w:rsidRDefault="00E1304F" w:rsidP="001F156C">
      <w:pPr>
        <w:pStyle w:val="SingleTxtG"/>
      </w:pPr>
      <w:r>
        <w:t>5.2</w:t>
      </w:r>
      <w:r>
        <w:tab/>
      </w:r>
      <w:r w:rsidR="001F156C">
        <w:t>All</w:t>
      </w:r>
      <w:r>
        <w:t xml:space="preserve"> </w:t>
      </w:r>
      <w:r w:rsidR="001F156C">
        <w:t xml:space="preserve">the </w:t>
      </w:r>
      <w:r>
        <w:t>authors</w:t>
      </w:r>
      <w:r w:rsidR="001F156C">
        <w:t xml:space="preserve"> </w:t>
      </w:r>
      <w:r>
        <w:t xml:space="preserve">contest the State party’s assertions about </w:t>
      </w:r>
      <w:r w:rsidR="001F156C">
        <w:t xml:space="preserve">the </w:t>
      </w:r>
      <w:r>
        <w:t>effectiveness of the supervisory review</w:t>
      </w:r>
      <w:r w:rsidR="001F156C">
        <w:t xml:space="preserve"> appeals before judicial and</w:t>
      </w:r>
      <w:r w:rsidR="00917CE6">
        <w:t xml:space="preserve"> prosecutorial authorities</w:t>
      </w:r>
      <w:r w:rsidR="001F156C">
        <w:t>.</w:t>
      </w:r>
      <w:r w:rsidR="001F156C" w:rsidRPr="001F156C">
        <w:t xml:space="preserve"> </w:t>
      </w:r>
      <w:r w:rsidR="001F156C">
        <w:t xml:space="preserve">They note that such appeals depend on the discretionary power of the judge or the prosecutor </w:t>
      </w:r>
      <w:r w:rsidR="009D39B0">
        <w:t xml:space="preserve">and </w:t>
      </w:r>
      <w:r w:rsidR="001F156C">
        <w:t xml:space="preserve">are limited to consideration of the issues of law </w:t>
      </w:r>
      <w:r w:rsidR="006E4A22">
        <w:t>rather than</w:t>
      </w:r>
      <w:r w:rsidR="001F156C">
        <w:t xml:space="preserve"> facts and evidence.</w:t>
      </w:r>
    </w:p>
    <w:p w14:paraId="60E14319" w14:textId="6502DDBF" w:rsidR="001F156C" w:rsidRDefault="001F156C" w:rsidP="001F156C">
      <w:pPr>
        <w:pStyle w:val="SingleTxtG"/>
      </w:pPr>
      <w:r>
        <w:t>5.3</w:t>
      </w:r>
      <w:r>
        <w:tab/>
      </w:r>
      <w:r w:rsidR="00E1304F">
        <w:t>The author</w:t>
      </w:r>
      <w:r>
        <w:t>s</w:t>
      </w:r>
      <w:r w:rsidR="00E1304F">
        <w:t xml:space="preserve"> of the communication No</w:t>
      </w:r>
      <w:r>
        <w:t>s.</w:t>
      </w:r>
      <w:r w:rsidR="00E1304F">
        <w:t xml:space="preserve"> 3056/2017</w:t>
      </w:r>
      <w:r>
        <w:t xml:space="preserve">, 3100/2018 and 3130/2018 note that </w:t>
      </w:r>
      <w:r w:rsidR="00E1304F">
        <w:t>both the Committee and the European Court of Human Rights</w:t>
      </w:r>
      <w:r w:rsidR="00E1304F">
        <w:rPr>
          <w:rStyle w:val="FootnoteReference"/>
        </w:rPr>
        <w:footnoteReference w:id="5"/>
      </w:r>
      <w:r w:rsidR="00733D2D">
        <w:t xml:space="preserve"> have </w:t>
      </w:r>
      <w:r w:rsidR="006E4A22">
        <w:t>acknowledged</w:t>
      </w:r>
      <w:r w:rsidR="00733D2D">
        <w:t xml:space="preserve"> that supervisory review procedures in ex-Soviet </w:t>
      </w:r>
      <w:r>
        <w:t>States</w:t>
      </w:r>
      <w:r w:rsidR="00733D2D">
        <w:t xml:space="preserve"> depen</w:t>
      </w:r>
      <w:r>
        <w:t>d</w:t>
      </w:r>
      <w:r w:rsidR="00733D2D">
        <w:t xml:space="preserve"> on discretionary power</w:t>
      </w:r>
      <w:r w:rsidR="006E4A22">
        <w:t>s</w:t>
      </w:r>
      <w:r w:rsidR="00733D2D">
        <w:t xml:space="preserve"> of supervising authorities and cannot be considered an effective remedy for the exhaustion purposes. </w:t>
      </w:r>
      <w:r>
        <w:t>Only</w:t>
      </w:r>
      <w:r w:rsidR="00733D2D">
        <w:t xml:space="preserve"> cassation appeal</w:t>
      </w:r>
      <w:r>
        <w:t>s</w:t>
      </w:r>
      <w:r w:rsidR="00733D2D">
        <w:t>, like the one</w:t>
      </w:r>
      <w:r>
        <w:t>s</w:t>
      </w:r>
      <w:r w:rsidR="00733D2D">
        <w:t xml:space="preserve"> </w:t>
      </w:r>
      <w:r w:rsidR="006E4A22">
        <w:t>attempted by them</w:t>
      </w:r>
      <w:r w:rsidR="00733D2D">
        <w:t>, result in re</w:t>
      </w:r>
      <w:r>
        <w:t>-</w:t>
      </w:r>
      <w:r w:rsidR="00733D2D">
        <w:t>examination on the merits.</w:t>
      </w:r>
    </w:p>
    <w:p w14:paraId="68288414" w14:textId="6065AD51" w:rsidR="00630A0B" w:rsidRDefault="00630A0B" w:rsidP="00630A0B">
      <w:pPr>
        <w:pStyle w:val="SingleTxtG"/>
      </w:pPr>
      <w:r>
        <w:t>5.4</w:t>
      </w:r>
      <w:r>
        <w:tab/>
        <w:t xml:space="preserve">The authors of the communication Nos. 3056/2017, 3100/2018 and 3130/2018 also argue that it is </w:t>
      </w:r>
      <w:r w:rsidR="002834D2">
        <w:t>next to</w:t>
      </w:r>
      <w:r>
        <w:t xml:space="preserve"> impossible to observe the 6-month deadline </w:t>
      </w:r>
      <w:r w:rsidR="002834D2">
        <w:t>foreseen</w:t>
      </w:r>
      <w:r>
        <w:t xml:space="preserve"> by domestic </w:t>
      </w:r>
      <w:r>
        <w:lastRenderedPageBreak/>
        <w:t>legislation for challenging a judgement on administrative offense</w:t>
      </w:r>
      <w:r w:rsidR="002834D2">
        <w:t>s</w:t>
      </w:r>
      <w:r>
        <w:t xml:space="preserve"> if appeals are to be submitted to the Chairperson of the regional court</w:t>
      </w:r>
      <w:r w:rsidR="002834D2">
        <w:t xml:space="preserve"> and later </w:t>
      </w:r>
      <w:r>
        <w:t>to the Chairperson of the Supreme Court</w:t>
      </w:r>
      <w:r w:rsidR="002834D2">
        <w:t xml:space="preserve">. Such </w:t>
      </w:r>
      <w:r>
        <w:t xml:space="preserve">appeals are examined by rotation by several of the Chairperson’s deputies. </w:t>
      </w:r>
      <w:r w:rsidR="002834D2">
        <w:t>The</w:t>
      </w:r>
      <w:r>
        <w:t xml:space="preserve"> Chairperson of the Supreme Court has five deputies</w:t>
      </w:r>
      <w:r w:rsidR="002834D2">
        <w:t xml:space="preserve">, whereas </w:t>
      </w:r>
      <w:r>
        <w:t>the Prosecutor General has four deputies. The State party does not explain which deputy the author</w:t>
      </w:r>
      <w:r w:rsidR="002834D2">
        <w:t>s</w:t>
      </w:r>
      <w:r>
        <w:t xml:space="preserve"> had to </w:t>
      </w:r>
      <w:r w:rsidR="002834D2">
        <w:t>address</w:t>
      </w:r>
      <w:r>
        <w:t xml:space="preserve"> </w:t>
      </w:r>
      <w:proofErr w:type="gramStart"/>
      <w:r>
        <w:t>in order to</w:t>
      </w:r>
      <w:proofErr w:type="gramEnd"/>
      <w:r>
        <w:t xml:space="preserve"> ensure that </w:t>
      </w:r>
      <w:r w:rsidR="002834D2">
        <w:t>their</w:t>
      </w:r>
      <w:r>
        <w:t xml:space="preserve"> appeal</w:t>
      </w:r>
      <w:r w:rsidR="002834D2">
        <w:t>s</w:t>
      </w:r>
      <w:r>
        <w:t xml:space="preserve"> </w:t>
      </w:r>
      <w:r w:rsidR="002834D2">
        <w:t>were</w:t>
      </w:r>
      <w:r>
        <w:t xml:space="preserve"> examined directly by the Chairperson of the Supreme Court or the Prosecutor General.</w:t>
      </w:r>
    </w:p>
    <w:p w14:paraId="4A3596F3" w14:textId="6548FFD6" w:rsidR="001F156C" w:rsidRDefault="001F156C" w:rsidP="001F156C">
      <w:pPr>
        <w:pStyle w:val="SingleTxtG"/>
      </w:pPr>
      <w:r>
        <w:t>5.</w:t>
      </w:r>
      <w:r w:rsidR="00630A0B">
        <w:t>5</w:t>
      </w:r>
      <w:r>
        <w:tab/>
        <w:t xml:space="preserve">The author of the communication No. 3134/2018 adds that supervisory review appeals are subject to high taxes, which </w:t>
      </w:r>
      <w:r w:rsidR="00630A0B">
        <w:t>amount</w:t>
      </w:r>
      <w:r>
        <w:t xml:space="preserve"> to 2 basic units in case</w:t>
      </w:r>
      <w:r w:rsidR="00630A0B">
        <w:t>s</w:t>
      </w:r>
      <w:r>
        <w:t xml:space="preserve"> </w:t>
      </w:r>
      <w:r w:rsidR="00630A0B">
        <w:t>where</w:t>
      </w:r>
      <w:r>
        <w:t xml:space="preserve"> a fine of 10 basic unit is contested.</w:t>
      </w:r>
    </w:p>
    <w:p w14:paraId="03E8DDA8" w14:textId="765180E4" w:rsidR="004E6BC5" w:rsidRPr="004E6BC5" w:rsidRDefault="00932159" w:rsidP="004E6BC5">
      <w:pPr>
        <w:pStyle w:val="SingleTxtG"/>
      </w:pPr>
      <w:r>
        <w:t>5.6</w:t>
      </w:r>
      <w:r>
        <w:tab/>
      </w:r>
      <w:r w:rsidR="000821DF">
        <w:t xml:space="preserve">Regarding the statistics provided by the State party, </w:t>
      </w:r>
      <w:r>
        <w:t>according to which</w:t>
      </w:r>
      <w:r w:rsidR="004E6BC5" w:rsidRPr="004E6BC5">
        <w:t xml:space="preserve"> </w:t>
      </w:r>
      <w:r w:rsidR="004E6BC5">
        <w:t>in 2017, prosecutorial authorities raised 3766 protests against judgements related to administrative offenses, 3665 (97%) of which were satisfied,</w:t>
      </w:r>
      <w:r>
        <w:t xml:space="preserve"> the authors of the communication</w:t>
      </w:r>
      <w:r w:rsidR="002834D2">
        <w:t>s</w:t>
      </w:r>
      <w:r>
        <w:t xml:space="preserve"> Nos. 3056/2017, 3100/2018 and 3130/2018 note </w:t>
      </w:r>
      <w:r w:rsidR="000821DF">
        <w:t xml:space="preserve">that the State party does not explain how many of </w:t>
      </w:r>
      <w:r w:rsidR="002834D2">
        <w:t>these</w:t>
      </w:r>
      <w:r w:rsidR="000821DF">
        <w:t xml:space="preserve"> cases related to </w:t>
      </w:r>
      <w:r w:rsidR="002834D2">
        <w:t xml:space="preserve">the </w:t>
      </w:r>
      <w:r w:rsidR="000821DF">
        <w:t xml:space="preserve">exercise </w:t>
      </w:r>
      <w:r w:rsidR="002834D2">
        <w:t>of the</w:t>
      </w:r>
      <w:r w:rsidR="000821DF">
        <w:t xml:space="preserve"> right to freedom of expression and </w:t>
      </w:r>
      <w:r w:rsidR="009F0C24">
        <w:t xml:space="preserve">the </w:t>
      </w:r>
      <w:r w:rsidR="000821DF">
        <w:t xml:space="preserve">right of peaceful assembly. </w:t>
      </w:r>
      <w:r w:rsidR="009F0C24">
        <w:t>A</w:t>
      </w:r>
      <w:r w:rsidR="006647AF">
        <w:t xml:space="preserve">ccording to </w:t>
      </w:r>
      <w:r w:rsidR="000821DF">
        <w:t>statistics on the website of the Ministry of Internal Affairs</w:t>
      </w:r>
      <w:r w:rsidR="006647AF">
        <w:rPr>
          <w:lang w:val="en-US"/>
        </w:rPr>
        <w:t xml:space="preserve">, </w:t>
      </w:r>
      <w:r w:rsidR="009F0C24">
        <w:rPr>
          <w:lang w:val="en-US"/>
        </w:rPr>
        <w:t>it</w:t>
      </w:r>
      <w:r w:rsidR="006647AF">
        <w:rPr>
          <w:lang w:val="en-US"/>
        </w:rPr>
        <w:t xml:space="preserve"> registered 3,9 million administrative offenses</w:t>
      </w:r>
      <w:r>
        <w:rPr>
          <w:lang w:val="en-US"/>
        </w:rPr>
        <w:t xml:space="preserve"> in 2017</w:t>
      </w:r>
      <w:r w:rsidR="006647AF">
        <w:rPr>
          <w:lang w:val="en-US"/>
        </w:rPr>
        <w:t>Therefore, according to the author</w:t>
      </w:r>
      <w:r>
        <w:rPr>
          <w:lang w:val="en-US"/>
        </w:rPr>
        <w:t>s</w:t>
      </w:r>
      <w:r w:rsidR="006647AF">
        <w:rPr>
          <w:lang w:val="en-US"/>
        </w:rPr>
        <w:t xml:space="preserve">, the number of prosecutorial protests cited by the State party is </w:t>
      </w:r>
      <w:r>
        <w:rPr>
          <w:lang w:val="en-US"/>
        </w:rPr>
        <w:t>less than</w:t>
      </w:r>
      <w:r w:rsidR="006647AF">
        <w:rPr>
          <w:lang w:val="en-US"/>
        </w:rPr>
        <w:t xml:space="preserve"> 0,1% of the total number of cases </w:t>
      </w:r>
      <w:r w:rsidR="001F156C">
        <w:rPr>
          <w:lang w:val="en-US"/>
        </w:rPr>
        <w:t>on administrative offenses in the country.</w:t>
      </w:r>
    </w:p>
    <w:p w14:paraId="407AC1CF" w14:textId="2FCA8F02" w:rsidR="00932159" w:rsidRDefault="00932159" w:rsidP="004E6BC5">
      <w:pPr>
        <w:pStyle w:val="SingleTxtG"/>
        <w:rPr>
          <w:lang w:val="en-US"/>
        </w:rPr>
      </w:pPr>
      <w:r>
        <w:rPr>
          <w:lang w:val="en-US"/>
        </w:rPr>
        <w:t>5.7</w:t>
      </w:r>
      <w:r>
        <w:rPr>
          <w:lang w:val="en-US"/>
        </w:rPr>
        <w:tab/>
        <w:t xml:space="preserve">According to the author of the </w:t>
      </w:r>
      <w:r>
        <w:t>communication No. 3134/2018, the statistics provided by the State party only prove the ineffectiveness of the prosecutorial supervisory review procedure.</w:t>
      </w:r>
      <w:r w:rsidR="00E55609">
        <w:t xml:space="preserve"> He refers to statistics of the Supreme Court according to which in 2017, the Court examined 370109 cases on administrative offenses.</w:t>
      </w:r>
      <w:r w:rsidR="004E6BC5">
        <w:t xml:space="preserve"> The 3766 protests raised by prosecutorial authorities thus constitute 1% of the</w:t>
      </w:r>
      <w:r w:rsidR="00EE3AA2">
        <w:t xml:space="preserve"> relevant</w:t>
      </w:r>
      <w:r w:rsidR="004E6BC5">
        <w:t xml:space="preserve"> cases examined in 2017. The author also points </w:t>
      </w:r>
      <w:r w:rsidR="00EE3AA2">
        <w:t>out</w:t>
      </w:r>
      <w:r w:rsidR="004E6BC5">
        <w:t xml:space="preserve"> that the State party has not disclosed the number of supervisory review appeals submitted to prosecutorial authorities and the percentage </w:t>
      </w:r>
      <w:r w:rsidR="000D1CFE">
        <w:t>among those of</w:t>
      </w:r>
      <w:r w:rsidR="004E6BC5">
        <w:t xml:space="preserve"> the 3766 protests</w:t>
      </w:r>
      <w:r w:rsidR="000D1CFE">
        <w:t xml:space="preserve"> raised</w:t>
      </w:r>
      <w:r w:rsidR="004E6BC5">
        <w:t>.</w:t>
      </w:r>
      <w:r w:rsidR="00930515">
        <w:t xml:space="preserve"> Furthermore, the State part</w:t>
      </w:r>
      <w:r w:rsidR="00930515">
        <w:rPr>
          <w:lang w:val="en-US"/>
        </w:rPr>
        <w:t>y has not provided any examples of protests raised in cases related to the exercise of the freedom of expression and the freedom of peaceful assembly.</w:t>
      </w:r>
    </w:p>
    <w:p w14:paraId="59476511" w14:textId="6F9069AF" w:rsidR="000821DF" w:rsidRPr="00C62A55" w:rsidRDefault="00E70327" w:rsidP="00C62A55">
      <w:pPr>
        <w:pStyle w:val="SingleTxtG"/>
        <w:rPr>
          <w:lang w:val="en-US"/>
        </w:rPr>
      </w:pPr>
      <w:r>
        <w:rPr>
          <w:lang w:val="en-US"/>
        </w:rPr>
        <w:t>5.8</w:t>
      </w:r>
      <w:r>
        <w:rPr>
          <w:lang w:val="en-US"/>
        </w:rPr>
        <w:tab/>
      </w:r>
      <w:r w:rsidR="000D1CFE">
        <w:rPr>
          <w:lang w:val="en-US"/>
        </w:rPr>
        <w:t>All the authors</w:t>
      </w:r>
      <w:r w:rsidR="00C62A55">
        <w:rPr>
          <w:lang w:val="en-US"/>
        </w:rPr>
        <w:t xml:space="preserve"> </w:t>
      </w:r>
      <w:r w:rsidR="000D1CFE">
        <w:rPr>
          <w:lang w:val="en-US"/>
        </w:rPr>
        <w:t xml:space="preserve">reaffirm their claims about </w:t>
      </w:r>
      <w:r w:rsidR="00C62A55">
        <w:rPr>
          <w:lang w:val="en-US"/>
        </w:rPr>
        <w:t xml:space="preserve">violation of their rights under articles 19 and 21 of the Covenant. </w:t>
      </w:r>
      <w:r w:rsidR="004570B8">
        <w:rPr>
          <w:lang w:val="en-US"/>
        </w:rPr>
        <w:t xml:space="preserve">The author of the communication No. 3134/2018 notes that the State party has not explained </w:t>
      </w:r>
      <w:r w:rsidR="000D1CFE">
        <w:rPr>
          <w:lang w:val="en-US"/>
        </w:rPr>
        <w:t>why the</w:t>
      </w:r>
      <w:r w:rsidR="004570B8">
        <w:rPr>
          <w:lang w:val="en-US"/>
        </w:rPr>
        <w:t xml:space="preserve"> restrictions </w:t>
      </w:r>
      <w:r w:rsidR="000D1CFE">
        <w:rPr>
          <w:lang w:val="en-US"/>
        </w:rPr>
        <w:t>imposed on</w:t>
      </w:r>
      <w:r w:rsidR="004570B8">
        <w:rPr>
          <w:lang w:val="en-US"/>
        </w:rPr>
        <w:t xml:space="preserve"> his rights to freedom of expression and to freedom of assembly were necessary and proportional under articles 19 and 21. He refers to General Comment No. 37 according to which a</w:t>
      </w:r>
      <w:r w:rsidR="004570B8" w:rsidRPr="004570B8">
        <w:rPr>
          <w:lang w:val="en-US"/>
        </w:rPr>
        <w:t xml:space="preserve"> failure to notify the authorities of an upcoming assembly, where required, does not render the act of participation in th</w:t>
      </w:r>
      <w:r w:rsidR="000D1CFE">
        <w:rPr>
          <w:lang w:val="en-US"/>
        </w:rPr>
        <w:t>is</w:t>
      </w:r>
      <w:r w:rsidR="004570B8" w:rsidRPr="004570B8">
        <w:rPr>
          <w:lang w:val="en-US"/>
        </w:rPr>
        <w:t xml:space="preserve"> assembly unlawful, and must not in itself be used as a basis</w:t>
      </w:r>
      <w:r w:rsidR="004570B8">
        <w:rPr>
          <w:lang w:val="en-US"/>
        </w:rPr>
        <w:t xml:space="preserve"> </w:t>
      </w:r>
      <w:r w:rsidR="004570B8" w:rsidRPr="004570B8">
        <w:rPr>
          <w:lang w:val="en-US"/>
        </w:rPr>
        <w:t>for imposing</w:t>
      </w:r>
      <w:r w:rsidR="004570B8">
        <w:rPr>
          <w:lang w:val="en-US"/>
        </w:rPr>
        <w:t xml:space="preserve"> </w:t>
      </w:r>
      <w:r w:rsidR="004570B8" w:rsidRPr="004570B8">
        <w:rPr>
          <w:lang w:val="en-US"/>
        </w:rPr>
        <w:t>undue sanctions</w:t>
      </w:r>
      <w:r w:rsidR="004570B8">
        <w:rPr>
          <w:lang w:val="en-US"/>
        </w:rPr>
        <w:t>.</w:t>
      </w:r>
      <w:r w:rsidR="004570B8">
        <w:rPr>
          <w:rStyle w:val="FootnoteReference"/>
          <w:lang w:val="en-US"/>
        </w:rPr>
        <w:footnoteReference w:id="6"/>
      </w:r>
    </w:p>
    <w:p w14:paraId="2A1A6A7A" w14:textId="081CDA9D" w:rsidR="00A153F9" w:rsidRPr="00C62A55" w:rsidRDefault="00326A95" w:rsidP="00C62A55">
      <w:pPr>
        <w:pStyle w:val="SingleTxtG"/>
      </w:pPr>
      <w:r>
        <w:t>5.</w:t>
      </w:r>
      <w:r w:rsidR="007F5B63">
        <w:t>9</w:t>
      </w:r>
      <w:r>
        <w:tab/>
      </w:r>
      <w:r w:rsidR="00C62A55">
        <w:t>T</w:t>
      </w:r>
      <w:r w:rsidR="00E70327">
        <w:t xml:space="preserve">he authors of the communication Nos. 3056/2017, 3100/2018 and 3130/2018 </w:t>
      </w:r>
      <w:r w:rsidR="00C62A55">
        <w:t>add</w:t>
      </w:r>
      <w:r w:rsidR="00E70327">
        <w:t xml:space="preserve"> </w:t>
      </w:r>
      <w:r>
        <w:t xml:space="preserve">that while referring to </w:t>
      </w:r>
      <w:r w:rsidR="000D1CFE">
        <w:t>the</w:t>
      </w:r>
      <w:r>
        <w:t xml:space="preserve"> Public Events Act, the State party </w:t>
      </w:r>
      <w:r w:rsidR="000D1CFE">
        <w:t>omits to mention that</w:t>
      </w:r>
      <w:r>
        <w:t xml:space="preserve"> it has failed to comply with recommendations on amending this law </w:t>
      </w:r>
      <w:r w:rsidR="000D1CFE">
        <w:t>provided</w:t>
      </w:r>
      <w:r>
        <w:t xml:space="preserve"> in the Joint Opinion on the Law on Mass Events of the Republic of Belarus, adopted by the European Commission for Democracy through Law (Venice Commission) and the Office for Democratic Institutions and Human Rights of the </w:t>
      </w:r>
      <w:r w:rsidRPr="00A462EA">
        <w:t>Organization for Security and Cooperation in Europe</w:t>
      </w:r>
      <w:r>
        <w:t xml:space="preserve"> in 2012. Neither has the State party complied with the Committee’s </w:t>
      </w:r>
      <w:r w:rsidR="000D1CFE">
        <w:t>recommendations to bring</w:t>
      </w:r>
      <w:r>
        <w:t xml:space="preserve"> its Public Events Act in compliance with its international obligations.</w:t>
      </w:r>
      <w:r>
        <w:rPr>
          <w:rStyle w:val="FootnoteReference"/>
        </w:rPr>
        <w:footnoteReference w:id="7"/>
      </w:r>
      <w:r w:rsidR="00DB1F1F">
        <w:t xml:space="preserve"> The author</w:t>
      </w:r>
      <w:r w:rsidR="000D1CFE">
        <w:t>s</w:t>
      </w:r>
      <w:r w:rsidR="00DB1F1F">
        <w:t xml:space="preserve"> conclude that both the Public Events Act </w:t>
      </w:r>
      <w:r w:rsidR="000D1CFE">
        <w:t>on its own</w:t>
      </w:r>
      <w:r w:rsidR="00DB1F1F">
        <w:t xml:space="preserve"> and its application in </w:t>
      </w:r>
      <w:r w:rsidR="000D1CFE">
        <w:t>their</w:t>
      </w:r>
      <w:r w:rsidR="00DB1F1F">
        <w:t xml:space="preserve"> specific case</w:t>
      </w:r>
      <w:r w:rsidR="000D1CFE">
        <w:t>s</w:t>
      </w:r>
      <w:r w:rsidR="00DB1F1F">
        <w:t xml:space="preserve"> </w:t>
      </w:r>
      <w:r w:rsidR="000D1CFE">
        <w:t xml:space="preserve">have </w:t>
      </w:r>
      <w:r w:rsidR="00DB1F1F">
        <w:t xml:space="preserve">resulted in violation of </w:t>
      </w:r>
      <w:r w:rsidR="000D1CFE">
        <w:t>their</w:t>
      </w:r>
      <w:r w:rsidR="00DB1F1F">
        <w:t xml:space="preserve"> rights under articles 19 and 21 of the Covenant</w:t>
      </w:r>
      <w:r w:rsidR="00C62A55">
        <w:t>.</w:t>
      </w:r>
    </w:p>
    <w:p w14:paraId="5A010014" w14:textId="5703066D" w:rsidR="009D4601" w:rsidRPr="00226F34" w:rsidRDefault="000128E3" w:rsidP="00A753F2">
      <w:pPr>
        <w:pStyle w:val="SingleTxtG"/>
        <w:rPr>
          <w:b/>
          <w:bCs/>
        </w:rPr>
      </w:pPr>
      <w:r w:rsidRPr="00226F34">
        <w:rPr>
          <w:b/>
          <w:bCs/>
        </w:rPr>
        <w:t>Issues and proceedings before the Committee</w:t>
      </w:r>
    </w:p>
    <w:p w14:paraId="1DCA7144" w14:textId="43E6B87F" w:rsidR="008B3D95" w:rsidRPr="00226F34" w:rsidRDefault="00DE5C04" w:rsidP="00885BF6">
      <w:pPr>
        <w:pStyle w:val="H4G"/>
        <w:rPr>
          <w:i w:val="0"/>
        </w:rPr>
      </w:pPr>
      <w:r w:rsidRPr="00226F34">
        <w:tab/>
      </w:r>
      <w:r w:rsidRPr="00226F34">
        <w:tab/>
      </w:r>
      <w:r w:rsidR="008B3D95" w:rsidRPr="00226F34">
        <w:t>Consideration of admissibility</w:t>
      </w:r>
    </w:p>
    <w:p w14:paraId="5AE036EA" w14:textId="1F3FB084" w:rsidR="009069F2" w:rsidRPr="00226F34" w:rsidRDefault="00FC7F59" w:rsidP="009069F2">
      <w:pPr>
        <w:pStyle w:val="SingleTxtG"/>
      </w:pPr>
      <w:r w:rsidRPr="00226F34">
        <w:t>6</w:t>
      </w:r>
      <w:r w:rsidR="009069F2" w:rsidRPr="00226F34">
        <w:t>.1</w:t>
      </w:r>
      <w:r w:rsidR="009069F2" w:rsidRPr="00226F34">
        <w:tab/>
        <w:t>Before considering any claim contained in a communication, the Committee must decide, in accordance with rule 97 of its rules of procedure, whether the communication</w:t>
      </w:r>
      <w:r w:rsidR="000D1CFE">
        <w:t>s</w:t>
      </w:r>
      <w:r w:rsidR="009069F2" w:rsidRPr="00226F34">
        <w:t xml:space="preserve"> </w:t>
      </w:r>
      <w:r w:rsidR="000D1CFE">
        <w:t>are</w:t>
      </w:r>
      <w:r w:rsidR="009069F2" w:rsidRPr="00226F34">
        <w:t xml:space="preserve"> admissible under the Optional Protocol.</w:t>
      </w:r>
    </w:p>
    <w:p w14:paraId="66A7900A" w14:textId="7494CF9D" w:rsidR="009069F2" w:rsidRPr="00226F34" w:rsidRDefault="00FC7F59" w:rsidP="009069F2">
      <w:pPr>
        <w:pStyle w:val="SingleTxtG"/>
      </w:pPr>
      <w:r w:rsidRPr="00226F34">
        <w:lastRenderedPageBreak/>
        <w:t>6</w:t>
      </w:r>
      <w:r w:rsidR="009069F2" w:rsidRPr="00226F34">
        <w:t>.2</w:t>
      </w:r>
      <w:r w:rsidR="009069F2" w:rsidRPr="00226F34">
        <w:tab/>
        <w:t>The Committee has ascertained, as required under article 5 (2) (a) of the Optional Protocol, that the same matter is not being examined under another procedure of international investigation or settlement.</w:t>
      </w:r>
    </w:p>
    <w:p w14:paraId="608FBF47" w14:textId="25271611" w:rsidR="000A40EF" w:rsidRDefault="00FC7F59" w:rsidP="00EA3812">
      <w:pPr>
        <w:pStyle w:val="SingleTxtG"/>
        <w:rPr>
          <w:lang w:val="en-US"/>
        </w:rPr>
      </w:pPr>
      <w:r w:rsidRPr="00226F34">
        <w:t>6</w:t>
      </w:r>
      <w:r w:rsidR="008A0E7B" w:rsidRPr="00226F34">
        <w:t>.3</w:t>
      </w:r>
      <w:r w:rsidR="008A0E7B" w:rsidRPr="00226F34">
        <w:tab/>
      </w:r>
      <w:bookmarkStart w:id="5" w:name="_Hlk141111635"/>
      <w:r w:rsidR="00EA3812">
        <w:rPr>
          <w:lang w:val="en-US"/>
        </w:rPr>
        <w:t xml:space="preserve">The Committee notes the State party’s argument that the authors have failed to seek a supervisory review of the impugned decisions by </w:t>
      </w:r>
      <w:r w:rsidR="000D1CFE">
        <w:rPr>
          <w:lang w:val="en-US"/>
        </w:rPr>
        <w:t>prosecutorial and judicial authorities</w:t>
      </w:r>
      <w:r w:rsidR="00EA3812">
        <w:rPr>
          <w:lang w:val="en-US"/>
        </w:rPr>
        <w:t>. The Committee recalls its jurisprudence, according to which a petition for supervisory review submitted to a president of a court, directed against court decisions that have entered into force and depend on the discretionary power of a judge, constitutes an extraordinary remedy and that the State party must show that there is a reasonable prospect that such requests would provide an effective remedy in the circumstances of the case. The Committee further recalls its jurisprudence, according to which a petition for supervisory review submitted to a prosecutor’s office, dependent on the discretionary power of the prosecutor, requesting a review of court decisions that have taken effect, constitutes an extraordinary remedy and thus does not constitute a remedy that must be exhausted for the purposes of article 5 (2) (b) of the Optional Protocol.</w:t>
      </w:r>
      <w:r w:rsidR="00EA3812">
        <w:rPr>
          <w:vertAlign w:val="superscript"/>
          <w:lang w:val="en-US"/>
        </w:rPr>
        <w:footnoteReference w:id="8"/>
      </w:r>
    </w:p>
    <w:bookmarkEnd w:id="5"/>
    <w:p w14:paraId="4FDE1C92" w14:textId="6D1509B3" w:rsidR="00671907" w:rsidRDefault="000A40EF" w:rsidP="000A40EF">
      <w:pPr>
        <w:pStyle w:val="SingleTxtG"/>
        <w:rPr>
          <w:lang w:val="en-US"/>
        </w:rPr>
      </w:pPr>
      <w:r>
        <w:rPr>
          <w:lang w:val="en-US"/>
        </w:rPr>
        <w:t>6.4</w:t>
      </w:r>
      <w:r>
        <w:rPr>
          <w:lang w:val="en-US"/>
        </w:rPr>
        <w:tab/>
      </w:r>
      <w:r w:rsidR="00EA3812">
        <w:rPr>
          <w:lang w:val="en-US"/>
        </w:rPr>
        <w:t xml:space="preserve">While welcoming the statistics </w:t>
      </w:r>
      <w:r>
        <w:rPr>
          <w:lang w:val="en-US"/>
        </w:rPr>
        <w:t xml:space="preserve">provided by the State party </w:t>
      </w:r>
      <w:r w:rsidR="00EA3812">
        <w:rPr>
          <w:lang w:val="en-US"/>
        </w:rPr>
        <w:t>on the high rate of successful protests</w:t>
      </w:r>
      <w:r w:rsidR="00113F80">
        <w:rPr>
          <w:lang w:val="en-US"/>
        </w:rPr>
        <w:t xml:space="preserve"> raised by prosecutorial authorities </w:t>
      </w:r>
      <w:r>
        <w:rPr>
          <w:lang w:val="en-US"/>
        </w:rPr>
        <w:t xml:space="preserve">against judicial judgements on administrative offenses </w:t>
      </w:r>
      <w:r w:rsidR="00EA3812">
        <w:rPr>
          <w:lang w:val="en-US"/>
        </w:rPr>
        <w:t xml:space="preserve">in 2017, the Committee </w:t>
      </w:r>
      <w:r>
        <w:rPr>
          <w:lang w:val="en-US"/>
        </w:rPr>
        <w:t>observes</w:t>
      </w:r>
      <w:r w:rsidR="00EA3812">
        <w:rPr>
          <w:lang w:val="en-US"/>
        </w:rPr>
        <w:t xml:space="preserve"> that</w:t>
      </w:r>
      <w:r>
        <w:rPr>
          <w:lang w:val="en-US"/>
        </w:rPr>
        <w:t xml:space="preserve"> the State party has not disclosed the percentage of </w:t>
      </w:r>
      <w:r w:rsidR="00113F80">
        <w:rPr>
          <w:lang w:val="en-US"/>
        </w:rPr>
        <w:t>this figure</w:t>
      </w:r>
      <w:r>
        <w:rPr>
          <w:lang w:val="en-US"/>
        </w:rPr>
        <w:t xml:space="preserve"> from the total number of the supervisory review appeals submitted to prosecutors</w:t>
      </w:r>
      <w:r w:rsidR="00113F80">
        <w:rPr>
          <w:lang w:val="en-US"/>
        </w:rPr>
        <w:t xml:space="preserve"> over the same period</w:t>
      </w:r>
      <w:r>
        <w:rPr>
          <w:lang w:val="en-US"/>
        </w:rPr>
        <w:t>. Neither has the State provided any specific information on the effectiveness of the supervisory review procedure in cases related to administrative convictions imposed on participants of public rallies</w:t>
      </w:r>
      <w:r w:rsidR="00113F80">
        <w:rPr>
          <w:lang w:val="en-US"/>
        </w:rPr>
        <w:t xml:space="preserve"> like those examined in the present views</w:t>
      </w:r>
      <w:r>
        <w:rPr>
          <w:lang w:val="en-US"/>
        </w:rPr>
        <w:t xml:space="preserve">. </w:t>
      </w:r>
      <w:r w:rsidR="00236009">
        <w:rPr>
          <w:lang w:val="en-US"/>
        </w:rPr>
        <w:t>Th</w:t>
      </w:r>
      <w:r>
        <w:rPr>
          <w:lang w:val="en-US"/>
        </w:rPr>
        <w:t>e absence of this dat</w:t>
      </w:r>
      <w:r w:rsidR="00236009">
        <w:rPr>
          <w:lang w:val="en-US"/>
        </w:rPr>
        <w:t xml:space="preserve">a prevents </w:t>
      </w:r>
      <w:r>
        <w:rPr>
          <w:lang w:val="en-US"/>
        </w:rPr>
        <w:t xml:space="preserve">the Committee </w:t>
      </w:r>
      <w:r w:rsidR="00236009">
        <w:rPr>
          <w:lang w:val="en-US"/>
        </w:rPr>
        <w:t>from reaching a different conclusion</w:t>
      </w:r>
      <w:r w:rsidR="00113F80">
        <w:rPr>
          <w:lang w:val="en-US"/>
        </w:rPr>
        <w:t xml:space="preserve">, compared to its previous case law, </w:t>
      </w:r>
      <w:r w:rsidR="00236009">
        <w:rPr>
          <w:lang w:val="en-US"/>
        </w:rPr>
        <w:t>on the effectiveness of</w:t>
      </w:r>
      <w:r>
        <w:rPr>
          <w:lang w:val="en-US"/>
        </w:rPr>
        <w:t xml:space="preserve"> the supervisory review by prosecutorial authorities. </w:t>
      </w:r>
      <w:r w:rsidR="00236009">
        <w:rPr>
          <w:lang w:val="en-US"/>
        </w:rPr>
        <w:t>The</w:t>
      </w:r>
      <w:r>
        <w:rPr>
          <w:lang w:val="en-US"/>
        </w:rPr>
        <w:t xml:space="preserve"> Committee concludes that </w:t>
      </w:r>
      <w:r w:rsidR="00EA3812">
        <w:rPr>
          <w:lang w:val="en-US"/>
        </w:rPr>
        <w:t xml:space="preserve">the authors have exhausted all available </w:t>
      </w:r>
      <w:r w:rsidR="00236009">
        <w:rPr>
          <w:lang w:val="en-US"/>
        </w:rPr>
        <w:t xml:space="preserve">effective </w:t>
      </w:r>
      <w:r w:rsidR="00EA3812">
        <w:rPr>
          <w:lang w:val="en-US"/>
        </w:rPr>
        <w:t>domestic remedies</w:t>
      </w:r>
      <w:r w:rsidR="00113F80">
        <w:rPr>
          <w:lang w:val="en-US"/>
        </w:rPr>
        <w:t xml:space="preserve"> and that </w:t>
      </w:r>
      <w:r w:rsidR="00EA3812">
        <w:rPr>
          <w:lang w:val="en-US"/>
        </w:rPr>
        <w:t>it is not precluded by article 5 (2) (b) of the Optional Protocol from examining the present communication.</w:t>
      </w:r>
    </w:p>
    <w:p w14:paraId="41737893" w14:textId="01D8A105" w:rsidR="00C6671F" w:rsidRDefault="00C6671F" w:rsidP="00C6671F">
      <w:pPr>
        <w:pStyle w:val="SingleTxtG"/>
      </w:pPr>
      <w:r>
        <w:t xml:space="preserve">6.5 </w:t>
      </w:r>
      <w:r>
        <w:tab/>
        <w:t xml:space="preserve">The Committee takes note of the authors’ claims that the State party </w:t>
      </w:r>
      <w:r w:rsidR="008363D3">
        <w:t xml:space="preserve">has </w:t>
      </w:r>
      <w:r>
        <w:t>violated their rights under articles 19 and 21</w:t>
      </w:r>
      <w:r w:rsidR="008363D3">
        <w:t xml:space="preserve"> of the Covenant</w:t>
      </w:r>
      <w:r>
        <w:t xml:space="preserve">, read in conjunction with </w:t>
      </w:r>
      <w:r w:rsidR="008363D3">
        <w:t xml:space="preserve">its </w:t>
      </w:r>
      <w:r>
        <w:t>article 2 (2). The Committee recalls that the provisions of article 2 cannot be invoked in a claim in a communication under the Optional Protocol in conjunction with other provisions of the Covenant, except when the failure by the State party to observe its obligations under article 2 is the proximate cause of a distinct violation of the Covenant directly affecting the individual claiming to be a victim.</w:t>
      </w:r>
      <w:r>
        <w:rPr>
          <w:vertAlign w:val="superscript"/>
        </w:rPr>
        <w:footnoteReference w:id="9"/>
      </w:r>
      <w:r>
        <w:t xml:space="preserve">  The Committee notes that the authors have already alleged a violation of their rights under articles 19 and 21 of the Covenant, resulting from the interpretation and application of the existing laws of the State party, and the Committee does not consider the examination of whether the State party has also violated its general obligations under article 2 (2), read in conjunction with articles 19 and 21, to be distinct from examination of the violation of the authors’ rights under articles 19 and 21 of the Covenant. The Committee therefore considers that the authors’ claims in that regard are incompatible with article 2 of the Covenant and thus inadmissible under article 3 of the Optional Protocol.</w:t>
      </w:r>
    </w:p>
    <w:p w14:paraId="45E6FCBE" w14:textId="483BC51C" w:rsidR="00C6671F" w:rsidRDefault="00C6671F" w:rsidP="00C6671F">
      <w:pPr>
        <w:pStyle w:val="SingleTxtG"/>
      </w:pPr>
      <w:r>
        <w:t>6.</w:t>
      </w:r>
      <w:r w:rsidR="00447918">
        <w:t>6</w:t>
      </w:r>
      <w:r>
        <w:tab/>
        <w:t>The Committee also takes note of the authors’ claims under articles 19 and 21 of the Covenant, read in conjunction with article 2 (3). In the absence, however, of any further pertinent information on file, the Committee considers that the authors have failed to sufficiently substantiate those claims for the purposes of admissibility. Accordingly, it declares this part of the communication inadmissible under article 2 of the Optional Protocol.</w:t>
      </w:r>
    </w:p>
    <w:p w14:paraId="0EB8F9D4" w14:textId="4B0C0643" w:rsidR="00236009" w:rsidRDefault="00236009" w:rsidP="00236009">
      <w:pPr>
        <w:pStyle w:val="SingleTxtG"/>
      </w:pPr>
      <w:r>
        <w:t>6.</w:t>
      </w:r>
      <w:r w:rsidR="00447918">
        <w:t>7</w:t>
      </w:r>
      <w:r>
        <w:tab/>
        <w:t xml:space="preserve">The Committee notes that the facts, as submitted by the authors in their respective communications, raise issues under articles 19 and 21 of the Covenant, taken separately. The Committee, therefore, considers the claims under articles 19 (2) and 21 </w:t>
      </w:r>
      <w:r w:rsidR="008363D3">
        <w:t>ra</w:t>
      </w:r>
      <w:r w:rsidR="0016448F">
        <w:t>i</w:t>
      </w:r>
      <w:r w:rsidR="008363D3">
        <w:t>se</w:t>
      </w:r>
      <w:r w:rsidR="0016448F">
        <w:t>d</w:t>
      </w:r>
      <w:r w:rsidR="008363D3">
        <w:t xml:space="preserve"> by </w:t>
      </w:r>
      <w:r>
        <w:t xml:space="preserve">the four </w:t>
      </w:r>
      <w:r>
        <w:lastRenderedPageBreak/>
        <w:t>communications sufficiently substantiated for the purposes of admissibility and proceeds with their consideration of the merits.</w:t>
      </w:r>
    </w:p>
    <w:p w14:paraId="065C69FB" w14:textId="16403704" w:rsidR="00236009" w:rsidRDefault="00236009" w:rsidP="00236009">
      <w:pPr>
        <w:pStyle w:val="H4G"/>
      </w:pPr>
      <w:r>
        <w:tab/>
      </w:r>
      <w:r>
        <w:tab/>
        <w:t>Consideration of the merits</w:t>
      </w:r>
    </w:p>
    <w:p w14:paraId="4E84FB2F" w14:textId="6DAB0F02" w:rsidR="00236009" w:rsidRDefault="00236009" w:rsidP="000C532E">
      <w:pPr>
        <w:pStyle w:val="SingleTxtG"/>
      </w:pPr>
      <w:r>
        <w:t>7.1</w:t>
      </w:r>
      <w:r>
        <w:tab/>
        <w:t>The Committee has considered the communications in the light of all the information made available to it by the parties, as provided under article 5 (1) of the Optional Protocol.</w:t>
      </w:r>
    </w:p>
    <w:p w14:paraId="03AE4294" w14:textId="3D87F69B" w:rsidR="00236009" w:rsidRDefault="00236009" w:rsidP="004038EC">
      <w:pPr>
        <w:pStyle w:val="SingleTxtG"/>
      </w:pPr>
      <w:r>
        <w:t>7.2</w:t>
      </w:r>
      <w:r>
        <w:tab/>
        <w:t>The Committee takes note of the authors’ claims that their rights to freedom of expression and assembly have been restricted in violation of both article 19 and article 21 of the Covenant, as they were sentenced to</w:t>
      </w:r>
      <w:r w:rsidR="000C532E">
        <w:t xml:space="preserve"> pay </w:t>
      </w:r>
      <w:r w:rsidR="000C532E" w:rsidRPr="008363D3">
        <w:t>significant</w:t>
      </w:r>
      <w:r w:rsidR="000C532E">
        <w:t xml:space="preserve"> fines (communications Nos. 3056/2017, 3100/2018 and 3134/2018) or serve administrative detention (communication No. 3130/2018) </w:t>
      </w:r>
      <w:r>
        <w:t>for participating in peaceful</w:t>
      </w:r>
      <w:r w:rsidR="008363D3">
        <w:t xml:space="preserve"> public events</w:t>
      </w:r>
      <w:r>
        <w:t xml:space="preserve"> and for expressing their views, as specified in detail </w:t>
      </w:r>
      <w:r w:rsidRPr="005629CD">
        <w:t>in paragraphs 2</w:t>
      </w:r>
      <w:r>
        <w:t>.</w:t>
      </w:r>
      <w:r w:rsidR="000C532E">
        <w:t>2 to 2.8</w:t>
      </w:r>
      <w:r>
        <w:t xml:space="preserve"> above.</w:t>
      </w:r>
    </w:p>
    <w:p w14:paraId="4F3CDE9D" w14:textId="70DA4303" w:rsidR="00236009" w:rsidRDefault="00236009" w:rsidP="00236009">
      <w:pPr>
        <w:pStyle w:val="SingleTxtG"/>
      </w:pPr>
      <w:r>
        <w:rPr>
          <w:lang w:val="en-US"/>
        </w:rPr>
        <w:t>7.3</w:t>
      </w:r>
      <w:r>
        <w:rPr>
          <w:lang w:val="en-US"/>
        </w:rPr>
        <w:tab/>
        <w:t xml:space="preserve">Considering the authors’ claim that their right of peaceful assembly was unreasonably restricted by the State party on account of imposing significant fines </w:t>
      </w:r>
      <w:r w:rsidR="008363D3">
        <w:rPr>
          <w:lang w:val="en-US"/>
        </w:rPr>
        <w:t xml:space="preserve">and administrative detention </w:t>
      </w:r>
      <w:r>
        <w:rPr>
          <w:lang w:val="en-US"/>
        </w:rPr>
        <w:t xml:space="preserve">for </w:t>
      </w:r>
      <w:r w:rsidR="008363D3">
        <w:rPr>
          <w:lang w:val="en-US"/>
        </w:rPr>
        <w:t>participating in</w:t>
      </w:r>
      <w:r>
        <w:rPr>
          <w:lang w:val="en-US"/>
        </w:rPr>
        <w:t xml:space="preserve"> peaceful public events, the Committee notes that the issue before it is to determine whether the restrictions imposed were justified under article 21 of the Covenant.  </w:t>
      </w:r>
    </w:p>
    <w:p w14:paraId="2B506867" w14:textId="08DD1406" w:rsidR="0023784B" w:rsidRPr="0023784B" w:rsidRDefault="00236009" w:rsidP="0023784B">
      <w:pPr>
        <w:pStyle w:val="SingleTxtG"/>
        <w:rPr>
          <w:lang w:val="en-US"/>
        </w:rPr>
      </w:pPr>
      <w:r>
        <w:t>7.4</w:t>
      </w:r>
      <w:r>
        <w:tab/>
        <w:t xml:space="preserve">The Committee recalls that the right of peaceful assembly, as guaranteed under article 21 of the Covenant, is a fundamental human right, essential for public expression of an individual’s views and opinions and indispensable in a democratic society. </w:t>
      </w:r>
      <w:r>
        <w:rPr>
          <w:lang w:val="en-US"/>
        </w:rPr>
        <w:t xml:space="preserve">Given that peaceful assemblies often have expressive functions, and that political speech enjoys </w:t>
      </w:r>
      <w:proofErr w:type="gramStart"/>
      <w:r>
        <w:rPr>
          <w:lang w:val="en-US"/>
        </w:rPr>
        <w:t>particular protection</w:t>
      </w:r>
      <w:proofErr w:type="gramEnd"/>
      <w:r>
        <w:rPr>
          <w:lang w:val="en-US"/>
        </w:rPr>
        <w:t xml:space="preserve"> as a form of expression, assemblies with a political message should enjoy a heightened level of accommodation and protection.</w:t>
      </w:r>
      <w:r>
        <w:rPr>
          <w:vertAlign w:val="superscript"/>
          <w:lang w:val="en-US"/>
        </w:rPr>
        <w:footnoteReference w:id="10"/>
      </w:r>
      <w:r>
        <w:rPr>
          <w:lang w:val="en-US"/>
        </w:rPr>
        <w:t xml:space="preserve"> </w:t>
      </w:r>
      <w:r w:rsidR="004038EC">
        <w:t>The peaceful</w:t>
      </w:r>
      <w:r>
        <w:t xml:space="preserve"> assemblies </w:t>
      </w:r>
      <w:r w:rsidR="004038EC">
        <w:t xml:space="preserve">covered by </w:t>
      </w:r>
      <w:r w:rsidR="004038EC">
        <w:rPr>
          <w:lang w:val="en-US"/>
        </w:rPr>
        <w:t xml:space="preserve">Article 21 </w:t>
      </w:r>
      <w:r>
        <w:t>may take many forms, including demonstrations, protests, meetings, processions, rallies, sit-ins, candlelight vigils and flash mobs. They are protected under article 21 whether they are stationary, such as pickets, or mobile, such as processions or marches.</w:t>
      </w:r>
      <w:r>
        <w:rPr>
          <w:vertAlign w:val="superscript"/>
        </w:rPr>
        <w:footnoteReference w:id="11"/>
      </w:r>
      <w:r>
        <w:t xml:space="preserve"> The organizers of an assembly generally have the right to choose a location within sight and sound of their target audience,</w:t>
      </w:r>
      <w:r>
        <w:rPr>
          <w:vertAlign w:val="superscript"/>
        </w:rPr>
        <w:footnoteReference w:id="12"/>
      </w:r>
      <w:r>
        <w:t xml:space="preserve"> and no restriction to this right is permissible, unless it</w:t>
      </w:r>
      <w:r w:rsidRPr="005629CD">
        <w:t>:</w:t>
      </w:r>
      <w:r>
        <w:t xml:space="preserve"> (a) is imposed in conformity with the law; and (b) is necessary in a democratic society, in the interests of national security or public safety, public order (</w:t>
      </w:r>
      <w:proofErr w:type="spellStart"/>
      <w:r>
        <w:rPr>
          <w:i/>
        </w:rPr>
        <w:t>ordre</w:t>
      </w:r>
      <w:proofErr w:type="spellEnd"/>
      <w:r>
        <w:rPr>
          <w:i/>
        </w:rPr>
        <w:t xml:space="preserve"> public</w:t>
      </w:r>
      <w:r>
        <w:t xml:space="preserve">), protection of public health or morals or protection of the rights and freedoms of others. When a </w:t>
      </w:r>
      <w:proofErr w:type="gramStart"/>
      <w:r>
        <w:t>State</w:t>
      </w:r>
      <w:proofErr w:type="gramEnd"/>
      <w:r>
        <w:t xml:space="preserve"> party imposes restrictions with the aim of reconciling an individual’s right to assembly and the aforementioned interests of general concern, it should be guided by the objective of facilitating the right, rather than seeking unnecessary or disproportionate limitations to it. </w:t>
      </w:r>
      <w:r w:rsidR="00125EE5" w:rsidRPr="00125EE5">
        <w:rPr>
          <w:lang w:val="en-US"/>
        </w:rPr>
        <w:t>Restrictions must not be discriminatory, impair the essence of the right, or be aimed at discouraging participation in assemblies or causing a chilling effect.</w:t>
      </w:r>
      <w:r w:rsidR="00125EE5" w:rsidRPr="00125EE5">
        <w:rPr>
          <w:vertAlign w:val="superscript"/>
          <w:lang w:val="en-US"/>
        </w:rPr>
        <w:footnoteReference w:id="13"/>
      </w:r>
      <w:r>
        <w:t>The State party is thus under an obligation to justify the limitation of the right protected by article 21 of the Covenant.</w:t>
      </w:r>
      <w:r>
        <w:rPr>
          <w:vertAlign w:val="superscript"/>
        </w:rPr>
        <w:footnoteReference w:id="14"/>
      </w:r>
      <w:r w:rsidR="0023784B" w:rsidRPr="0023784B">
        <w:rPr>
          <w:rFonts w:asciiTheme="minorHAnsi" w:eastAsiaTheme="minorHAnsi" w:hAnsiTheme="minorHAnsi" w:cstheme="minorBidi"/>
          <w:sz w:val="22"/>
          <w:szCs w:val="22"/>
        </w:rPr>
        <w:t xml:space="preserve"> </w:t>
      </w:r>
    </w:p>
    <w:p w14:paraId="1B47E084" w14:textId="51868A30" w:rsidR="004038EC" w:rsidRDefault="004223B6" w:rsidP="004223B6">
      <w:pPr>
        <w:pStyle w:val="SingleTxtG"/>
      </w:pPr>
      <w:r>
        <w:t>7.5</w:t>
      </w:r>
      <w:r>
        <w:tab/>
      </w:r>
      <w:r w:rsidR="004038EC">
        <w:t>A failure to notify the authorities of an upcoming assembly, where required, does not render the act of participation in the assembly unlawful, and must not in itself be used as a basis for dispersing the assembly or arresting the participants or organizers, or for imposing undue sanctions, such as charging the participants or organizers with criminal offences. Where administrative sanctions are imposed on organizers for failure to notify, this must be justified by the authorities. Lack of notification does not absolve the authorities from the obligation, within their abilities, to facilitate the assembly and to protect the participants.</w:t>
      </w:r>
      <w:r w:rsidR="004038EC">
        <w:rPr>
          <w:rStyle w:val="FootnoteReference"/>
        </w:rPr>
        <w:footnoteReference w:id="15"/>
      </w:r>
      <w:r w:rsidR="004038EC">
        <w:t xml:space="preserve"> Where authorization regimes persist in domestic law, they must in practice function as a system of notification, with authorization being granted as a matter of course, in the absence </w:t>
      </w:r>
      <w:r w:rsidR="004038EC">
        <w:lastRenderedPageBreak/>
        <w:t>of compelling reasons to do otherwise. Notification regimes, for their part, must not in practice function as authorization systems.</w:t>
      </w:r>
      <w:r w:rsidR="004038EC">
        <w:rPr>
          <w:rStyle w:val="FootnoteReference"/>
        </w:rPr>
        <w:footnoteReference w:id="16"/>
      </w:r>
    </w:p>
    <w:p w14:paraId="4E44D9A9" w14:textId="1A338545" w:rsidR="00236009" w:rsidRPr="0079049B" w:rsidRDefault="00236009" w:rsidP="0079049B">
      <w:pPr>
        <w:pStyle w:val="SingleTxtG"/>
        <w:rPr>
          <w:lang w:val="en-US"/>
        </w:rPr>
      </w:pPr>
      <w:r>
        <w:t>7.6</w:t>
      </w:r>
      <w:r>
        <w:tab/>
      </w:r>
      <w:r w:rsidRPr="0023784B">
        <w:t>In the present case, the Committee must consider whether the restrictions imposed on the authors’ right of peaceful assembly are justified under any of the criteria set out in the second sentence of article 21 of the Covenant. In the light of the information available on file, the authors were sentenced by t</w:t>
      </w:r>
      <w:r w:rsidRPr="0023784B">
        <w:rPr>
          <w:lang w:val="en-US"/>
        </w:rPr>
        <w:t>he domestic Courts to</w:t>
      </w:r>
      <w:r w:rsidR="004223B6" w:rsidRPr="0023784B">
        <w:t xml:space="preserve"> significant fines (communications Nos. 3056/2017, 3100/2018 and 3134/2018) or administrative detention (communication No. 3130/2018)</w:t>
      </w:r>
      <w:r w:rsidRPr="0023784B">
        <w:rPr>
          <w:lang w:val="en-US"/>
        </w:rPr>
        <w:t xml:space="preserve"> for participating in peaceful </w:t>
      </w:r>
      <w:r w:rsidR="0016448F" w:rsidRPr="0023784B">
        <w:rPr>
          <w:lang w:val="en-US"/>
        </w:rPr>
        <w:t>assemblies</w:t>
      </w:r>
      <w:r w:rsidRPr="0023784B">
        <w:rPr>
          <w:lang w:val="en-US"/>
        </w:rPr>
        <w:t xml:space="preserve"> in violation of the provisions of the Public Events Act. </w:t>
      </w:r>
      <w:r w:rsidRPr="0023784B">
        <w:t xml:space="preserve">The Committee notes, however, that the domestic courts did not provide any justification or explanation as to how, in practice, the authors’ participation in such peaceful </w:t>
      </w:r>
      <w:r w:rsidR="0079049B" w:rsidRPr="0023784B">
        <w:t>assemblies</w:t>
      </w:r>
      <w:r w:rsidRPr="0023784B">
        <w:t xml:space="preserve"> had violated the interests of national security or public safety, public order </w:t>
      </w:r>
      <w:r w:rsidRPr="0023784B">
        <w:rPr>
          <w:i/>
        </w:rPr>
        <w:t>(</w:t>
      </w:r>
      <w:proofErr w:type="spellStart"/>
      <w:r w:rsidRPr="0023784B">
        <w:rPr>
          <w:i/>
        </w:rPr>
        <w:t>ordre</w:t>
      </w:r>
      <w:proofErr w:type="spellEnd"/>
      <w:r w:rsidRPr="0023784B">
        <w:rPr>
          <w:i/>
        </w:rPr>
        <w:t xml:space="preserve"> public)</w:t>
      </w:r>
      <w:r w:rsidRPr="0023784B">
        <w:t xml:space="preserve">, the protection of public health or morals or the protection of the rights and freedoms of others, as set out in article 21 of the Covenant. </w:t>
      </w:r>
      <w:r w:rsidR="004223B6" w:rsidRPr="0023784B">
        <w:t xml:space="preserve">Neither has the State party provided any justification for restricting the authors’ rights under article 21 in its submissions </w:t>
      </w:r>
      <w:r w:rsidR="0079049B" w:rsidRPr="0023784B">
        <w:t>before</w:t>
      </w:r>
      <w:r w:rsidR="004223B6" w:rsidRPr="0023784B">
        <w:t xml:space="preserve"> the Committee</w:t>
      </w:r>
      <w:r w:rsidR="004B7B15">
        <w:rPr>
          <w:color w:val="FF0000"/>
        </w:rPr>
        <w:t xml:space="preserve">, </w:t>
      </w:r>
      <w:r w:rsidR="004B7B15" w:rsidRPr="00F36060">
        <w:t xml:space="preserve">particularly </w:t>
      </w:r>
      <w:proofErr w:type="gramStart"/>
      <w:r w:rsidR="004B7B15" w:rsidRPr="00F36060">
        <w:t>in light of</w:t>
      </w:r>
      <w:proofErr w:type="gramEnd"/>
      <w:r w:rsidR="004B7B15" w:rsidRPr="00F36060">
        <w:t xml:space="preserve"> the chilling effect of the imposed sanctions</w:t>
      </w:r>
      <w:r w:rsidRPr="00F36060">
        <w:t>.</w:t>
      </w:r>
      <w:r w:rsidR="0079049B" w:rsidRPr="00F36060">
        <w:t xml:space="preserve"> </w:t>
      </w:r>
      <w:r w:rsidRPr="0023784B">
        <w:t>In the absence of any further explanations from the State party regarding the matter, the Committee concludes that the State party has violated the authors’ rights under article 21 of the Covenant.</w:t>
      </w:r>
      <w:r w:rsidRPr="0023784B">
        <w:rPr>
          <w:vertAlign w:val="superscript"/>
        </w:rPr>
        <w:footnoteReference w:id="17"/>
      </w:r>
    </w:p>
    <w:p w14:paraId="425F0BF9" w14:textId="05B647A4" w:rsidR="00236009" w:rsidRDefault="00236009" w:rsidP="00236009">
      <w:pPr>
        <w:pStyle w:val="SingleTxtG"/>
        <w:rPr>
          <w:lang w:val="en-US"/>
        </w:rPr>
      </w:pPr>
      <w:r>
        <w:rPr>
          <w:lang w:val="en-US"/>
        </w:rPr>
        <w:t>7.</w:t>
      </w:r>
      <w:r w:rsidR="0079049B">
        <w:rPr>
          <w:lang w:val="en-US"/>
        </w:rPr>
        <w:t>7</w:t>
      </w:r>
      <w:r>
        <w:rPr>
          <w:lang w:val="en-US"/>
        </w:rPr>
        <w:tab/>
        <w:t xml:space="preserve">The Committee also takes </w:t>
      </w:r>
      <w:r w:rsidRPr="0079049B">
        <w:rPr>
          <w:lang w:val="en-US"/>
        </w:rPr>
        <w:t xml:space="preserve">note of the authors’ claims that their right to freedom of expression has been restricted in violation of article 19 of the </w:t>
      </w:r>
      <w:r w:rsidRPr="0079049B">
        <w:t>Covenant</w:t>
      </w:r>
      <w:r w:rsidRPr="0079049B">
        <w:rPr>
          <w:lang w:val="en-US"/>
        </w:rPr>
        <w:t xml:space="preserve">, since they were found guilty of an administrative offence and sentenced </w:t>
      </w:r>
      <w:r w:rsidR="004223B6" w:rsidRPr="0079049B">
        <w:rPr>
          <w:lang w:val="en-US"/>
        </w:rPr>
        <w:t xml:space="preserve">to pay significant administrative fines or </w:t>
      </w:r>
      <w:r w:rsidRPr="0079049B">
        <w:rPr>
          <w:lang w:val="en-US"/>
        </w:rPr>
        <w:t>to administrative detention for participating in peaceful rallies</w:t>
      </w:r>
      <w:r w:rsidR="00BA7545">
        <w:rPr>
          <w:lang w:val="en-US"/>
        </w:rPr>
        <w:t xml:space="preserve"> with an expressive purpose</w:t>
      </w:r>
      <w:r w:rsidRPr="0079049B">
        <w:rPr>
          <w:lang w:val="en-US"/>
        </w:rPr>
        <w:t>. The issue before the Committee is therefore to determine whether the restrictions imposed on the authors’ freedom of expression can be justified under any of the criteria set out in article 19 (3) of the Covenant.</w:t>
      </w:r>
    </w:p>
    <w:p w14:paraId="51338341" w14:textId="392DF5E4" w:rsidR="009D7514" w:rsidRDefault="00236009" w:rsidP="00D139E4">
      <w:pPr>
        <w:pStyle w:val="SingleTxtG"/>
      </w:pPr>
      <w:r>
        <w:t>7.</w:t>
      </w:r>
      <w:r w:rsidR="0079049B">
        <w:t>8</w:t>
      </w:r>
      <w:r>
        <w:tab/>
        <w:t xml:space="preserve">The Committee recalls its </w:t>
      </w:r>
      <w:r w:rsidR="0079049B">
        <w:t>G</w:t>
      </w:r>
      <w:r>
        <w:t xml:space="preserve">eneral comment No. 34 (2011) in which it stated, </w:t>
      </w:r>
      <w:r w:rsidRPr="0079049B">
        <w:rPr>
          <w:i/>
          <w:iCs/>
        </w:rPr>
        <w:t>inter alia</w:t>
      </w:r>
      <w:r>
        <w:t>, that freedom of expression is essential for any society and constitutes a foundation stone for every free and democratic society.</w:t>
      </w:r>
      <w:r w:rsidR="004223B6">
        <w:rPr>
          <w:rStyle w:val="FootnoteReference"/>
        </w:rPr>
        <w:footnoteReference w:id="18"/>
      </w:r>
      <w:r>
        <w:t xml:space="preserve"> It notes that article 19 (3) of the Covenant allows for certain restrictions on the freedom of expression, including the freedom to impart information and ideas, only to the extent that those restrictions are provided for by law and only if they are necessar</w:t>
      </w:r>
      <w:r w:rsidRPr="00A312D1">
        <w:t>y:</w:t>
      </w:r>
      <w:r>
        <w:t xml:space="preserve"> (a) for respect of the rights or reputation of others; or (b) for the protection of national security or public order (</w:t>
      </w:r>
      <w:proofErr w:type="spellStart"/>
      <w:r>
        <w:rPr>
          <w:i/>
          <w:iCs/>
        </w:rPr>
        <w:t>ordre</w:t>
      </w:r>
      <w:proofErr w:type="spellEnd"/>
      <w:r>
        <w:rPr>
          <w:i/>
          <w:iCs/>
        </w:rPr>
        <w:t xml:space="preserve"> public</w:t>
      </w:r>
      <w:r>
        <w:t>), or of public health or morals. Finally, any restriction on freedom of expression must not be overbroad in nature – that is, it must be the least intrusive among the measures that might achieve the relevant protective function and proportionate to the interest being protected.</w:t>
      </w:r>
      <w:r>
        <w:rPr>
          <w:vertAlign w:val="superscript"/>
        </w:rPr>
        <w:footnoteReference w:id="19"/>
      </w:r>
      <w:r>
        <w:t xml:space="preserve"> The Committee </w:t>
      </w:r>
      <w:r w:rsidR="00D139E4">
        <w:t>recalls that it is for the State party to demonstrate that the restrictions on the author’s rights under article 19 were necessary and proportionate</w:t>
      </w:r>
      <w:r>
        <w:t>.</w:t>
      </w:r>
      <w:r>
        <w:rPr>
          <w:vertAlign w:val="superscript"/>
        </w:rPr>
        <w:footnoteReference w:id="20"/>
      </w:r>
    </w:p>
    <w:p w14:paraId="6D995FC4" w14:textId="4C32794E" w:rsidR="00236009" w:rsidRDefault="00236009" w:rsidP="00236009">
      <w:pPr>
        <w:pStyle w:val="SingleTxtG"/>
      </w:pPr>
      <w:r>
        <w:t>7.</w:t>
      </w:r>
      <w:r w:rsidR="007F5B63">
        <w:t>9</w:t>
      </w:r>
      <w:r>
        <w:tab/>
        <w:t xml:space="preserve">The Committee observes that sentencing the authors to </w:t>
      </w:r>
      <w:r w:rsidR="00D139E4">
        <w:t xml:space="preserve">heavy administrative fines or </w:t>
      </w:r>
      <w:r>
        <w:t>administrative detention for participating in peaceful, albeit unauthorized, meeting</w:t>
      </w:r>
      <w:r w:rsidR="00D139E4">
        <w:t>s</w:t>
      </w:r>
      <w:r>
        <w:t xml:space="preserve"> with an expressive purpose raises serious doubts as to the necessity and proportionality of the restrictions on the authors’ rights under article 19 of the Covenant. The Committee observes in this regard that the State party has failed to invoke and justify any specific grounds to support the necessity of such restrictions as required under article 19 (3) of the Covenant.</w:t>
      </w:r>
      <w:r>
        <w:rPr>
          <w:vertAlign w:val="superscript"/>
        </w:rPr>
        <w:footnoteReference w:id="21"/>
      </w:r>
      <w:r>
        <w:t xml:space="preserve"> The State party has also failed to demonstrate that the measures selected were the least </w:t>
      </w:r>
      <w:r>
        <w:lastRenderedPageBreak/>
        <w:t>intrusive in nature or proportionate to the interest that it sought to protect</w:t>
      </w:r>
      <w:r w:rsidR="00854751">
        <w:t xml:space="preserve">, </w:t>
      </w:r>
      <w:r w:rsidR="00854751" w:rsidRPr="00854751">
        <w:rPr>
          <w:lang w:val="en-US"/>
        </w:rPr>
        <w:t>particularly in light of the chilling effect of such measures</w:t>
      </w:r>
      <w:r w:rsidR="00854751">
        <w:t>.</w:t>
      </w:r>
      <w:r w:rsidR="00C35621">
        <w:t xml:space="preserve"> </w:t>
      </w:r>
      <w:r>
        <w:t>The Committee considers that, in the circumstances of the cases before it, the restrictions imposed on the authors and the imposed sanctions, although based on domestic law, were not justified pursuant to the conditions set out in article 19 (3) of the Covenant. It therefore concludes that the authors’ rights under article 19 of the Covenant have been violated.</w:t>
      </w:r>
      <w:r>
        <w:rPr>
          <w:vertAlign w:val="superscript"/>
        </w:rPr>
        <w:footnoteReference w:id="22"/>
      </w:r>
      <w:r>
        <w:t xml:space="preserve"> </w:t>
      </w:r>
    </w:p>
    <w:p w14:paraId="2FFBE122" w14:textId="392324E2" w:rsidR="00236009" w:rsidRDefault="00236009" w:rsidP="00236009">
      <w:pPr>
        <w:pStyle w:val="SingleTxtG"/>
      </w:pPr>
      <w:r>
        <w:t>8.</w:t>
      </w:r>
      <w:r>
        <w:tab/>
        <w:t xml:space="preserve">The Committee, acting under article 5 (4) of the Optional Protocol, is of the view that the facts before it </w:t>
      </w:r>
      <w:proofErr w:type="gramStart"/>
      <w:r w:rsidR="00447918">
        <w:t>disclose</w:t>
      </w:r>
      <w:proofErr w:type="gramEnd"/>
      <w:r>
        <w:t xml:space="preserve"> a violation by the State party of articles 19 and 21 of the Covenant. </w:t>
      </w:r>
    </w:p>
    <w:p w14:paraId="6CF8A3CD" w14:textId="7A4143C5" w:rsidR="00236009" w:rsidRDefault="00236009" w:rsidP="00236009">
      <w:pPr>
        <w:pStyle w:val="SingleTxtG"/>
      </w:pPr>
      <w:r>
        <w:t>9.</w:t>
      </w:r>
      <w:r>
        <w:tab/>
        <w:t xml:space="preserve">Pursuant to article 2 (3) (a) of the Covenant, the State party is under an obligation to provide </w:t>
      </w:r>
      <w:r w:rsidRPr="00C35621">
        <w:t>the</w:t>
      </w:r>
      <w:r>
        <w:t xml:space="preserve"> authors with an effective remedy. This requires it to make full reparation to individuals whose Covenant rights have been violated. </w:t>
      </w:r>
      <w:r>
        <w:rPr>
          <w:lang w:val="en-US"/>
        </w:rPr>
        <w:t>Accordingly, the State party is obligated</w:t>
      </w:r>
      <w:proofErr w:type="gramStart"/>
      <w:r w:rsidRPr="006A58FE">
        <w:rPr>
          <w:lang w:val="en-US"/>
        </w:rPr>
        <w:t xml:space="preserve">, </w:t>
      </w:r>
      <w:r w:rsidRPr="00C35621">
        <w:rPr>
          <w:lang w:val="en-US"/>
        </w:rPr>
        <w:t>,</w:t>
      </w:r>
      <w:proofErr w:type="gramEnd"/>
      <w:r w:rsidRPr="006A58FE">
        <w:rPr>
          <w:lang w:val="en-US"/>
        </w:rPr>
        <w:t xml:space="preserve"> </w:t>
      </w:r>
      <w:r w:rsidRPr="005D4087">
        <w:rPr>
          <w:lang w:val="en-US"/>
        </w:rPr>
        <w:t xml:space="preserve">to </w:t>
      </w:r>
      <w:r>
        <w:rPr>
          <w:lang w:val="en-US"/>
        </w:rPr>
        <w:t xml:space="preserve">provide the authors with adequate compensation, including reimbursement of the fines and any legal costs incurred by them. </w:t>
      </w:r>
      <w:r>
        <w:t xml:space="preserve">The State party is also under an obligation to take all steps necessary to prevent similar violations from occurring in the future. In that connection, </w:t>
      </w:r>
      <w:r w:rsidRPr="004B02F1">
        <w:t xml:space="preserve">the Committee notes that </w:t>
      </w:r>
      <w:r w:rsidRPr="004B02F1">
        <w:rPr>
          <w:lang w:val="en-US"/>
        </w:rPr>
        <w:t>it has dealt with similar cases in respect of the same laws and practices of the State party in a number of earlier communications</w:t>
      </w:r>
      <w:r>
        <w:rPr>
          <w:lang w:val="en-US"/>
        </w:rPr>
        <w:t>,</w:t>
      </w:r>
      <w:r w:rsidR="004B02F1">
        <w:rPr>
          <w:rStyle w:val="FootnoteReference"/>
          <w:lang w:val="en-US"/>
        </w:rPr>
        <w:footnoteReference w:id="23"/>
      </w:r>
      <w:r w:rsidR="004B02F1">
        <w:rPr>
          <w:lang w:val="en-US"/>
        </w:rPr>
        <w:t xml:space="preserve"> </w:t>
      </w:r>
      <w:r>
        <w:rPr>
          <w:lang w:val="en-US"/>
        </w:rPr>
        <w:t xml:space="preserve">and thus requires </w:t>
      </w:r>
      <w:r>
        <w:t>the State party to revise its normative framework on public events, consistent with its obligation under article 2 (2), with a view to ensuring that the rights under articles 19 and 21 of the Covenant may be fully enjoyed in the State party.</w:t>
      </w:r>
    </w:p>
    <w:p w14:paraId="19B0D022" w14:textId="2A25C96A" w:rsidR="00236009" w:rsidRDefault="00236009" w:rsidP="00236009">
      <w:pPr>
        <w:pStyle w:val="SingleTxtG"/>
      </w:pPr>
      <w:r>
        <w:t>10.</w:t>
      </w:r>
      <w:r>
        <w:tab/>
      </w:r>
      <w:r w:rsidR="0016448F" w:rsidRPr="00E86AA2">
        <w:t xml:space="preserve">On becoming a party to the Optional Protocol, the State party has recognized the competence of the Committee to determine whether there has been a violation of the Covenant. </w:t>
      </w:r>
      <w:r w:rsidR="0016448F" w:rsidRPr="00F4652A">
        <w:t xml:space="preserve">The present communication was submitted for consideration before the State party’s denunciation of the Optional Protocol became effective on 8 February 2023. </w:t>
      </w:r>
      <w:r w:rsidR="0016448F" w:rsidRPr="00E86AA2">
        <w:t>Since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w:t>
      </w:r>
      <w:r w:rsidR="0016448F" w:rsidRPr="004A20A2">
        <w:rPr>
          <w:spacing w:val="-4"/>
        </w:rPr>
        <w:t xml:space="preserve">, </w:t>
      </w:r>
      <w:r>
        <w:t>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2F2D681E" w14:textId="77777777" w:rsidR="00236009" w:rsidRDefault="00236009" w:rsidP="00236009">
      <w:pPr>
        <w:pStyle w:val="SingleTxtG"/>
        <w:spacing w:before="240" w:after="0"/>
        <w:jc w:val="center"/>
        <w:rPr>
          <w:lang w:eastAsia="en-GB"/>
        </w:rPr>
      </w:pPr>
      <w:r>
        <w:rPr>
          <w:u w:val="single"/>
        </w:rPr>
        <w:tab/>
      </w:r>
      <w:r>
        <w:rPr>
          <w:u w:val="single"/>
        </w:rPr>
        <w:tab/>
      </w:r>
      <w:r>
        <w:rPr>
          <w:u w:val="single"/>
        </w:rPr>
        <w:tab/>
      </w:r>
    </w:p>
    <w:sectPr w:rsidR="00236009" w:rsidSect="00CD7522">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0"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4525D" w14:textId="77777777" w:rsidR="007A3D00" w:rsidRDefault="007A3D00"/>
  </w:endnote>
  <w:endnote w:type="continuationSeparator" w:id="0">
    <w:p w14:paraId="7D369AB0" w14:textId="77777777" w:rsidR="007A3D00" w:rsidRDefault="007A3D00"/>
  </w:endnote>
  <w:endnote w:type="continuationNotice" w:id="1">
    <w:p w14:paraId="540639DC" w14:textId="77777777" w:rsidR="007A3D00" w:rsidRDefault="007A3D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9B35" w14:textId="7D9F068E" w:rsidR="00115DFF" w:rsidRPr="00781C83" w:rsidRDefault="00115DFF" w:rsidP="00664722">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4A0B35">
      <w:rPr>
        <w:b/>
        <w:noProof/>
        <w:sz w:val="18"/>
      </w:rPr>
      <w:t>2</w:t>
    </w:r>
    <w:r w:rsidRPr="00781C8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CA14E" w14:textId="0026DE90" w:rsidR="00115DFF" w:rsidRPr="0056587E" w:rsidRDefault="00115DFF" w:rsidP="00781C83">
    <w:pPr>
      <w:pStyle w:val="Footer"/>
      <w:tabs>
        <w:tab w:val="right" w:pos="9638"/>
      </w:tabs>
      <w:rPr>
        <w:b/>
        <w:bCs/>
        <w:sz w:val="18"/>
      </w:rPr>
    </w:pPr>
    <w:r>
      <w:rPr>
        <w:b/>
        <w:sz w:val="18"/>
      </w:rPr>
      <w:tab/>
    </w:r>
    <w:r w:rsidRPr="0056587E">
      <w:rPr>
        <w:b/>
        <w:bCs/>
        <w:sz w:val="18"/>
      </w:rPr>
      <w:fldChar w:fldCharType="begin"/>
    </w:r>
    <w:r w:rsidRPr="0056587E">
      <w:rPr>
        <w:b/>
        <w:bCs/>
        <w:sz w:val="18"/>
      </w:rPr>
      <w:instrText xml:space="preserve"> PAGE  \* MERGEFORMAT </w:instrText>
    </w:r>
    <w:r w:rsidRPr="0056587E">
      <w:rPr>
        <w:b/>
        <w:bCs/>
        <w:sz w:val="18"/>
      </w:rPr>
      <w:fldChar w:fldCharType="separate"/>
    </w:r>
    <w:r w:rsidR="004A0B35" w:rsidRPr="0056587E">
      <w:rPr>
        <w:b/>
        <w:bCs/>
        <w:noProof/>
        <w:sz w:val="18"/>
      </w:rPr>
      <w:t>11</w:t>
    </w:r>
    <w:r w:rsidRPr="005658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5B69" w14:textId="69D5D2A4" w:rsidR="004300C9" w:rsidRDefault="004300C9" w:rsidP="004300C9">
    <w:pPr>
      <w:pStyle w:val="Footer"/>
    </w:pPr>
    <w:r w:rsidRPr="0027112F">
      <w:rPr>
        <w:noProof/>
        <w:lang w:val="en-US"/>
      </w:rPr>
      <w:drawing>
        <wp:anchor distT="0" distB="0" distL="114300" distR="114300" simplePos="0" relativeHeight="251659264" behindDoc="0" locked="1" layoutInCell="1" allowOverlap="1" wp14:anchorId="08603B41" wp14:editId="6ECDD7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FEBC5D" w14:textId="5F26A21C" w:rsidR="004300C9" w:rsidRPr="004300C9" w:rsidRDefault="004300C9" w:rsidP="004300C9">
    <w:pPr>
      <w:pStyle w:val="Footer"/>
      <w:ind w:right="1134"/>
      <w:rPr>
        <w:sz w:val="20"/>
      </w:rPr>
    </w:pPr>
    <w:r>
      <w:rPr>
        <w:noProof/>
        <w:sz w:val="20"/>
      </w:rPr>
      <w:drawing>
        <wp:anchor distT="0" distB="0" distL="114300" distR="114300" simplePos="0" relativeHeight="251660288" behindDoc="0" locked="0" layoutInCell="1" allowOverlap="1" wp14:anchorId="3DAA6BE4" wp14:editId="11D2438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BA552" w14:textId="77777777" w:rsidR="007A3D00" w:rsidRPr="000B175B" w:rsidRDefault="007A3D00" w:rsidP="000B175B">
      <w:pPr>
        <w:tabs>
          <w:tab w:val="right" w:pos="2155"/>
        </w:tabs>
        <w:spacing w:after="80"/>
        <w:ind w:left="680"/>
        <w:rPr>
          <w:u w:val="single"/>
        </w:rPr>
      </w:pPr>
      <w:r>
        <w:rPr>
          <w:u w:val="single"/>
        </w:rPr>
        <w:tab/>
      </w:r>
    </w:p>
  </w:footnote>
  <w:footnote w:type="continuationSeparator" w:id="0">
    <w:p w14:paraId="424181DB" w14:textId="77777777" w:rsidR="007A3D00" w:rsidRPr="00FC68B7" w:rsidRDefault="007A3D00" w:rsidP="00FC68B7">
      <w:pPr>
        <w:tabs>
          <w:tab w:val="left" w:pos="2155"/>
        </w:tabs>
        <w:spacing w:after="80"/>
        <w:ind w:left="680"/>
        <w:rPr>
          <w:u w:val="single"/>
        </w:rPr>
      </w:pPr>
      <w:r>
        <w:rPr>
          <w:u w:val="single"/>
        </w:rPr>
        <w:tab/>
      </w:r>
    </w:p>
  </w:footnote>
  <w:footnote w:type="continuationNotice" w:id="1">
    <w:p w14:paraId="63759A94" w14:textId="77777777" w:rsidR="007A3D00" w:rsidRDefault="007A3D00"/>
  </w:footnote>
  <w:footnote w:id="2">
    <w:p w14:paraId="501FF456" w14:textId="3C9B741A" w:rsidR="00BF71FC" w:rsidRPr="00F36060" w:rsidRDefault="00BF71FC" w:rsidP="00BF71FC">
      <w:pPr>
        <w:pStyle w:val="FootnoteText"/>
        <w:rPr>
          <w:lang w:val="en-GB"/>
        </w:rPr>
      </w:pPr>
      <w:r>
        <w:rPr>
          <w:rStyle w:val="FootnoteReference"/>
        </w:rPr>
        <w:tab/>
      </w:r>
      <w:r w:rsidRPr="00F36060">
        <w:rPr>
          <w:rStyle w:val="FootnoteReference"/>
          <w:sz w:val="20"/>
          <w:vertAlign w:val="baseline"/>
        </w:rPr>
        <w:t>*</w:t>
      </w:r>
      <w:r>
        <w:rPr>
          <w:rStyle w:val="FootnoteReference"/>
          <w:sz w:val="20"/>
          <w:vertAlign w:val="baseline"/>
        </w:rPr>
        <w:tab/>
      </w:r>
      <w:r w:rsidRPr="00F07373">
        <w:t>Adopted by the Committee at its 139th session (9 October-3 November 2023).</w:t>
      </w:r>
    </w:p>
  </w:footnote>
  <w:footnote w:id="3">
    <w:p w14:paraId="63C7F045" w14:textId="3CD4A200" w:rsidR="00BF71FC" w:rsidRPr="00F36060" w:rsidRDefault="00BF71FC" w:rsidP="00BF71FC">
      <w:pPr>
        <w:pStyle w:val="FootnoteText"/>
        <w:rPr>
          <w:lang w:val="en-GB"/>
        </w:rPr>
      </w:pPr>
      <w:r>
        <w:rPr>
          <w:rStyle w:val="FootnoteReference"/>
        </w:rPr>
        <w:tab/>
      </w:r>
      <w:r w:rsidRPr="00F36060">
        <w:rPr>
          <w:rStyle w:val="FootnoteReference"/>
          <w:sz w:val="20"/>
          <w:vertAlign w:val="baseline"/>
        </w:rPr>
        <w:t>**</w:t>
      </w:r>
      <w:r>
        <w:rPr>
          <w:rStyle w:val="FootnoteReference"/>
          <w:sz w:val="20"/>
          <w:vertAlign w:val="baseline"/>
        </w:rPr>
        <w:tab/>
      </w:r>
      <w:r w:rsidRPr="00BF71FC">
        <w:t xml:space="preserve">The following members of the Committee participated in the examination of the communication: Tania María </w:t>
      </w:r>
      <w:r w:rsidRPr="00F36060">
        <w:t>Abdo</w:t>
      </w:r>
      <w:r w:rsidRPr="00BF71FC">
        <w:t xml:space="preserve"> Rocholl, Farid Ahmadov, Wafaa Ashraf Moharram Bassim, Rodrigo A. Carazo, Yvonne Donders, Mahjoub El Haiba, Laurence R. Helfer, Teraya Koji, Carlos Gómez Martínez, Bacre Waly Ndiaye, Marcia V.J. Kran, </w:t>
      </w:r>
      <w:proofErr w:type="spellStart"/>
      <w:r w:rsidRPr="00BF71FC">
        <w:t>Hernán</w:t>
      </w:r>
      <w:proofErr w:type="spellEnd"/>
      <w:r w:rsidRPr="00BF71FC">
        <w:t xml:space="preserve"> Quezada Cabrera, José Manuel Santos Pais, Soh Changrok, Tijana </w:t>
      </w:r>
      <w:proofErr w:type="spellStart"/>
      <w:r w:rsidRPr="00BF71FC">
        <w:t>Šurlan</w:t>
      </w:r>
      <w:proofErr w:type="spellEnd"/>
      <w:r w:rsidRPr="00BF71FC">
        <w:t>, Kobauyah Tchamdja Kpatcha, Hélène Tigroudja and Imeru Tamerat Yigezu.</w:t>
      </w:r>
    </w:p>
  </w:footnote>
  <w:footnote w:id="4">
    <w:p w14:paraId="318A6889" w14:textId="77777777" w:rsidR="0016448F" w:rsidRPr="00F36060" w:rsidRDefault="0016448F" w:rsidP="0016448F">
      <w:pPr>
        <w:pStyle w:val="FootnoteText"/>
        <w:jc w:val="both"/>
        <w:rPr>
          <w:lang w:val="fr-CH"/>
        </w:rPr>
      </w:pPr>
      <w:r>
        <w:tab/>
      </w:r>
      <w:r>
        <w:rPr>
          <w:rStyle w:val="FootnoteReference"/>
        </w:rPr>
        <w:footnoteRef/>
      </w:r>
      <w:r>
        <w:tab/>
        <w:t xml:space="preserve">See </w:t>
      </w:r>
      <w:proofErr w:type="gramStart"/>
      <w:r>
        <w:t>e.g.</w:t>
      </w:r>
      <w:proofErr w:type="gramEnd"/>
      <w:r>
        <w:t xml:space="preserve"> </w:t>
      </w:r>
      <w:proofErr w:type="spellStart"/>
      <w:r>
        <w:rPr>
          <w:i/>
        </w:rPr>
        <w:t>Sextus</w:t>
      </w:r>
      <w:proofErr w:type="spellEnd"/>
      <w:r>
        <w:rPr>
          <w:i/>
        </w:rPr>
        <w:t xml:space="preserve"> v. Trinidad and Tobago </w:t>
      </w:r>
      <w:r>
        <w:t xml:space="preserve">(CCPR/C/72/D/818/1998), para. </w:t>
      </w:r>
      <w:proofErr w:type="gramStart"/>
      <w:r w:rsidRPr="00F36060">
        <w:rPr>
          <w:lang w:val="fr-CH"/>
        </w:rPr>
        <w:t>10;</w:t>
      </w:r>
      <w:proofErr w:type="gramEnd"/>
      <w:r w:rsidRPr="00F36060">
        <w:rPr>
          <w:lang w:val="fr-CH"/>
        </w:rPr>
        <w:t xml:space="preserve"> </w:t>
      </w:r>
      <w:proofErr w:type="spellStart"/>
      <w:r w:rsidRPr="00F36060">
        <w:rPr>
          <w:i/>
          <w:lang w:val="fr-CH"/>
        </w:rPr>
        <w:t>Lobban</w:t>
      </w:r>
      <w:proofErr w:type="spellEnd"/>
      <w:r w:rsidRPr="00F36060">
        <w:rPr>
          <w:i/>
          <w:lang w:val="fr-CH"/>
        </w:rPr>
        <w:t xml:space="preserve"> v. </w:t>
      </w:r>
      <w:proofErr w:type="spellStart"/>
      <w:r w:rsidRPr="00F36060">
        <w:rPr>
          <w:i/>
          <w:lang w:val="fr-CH"/>
        </w:rPr>
        <w:t>Jamaica</w:t>
      </w:r>
      <w:proofErr w:type="spellEnd"/>
      <w:r w:rsidRPr="00F36060">
        <w:rPr>
          <w:i/>
          <w:lang w:val="fr-CH"/>
        </w:rPr>
        <w:t xml:space="preserve"> </w:t>
      </w:r>
      <w:r w:rsidRPr="00F36060">
        <w:rPr>
          <w:lang w:val="fr-CH"/>
        </w:rPr>
        <w:t xml:space="preserve">(CCPR/C/80/D/797/1998), para. </w:t>
      </w:r>
      <w:proofErr w:type="gramStart"/>
      <w:r w:rsidRPr="00F36060">
        <w:rPr>
          <w:lang w:val="fr-CH"/>
        </w:rPr>
        <w:t>11;</w:t>
      </w:r>
      <w:proofErr w:type="gramEnd"/>
      <w:r w:rsidRPr="00F36060">
        <w:rPr>
          <w:lang w:val="fr-CH"/>
        </w:rPr>
        <w:t xml:space="preserve"> </w:t>
      </w:r>
      <w:proofErr w:type="spellStart"/>
      <w:r w:rsidRPr="00F36060">
        <w:rPr>
          <w:i/>
          <w:iCs/>
          <w:lang w:val="fr-CH"/>
        </w:rPr>
        <w:t>Shchiryakova</w:t>
      </w:r>
      <w:proofErr w:type="spellEnd"/>
      <w:r w:rsidRPr="00F36060">
        <w:rPr>
          <w:i/>
          <w:iCs/>
          <w:lang w:val="fr-CH"/>
        </w:rPr>
        <w:t xml:space="preserve"> et al. v. Belarus</w:t>
      </w:r>
      <w:r w:rsidRPr="00F36060">
        <w:rPr>
          <w:lang w:val="fr-CH"/>
        </w:rPr>
        <w:t xml:space="preserve"> (CCPR /C/137/DR/2911/2016).</w:t>
      </w:r>
    </w:p>
  </w:footnote>
  <w:footnote w:id="5">
    <w:p w14:paraId="1AA4FFE1" w14:textId="57B81951" w:rsidR="00E1304F" w:rsidRDefault="006E4A22">
      <w:pPr>
        <w:pStyle w:val="FootnoteText"/>
      </w:pPr>
      <w:r w:rsidRPr="00F36060">
        <w:rPr>
          <w:lang w:val="fr-FR"/>
        </w:rPr>
        <w:tab/>
      </w:r>
      <w:r w:rsidR="00E1304F">
        <w:rPr>
          <w:rStyle w:val="FootnoteReference"/>
        </w:rPr>
        <w:footnoteRef/>
      </w:r>
      <w:r w:rsidR="00E1304F">
        <w:t xml:space="preserve"> </w:t>
      </w:r>
      <w:r w:rsidR="00DD0474">
        <w:tab/>
      </w:r>
      <w:r w:rsidR="00E1304F">
        <w:t xml:space="preserve">Reference made to </w:t>
      </w:r>
      <w:r w:rsidR="00733D2D">
        <w:t xml:space="preserve">ECHR, </w:t>
      </w:r>
      <w:proofErr w:type="spellStart"/>
      <w:r w:rsidR="00733D2D" w:rsidRPr="006E4A22">
        <w:rPr>
          <w:i/>
          <w:iCs/>
        </w:rPr>
        <w:t>Tumilovich</w:t>
      </w:r>
      <w:proofErr w:type="spellEnd"/>
      <w:r w:rsidR="00733D2D" w:rsidRPr="006E4A22">
        <w:rPr>
          <w:i/>
          <w:iCs/>
        </w:rPr>
        <w:t xml:space="preserve"> v. Russia</w:t>
      </w:r>
      <w:r w:rsidR="00733D2D">
        <w:t>, application No.47033/99, inadmissibility decision of 22 June 1999.</w:t>
      </w:r>
    </w:p>
  </w:footnote>
  <w:footnote w:id="6">
    <w:p w14:paraId="6CAD26AC" w14:textId="00FFAD00" w:rsidR="004570B8" w:rsidRPr="000D1CFE" w:rsidRDefault="004570B8">
      <w:pPr>
        <w:pStyle w:val="FootnoteText"/>
      </w:pPr>
      <w:r>
        <w:tab/>
      </w:r>
      <w:r w:rsidRPr="000D1CFE">
        <w:rPr>
          <w:rStyle w:val="FootnoteReference"/>
        </w:rPr>
        <w:footnoteRef/>
      </w:r>
      <w:r w:rsidRPr="000D1CFE">
        <w:t xml:space="preserve"> </w:t>
      </w:r>
      <w:r w:rsidR="00DD0474">
        <w:tab/>
      </w:r>
      <w:r w:rsidRPr="000D1CFE">
        <w:t>General Comment No 37 (2020), CCPR/C/GC/37, para. 71.</w:t>
      </w:r>
    </w:p>
  </w:footnote>
  <w:footnote w:id="7">
    <w:p w14:paraId="1C4A9ECD" w14:textId="6F3EDC12" w:rsidR="00326A95" w:rsidRDefault="00326A95" w:rsidP="00DD0474">
      <w:pPr>
        <w:pStyle w:val="FootnoteText"/>
      </w:pPr>
      <w:r w:rsidRPr="000D1CFE">
        <w:tab/>
      </w:r>
      <w:r w:rsidRPr="000D1CFE">
        <w:rPr>
          <w:rStyle w:val="FootnoteReference"/>
        </w:rPr>
        <w:footnoteRef/>
      </w:r>
      <w:r w:rsidRPr="000D1CFE">
        <w:t xml:space="preserve"> </w:t>
      </w:r>
      <w:r w:rsidR="00DD0474">
        <w:tab/>
      </w:r>
      <w:r w:rsidRPr="000D1CFE">
        <w:t xml:space="preserve">Reference </w:t>
      </w:r>
      <w:r w:rsidR="000D1CFE" w:rsidRPr="000D1CFE">
        <w:t xml:space="preserve">is </w:t>
      </w:r>
      <w:r w:rsidRPr="000D1CFE">
        <w:t>made</w:t>
      </w:r>
      <w:r w:rsidR="000D1CFE" w:rsidRPr="000D1CFE">
        <w:t xml:space="preserve">, </w:t>
      </w:r>
      <w:r w:rsidR="000D1CFE" w:rsidRPr="000D1CFE">
        <w:rPr>
          <w:i/>
          <w:iCs/>
        </w:rPr>
        <w:t xml:space="preserve">inter </w:t>
      </w:r>
      <w:r w:rsidR="000D1CFE" w:rsidRPr="00DD0474">
        <w:t>alia</w:t>
      </w:r>
      <w:r w:rsidR="000D1CFE" w:rsidRPr="000D1CFE">
        <w:t xml:space="preserve">, </w:t>
      </w:r>
      <w:r w:rsidRPr="000D1CFE">
        <w:t xml:space="preserve">to </w:t>
      </w:r>
      <w:r w:rsidR="000D1CFE" w:rsidRPr="000D1CFE">
        <w:rPr>
          <w:i/>
          <w:iCs/>
        </w:rPr>
        <w:t>Kuznetsov et al. v. Belarus</w:t>
      </w:r>
      <w:r w:rsidR="000D1CFE" w:rsidRPr="000D1CFE">
        <w:t xml:space="preserve">, CCPR/C/111/D/1976/2010; </w:t>
      </w:r>
      <w:proofErr w:type="spellStart"/>
      <w:r w:rsidR="000D1CFE" w:rsidRPr="000D1CFE">
        <w:rPr>
          <w:i/>
          <w:iCs/>
        </w:rPr>
        <w:t>Evrezov</w:t>
      </w:r>
      <w:proofErr w:type="spellEnd"/>
      <w:r w:rsidR="000D1CFE" w:rsidRPr="000D1CFE">
        <w:rPr>
          <w:i/>
          <w:iCs/>
        </w:rPr>
        <w:t xml:space="preserve"> v. Belarus</w:t>
      </w:r>
      <w:r w:rsidR="000D1CFE" w:rsidRPr="000D1CFE">
        <w:t>, CCPR/C/114/D/1988/2010.</w:t>
      </w:r>
    </w:p>
  </w:footnote>
  <w:footnote w:id="8">
    <w:p w14:paraId="3D06C255" w14:textId="67F22F2C" w:rsidR="00EA3812" w:rsidRPr="0066060E" w:rsidRDefault="00EA3812" w:rsidP="00DD0474">
      <w:pPr>
        <w:pStyle w:val="FootnoteText"/>
        <w:rPr>
          <w:lang w:val="pt-PT"/>
        </w:rPr>
      </w:pPr>
      <w:r>
        <w:tab/>
      </w:r>
      <w:r>
        <w:rPr>
          <w:rStyle w:val="FootnoteReference"/>
        </w:rPr>
        <w:footnoteRef/>
      </w:r>
      <w:r w:rsidRPr="0066060E">
        <w:rPr>
          <w:lang w:val="pt-PT"/>
        </w:rPr>
        <w:tab/>
        <w:t xml:space="preserve"> </w:t>
      </w:r>
      <w:r w:rsidRPr="0066060E">
        <w:rPr>
          <w:i/>
          <w:iCs/>
          <w:lang w:val="pt-PT"/>
        </w:rPr>
        <w:t>Gryk v. Belarus</w:t>
      </w:r>
      <w:r w:rsidRPr="0066060E">
        <w:rPr>
          <w:lang w:val="pt-PT"/>
        </w:rPr>
        <w:t xml:space="preserve"> (CCPR/C/136/D/2961/2017), para. 6.3; </w:t>
      </w:r>
      <w:r w:rsidRPr="0066060E">
        <w:rPr>
          <w:i/>
          <w:iCs/>
          <w:lang w:val="pt-PT"/>
        </w:rPr>
        <w:t>Tolchin v. Belarus</w:t>
      </w:r>
      <w:r w:rsidRPr="0066060E">
        <w:rPr>
          <w:lang w:val="pt-PT"/>
        </w:rPr>
        <w:t xml:space="preserve"> (CCPR/C/135/D/3241/2018), para. 6.3; and </w:t>
      </w:r>
      <w:r w:rsidRPr="0066060E">
        <w:rPr>
          <w:i/>
          <w:iCs/>
          <w:lang w:val="pt-PT"/>
        </w:rPr>
        <w:t>Shchukina v. Belarus</w:t>
      </w:r>
      <w:r w:rsidRPr="0066060E">
        <w:rPr>
          <w:lang w:val="pt-PT"/>
        </w:rPr>
        <w:t xml:space="preserve"> (CCPR/C/134/D/3242/2018), para. 6.3; </w:t>
      </w:r>
      <w:r w:rsidRPr="0066060E">
        <w:rPr>
          <w:i/>
          <w:iCs/>
          <w:lang w:val="pt-PT"/>
        </w:rPr>
        <w:t>Vasilevich and others v. Belarus</w:t>
      </w:r>
      <w:r w:rsidRPr="0066060E">
        <w:rPr>
          <w:lang w:val="pt-PT"/>
        </w:rPr>
        <w:t xml:space="preserve"> (CCPR/C/137/D/2693/2015, CCPR/C/137/D/2898/2016 CCPR/C/137/D/3002/2017, CCPR/C/137/D/3084/2017, para. 6.3.</w:t>
      </w:r>
    </w:p>
  </w:footnote>
  <w:footnote w:id="9">
    <w:p w14:paraId="05E572E0" w14:textId="5E52EC1F" w:rsidR="00C6671F" w:rsidRPr="005D4560" w:rsidRDefault="00C6671F" w:rsidP="00DD0474">
      <w:pPr>
        <w:pStyle w:val="FootnoteText"/>
        <w:rPr>
          <w:lang w:val="es-AR"/>
        </w:rPr>
      </w:pPr>
      <w:r w:rsidRPr="0066060E">
        <w:rPr>
          <w:lang w:val="pt-PT"/>
        </w:rPr>
        <w:tab/>
      </w:r>
      <w:r>
        <w:rPr>
          <w:rStyle w:val="FootnoteReference"/>
        </w:rPr>
        <w:footnoteRef/>
      </w:r>
      <w:r w:rsidRPr="0066060E">
        <w:rPr>
          <w:lang w:val="pt-PT"/>
        </w:rPr>
        <w:tab/>
      </w:r>
      <w:r w:rsidRPr="0066060E">
        <w:rPr>
          <w:i/>
          <w:iCs/>
          <w:lang w:val="pt-PT"/>
        </w:rPr>
        <w:t>Poliakov v. Belarus</w:t>
      </w:r>
      <w:r w:rsidRPr="0066060E">
        <w:rPr>
          <w:lang w:val="pt-PT"/>
        </w:rPr>
        <w:t xml:space="preserve"> (CCPR/C/111/D/2030/2011), annex, para. 7.4.; and </w:t>
      </w:r>
      <w:r w:rsidRPr="0066060E">
        <w:rPr>
          <w:i/>
          <w:iCs/>
          <w:lang w:val="pt-PT"/>
        </w:rPr>
        <w:t>Zhukovsky v. Belarus</w:t>
      </w:r>
      <w:r w:rsidRPr="0066060E">
        <w:rPr>
          <w:lang w:val="pt-PT"/>
        </w:rPr>
        <w:t xml:space="preserve"> (CCPR/C/127/D/2724/2016), para. </w:t>
      </w:r>
      <w:r w:rsidRPr="005A616F">
        <w:rPr>
          <w:lang w:val="pt-PT"/>
        </w:rPr>
        <w:t xml:space="preserve">6.4; </w:t>
      </w:r>
      <w:r w:rsidRPr="005A616F">
        <w:rPr>
          <w:i/>
          <w:iCs/>
          <w:lang w:val="pt-PT"/>
        </w:rPr>
        <w:t>Vasilevich and others v. Belarus</w:t>
      </w:r>
      <w:r w:rsidRPr="005A616F">
        <w:rPr>
          <w:lang w:val="pt-PT"/>
        </w:rPr>
        <w:t xml:space="preserve"> (CCPR/C/137/D/2693/2015, CCPR/C/137/D/2898/2016 CCPR/C/137/D/3002/2017, CCPR/C/137/D/3084/2017, para. </w:t>
      </w:r>
      <w:r w:rsidRPr="005D4560">
        <w:rPr>
          <w:lang w:val="es-AR"/>
        </w:rPr>
        <w:t>6.4.</w:t>
      </w:r>
    </w:p>
  </w:footnote>
  <w:footnote w:id="10">
    <w:p w14:paraId="32AAC08E" w14:textId="71DE5864" w:rsidR="00236009" w:rsidRPr="005D4560" w:rsidRDefault="00236009" w:rsidP="00236009">
      <w:pPr>
        <w:pStyle w:val="FootnoteText"/>
        <w:rPr>
          <w:szCs w:val="18"/>
          <w:lang w:val="es-AR"/>
        </w:rPr>
      </w:pPr>
      <w:r w:rsidRPr="005D4560">
        <w:rPr>
          <w:szCs w:val="18"/>
          <w:lang w:val="es-AR"/>
        </w:rPr>
        <w:tab/>
      </w:r>
      <w:r>
        <w:rPr>
          <w:rStyle w:val="FootnoteReference"/>
        </w:rPr>
        <w:footnoteRef/>
      </w:r>
      <w:r w:rsidRPr="005D4560">
        <w:rPr>
          <w:szCs w:val="18"/>
          <w:lang w:val="es-AR"/>
        </w:rPr>
        <w:tab/>
      </w:r>
      <w:r w:rsidR="004038EC" w:rsidRPr="005D4560">
        <w:rPr>
          <w:lang w:val="es-AR"/>
        </w:rPr>
        <w:t xml:space="preserve">General </w:t>
      </w:r>
      <w:proofErr w:type="spellStart"/>
      <w:r w:rsidR="004038EC" w:rsidRPr="005D4560">
        <w:rPr>
          <w:lang w:val="es-AR"/>
        </w:rPr>
        <w:t>comment</w:t>
      </w:r>
      <w:proofErr w:type="spellEnd"/>
      <w:r w:rsidR="004038EC" w:rsidRPr="005D4560">
        <w:rPr>
          <w:lang w:val="es-AR"/>
        </w:rPr>
        <w:t xml:space="preserve"> No. 37 (2020)</w:t>
      </w:r>
      <w:r w:rsidRPr="005D4560">
        <w:rPr>
          <w:szCs w:val="18"/>
          <w:lang w:val="es-AR"/>
        </w:rPr>
        <w:t>,</w:t>
      </w:r>
      <w:r w:rsidR="004038EC" w:rsidRPr="005D4560">
        <w:rPr>
          <w:lang w:val="es-AR"/>
        </w:rPr>
        <w:t xml:space="preserve"> CCPR/C/GC/37, </w:t>
      </w:r>
      <w:r w:rsidRPr="005D4560">
        <w:rPr>
          <w:szCs w:val="18"/>
          <w:lang w:val="es-AR"/>
        </w:rPr>
        <w:t>para. 32</w:t>
      </w:r>
      <w:r w:rsidR="009D7514" w:rsidRPr="005D4560">
        <w:rPr>
          <w:szCs w:val="18"/>
          <w:lang w:val="es-AR"/>
        </w:rPr>
        <w:t>.</w:t>
      </w:r>
    </w:p>
  </w:footnote>
  <w:footnote w:id="11">
    <w:p w14:paraId="5BA9DE80" w14:textId="465926EB" w:rsidR="00236009" w:rsidRPr="005D4560" w:rsidRDefault="00236009" w:rsidP="00236009">
      <w:pPr>
        <w:pStyle w:val="FootnoteText"/>
        <w:rPr>
          <w:lang w:val="es-AR"/>
        </w:rPr>
      </w:pPr>
      <w:r w:rsidRPr="005D4560">
        <w:rPr>
          <w:lang w:val="es-AR"/>
        </w:rPr>
        <w:tab/>
      </w:r>
      <w:r>
        <w:rPr>
          <w:rStyle w:val="FootnoteReference"/>
        </w:rPr>
        <w:footnoteRef/>
      </w:r>
      <w:r w:rsidRPr="005D4560">
        <w:rPr>
          <w:lang w:val="es-AR"/>
        </w:rPr>
        <w:t xml:space="preserve"> </w:t>
      </w:r>
      <w:r w:rsidRPr="005D4560">
        <w:rPr>
          <w:lang w:val="es-AR"/>
        </w:rPr>
        <w:tab/>
      </w:r>
      <w:r w:rsidR="009D7514" w:rsidRPr="005D4560">
        <w:rPr>
          <w:i/>
          <w:iCs/>
          <w:lang w:val="es-AR"/>
        </w:rPr>
        <w:t>Ibid</w:t>
      </w:r>
      <w:r w:rsidR="009D7514" w:rsidRPr="005D4560">
        <w:rPr>
          <w:lang w:val="es-AR"/>
        </w:rPr>
        <w:t>.</w:t>
      </w:r>
      <w:r w:rsidRPr="005D4560">
        <w:rPr>
          <w:lang w:val="es-AR"/>
        </w:rPr>
        <w:t>, para 6.</w:t>
      </w:r>
    </w:p>
  </w:footnote>
  <w:footnote w:id="12">
    <w:p w14:paraId="1EC9C951" w14:textId="77777777" w:rsidR="00236009" w:rsidRPr="004554CF" w:rsidRDefault="00236009" w:rsidP="00236009">
      <w:pPr>
        <w:pStyle w:val="FootnoteText"/>
        <w:rPr>
          <w:lang w:val="es-ES"/>
        </w:rPr>
      </w:pPr>
      <w:r w:rsidRPr="005D4560">
        <w:rPr>
          <w:lang w:val="es-AR"/>
        </w:rPr>
        <w:tab/>
      </w:r>
      <w:r>
        <w:rPr>
          <w:rStyle w:val="FootnoteReference"/>
        </w:rPr>
        <w:footnoteRef/>
      </w:r>
      <w:r w:rsidRPr="004554CF">
        <w:rPr>
          <w:lang w:val="es-ES"/>
        </w:rPr>
        <w:tab/>
      </w:r>
      <w:r w:rsidRPr="009D7514">
        <w:rPr>
          <w:i/>
          <w:iCs/>
          <w:lang w:val="es-ES"/>
        </w:rPr>
        <w:t>Ibid</w:t>
      </w:r>
      <w:r w:rsidRPr="004554CF">
        <w:rPr>
          <w:lang w:val="es-ES"/>
        </w:rPr>
        <w:t>., para. 22.</w:t>
      </w:r>
    </w:p>
  </w:footnote>
  <w:footnote w:id="13">
    <w:p w14:paraId="42FE9CD6" w14:textId="6825FE6F" w:rsidR="00125EE5" w:rsidRPr="0023784B" w:rsidRDefault="00125EE5" w:rsidP="00125EE5">
      <w:pPr>
        <w:pStyle w:val="FootnoteText"/>
      </w:pPr>
      <w:r>
        <w:tab/>
      </w:r>
      <w:r>
        <w:rPr>
          <w:rStyle w:val="FootnoteReference"/>
        </w:rPr>
        <w:footnoteRef/>
      </w:r>
      <w:r>
        <w:t xml:space="preserve"> </w:t>
      </w:r>
      <w:r>
        <w:tab/>
      </w:r>
      <w:r w:rsidR="00BE29BC">
        <w:rPr>
          <w:i/>
          <w:iCs/>
        </w:rPr>
        <w:t>Ibid.</w:t>
      </w:r>
      <w:r w:rsidRPr="0023784B">
        <w:t xml:space="preserve">, para. </w:t>
      </w:r>
      <w:r w:rsidRPr="0028591B">
        <w:t>36.</w:t>
      </w:r>
    </w:p>
  </w:footnote>
  <w:footnote w:id="14">
    <w:p w14:paraId="40D292D2" w14:textId="77777777" w:rsidR="00236009" w:rsidRPr="0066060E" w:rsidRDefault="00236009" w:rsidP="00236009">
      <w:pPr>
        <w:pStyle w:val="FootnoteText"/>
        <w:rPr>
          <w:lang w:val="pt-PT"/>
        </w:rPr>
      </w:pPr>
      <w:r w:rsidRPr="0066060E">
        <w:rPr>
          <w:lang w:val="pt-PT"/>
        </w:rPr>
        <w:tab/>
      </w:r>
      <w:r>
        <w:rPr>
          <w:rStyle w:val="FootnoteReference"/>
        </w:rPr>
        <w:footnoteRef/>
      </w:r>
      <w:r w:rsidRPr="0066060E">
        <w:rPr>
          <w:lang w:val="pt-PT"/>
        </w:rPr>
        <w:tab/>
      </w:r>
      <w:r w:rsidRPr="0066060E">
        <w:rPr>
          <w:i/>
          <w:iCs/>
          <w:lang w:val="pt-PT" w:eastAsia="en-GB"/>
        </w:rPr>
        <w:t>Poplavny v</w:t>
      </w:r>
      <w:r w:rsidRPr="0066060E">
        <w:rPr>
          <w:lang w:val="pt-PT" w:eastAsia="en-GB"/>
        </w:rPr>
        <w:t xml:space="preserve">. </w:t>
      </w:r>
      <w:r w:rsidRPr="0066060E">
        <w:rPr>
          <w:i/>
          <w:iCs/>
          <w:lang w:val="pt-PT" w:eastAsia="en-GB"/>
        </w:rPr>
        <w:t>Belarus</w:t>
      </w:r>
      <w:r w:rsidRPr="0066060E">
        <w:rPr>
          <w:lang w:val="pt-PT" w:eastAsia="en-GB"/>
        </w:rPr>
        <w:t xml:space="preserve"> (CCPR/C/115/D/2019/2010), para. 8.4.</w:t>
      </w:r>
      <w:r w:rsidRPr="0066060E">
        <w:rPr>
          <w:lang w:val="pt-PT"/>
        </w:rPr>
        <w:t xml:space="preserve"> </w:t>
      </w:r>
    </w:p>
  </w:footnote>
  <w:footnote w:id="15">
    <w:p w14:paraId="5F542F23" w14:textId="76D3BA66" w:rsidR="004038EC" w:rsidRPr="0066060E" w:rsidRDefault="004038EC">
      <w:pPr>
        <w:pStyle w:val="FootnoteText"/>
        <w:rPr>
          <w:lang w:val="pt-PT"/>
        </w:rPr>
      </w:pPr>
      <w:r w:rsidRPr="0066060E">
        <w:rPr>
          <w:lang w:val="pt-PT"/>
        </w:rPr>
        <w:tab/>
      </w:r>
      <w:r>
        <w:rPr>
          <w:rStyle w:val="FootnoteReference"/>
        </w:rPr>
        <w:footnoteRef/>
      </w:r>
      <w:r w:rsidRPr="0066060E">
        <w:rPr>
          <w:lang w:val="pt-PT"/>
        </w:rPr>
        <w:t xml:space="preserve"> </w:t>
      </w:r>
      <w:r w:rsidR="00DD0474">
        <w:rPr>
          <w:lang w:val="pt-PT"/>
        </w:rPr>
        <w:tab/>
      </w:r>
      <w:r w:rsidRPr="0066060E">
        <w:rPr>
          <w:lang w:val="pt-PT"/>
        </w:rPr>
        <w:t>General comment No. 37 (2020), CCPR/C/GC/37, para. 71.</w:t>
      </w:r>
    </w:p>
  </w:footnote>
  <w:footnote w:id="16">
    <w:p w14:paraId="4B9556E7" w14:textId="7BE92BF4" w:rsidR="004038EC" w:rsidRPr="0066060E" w:rsidRDefault="004038EC">
      <w:pPr>
        <w:pStyle w:val="FootnoteText"/>
        <w:rPr>
          <w:lang w:val="pt-PT"/>
        </w:rPr>
      </w:pPr>
      <w:r w:rsidRPr="0066060E">
        <w:rPr>
          <w:lang w:val="pt-PT"/>
        </w:rPr>
        <w:tab/>
      </w:r>
      <w:r>
        <w:rPr>
          <w:rStyle w:val="FootnoteReference"/>
        </w:rPr>
        <w:footnoteRef/>
      </w:r>
      <w:r w:rsidRPr="0066060E">
        <w:rPr>
          <w:lang w:val="pt-PT"/>
        </w:rPr>
        <w:t xml:space="preserve"> </w:t>
      </w:r>
      <w:r w:rsidR="00DD0474">
        <w:rPr>
          <w:lang w:val="pt-PT"/>
        </w:rPr>
        <w:tab/>
      </w:r>
      <w:r w:rsidR="009D7514" w:rsidRPr="0066060E">
        <w:rPr>
          <w:i/>
          <w:iCs/>
          <w:lang w:val="pt-PT"/>
        </w:rPr>
        <w:t>Ibid</w:t>
      </w:r>
      <w:r w:rsidR="009D7514" w:rsidRPr="0066060E">
        <w:rPr>
          <w:lang w:val="pt-PT"/>
        </w:rPr>
        <w:t>.</w:t>
      </w:r>
      <w:r w:rsidRPr="0066060E">
        <w:rPr>
          <w:lang w:val="pt-PT"/>
        </w:rPr>
        <w:t>, para. 73.</w:t>
      </w:r>
    </w:p>
  </w:footnote>
  <w:footnote w:id="17">
    <w:p w14:paraId="6957644B" w14:textId="266E9C99" w:rsidR="00236009" w:rsidRPr="0066060E" w:rsidRDefault="00236009" w:rsidP="00236009">
      <w:pPr>
        <w:pStyle w:val="FootnoteText"/>
        <w:rPr>
          <w:lang w:val="pt-PT"/>
        </w:rPr>
      </w:pPr>
      <w:r w:rsidRPr="0066060E">
        <w:rPr>
          <w:lang w:val="pt-PT"/>
        </w:rPr>
        <w:tab/>
      </w:r>
      <w:r>
        <w:rPr>
          <w:rStyle w:val="FootnoteReference"/>
        </w:rPr>
        <w:footnoteRef/>
      </w:r>
      <w:r w:rsidRPr="0066060E">
        <w:rPr>
          <w:lang w:val="pt-PT"/>
        </w:rPr>
        <w:t xml:space="preserve"> </w:t>
      </w:r>
      <w:r w:rsidRPr="0066060E">
        <w:rPr>
          <w:lang w:val="pt-PT"/>
        </w:rPr>
        <w:tab/>
        <w:t xml:space="preserve"> </w:t>
      </w:r>
      <w:r w:rsidRPr="0066060E">
        <w:rPr>
          <w:i/>
          <w:lang w:val="pt-PT"/>
        </w:rPr>
        <w:t>Vladimir Malei v. Belarus</w:t>
      </w:r>
      <w:r w:rsidRPr="0066060E">
        <w:rPr>
          <w:lang w:val="pt-PT"/>
        </w:rPr>
        <w:t xml:space="preserve"> (CCPR/C/129/D/2404/2014), para 9.7; </w:t>
      </w:r>
      <w:r w:rsidRPr="0066060E">
        <w:rPr>
          <w:i/>
          <w:lang w:val="pt-PT"/>
        </w:rPr>
        <w:t>Tolchina et al. v. Belarus</w:t>
      </w:r>
      <w:r w:rsidRPr="0066060E">
        <w:rPr>
          <w:lang w:val="pt-PT"/>
        </w:rPr>
        <w:t xml:space="preserve"> (CCPR/C/132/D/2857/2016), para 7.6; </w:t>
      </w:r>
      <w:r w:rsidRPr="0066060E">
        <w:rPr>
          <w:i/>
          <w:lang w:val="pt-PT"/>
        </w:rPr>
        <w:t>Zavadskaya et al. v. Belarus</w:t>
      </w:r>
      <w:r w:rsidRPr="0066060E">
        <w:rPr>
          <w:lang w:val="pt-PT"/>
        </w:rPr>
        <w:t xml:space="preserve"> (CCPR/C/132/D/2865/2016), para 7.6; </w:t>
      </w:r>
      <w:r w:rsidRPr="0066060E">
        <w:rPr>
          <w:i/>
          <w:lang w:val="pt-PT"/>
        </w:rPr>
        <w:t>Popova v. Russian Federation</w:t>
      </w:r>
      <w:r w:rsidRPr="0066060E">
        <w:rPr>
          <w:lang w:val="pt-PT"/>
        </w:rPr>
        <w:t xml:space="preserve"> (CCPR/C/122/D/2217/2012), para. 7.6; and </w:t>
      </w:r>
      <w:r w:rsidRPr="0066060E">
        <w:rPr>
          <w:i/>
          <w:lang w:val="pt-PT"/>
        </w:rPr>
        <w:t>Sadykov v. Kazakhstan</w:t>
      </w:r>
      <w:r w:rsidRPr="0066060E">
        <w:rPr>
          <w:lang w:val="pt-PT"/>
        </w:rPr>
        <w:t xml:space="preserve"> (CCPR/C/129/D/2456/2014), para. 7.7</w:t>
      </w:r>
      <w:r w:rsidR="004223B6" w:rsidRPr="0066060E">
        <w:rPr>
          <w:lang w:val="pt-PT"/>
        </w:rPr>
        <w:t xml:space="preserve">; </w:t>
      </w:r>
      <w:r w:rsidR="004223B6" w:rsidRPr="0066060E">
        <w:rPr>
          <w:i/>
          <w:iCs/>
          <w:lang w:val="pt-PT"/>
        </w:rPr>
        <w:t>Vasilevich and others v. Belarus</w:t>
      </w:r>
      <w:r w:rsidR="004223B6" w:rsidRPr="0066060E">
        <w:rPr>
          <w:lang w:val="pt-PT"/>
        </w:rPr>
        <w:t xml:space="preserve"> (CCPR/C/137/D/2693/2015, CCPR/C/137/D/2898/2016 CCPR/C/137/D/3002/2017, CCPR/C/137/D/3084/2017, para. 7.7.</w:t>
      </w:r>
    </w:p>
  </w:footnote>
  <w:footnote w:id="18">
    <w:p w14:paraId="3915682E" w14:textId="58CB20F6" w:rsidR="004223B6" w:rsidRPr="0066060E" w:rsidRDefault="004223B6">
      <w:pPr>
        <w:pStyle w:val="FootnoteText"/>
        <w:rPr>
          <w:lang w:val="pt-PT"/>
        </w:rPr>
      </w:pPr>
      <w:r w:rsidRPr="0066060E">
        <w:rPr>
          <w:lang w:val="pt-PT"/>
        </w:rPr>
        <w:tab/>
      </w:r>
      <w:r w:rsidRPr="00D139E4">
        <w:rPr>
          <w:rStyle w:val="FootnoteReference"/>
        </w:rPr>
        <w:footnoteRef/>
      </w:r>
      <w:r w:rsidRPr="0066060E">
        <w:rPr>
          <w:lang w:val="pt-PT"/>
        </w:rPr>
        <w:t xml:space="preserve"> </w:t>
      </w:r>
      <w:r w:rsidR="00DD0474">
        <w:rPr>
          <w:lang w:val="pt-PT"/>
        </w:rPr>
        <w:tab/>
      </w:r>
      <w:r w:rsidRPr="0066060E">
        <w:rPr>
          <w:lang w:val="pt-PT"/>
        </w:rPr>
        <w:t xml:space="preserve">General comment No. 34 (2011) </w:t>
      </w:r>
      <w:r w:rsidR="00D139E4" w:rsidRPr="0066060E">
        <w:rPr>
          <w:lang w:val="pt-PT"/>
        </w:rPr>
        <w:t>CCPR/C/GC/34</w:t>
      </w:r>
      <w:r w:rsidRPr="0066060E">
        <w:rPr>
          <w:lang w:val="pt-PT"/>
        </w:rPr>
        <w:t>, para. 2.</w:t>
      </w:r>
    </w:p>
  </w:footnote>
  <w:footnote w:id="19">
    <w:p w14:paraId="58AF8190" w14:textId="42D84483" w:rsidR="00236009" w:rsidRPr="00D139E4" w:rsidRDefault="00236009" w:rsidP="00236009">
      <w:pPr>
        <w:pStyle w:val="FootnoteText"/>
        <w:rPr>
          <w:lang w:val="pt-PT"/>
        </w:rPr>
      </w:pPr>
      <w:r w:rsidRPr="00D139E4">
        <w:rPr>
          <w:lang w:val="pt-PT"/>
        </w:rPr>
        <w:tab/>
      </w:r>
      <w:r w:rsidRPr="00D139E4">
        <w:rPr>
          <w:rStyle w:val="FootnoteReference"/>
        </w:rPr>
        <w:footnoteRef/>
      </w:r>
      <w:r w:rsidRPr="00D139E4">
        <w:rPr>
          <w:lang w:val="pt-PT"/>
        </w:rPr>
        <w:tab/>
      </w:r>
      <w:r w:rsidR="00D139E4" w:rsidRPr="0066060E">
        <w:rPr>
          <w:i/>
          <w:iCs/>
          <w:lang w:val="pt-PT"/>
        </w:rPr>
        <w:t>Ibid</w:t>
      </w:r>
      <w:r w:rsidR="00D139E4" w:rsidRPr="0066060E">
        <w:rPr>
          <w:lang w:val="pt-PT"/>
        </w:rPr>
        <w:t>.</w:t>
      </w:r>
      <w:r w:rsidRPr="00D139E4">
        <w:rPr>
          <w:lang w:val="pt-PT"/>
        </w:rPr>
        <w:t>, para. 34.</w:t>
      </w:r>
    </w:p>
  </w:footnote>
  <w:footnote w:id="20">
    <w:p w14:paraId="600A55DD" w14:textId="77777777" w:rsidR="00236009" w:rsidRPr="00D139E4" w:rsidRDefault="00236009" w:rsidP="00DD0474">
      <w:pPr>
        <w:pStyle w:val="FootnoteText"/>
        <w:rPr>
          <w:lang w:val="pt-PT"/>
        </w:rPr>
      </w:pPr>
      <w:r w:rsidRPr="00D139E4">
        <w:rPr>
          <w:lang w:val="pt-PT"/>
        </w:rPr>
        <w:tab/>
      </w:r>
      <w:r w:rsidRPr="00D139E4">
        <w:rPr>
          <w:rStyle w:val="FootnoteReference"/>
        </w:rPr>
        <w:footnoteRef/>
      </w:r>
      <w:r w:rsidRPr="00D139E4">
        <w:rPr>
          <w:lang w:val="pt-PT"/>
        </w:rPr>
        <w:tab/>
        <w:t xml:space="preserve"> </w:t>
      </w:r>
      <w:r w:rsidRPr="00D139E4">
        <w:rPr>
          <w:i/>
          <w:lang w:val="pt-PT"/>
        </w:rPr>
        <w:t xml:space="preserve">Androsenko v. </w:t>
      </w:r>
      <w:r w:rsidRPr="00F36060">
        <w:rPr>
          <w:lang w:val="pt-PT"/>
        </w:rPr>
        <w:t>Belarus</w:t>
      </w:r>
      <w:r w:rsidRPr="00D139E4">
        <w:rPr>
          <w:lang w:val="pt-PT"/>
        </w:rPr>
        <w:t xml:space="preserve"> (CCPR/C/116/D/2092/2011), para. 7.3.</w:t>
      </w:r>
    </w:p>
  </w:footnote>
  <w:footnote w:id="21">
    <w:p w14:paraId="078CF65A" w14:textId="19D64E61" w:rsidR="00236009" w:rsidRPr="0066060E" w:rsidRDefault="00236009" w:rsidP="00DD0474">
      <w:pPr>
        <w:pStyle w:val="FootnoteText"/>
        <w:rPr>
          <w:lang w:val="pt-PT"/>
        </w:rPr>
      </w:pPr>
      <w:r w:rsidRPr="00D139E4">
        <w:rPr>
          <w:lang w:val="pt-PT"/>
        </w:rPr>
        <w:tab/>
      </w:r>
      <w:r w:rsidRPr="00D139E4">
        <w:rPr>
          <w:rStyle w:val="FootnoteReference"/>
        </w:rPr>
        <w:footnoteRef/>
      </w:r>
      <w:r w:rsidRPr="00D139E4">
        <w:rPr>
          <w:lang w:val="pt-PT"/>
        </w:rPr>
        <w:tab/>
      </w:r>
      <w:r w:rsidRPr="00D139E4">
        <w:rPr>
          <w:i/>
          <w:iCs/>
          <w:lang w:val="pt-PT"/>
        </w:rPr>
        <w:t>Zalesskaya v</w:t>
      </w:r>
      <w:r w:rsidRPr="00A401FC">
        <w:rPr>
          <w:i/>
          <w:iCs/>
          <w:lang w:val="pt-PT"/>
        </w:rPr>
        <w:t>. Belarus</w:t>
      </w:r>
      <w:r w:rsidRPr="00A401FC">
        <w:rPr>
          <w:lang w:val="pt-PT"/>
        </w:rPr>
        <w:t xml:space="preserve"> (CCPR/C/101/D/1604/2007), para. 10.5</w:t>
      </w:r>
      <w:r w:rsidR="004223B6">
        <w:rPr>
          <w:lang w:val="pt-PT"/>
        </w:rPr>
        <w:t xml:space="preserve">; </w:t>
      </w:r>
      <w:r w:rsidR="004223B6" w:rsidRPr="0066060E">
        <w:rPr>
          <w:i/>
          <w:iCs/>
          <w:lang w:val="pt-PT"/>
        </w:rPr>
        <w:t>Vasilevich and others v. Belarus</w:t>
      </w:r>
      <w:r w:rsidR="004223B6" w:rsidRPr="0066060E">
        <w:rPr>
          <w:lang w:val="pt-PT"/>
        </w:rPr>
        <w:t xml:space="preserve"> (CCPR/C/137/D/2693/2015, CCPR/C/137/D/2898/2016 CCPR/C/137/D/3002/2017, CCPR/C/137/D/3084/2017, para. 7.10.</w:t>
      </w:r>
    </w:p>
  </w:footnote>
  <w:footnote w:id="22">
    <w:p w14:paraId="45D37FDC" w14:textId="77777777" w:rsidR="00236009" w:rsidRDefault="00236009" w:rsidP="00DD0474">
      <w:pPr>
        <w:pStyle w:val="FootnoteText"/>
      </w:pPr>
      <w:r w:rsidRPr="00A401FC">
        <w:rPr>
          <w:lang w:val="pt-PT"/>
        </w:rPr>
        <w:tab/>
      </w:r>
      <w:r w:rsidRPr="00A401FC">
        <w:rPr>
          <w:rStyle w:val="FootnoteReference"/>
        </w:rPr>
        <w:footnoteRef/>
      </w:r>
      <w:r w:rsidRPr="00A401FC">
        <w:rPr>
          <w:lang w:val="pt-PT"/>
        </w:rPr>
        <w:tab/>
      </w:r>
      <w:r>
        <w:rPr>
          <w:i/>
          <w:lang w:val="pt-PT"/>
        </w:rPr>
        <w:t xml:space="preserve"> Toregozhina v. Kazakhstan </w:t>
      </w:r>
      <w:r>
        <w:rPr>
          <w:lang w:val="pt-PT"/>
        </w:rPr>
        <w:t>(CCPR/C/112/D/2137/2012), para. 7.5;</w:t>
      </w:r>
      <w:r>
        <w:rPr>
          <w:i/>
          <w:lang w:val="pt-PT"/>
        </w:rPr>
        <w:t xml:space="preserve"> Zhagiparov v. Kazakhstan </w:t>
      </w:r>
      <w:r>
        <w:rPr>
          <w:lang w:val="pt-PT"/>
        </w:rPr>
        <w:t xml:space="preserve">(CCPR/C/124/D/2441/2014), para. </w:t>
      </w:r>
      <w:r w:rsidRPr="0066060E">
        <w:rPr>
          <w:lang w:val="en-GB"/>
        </w:rPr>
        <w:t>13.4; and</w:t>
      </w:r>
      <w:r w:rsidRPr="0066060E">
        <w:rPr>
          <w:rFonts w:eastAsia="Arial Unicode MS" w:hAnsi="Arial Unicode MS" w:cs="Arial Unicode MS"/>
          <w:lang w:val="en-GB"/>
        </w:rPr>
        <w:t xml:space="preserve"> </w:t>
      </w:r>
      <w:proofErr w:type="spellStart"/>
      <w:r w:rsidRPr="0066060E">
        <w:rPr>
          <w:rFonts w:eastAsia="Arial Unicode MS" w:hAnsi="Arial Unicode MS" w:cs="Arial Unicode MS"/>
          <w:i/>
          <w:lang w:val="en-GB"/>
        </w:rPr>
        <w:t>Shchetko</w:t>
      </w:r>
      <w:proofErr w:type="spellEnd"/>
      <w:r w:rsidRPr="0066060E">
        <w:rPr>
          <w:rFonts w:eastAsia="Arial Unicode MS" w:hAnsi="Arial Unicode MS" w:cs="Arial Unicode MS"/>
          <w:i/>
          <w:lang w:val="en-GB"/>
        </w:rPr>
        <w:t xml:space="preserve"> and </w:t>
      </w:r>
      <w:proofErr w:type="spellStart"/>
      <w:r w:rsidRPr="0066060E">
        <w:rPr>
          <w:rFonts w:eastAsia="Arial Unicode MS" w:hAnsi="Arial Unicode MS" w:cs="Arial Unicode MS"/>
          <w:i/>
          <w:lang w:val="en-GB"/>
        </w:rPr>
        <w:t>Shchetko</w:t>
      </w:r>
      <w:proofErr w:type="spellEnd"/>
      <w:r w:rsidRPr="0066060E">
        <w:rPr>
          <w:rFonts w:eastAsia="Arial Unicode MS" w:hAnsi="Arial Unicode MS" w:cs="Arial Unicode MS"/>
          <w:i/>
          <w:lang w:val="en-GB"/>
        </w:rPr>
        <w:t xml:space="preserve"> v. Belarus</w:t>
      </w:r>
      <w:r w:rsidRPr="0066060E">
        <w:rPr>
          <w:rFonts w:eastAsia="Arial Unicode MS" w:hAnsi="Arial Unicode MS" w:cs="Arial Unicode MS"/>
          <w:lang w:val="en-GB"/>
        </w:rPr>
        <w:t xml:space="preserve"> (CCPR/C/87/D/1009/2001), para.</w:t>
      </w:r>
      <w:r w:rsidRPr="0066060E">
        <w:rPr>
          <w:rFonts w:hAnsi="Arial Unicode MS"/>
          <w:lang w:val="en-GB"/>
        </w:rPr>
        <w:t> </w:t>
      </w:r>
      <w:r>
        <w:rPr>
          <w:rFonts w:eastAsia="Arial Unicode MS" w:hAnsi="Arial Unicode MS" w:cs="Arial Unicode MS"/>
        </w:rPr>
        <w:t>7.5.</w:t>
      </w:r>
    </w:p>
  </w:footnote>
  <w:footnote w:id="23">
    <w:p w14:paraId="558470BE" w14:textId="28FBE6A1" w:rsidR="004B02F1" w:rsidRPr="004B02F1" w:rsidRDefault="004B02F1">
      <w:pPr>
        <w:pStyle w:val="FootnoteText"/>
      </w:pPr>
      <w:r>
        <w:tab/>
      </w:r>
      <w:r>
        <w:rPr>
          <w:rStyle w:val="FootnoteReference"/>
        </w:rPr>
        <w:footnoteRef/>
      </w:r>
      <w:r>
        <w:t xml:space="preserve"> </w:t>
      </w:r>
      <w:r>
        <w:tab/>
      </w:r>
      <w:r w:rsidRPr="004B02F1">
        <w:t>See, e.g.,</w:t>
      </w:r>
      <w:r w:rsidRPr="004B02F1">
        <w:rPr>
          <w:i/>
          <w:iCs/>
        </w:rPr>
        <w:t xml:space="preserve"> Abramovich v. Belarus</w:t>
      </w:r>
      <w:r w:rsidRPr="004B02F1">
        <w:t xml:space="preserve"> (CCPR/C/132/D/2702/2015); </w:t>
      </w:r>
      <w:proofErr w:type="spellStart"/>
      <w:r w:rsidRPr="004B02F1">
        <w:rPr>
          <w:i/>
          <w:iCs/>
        </w:rPr>
        <w:t>Romanchik</w:t>
      </w:r>
      <w:proofErr w:type="spellEnd"/>
      <w:r w:rsidRPr="004B02F1">
        <w:rPr>
          <w:i/>
          <w:iCs/>
        </w:rPr>
        <w:t xml:space="preserve"> and</w:t>
      </w:r>
      <w:r w:rsidRPr="004B02F1">
        <w:t xml:space="preserve"> </w:t>
      </w:r>
      <w:proofErr w:type="spellStart"/>
      <w:r w:rsidRPr="004B02F1">
        <w:rPr>
          <w:i/>
          <w:iCs/>
        </w:rPr>
        <w:t>Shchukina</w:t>
      </w:r>
      <w:proofErr w:type="spellEnd"/>
      <w:r w:rsidRPr="004B02F1">
        <w:rPr>
          <w:i/>
          <w:iCs/>
        </w:rPr>
        <w:t xml:space="preserve"> </w:t>
      </w:r>
      <w:r w:rsidRPr="004B02F1">
        <w:t xml:space="preserve">v. </w:t>
      </w:r>
      <w:r w:rsidRPr="004B02F1">
        <w:rPr>
          <w:i/>
          <w:iCs/>
        </w:rPr>
        <w:t>Belarus</w:t>
      </w:r>
      <w:r w:rsidRPr="004B02F1">
        <w:t xml:space="preserve"> (CCPR/C/135/D/2917/2016); </w:t>
      </w:r>
      <w:proofErr w:type="spellStart"/>
      <w:r w:rsidRPr="004B02F1">
        <w:rPr>
          <w:i/>
          <w:iCs/>
        </w:rPr>
        <w:t>Belenky</w:t>
      </w:r>
      <w:proofErr w:type="spellEnd"/>
      <w:r w:rsidRPr="004B02F1">
        <w:rPr>
          <w:i/>
          <w:iCs/>
        </w:rPr>
        <w:t xml:space="preserve"> v. Belarus</w:t>
      </w:r>
      <w:r w:rsidRPr="004B02F1">
        <w:t xml:space="preserve"> (CCPR/C/135/D/2860/2016); </w:t>
      </w:r>
      <w:proofErr w:type="spellStart"/>
      <w:r w:rsidRPr="004B02F1">
        <w:rPr>
          <w:i/>
          <w:iCs/>
        </w:rPr>
        <w:t>Fedynich</w:t>
      </w:r>
      <w:proofErr w:type="spellEnd"/>
      <w:r w:rsidRPr="004B02F1">
        <w:rPr>
          <w:i/>
          <w:iCs/>
        </w:rPr>
        <w:t xml:space="preserve"> v. Belarus</w:t>
      </w:r>
      <w:r w:rsidRPr="004B02F1">
        <w:t xml:space="preserve"> (CCPR/C/136/D/2913/2016)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3213F" w14:textId="6E85CBF9" w:rsidR="00DF1194" w:rsidRPr="00F36060" w:rsidRDefault="00DF1194" w:rsidP="00DF1194">
    <w:pPr>
      <w:pStyle w:val="Header"/>
      <w:rPr>
        <w:lang w:val="fr-FR"/>
      </w:rPr>
    </w:pPr>
    <w:r w:rsidRPr="00F36060">
      <w:rPr>
        <w:lang w:val="fr-FR"/>
      </w:rPr>
      <w:t>CCPR/C</w:t>
    </w:r>
    <w:r w:rsidR="0056587E" w:rsidRPr="00F36060">
      <w:rPr>
        <w:lang w:val="fr-FR"/>
      </w:rPr>
      <w:t>/</w:t>
    </w:r>
    <w:r w:rsidRPr="00F36060">
      <w:rPr>
        <w:lang w:val="fr-FR"/>
      </w:rPr>
      <w:t>139/D/3056/2017, CCPR/C/139/D/3100/2018</w:t>
    </w:r>
  </w:p>
  <w:p w14:paraId="54B93AB1" w14:textId="7638C3B9" w:rsidR="00115DFF" w:rsidRPr="00F36060" w:rsidRDefault="00DF1194" w:rsidP="00DF1194">
    <w:pPr>
      <w:pStyle w:val="Header"/>
    </w:pPr>
    <w:r w:rsidRPr="00F36060">
      <w:t>CCPR/C</w:t>
    </w:r>
    <w:r w:rsidR="00DD0474" w:rsidRPr="00F36060">
      <w:t>/</w:t>
    </w:r>
    <w:r w:rsidRPr="00F36060">
      <w:t>139/D/3130/2018, CCPR/C139</w:t>
    </w:r>
    <w:r w:rsidR="00DD0474" w:rsidRPr="00F36060">
      <w:t>/</w:t>
    </w:r>
    <w:r w:rsidRPr="00F36060">
      <w:t>D/3134/2018</w:t>
    </w:r>
    <w:r w:rsidR="003E6A45">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F834" w14:textId="3B6483C9" w:rsidR="00DF1194" w:rsidRPr="00F36060" w:rsidRDefault="00DF1194" w:rsidP="00DF1194">
    <w:pPr>
      <w:pStyle w:val="Header"/>
      <w:jc w:val="right"/>
      <w:rPr>
        <w:lang w:val="fr-FR"/>
      </w:rPr>
    </w:pPr>
    <w:r w:rsidRPr="00F36060">
      <w:rPr>
        <w:lang w:val="fr-FR"/>
      </w:rPr>
      <w:t>CCPR/C/139/D/3056/2017, CCPR/C/139/D/3100/2018</w:t>
    </w:r>
  </w:p>
  <w:p w14:paraId="5DEBC936" w14:textId="6F4FB02D" w:rsidR="00115DFF" w:rsidRPr="00F36060" w:rsidRDefault="00DF1194" w:rsidP="00DF1194">
    <w:pPr>
      <w:pStyle w:val="Header"/>
      <w:jc w:val="right"/>
    </w:pPr>
    <w:r w:rsidRPr="00F36060">
      <w:t>CCPR/C/139/D/3130/2018, CCPR/C</w:t>
    </w:r>
    <w:r w:rsidR="0056587E" w:rsidRPr="00F36060">
      <w:t>/</w:t>
    </w:r>
    <w:r w:rsidRPr="00F36060">
      <w:t>139/D/3134/2018</w:t>
    </w:r>
    <w:r w:rsidR="003E6A45">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39D03A9"/>
    <w:multiLevelType w:val="multilevel"/>
    <w:tmpl w:val="18642E46"/>
    <w:lvl w:ilvl="0">
      <w:start w:val="1"/>
      <w:numFmt w:val="decimal"/>
      <w:lvlText w:val="%1"/>
      <w:lvlJc w:val="left"/>
      <w:pPr>
        <w:ind w:left="570" w:hanging="570"/>
      </w:pPr>
      <w:rPr>
        <w:rFonts w:hint="default"/>
      </w:rPr>
    </w:lvl>
    <w:lvl w:ilvl="1">
      <w:start w:val="1"/>
      <w:numFmt w:val="decimal"/>
      <w:lvlText w:val="%1.%2"/>
      <w:lvlJc w:val="left"/>
      <w:pPr>
        <w:ind w:left="1704" w:hanging="57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5"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6"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87399563">
    <w:abstractNumId w:val="0"/>
  </w:num>
  <w:num w:numId="2" w16cid:durableId="693918875">
    <w:abstractNumId w:val="7"/>
  </w:num>
  <w:num w:numId="3" w16cid:durableId="826744443">
    <w:abstractNumId w:val="5"/>
  </w:num>
  <w:num w:numId="4" w16cid:durableId="517701498">
    <w:abstractNumId w:val="1"/>
  </w:num>
  <w:num w:numId="5" w16cid:durableId="2027637487">
    <w:abstractNumId w:val="6"/>
  </w:num>
  <w:num w:numId="6" w16cid:durableId="383675986">
    <w:abstractNumId w:val="8"/>
  </w:num>
  <w:num w:numId="7" w16cid:durableId="335960169">
    <w:abstractNumId w:val="2"/>
  </w:num>
  <w:num w:numId="8" w16cid:durableId="871459018">
    <w:abstractNumId w:val="4"/>
  </w:num>
  <w:num w:numId="9" w16cid:durableId="124999613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evenAndOddHeaders/>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6A5"/>
    <w:rsid w:val="00001C3D"/>
    <w:rsid w:val="000021B3"/>
    <w:rsid w:val="00002773"/>
    <w:rsid w:val="00002B73"/>
    <w:rsid w:val="000032DB"/>
    <w:rsid w:val="000037FC"/>
    <w:rsid w:val="000044E2"/>
    <w:rsid w:val="00004DF1"/>
    <w:rsid w:val="00004E8B"/>
    <w:rsid w:val="000050E2"/>
    <w:rsid w:val="00005BBD"/>
    <w:rsid w:val="00005BD8"/>
    <w:rsid w:val="00006D75"/>
    <w:rsid w:val="0000757A"/>
    <w:rsid w:val="0001043D"/>
    <w:rsid w:val="00010484"/>
    <w:rsid w:val="0001091F"/>
    <w:rsid w:val="0001267F"/>
    <w:rsid w:val="000128E3"/>
    <w:rsid w:val="00012A71"/>
    <w:rsid w:val="000135C3"/>
    <w:rsid w:val="00013B77"/>
    <w:rsid w:val="00013FF2"/>
    <w:rsid w:val="000151B5"/>
    <w:rsid w:val="000178D8"/>
    <w:rsid w:val="000203CD"/>
    <w:rsid w:val="000205BB"/>
    <w:rsid w:val="00020F51"/>
    <w:rsid w:val="000218D2"/>
    <w:rsid w:val="00021A0B"/>
    <w:rsid w:val="000222FF"/>
    <w:rsid w:val="000227DC"/>
    <w:rsid w:val="00022CC7"/>
    <w:rsid w:val="00024133"/>
    <w:rsid w:val="00024521"/>
    <w:rsid w:val="00024979"/>
    <w:rsid w:val="00024FCC"/>
    <w:rsid w:val="00024FEB"/>
    <w:rsid w:val="00025269"/>
    <w:rsid w:val="00025370"/>
    <w:rsid w:val="00025418"/>
    <w:rsid w:val="00025856"/>
    <w:rsid w:val="00025A3C"/>
    <w:rsid w:val="00025D41"/>
    <w:rsid w:val="00025D52"/>
    <w:rsid w:val="00026B06"/>
    <w:rsid w:val="000272B3"/>
    <w:rsid w:val="00027A45"/>
    <w:rsid w:val="00031D46"/>
    <w:rsid w:val="00031D9B"/>
    <w:rsid w:val="00032806"/>
    <w:rsid w:val="00032A3A"/>
    <w:rsid w:val="00032A40"/>
    <w:rsid w:val="0003387B"/>
    <w:rsid w:val="00034637"/>
    <w:rsid w:val="00034DB8"/>
    <w:rsid w:val="00034DE4"/>
    <w:rsid w:val="000355BA"/>
    <w:rsid w:val="0003572E"/>
    <w:rsid w:val="00035E12"/>
    <w:rsid w:val="00035F0E"/>
    <w:rsid w:val="0003675B"/>
    <w:rsid w:val="00036D15"/>
    <w:rsid w:val="000373B4"/>
    <w:rsid w:val="00037807"/>
    <w:rsid w:val="00037AD0"/>
    <w:rsid w:val="000404F2"/>
    <w:rsid w:val="000406A7"/>
    <w:rsid w:val="0004092D"/>
    <w:rsid w:val="00040CAE"/>
    <w:rsid w:val="00041994"/>
    <w:rsid w:val="000419D2"/>
    <w:rsid w:val="00044035"/>
    <w:rsid w:val="0004409F"/>
    <w:rsid w:val="000444F2"/>
    <w:rsid w:val="000448FF"/>
    <w:rsid w:val="00044DAB"/>
    <w:rsid w:val="00044EE9"/>
    <w:rsid w:val="0004514D"/>
    <w:rsid w:val="000453A7"/>
    <w:rsid w:val="00045A1B"/>
    <w:rsid w:val="00045C11"/>
    <w:rsid w:val="0004650D"/>
    <w:rsid w:val="000469D5"/>
    <w:rsid w:val="00050F6B"/>
    <w:rsid w:val="00052674"/>
    <w:rsid w:val="00052C3C"/>
    <w:rsid w:val="00053842"/>
    <w:rsid w:val="00054704"/>
    <w:rsid w:val="00054B90"/>
    <w:rsid w:val="00055096"/>
    <w:rsid w:val="00055D30"/>
    <w:rsid w:val="000575C3"/>
    <w:rsid w:val="0005782B"/>
    <w:rsid w:val="00057E97"/>
    <w:rsid w:val="00057F1A"/>
    <w:rsid w:val="00060074"/>
    <w:rsid w:val="000606BD"/>
    <w:rsid w:val="00060788"/>
    <w:rsid w:val="00060C3A"/>
    <w:rsid w:val="00061830"/>
    <w:rsid w:val="00061C4E"/>
    <w:rsid w:val="00063B22"/>
    <w:rsid w:val="00064B7C"/>
    <w:rsid w:val="000655B9"/>
    <w:rsid w:val="000662E8"/>
    <w:rsid w:val="00066476"/>
    <w:rsid w:val="00067250"/>
    <w:rsid w:val="000673B3"/>
    <w:rsid w:val="00067C0A"/>
    <w:rsid w:val="00067F6F"/>
    <w:rsid w:val="00071E1A"/>
    <w:rsid w:val="00071FC0"/>
    <w:rsid w:val="00072301"/>
    <w:rsid w:val="00072C8C"/>
    <w:rsid w:val="00072EA7"/>
    <w:rsid w:val="000733B5"/>
    <w:rsid w:val="00073890"/>
    <w:rsid w:val="00073920"/>
    <w:rsid w:val="00073A26"/>
    <w:rsid w:val="00073C20"/>
    <w:rsid w:val="00073FE2"/>
    <w:rsid w:val="000751AA"/>
    <w:rsid w:val="0007628F"/>
    <w:rsid w:val="000772FF"/>
    <w:rsid w:val="0007796D"/>
    <w:rsid w:val="00077BC4"/>
    <w:rsid w:val="00081815"/>
    <w:rsid w:val="000821DF"/>
    <w:rsid w:val="0008278D"/>
    <w:rsid w:val="0008317C"/>
    <w:rsid w:val="00083322"/>
    <w:rsid w:val="00083B2E"/>
    <w:rsid w:val="00083C53"/>
    <w:rsid w:val="000850E8"/>
    <w:rsid w:val="00085199"/>
    <w:rsid w:val="00085530"/>
    <w:rsid w:val="000865BC"/>
    <w:rsid w:val="0008693F"/>
    <w:rsid w:val="00086DD3"/>
    <w:rsid w:val="000872D5"/>
    <w:rsid w:val="000908FA"/>
    <w:rsid w:val="00090C9F"/>
    <w:rsid w:val="000918CE"/>
    <w:rsid w:val="000919AD"/>
    <w:rsid w:val="0009221F"/>
    <w:rsid w:val="000931C0"/>
    <w:rsid w:val="000936D7"/>
    <w:rsid w:val="00093C0B"/>
    <w:rsid w:val="0009487F"/>
    <w:rsid w:val="00094974"/>
    <w:rsid w:val="00094C48"/>
    <w:rsid w:val="00096AC4"/>
    <w:rsid w:val="00096CF0"/>
    <w:rsid w:val="000970C1"/>
    <w:rsid w:val="00097416"/>
    <w:rsid w:val="000975D0"/>
    <w:rsid w:val="00097AC3"/>
    <w:rsid w:val="000A082B"/>
    <w:rsid w:val="000A0A3D"/>
    <w:rsid w:val="000A0A88"/>
    <w:rsid w:val="000A1799"/>
    <w:rsid w:val="000A2283"/>
    <w:rsid w:val="000A22AD"/>
    <w:rsid w:val="000A34F4"/>
    <w:rsid w:val="000A4090"/>
    <w:rsid w:val="000A40EF"/>
    <w:rsid w:val="000A442E"/>
    <w:rsid w:val="000A4B57"/>
    <w:rsid w:val="000A50A8"/>
    <w:rsid w:val="000A542F"/>
    <w:rsid w:val="000A692B"/>
    <w:rsid w:val="000A6B47"/>
    <w:rsid w:val="000A6C2E"/>
    <w:rsid w:val="000A6C36"/>
    <w:rsid w:val="000A7D92"/>
    <w:rsid w:val="000B175B"/>
    <w:rsid w:val="000B1788"/>
    <w:rsid w:val="000B1A95"/>
    <w:rsid w:val="000B1F33"/>
    <w:rsid w:val="000B2913"/>
    <w:rsid w:val="000B31F7"/>
    <w:rsid w:val="000B3A0F"/>
    <w:rsid w:val="000B4A49"/>
    <w:rsid w:val="000B4EF7"/>
    <w:rsid w:val="000B6CA3"/>
    <w:rsid w:val="000B77CE"/>
    <w:rsid w:val="000C0CFF"/>
    <w:rsid w:val="000C1006"/>
    <w:rsid w:val="000C112C"/>
    <w:rsid w:val="000C2570"/>
    <w:rsid w:val="000C2C03"/>
    <w:rsid w:val="000C2D2E"/>
    <w:rsid w:val="000C2E06"/>
    <w:rsid w:val="000C532E"/>
    <w:rsid w:val="000C6763"/>
    <w:rsid w:val="000C6A16"/>
    <w:rsid w:val="000C6F58"/>
    <w:rsid w:val="000C703B"/>
    <w:rsid w:val="000C710A"/>
    <w:rsid w:val="000C71A2"/>
    <w:rsid w:val="000C769F"/>
    <w:rsid w:val="000C7C9A"/>
    <w:rsid w:val="000D04C5"/>
    <w:rsid w:val="000D0A22"/>
    <w:rsid w:val="000D1CFE"/>
    <w:rsid w:val="000D2214"/>
    <w:rsid w:val="000D4E61"/>
    <w:rsid w:val="000D54B2"/>
    <w:rsid w:val="000D6AB1"/>
    <w:rsid w:val="000D7119"/>
    <w:rsid w:val="000D71AC"/>
    <w:rsid w:val="000D7927"/>
    <w:rsid w:val="000D7CFB"/>
    <w:rsid w:val="000D7DF3"/>
    <w:rsid w:val="000E0415"/>
    <w:rsid w:val="000E0687"/>
    <w:rsid w:val="000E0A4F"/>
    <w:rsid w:val="000E0C6B"/>
    <w:rsid w:val="000E0E8E"/>
    <w:rsid w:val="000E10B6"/>
    <w:rsid w:val="000E133E"/>
    <w:rsid w:val="000E1884"/>
    <w:rsid w:val="000E2BE1"/>
    <w:rsid w:val="000E42FA"/>
    <w:rsid w:val="000E4735"/>
    <w:rsid w:val="000E536B"/>
    <w:rsid w:val="000E567F"/>
    <w:rsid w:val="000E576C"/>
    <w:rsid w:val="000E645D"/>
    <w:rsid w:val="000E6AD2"/>
    <w:rsid w:val="000E6C15"/>
    <w:rsid w:val="000E6E85"/>
    <w:rsid w:val="000E726C"/>
    <w:rsid w:val="000E7797"/>
    <w:rsid w:val="000E7B78"/>
    <w:rsid w:val="000E7D73"/>
    <w:rsid w:val="000F03D7"/>
    <w:rsid w:val="000F0811"/>
    <w:rsid w:val="000F0C6A"/>
    <w:rsid w:val="000F0DAA"/>
    <w:rsid w:val="000F14F5"/>
    <w:rsid w:val="000F1BE3"/>
    <w:rsid w:val="000F277A"/>
    <w:rsid w:val="000F2B93"/>
    <w:rsid w:val="000F3EF9"/>
    <w:rsid w:val="000F4654"/>
    <w:rsid w:val="000F4D7F"/>
    <w:rsid w:val="000F4E65"/>
    <w:rsid w:val="000F570E"/>
    <w:rsid w:val="000F62FD"/>
    <w:rsid w:val="000F648B"/>
    <w:rsid w:val="000F64A9"/>
    <w:rsid w:val="000F691C"/>
    <w:rsid w:val="000F6BEA"/>
    <w:rsid w:val="000F6C51"/>
    <w:rsid w:val="000F6CD5"/>
    <w:rsid w:val="000F76E4"/>
    <w:rsid w:val="000F76E8"/>
    <w:rsid w:val="000F76FA"/>
    <w:rsid w:val="000F7D23"/>
    <w:rsid w:val="000F7DA9"/>
    <w:rsid w:val="000F7E69"/>
    <w:rsid w:val="0010135A"/>
    <w:rsid w:val="00101383"/>
    <w:rsid w:val="001018A9"/>
    <w:rsid w:val="00101921"/>
    <w:rsid w:val="00102A34"/>
    <w:rsid w:val="00102AC0"/>
    <w:rsid w:val="001037D9"/>
    <w:rsid w:val="00103A7A"/>
    <w:rsid w:val="00103D0B"/>
    <w:rsid w:val="00104EB3"/>
    <w:rsid w:val="00106602"/>
    <w:rsid w:val="0010686C"/>
    <w:rsid w:val="0010694D"/>
    <w:rsid w:val="00106AB4"/>
    <w:rsid w:val="00106BA5"/>
    <w:rsid w:val="00106CBF"/>
    <w:rsid w:val="001103AA"/>
    <w:rsid w:val="00110A6B"/>
    <w:rsid w:val="00110B0C"/>
    <w:rsid w:val="00110C53"/>
    <w:rsid w:val="00110E93"/>
    <w:rsid w:val="00111622"/>
    <w:rsid w:val="0011184E"/>
    <w:rsid w:val="00111AAA"/>
    <w:rsid w:val="00112122"/>
    <w:rsid w:val="001122FA"/>
    <w:rsid w:val="00113893"/>
    <w:rsid w:val="00113A2F"/>
    <w:rsid w:val="00113F80"/>
    <w:rsid w:val="00114AD2"/>
    <w:rsid w:val="00114D42"/>
    <w:rsid w:val="00115DDE"/>
    <w:rsid w:val="00115DFF"/>
    <w:rsid w:val="00117EA3"/>
    <w:rsid w:val="0012049E"/>
    <w:rsid w:val="00120E69"/>
    <w:rsid w:val="00121DE4"/>
    <w:rsid w:val="00121F92"/>
    <w:rsid w:val="00123048"/>
    <w:rsid w:val="001235AD"/>
    <w:rsid w:val="00123C3B"/>
    <w:rsid w:val="00123C95"/>
    <w:rsid w:val="00124014"/>
    <w:rsid w:val="0012419E"/>
    <w:rsid w:val="00124442"/>
    <w:rsid w:val="001245B3"/>
    <w:rsid w:val="00124EA1"/>
    <w:rsid w:val="001252BD"/>
    <w:rsid w:val="00125565"/>
    <w:rsid w:val="00125C47"/>
    <w:rsid w:val="00125DB6"/>
    <w:rsid w:val="00125EE5"/>
    <w:rsid w:val="00126BDE"/>
    <w:rsid w:val="00126C6F"/>
    <w:rsid w:val="001277AB"/>
    <w:rsid w:val="00127E7A"/>
    <w:rsid w:val="001306DD"/>
    <w:rsid w:val="0013110B"/>
    <w:rsid w:val="0013235B"/>
    <w:rsid w:val="00132519"/>
    <w:rsid w:val="00132619"/>
    <w:rsid w:val="001328DC"/>
    <w:rsid w:val="00132AF1"/>
    <w:rsid w:val="00132E4D"/>
    <w:rsid w:val="00133611"/>
    <w:rsid w:val="00133871"/>
    <w:rsid w:val="00133C93"/>
    <w:rsid w:val="00133D27"/>
    <w:rsid w:val="00134227"/>
    <w:rsid w:val="00135B56"/>
    <w:rsid w:val="001360BE"/>
    <w:rsid w:val="0013670D"/>
    <w:rsid w:val="00136B20"/>
    <w:rsid w:val="00137D68"/>
    <w:rsid w:val="00140D8D"/>
    <w:rsid w:val="00142087"/>
    <w:rsid w:val="00142286"/>
    <w:rsid w:val="001422C4"/>
    <w:rsid w:val="0014254E"/>
    <w:rsid w:val="001432EE"/>
    <w:rsid w:val="001433AB"/>
    <w:rsid w:val="00143694"/>
    <w:rsid w:val="001440AF"/>
    <w:rsid w:val="00145CA7"/>
    <w:rsid w:val="001460C0"/>
    <w:rsid w:val="00146792"/>
    <w:rsid w:val="00146824"/>
    <w:rsid w:val="00146A22"/>
    <w:rsid w:val="0015032A"/>
    <w:rsid w:val="00151CCD"/>
    <w:rsid w:val="00153530"/>
    <w:rsid w:val="00153FA5"/>
    <w:rsid w:val="00154561"/>
    <w:rsid w:val="00154F56"/>
    <w:rsid w:val="0015515E"/>
    <w:rsid w:val="00156376"/>
    <w:rsid w:val="001573F8"/>
    <w:rsid w:val="00157DFB"/>
    <w:rsid w:val="00160FB9"/>
    <w:rsid w:val="00161364"/>
    <w:rsid w:val="001618C7"/>
    <w:rsid w:val="00161B02"/>
    <w:rsid w:val="00161BAD"/>
    <w:rsid w:val="00161C6C"/>
    <w:rsid w:val="00162A00"/>
    <w:rsid w:val="0016447A"/>
    <w:rsid w:val="0016448F"/>
    <w:rsid w:val="001649C8"/>
    <w:rsid w:val="00165896"/>
    <w:rsid w:val="00165F3A"/>
    <w:rsid w:val="001663EC"/>
    <w:rsid w:val="001668E7"/>
    <w:rsid w:val="00166B00"/>
    <w:rsid w:val="00167487"/>
    <w:rsid w:val="001676A8"/>
    <w:rsid w:val="00170114"/>
    <w:rsid w:val="00171C45"/>
    <w:rsid w:val="00172198"/>
    <w:rsid w:val="001724B7"/>
    <w:rsid w:val="0017277A"/>
    <w:rsid w:val="00172B2B"/>
    <w:rsid w:val="00173A07"/>
    <w:rsid w:val="00173D19"/>
    <w:rsid w:val="0017551B"/>
    <w:rsid w:val="001755E9"/>
    <w:rsid w:val="00175A57"/>
    <w:rsid w:val="00175D19"/>
    <w:rsid w:val="00176262"/>
    <w:rsid w:val="0017676A"/>
    <w:rsid w:val="00176BF6"/>
    <w:rsid w:val="00176FE1"/>
    <w:rsid w:val="001770E3"/>
    <w:rsid w:val="00177A2D"/>
    <w:rsid w:val="00177BA8"/>
    <w:rsid w:val="00177CA5"/>
    <w:rsid w:val="0018052F"/>
    <w:rsid w:val="001806D6"/>
    <w:rsid w:val="00181109"/>
    <w:rsid w:val="0018198B"/>
    <w:rsid w:val="001819EA"/>
    <w:rsid w:val="00182A46"/>
    <w:rsid w:val="00182B97"/>
    <w:rsid w:val="00183968"/>
    <w:rsid w:val="00184A13"/>
    <w:rsid w:val="00184F74"/>
    <w:rsid w:val="00185588"/>
    <w:rsid w:val="00185B6D"/>
    <w:rsid w:val="00185E60"/>
    <w:rsid w:val="00186FD8"/>
    <w:rsid w:val="00187328"/>
    <w:rsid w:val="0019047D"/>
    <w:rsid w:val="00191CB8"/>
    <w:rsid w:val="0019219E"/>
    <w:rsid w:val="001922B2"/>
    <w:rsid w:val="0019269A"/>
    <w:rsid w:val="001928FC"/>
    <w:rsid w:val="00193104"/>
    <w:rsid w:val="00193764"/>
    <w:rsid w:val="00193B80"/>
    <w:rsid w:val="0019468C"/>
    <w:rsid w:val="00194BA6"/>
    <w:rsid w:val="00194C49"/>
    <w:rsid w:val="00194DFC"/>
    <w:rsid w:val="00194E30"/>
    <w:rsid w:val="00194FFE"/>
    <w:rsid w:val="00195514"/>
    <w:rsid w:val="00195FA5"/>
    <w:rsid w:val="00196CDF"/>
    <w:rsid w:val="001975D8"/>
    <w:rsid w:val="001A079F"/>
    <w:rsid w:val="001A0984"/>
    <w:rsid w:val="001A09DE"/>
    <w:rsid w:val="001A0A1D"/>
    <w:rsid w:val="001A0A74"/>
    <w:rsid w:val="001A149B"/>
    <w:rsid w:val="001A17E9"/>
    <w:rsid w:val="001A188E"/>
    <w:rsid w:val="001A1A05"/>
    <w:rsid w:val="001A2576"/>
    <w:rsid w:val="001A2A95"/>
    <w:rsid w:val="001A2E0B"/>
    <w:rsid w:val="001A30F9"/>
    <w:rsid w:val="001A3249"/>
    <w:rsid w:val="001A380F"/>
    <w:rsid w:val="001A4365"/>
    <w:rsid w:val="001A44F4"/>
    <w:rsid w:val="001A457F"/>
    <w:rsid w:val="001A4780"/>
    <w:rsid w:val="001A4EC1"/>
    <w:rsid w:val="001A5755"/>
    <w:rsid w:val="001A58D1"/>
    <w:rsid w:val="001A5EE7"/>
    <w:rsid w:val="001A62D6"/>
    <w:rsid w:val="001A660B"/>
    <w:rsid w:val="001A6686"/>
    <w:rsid w:val="001A723C"/>
    <w:rsid w:val="001A7754"/>
    <w:rsid w:val="001A7BBA"/>
    <w:rsid w:val="001B1953"/>
    <w:rsid w:val="001B216E"/>
    <w:rsid w:val="001B308E"/>
    <w:rsid w:val="001B3659"/>
    <w:rsid w:val="001B3687"/>
    <w:rsid w:val="001B368C"/>
    <w:rsid w:val="001B400C"/>
    <w:rsid w:val="001B4041"/>
    <w:rsid w:val="001B4624"/>
    <w:rsid w:val="001B4B04"/>
    <w:rsid w:val="001B4F72"/>
    <w:rsid w:val="001B55BE"/>
    <w:rsid w:val="001B712C"/>
    <w:rsid w:val="001B734D"/>
    <w:rsid w:val="001B7CF6"/>
    <w:rsid w:val="001B7FAC"/>
    <w:rsid w:val="001C276E"/>
    <w:rsid w:val="001C2CC8"/>
    <w:rsid w:val="001C326D"/>
    <w:rsid w:val="001C3B0A"/>
    <w:rsid w:val="001C3E8C"/>
    <w:rsid w:val="001C4BD3"/>
    <w:rsid w:val="001C5129"/>
    <w:rsid w:val="001C538B"/>
    <w:rsid w:val="001C58E3"/>
    <w:rsid w:val="001C6016"/>
    <w:rsid w:val="001C657F"/>
    <w:rsid w:val="001C6663"/>
    <w:rsid w:val="001C688E"/>
    <w:rsid w:val="001C6B47"/>
    <w:rsid w:val="001C704B"/>
    <w:rsid w:val="001C7895"/>
    <w:rsid w:val="001D04B8"/>
    <w:rsid w:val="001D09F9"/>
    <w:rsid w:val="001D0C8C"/>
    <w:rsid w:val="001D1B56"/>
    <w:rsid w:val="001D2097"/>
    <w:rsid w:val="001D20EA"/>
    <w:rsid w:val="001D26DF"/>
    <w:rsid w:val="001D2754"/>
    <w:rsid w:val="001D2861"/>
    <w:rsid w:val="001D384D"/>
    <w:rsid w:val="001D3A03"/>
    <w:rsid w:val="001D4429"/>
    <w:rsid w:val="001D4B84"/>
    <w:rsid w:val="001D4FDB"/>
    <w:rsid w:val="001D50CE"/>
    <w:rsid w:val="001D5307"/>
    <w:rsid w:val="001D5C81"/>
    <w:rsid w:val="001D659F"/>
    <w:rsid w:val="001D68E1"/>
    <w:rsid w:val="001D7032"/>
    <w:rsid w:val="001D7415"/>
    <w:rsid w:val="001E06D9"/>
    <w:rsid w:val="001E06DF"/>
    <w:rsid w:val="001E08C3"/>
    <w:rsid w:val="001E0966"/>
    <w:rsid w:val="001E10EC"/>
    <w:rsid w:val="001E1235"/>
    <w:rsid w:val="001E175D"/>
    <w:rsid w:val="001E1863"/>
    <w:rsid w:val="001E18F8"/>
    <w:rsid w:val="001E1A5C"/>
    <w:rsid w:val="001E1C3A"/>
    <w:rsid w:val="001E3029"/>
    <w:rsid w:val="001E33AB"/>
    <w:rsid w:val="001E357C"/>
    <w:rsid w:val="001E3A36"/>
    <w:rsid w:val="001E44E4"/>
    <w:rsid w:val="001E48A9"/>
    <w:rsid w:val="001E6800"/>
    <w:rsid w:val="001E68DA"/>
    <w:rsid w:val="001E786A"/>
    <w:rsid w:val="001F0C5F"/>
    <w:rsid w:val="001F0CCA"/>
    <w:rsid w:val="001F11C8"/>
    <w:rsid w:val="001F156C"/>
    <w:rsid w:val="001F1833"/>
    <w:rsid w:val="001F2774"/>
    <w:rsid w:val="001F2971"/>
    <w:rsid w:val="001F2FE5"/>
    <w:rsid w:val="001F468C"/>
    <w:rsid w:val="001F52F7"/>
    <w:rsid w:val="001F555A"/>
    <w:rsid w:val="001F6654"/>
    <w:rsid w:val="001F6980"/>
    <w:rsid w:val="001F75D3"/>
    <w:rsid w:val="001F7DD6"/>
    <w:rsid w:val="001F7FC8"/>
    <w:rsid w:val="00200A64"/>
    <w:rsid w:val="00200CC4"/>
    <w:rsid w:val="00200F03"/>
    <w:rsid w:val="002012C3"/>
    <w:rsid w:val="002027B1"/>
    <w:rsid w:val="00202DA8"/>
    <w:rsid w:val="00203732"/>
    <w:rsid w:val="00203CA7"/>
    <w:rsid w:val="002056D6"/>
    <w:rsid w:val="0020739A"/>
    <w:rsid w:val="00210214"/>
    <w:rsid w:val="00210AE2"/>
    <w:rsid w:val="00210CE0"/>
    <w:rsid w:val="002112A4"/>
    <w:rsid w:val="002117EE"/>
    <w:rsid w:val="00211E0B"/>
    <w:rsid w:val="00212027"/>
    <w:rsid w:val="00212CF7"/>
    <w:rsid w:val="002130C2"/>
    <w:rsid w:val="002131E1"/>
    <w:rsid w:val="00214B06"/>
    <w:rsid w:val="0021530B"/>
    <w:rsid w:val="00215D24"/>
    <w:rsid w:val="002161DC"/>
    <w:rsid w:val="00216283"/>
    <w:rsid w:val="00216A79"/>
    <w:rsid w:val="00216B0D"/>
    <w:rsid w:val="00217500"/>
    <w:rsid w:val="00217AE4"/>
    <w:rsid w:val="00217CED"/>
    <w:rsid w:val="00217DDD"/>
    <w:rsid w:val="00217E1A"/>
    <w:rsid w:val="00221C7C"/>
    <w:rsid w:val="00222072"/>
    <w:rsid w:val="0022219E"/>
    <w:rsid w:val="0022221C"/>
    <w:rsid w:val="002222A7"/>
    <w:rsid w:val="00222DFC"/>
    <w:rsid w:val="002241F2"/>
    <w:rsid w:val="0022501D"/>
    <w:rsid w:val="00225E5B"/>
    <w:rsid w:val="0022665C"/>
    <w:rsid w:val="00226F34"/>
    <w:rsid w:val="00226F53"/>
    <w:rsid w:val="00227BDE"/>
    <w:rsid w:val="00230A7C"/>
    <w:rsid w:val="002310A9"/>
    <w:rsid w:val="002313C7"/>
    <w:rsid w:val="00231675"/>
    <w:rsid w:val="00231C9F"/>
    <w:rsid w:val="0023210C"/>
    <w:rsid w:val="002327EC"/>
    <w:rsid w:val="00232832"/>
    <w:rsid w:val="00232D9D"/>
    <w:rsid w:val="00235CC1"/>
    <w:rsid w:val="00236009"/>
    <w:rsid w:val="00236D66"/>
    <w:rsid w:val="0023784B"/>
    <w:rsid w:val="00240C2F"/>
    <w:rsid w:val="002414CD"/>
    <w:rsid w:val="00241599"/>
    <w:rsid w:val="00241D40"/>
    <w:rsid w:val="00242229"/>
    <w:rsid w:val="00243ABE"/>
    <w:rsid w:val="00243DD1"/>
    <w:rsid w:val="00244127"/>
    <w:rsid w:val="00244932"/>
    <w:rsid w:val="00244A62"/>
    <w:rsid w:val="00244EDE"/>
    <w:rsid w:val="002450F8"/>
    <w:rsid w:val="002451F6"/>
    <w:rsid w:val="00245DF8"/>
    <w:rsid w:val="00250361"/>
    <w:rsid w:val="00250954"/>
    <w:rsid w:val="00252170"/>
    <w:rsid w:val="00253C31"/>
    <w:rsid w:val="00253E54"/>
    <w:rsid w:val="002541DD"/>
    <w:rsid w:val="00255D2B"/>
    <w:rsid w:val="00255DA3"/>
    <w:rsid w:val="002569AF"/>
    <w:rsid w:val="0025725A"/>
    <w:rsid w:val="00261620"/>
    <w:rsid w:val="00261810"/>
    <w:rsid w:val="00261815"/>
    <w:rsid w:val="00261F5D"/>
    <w:rsid w:val="00261FCF"/>
    <w:rsid w:val="002632E7"/>
    <w:rsid w:val="002633C4"/>
    <w:rsid w:val="002634C8"/>
    <w:rsid w:val="002634EE"/>
    <w:rsid w:val="00263D4E"/>
    <w:rsid w:val="0026447F"/>
    <w:rsid w:val="002649FE"/>
    <w:rsid w:val="00264BB4"/>
    <w:rsid w:val="00264CD2"/>
    <w:rsid w:val="00265113"/>
    <w:rsid w:val="00265136"/>
    <w:rsid w:val="002652CE"/>
    <w:rsid w:val="00266C10"/>
    <w:rsid w:val="00267449"/>
    <w:rsid w:val="00267CEE"/>
    <w:rsid w:val="00267F5F"/>
    <w:rsid w:val="00270750"/>
    <w:rsid w:val="0027131E"/>
    <w:rsid w:val="0027161C"/>
    <w:rsid w:val="00272ADF"/>
    <w:rsid w:val="00272EB6"/>
    <w:rsid w:val="0027376E"/>
    <w:rsid w:val="002743EE"/>
    <w:rsid w:val="002744F0"/>
    <w:rsid w:val="0027570D"/>
    <w:rsid w:val="002767FA"/>
    <w:rsid w:val="002768EA"/>
    <w:rsid w:val="00276FD7"/>
    <w:rsid w:val="00277604"/>
    <w:rsid w:val="00277C02"/>
    <w:rsid w:val="002806BC"/>
    <w:rsid w:val="002809CE"/>
    <w:rsid w:val="00280C5F"/>
    <w:rsid w:val="00280D66"/>
    <w:rsid w:val="00281129"/>
    <w:rsid w:val="00281E04"/>
    <w:rsid w:val="002824C8"/>
    <w:rsid w:val="0028257D"/>
    <w:rsid w:val="00282D4B"/>
    <w:rsid w:val="002834D2"/>
    <w:rsid w:val="002834E0"/>
    <w:rsid w:val="002838D5"/>
    <w:rsid w:val="00284116"/>
    <w:rsid w:val="00284FD1"/>
    <w:rsid w:val="002857E6"/>
    <w:rsid w:val="00285B75"/>
    <w:rsid w:val="00285EDC"/>
    <w:rsid w:val="002862CF"/>
    <w:rsid w:val="0028645E"/>
    <w:rsid w:val="00286B4D"/>
    <w:rsid w:val="00286F90"/>
    <w:rsid w:val="00287280"/>
    <w:rsid w:val="00287FA2"/>
    <w:rsid w:val="002901F1"/>
    <w:rsid w:val="002903BD"/>
    <w:rsid w:val="00290F51"/>
    <w:rsid w:val="00291160"/>
    <w:rsid w:val="002915E7"/>
    <w:rsid w:val="00291877"/>
    <w:rsid w:val="00292787"/>
    <w:rsid w:val="00292E26"/>
    <w:rsid w:val="00292EB3"/>
    <w:rsid w:val="00294F9E"/>
    <w:rsid w:val="0029502C"/>
    <w:rsid w:val="002953DD"/>
    <w:rsid w:val="00295EFB"/>
    <w:rsid w:val="00295FFA"/>
    <w:rsid w:val="0029607D"/>
    <w:rsid w:val="002974A6"/>
    <w:rsid w:val="002A0192"/>
    <w:rsid w:val="002A03BE"/>
    <w:rsid w:val="002A05CC"/>
    <w:rsid w:val="002A1F55"/>
    <w:rsid w:val="002A2334"/>
    <w:rsid w:val="002A239B"/>
    <w:rsid w:val="002A2AC7"/>
    <w:rsid w:val="002A2F19"/>
    <w:rsid w:val="002A4421"/>
    <w:rsid w:val="002A5021"/>
    <w:rsid w:val="002A5E37"/>
    <w:rsid w:val="002A5FC2"/>
    <w:rsid w:val="002A619F"/>
    <w:rsid w:val="002A7CD0"/>
    <w:rsid w:val="002B0FC2"/>
    <w:rsid w:val="002B1157"/>
    <w:rsid w:val="002B1375"/>
    <w:rsid w:val="002B14ED"/>
    <w:rsid w:val="002B2204"/>
    <w:rsid w:val="002B2459"/>
    <w:rsid w:val="002B27AB"/>
    <w:rsid w:val="002B28EA"/>
    <w:rsid w:val="002B2CF2"/>
    <w:rsid w:val="002B2F2B"/>
    <w:rsid w:val="002B3026"/>
    <w:rsid w:val="002B3574"/>
    <w:rsid w:val="002B3DA5"/>
    <w:rsid w:val="002B3F1E"/>
    <w:rsid w:val="002B3FA5"/>
    <w:rsid w:val="002B424D"/>
    <w:rsid w:val="002B4894"/>
    <w:rsid w:val="002B4AC8"/>
    <w:rsid w:val="002B52F2"/>
    <w:rsid w:val="002B56E0"/>
    <w:rsid w:val="002B5BDB"/>
    <w:rsid w:val="002B623E"/>
    <w:rsid w:val="002B63A0"/>
    <w:rsid w:val="002B6AC5"/>
    <w:rsid w:val="002B6C74"/>
    <w:rsid w:val="002B7745"/>
    <w:rsid w:val="002B7964"/>
    <w:rsid w:val="002B7C4F"/>
    <w:rsid w:val="002C027A"/>
    <w:rsid w:val="002C032D"/>
    <w:rsid w:val="002C051F"/>
    <w:rsid w:val="002C0E57"/>
    <w:rsid w:val="002C15A4"/>
    <w:rsid w:val="002C16FA"/>
    <w:rsid w:val="002C19B8"/>
    <w:rsid w:val="002C1B72"/>
    <w:rsid w:val="002C25DB"/>
    <w:rsid w:val="002C3A9B"/>
    <w:rsid w:val="002C3C84"/>
    <w:rsid w:val="002C4B41"/>
    <w:rsid w:val="002C4E74"/>
    <w:rsid w:val="002C4F50"/>
    <w:rsid w:val="002C5711"/>
    <w:rsid w:val="002C5BCD"/>
    <w:rsid w:val="002C70BF"/>
    <w:rsid w:val="002C73A8"/>
    <w:rsid w:val="002D06E5"/>
    <w:rsid w:val="002D09B5"/>
    <w:rsid w:val="002D0F50"/>
    <w:rsid w:val="002D146C"/>
    <w:rsid w:val="002D188C"/>
    <w:rsid w:val="002D1C94"/>
    <w:rsid w:val="002D28BC"/>
    <w:rsid w:val="002D2D50"/>
    <w:rsid w:val="002D3837"/>
    <w:rsid w:val="002D38A3"/>
    <w:rsid w:val="002D3A6B"/>
    <w:rsid w:val="002D3AF5"/>
    <w:rsid w:val="002D46DB"/>
    <w:rsid w:val="002D49A0"/>
    <w:rsid w:val="002D5EC0"/>
    <w:rsid w:val="002D5ECE"/>
    <w:rsid w:val="002D6106"/>
    <w:rsid w:val="002D63A1"/>
    <w:rsid w:val="002D727C"/>
    <w:rsid w:val="002E0305"/>
    <w:rsid w:val="002E086B"/>
    <w:rsid w:val="002E0B71"/>
    <w:rsid w:val="002E1323"/>
    <w:rsid w:val="002E1A57"/>
    <w:rsid w:val="002E4042"/>
    <w:rsid w:val="002E47BD"/>
    <w:rsid w:val="002E4AD6"/>
    <w:rsid w:val="002E4ECF"/>
    <w:rsid w:val="002E57E9"/>
    <w:rsid w:val="002F039C"/>
    <w:rsid w:val="002F053D"/>
    <w:rsid w:val="002F0B88"/>
    <w:rsid w:val="002F14CA"/>
    <w:rsid w:val="002F175C"/>
    <w:rsid w:val="002F1CC4"/>
    <w:rsid w:val="002F3EEA"/>
    <w:rsid w:val="002F410F"/>
    <w:rsid w:val="002F4E01"/>
    <w:rsid w:val="002F5428"/>
    <w:rsid w:val="002F56D8"/>
    <w:rsid w:val="002F5896"/>
    <w:rsid w:val="002F5D0C"/>
    <w:rsid w:val="002F5DCB"/>
    <w:rsid w:val="002F709A"/>
    <w:rsid w:val="002F772E"/>
    <w:rsid w:val="002F781E"/>
    <w:rsid w:val="002F7A1E"/>
    <w:rsid w:val="002F7FDC"/>
    <w:rsid w:val="00300FEE"/>
    <w:rsid w:val="00301072"/>
    <w:rsid w:val="0030138D"/>
    <w:rsid w:val="00301610"/>
    <w:rsid w:val="00301BD4"/>
    <w:rsid w:val="00301E0F"/>
    <w:rsid w:val="003026C7"/>
    <w:rsid w:val="00302727"/>
    <w:rsid w:val="00302B44"/>
    <w:rsid w:val="00302EE9"/>
    <w:rsid w:val="00303042"/>
    <w:rsid w:val="00303D16"/>
    <w:rsid w:val="003047D3"/>
    <w:rsid w:val="00306124"/>
    <w:rsid w:val="00306470"/>
    <w:rsid w:val="0030672F"/>
    <w:rsid w:val="003102B1"/>
    <w:rsid w:val="00310902"/>
    <w:rsid w:val="00310E43"/>
    <w:rsid w:val="00310E7B"/>
    <w:rsid w:val="00310F2C"/>
    <w:rsid w:val="0031167A"/>
    <w:rsid w:val="003121FB"/>
    <w:rsid w:val="00312AD0"/>
    <w:rsid w:val="00314415"/>
    <w:rsid w:val="00314A18"/>
    <w:rsid w:val="00314A97"/>
    <w:rsid w:val="00315DF2"/>
    <w:rsid w:val="00316FB9"/>
    <w:rsid w:val="0031790F"/>
    <w:rsid w:val="00320482"/>
    <w:rsid w:val="00320E07"/>
    <w:rsid w:val="00320F32"/>
    <w:rsid w:val="003216FB"/>
    <w:rsid w:val="003218C7"/>
    <w:rsid w:val="00321BF2"/>
    <w:rsid w:val="003220F0"/>
    <w:rsid w:val="00322633"/>
    <w:rsid w:val="00322881"/>
    <w:rsid w:val="003229D8"/>
    <w:rsid w:val="00322ACB"/>
    <w:rsid w:val="0032348D"/>
    <w:rsid w:val="003235C8"/>
    <w:rsid w:val="00323A2B"/>
    <w:rsid w:val="00325136"/>
    <w:rsid w:val="00325959"/>
    <w:rsid w:val="00326293"/>
    <w:rsid w:val="00326581"/>
    <w:rsid w:val="00326A95"/>
    <w:rsid w:val="0032709F"/>
    <w:rsid w:val="00327502"/>
    <w:rsid w:val="00331781"/>
    <w:rsid w:val="003323D4"/>
    <w:rsid w:val="00332455"/>
    <w:rsid w:val="00332B1E"/>
    <w:rsid w:val="00332D5C"/>
    <w:rsid w:val="003335F5"/>
    <w:rsid w:val="00333921"/>
    <w:rsid w:val="00333D62"/>
    <w:rsid w:val="00333E0C"/>
    <w:rsid w:val="00335C4B"/>
    <w:rsid w:val="00335D6C"/>
    <w:rsid w:val="003362ED"/>
    <w:rsid w:val="003365EC"/>
    <w:rsid w:val="00336839"/>
    <w:rsid w:val="00336FB0"/>
    <w:rsid w:val="00337A47"/>
    <w:rsid w:val="00340843"/>
    <w:rsid w:val="00341075"/>
    <w:rsid w:val="0034251C"/>
    <w:rsid w:val="003425CE"/>
    <w:rsid w:val="003426FC"/>
    <w:rsid w:val="003429C8"/>
    <w:rsid w:val="00342D6C"/>
    <w:rsid w:val="0034455C"/>
    <w:rsid w:val="0034486F"/>
    <w:rsid w:val="00344DC3"/>
    <w:rsid w:val="00345256"/>
    <w:rsid w:val="003464C6"/>
    <w:rsid w:val="00346547"/>
    <w:rsid w:val="003465C8"/>
    <w:rsid w:val="003467FE"/>
    <w:rsid w:val="00346980"/>
    <w:rsid w:val="00346DE7"/>
    <w:rsid w:val="003475A4"/>
    <w:rsid w:val="0034792E"/>
    <w:rsid w:val="00347D01"/>
    <w:rsid w:val="0035018D"/>
    <w:rsid w:val="0035049F"/>
    <w:rsid w:val="00350592"/>
    <w:rsid w:val="0035151F"/>
    <w:rsid w:val="003520AF"/>
    <w:rsid w:val="00352709"/>
    <w:rsid w:val="00352821"/>
    <w:rsid w:val="00352BF8"/>
    <w:rsid w:val="00352C1F"/>
    <w:rsid w:val="00352C5D"/>
    <w:rsid w:val="00352D2B"/>
    <w:rsid w:val="00353FD8"/>
    <w:rsid w:val="00354774"/>
    <w:rsid w:val="00354AA8"/>
    <w:rsid w:val="00354AF2"/>
    <w:rsid w:val="00355BD5"/>
    <w:rsid w:val="00355F27"/>
    <w:rsid w:val="00356AAB"/>
    <w:rsid w:val="00356EEF"/>
    <w:rsid w:val="00357A90"/>
    <w:rsid w:val="00360EAD"/>
    <w:rsid w:val="00361FFC"/>
    <w:rsid w:val="0036213E"/>
    <w:rsid w:val="00362869"/>
    <w:rsid w:val="00362A25"/>
    <w:rsid w:val="00362F0A"/>
    <w:rsid w:val="003634F2"/>
    <w:rsid w:val="0036374D"/>
    <w:rsid w:val="00364789"/>
    <w:rsid w:val="00364901"/>
    <w:rsid w:val="003652A0"/>
    <w:rsid w:val="003652E2"/>
    <w:rsid w:val="00365AB4"/>
    <w:rsid w:val="003661AB"/>
    <w:rsid w:val="003662CA"/>
    <w:rsid w:val="0036645D"/>
    <w:rsid w:val="00366E74"/>
    <w:rsid w:val="00367567"/>
    <w:rsid w:val="003676F4"/>
    <w:rsid w:val="003705C9"/>
    <w:rsid w:val="00370C0D"/>
    <w:rsid w:val="00370EED"/>
    <w:rsid w:val="00371178"/>
    <w:rsid w:val="00371327"/>
    <w:rsid w:val="003713E0"/>
    <w:rsid w:val="003719B4"/>
    <w:rsid w:val="0037204F"/>
    <w:rsid w:val="003721BC"/>
    <w:rsid w:val="00372AE6"/>
    <w:rsid w:val="00372E2F"/>
    <w:rsid w:val="00372E90"/>
    <w:rsid w:val="003730DD"/>
    <w:rsid w:val="00373B14"/>
    <w:rsid w:val="00374609"/>
    <w:rsid w:val="00374D5A"/>
    <w:rsid w:val="003762A0"/>
    <w:rsid w:val="00376745"/>
    <w:rsid w:val="00376E67"/>
    <w:rsid w:val="0037720E"/>
    <w:rsid w:val="003800DE"/>
    <w:rsid w:val="0038044A"/>
    <w:rsid w:val="003815C6"/>
    <w:rsid w:val="00381975"/>
    <w:rsid w:val="00381DBA"/>
    <w:rsid w:val="00381FAD"/>
    <w:rsid w:val="003821D3"/>
    <w:rsid w:val="00382795"/>
    <w:rsid w:val="00382EE8"/>
    <w:rsid w:val="0038336C"/>
    <w:rsid w:val="00383481"/>
    <w:rsid w:val="003837F1"/>
    <w:rsid w:val="00383F4C"/>
    <w:rsid w:val="00383F7E"/>
    <w:rsid w:val="003849C4"/>
    <w:rsid w:val="0038684E"/>
    <w:rsid w:val="00386954"/>
    <w:rsid w:val="00386A7B"/>
    <w:rsid w:val="00386AC2"/>
    <w:rsid w:val="00386EF5"/>
    <w:rsid w:val="003871ED"/>
    <w:rsid w:val="00387B53"/>
    <w:rsid w:val="0039046C"/>
    <w:rsid w:val="00390A83"/>
    <w:rsid w:val="0039136C"/>
    <w:rsid w:val="00391978"/>
    <w:rsid w:val="00392121"/>
    <w:rsid w:val="00392A35"/>
    <w:rsid w:val="0039361F"/>
    <w:rsid w:val="00393666"/>
    <w:rsid w:val="00393F8E"/>
    <w:rsid w:val="003942F0"/>
    <w:rsid w:val="003945BF"/>
    <w:rsid w:val="00394A4C"/>
    <w:rsid w:val="00394F7A"/>
    <w:rsid w:val="00395395"/>
    <w:rsid w:val="0039556A"/>
    <w:rsid w:val="00395953"/>
    <w:rsid w:val="003959E4"/>
    <w:rsid w:val="00396BAE"/>
    <w:rsid w:val="00397223"/>
    <w:rsid w:val="003973D0"/>
    <w:rsid w:val="003A08A6"/>
    <w:rsid w:val="003A0984"/>
    <w:rsid w:val="003A1602"/>
    <w:rsid w:val="003A1A3F"/>
    <w:rsid w:val="003A2106"/>
    <w:rsid w:val="003A22FB"/>
    <w:rsid w:val="003A299D"/>
    <w:rsid w:val="003A3B53"/>
    <w:rsid w:val="003A3C43"/>
    <w:rsid w:val="003A4304"/>
    <w:rsid w:val="003A5380"/>
    <w:rsid w:val="003A53F7"/>
    <w:rsid w:val="003A5830"/>
    <w:rsid w:val="003A6810"/>
    <w:rsid w:val="003A6BB4"/>
    <w:rsid w:val="003B028D"/>
    <w:rsid w:val="003B1756"/>
    <w:rsid w:val="003B4048"/>
    <w:rsid w:val="003B483A"/>
    <w:rsid w:val="003B4890"/>
    <w:rsid w:val="003B59D4"/>
    <w:rsid w:val="003B5B0A"/>
    <w:rsid w:val="003B6175"/>
    <w:rsid w:val="003B7955"/>
    <w:rsid w:val="003B7C03"/>
    <w:rsid w:val="003C02AB"/>
    <w:rsid w:val="003C0820"/>
    <w:rsid w:val="003C1A26"/>
    <w:rsid w:val="003C2CC4"/>
    <w:rsid w:val="003C4DEF"/>
    <w:rsid w:val="003C558C"/>
    <w:rsid w:val="003C74C5"/>
    <w:rsid w:val="003C75CA"/>
    <w:rsid w:val="003C7D49"/>
    <w:rsid w:val="003D022D"/>
    <w:rsid w:val="003D0290"/>
    <w:rsid w:val="003D0872"/>
    <w:rsid w:val="003D1310"/>
    <w:rsid w:val="003D1820"/>
    <w:rsid w:val="003D2644"/>
    <w:rsid w:val="003D2AA6"/>
    <w:rsid w:val="003D3545"/>
    <w:rsid w:val="003D3CF9"/>
    <w:rsid w:val="003D4143"/>
    <w:rsid w:val="003D4794"/>
    <w:rsid w:val="003D4B23"/>
    <w:rsid w:val="003D4DC6"/>
    <w:rsid w:val="003D4E7B"/>
    <w:rsid w:val="003D56B0"/>
    <w:rsid w:val="003E064C"/>
    <w:rsid w:val="003E1596"/>
    <w:rsid w:val="003E1C43"/>
    <w:rsid w:val="003E20F8"/>
    <w:rsid w:val="003E219E"/>
    <w:rsid w:val="003E22F5"/>
    <w:rsid w:val="003E3065"/>
    <w:rsid w:val="003E39B7"/>
    <w:rsid w:val="003E3ACD"/>
    <w:rsid w:val="003E3CF4"/>
    <w:rsid w:val="003E3DF3"/>
    <w:rsid w:val="003E493F"/>
    <w:rsid w:val="003E4A7B"/>
    <w:rsid w:val="003E4B7B"/>
    <w:rsid w:val="003E52A2"/>
    <w:rsid w:val="003E5EC0"/>
    <w:rsid w:val="003E64CC"/>
    <w:rsid w:val="003E6821"/>
    <w:rsid w:val="003E6A45"/>
    <w:rsid w:val="003E6D09"/>
    <w:rsid w:val="003E6F7E"/>
    <w:rsid w:val="003E723E"/>
    <w:rsid w:val="003F2595"/>
    <w:rsid w:val="003F26F3"/>
    <w:rsid w:val="003F3D02"/>
    <w:rsid w:val="003F403A"/>
    <w:rsid w:val="003F6100"/>
    <w:rsid w:val="003F6125"/>
    <w:rsid w:val="003F71B0"/>
    <w:rsid w:val="00400ACF"/>
    <w:rsid w:val="00400DB8"/>
    <w:rsid w:val="0040136F"/>
    <w:rsid w:val="00401429"/>
    <w:rsid w:val="004016C9"/>
    <w:rsid w:val="00401BF0"/>
    <w:rsid w:val="00402458"/>
    <w:rsid w:val="00403223"/>
    <w:rsid w:val="00403387"/>
    <w:rsid w:val="004038EC"/>
    <w:rsid w:val="00403BAA"/>
    <w:rsid w:val="00403D97"/>
    <w:rsid w:val="0040413A"/>
    <w:rsid w:val="004050B9"/>
    <w:rsid w:val="00405473"/>
    <w:rsid w:val="00406047"/>
    <w:rsid w:val="00407474"/>
    <w:rsid w:val="00407B69"/>
    <w:rsid w:val="0041050D"/>
    <w:rsid w:val="00410A83"/>
    <w:rsid w:val="00410C89"/>
    <w:rsid w:val="00410E3C"/>
    <w:rsid w:val="00410FB0"/>
    <w:rsid w:val="004113B2"/>
    <w:rsid w:val="00411A0F"/>
    <w:rsid w:val="00411B61"/>
    <w:rsid w:val="00412A50"/>
    <w:rsid w:val="0041405E"/>
    <w:rsid w:val="004147D4"/>
    <w:rsid w:val="00414846"/>
    <w:rsid w:val="00414931"/>
    <w:rsid w:val="00414B35"/>
    <w:rsid w:val="00415AC9"/>
    <w:rsid w:val="00415BA0"/>
    <w:rsid w:val="00416060"/>
    <w:rsid w:val="004175B5"/>
    <w:rsid w:val="0041795A"/>
    <w:rsid w:val="004179B3"/>
    <w:rsid w:val="00417B24"/>
    <w:rsid w:val="00420515"/>
    <w:rsid w:val="00420855"/>
    <w:rsid w:val="004223A7"/>
    <w:rsid w:val="004223B6"/>
    <w:rsid w:val="004228D5"/>
    <w:rsid w:val="00422F31"/>
    <w:rsid w:val="00423338"/>
    <w:rsid w:val="00423DAC"/>
    <w:rsid w:val="00424479"/>
    <w:rsid w:val="00424534"/>
    <w:rsid w:val="00424AD8"/>
    <w:rsid w:val="0042553F"/>
    <w:rsid w:val="004258D7"/>
    <w:rsid w:val="0042621F"/>
    <w:rsid w:val="00426B9B"/>
    <w:rsid w:val="004300C9"/>
    <w:rsid w:val="00430E84"/>
    <w:rsid w:val="00430F99"/>
    <w:rsid w:val="004311E3"/>
    <w:rsid w:val="00431FE1"/>
    <w:rsid w:val="004325CB"/>
    <w:rsid w:val="004327E0"/>
    <w:rsid w:val="0043302B"/>
    <w:rsid w:val="004331A3"/>
    <w:rsid w:val="004331DD"/>
    <w:rsid w:val="00433584"/>
    <w:rsid w:val="004346B9"/>
    <w:rsid w:val="00434765"/>
    <w:rsid w:val="004347CE"/>
    <w:rsid w:val="00434F9E"/>
    <w:rsid w:val="004350FC"/>
    <w:rsid w:val="004353E0"/>
    <w:rsid w:val="0043559E"/>
    <w:rsid w:val="00435D83"/>
    <w:rsid w:val="00436142"/>
    <w:rsid w:val="00436339"/>
    <w:rsid w:val="00436B33"/>
    <w:rsid w:val="00436C67"/>
    <w:rsid w:val="00436C7F"/>
    <w:rsid w:val="00440E04"/>
    <w:rsid w:val="0044155F"/>
    <w:rsid w:val="00441BE8"/>
    <w:rsid w:val="0044209E"/>
    <w:rsid w:val="00442A83"/>
    <w:rsid w:val="00442E22"/>
    <w:rsid w:val="00442F2A"/>
    <w:rsid w:val="00443039"/>
    <w:rsid w:val="00443746"/>
    <w:rsid w:val="0044393A"/>
    <w:rsid w:val="00443EE9"/>
    <w:rsid w:val="004445FA"/>
    <w:rsid w:val="0044460C"/>
    <w:rsid w:val="0044548C"/>
    <w:rsid w:val="004459DF"/>
    <w:rsid w:val="00446076"/>
    <w:rsid w:val="00446B75"/>
    <w:rsid w:val="00446E96"/>
    <w:rsid w:val="00447918"/>
    <w:rsid w:val="00450A3B"/>
    <w:rsid w:val="004514F6"/>
    <w:rsid w:val="00451917"/>
    <w:rsid w:val="00452852"/>
    <w:rsid w:val="0045346F"/>
    <w:rsid w:val="004536EF"/>
    <w:rsid w:val="0045495B"/>
    <w:rsid w:val="00455148"/>
    <w:rsid w:val="00455461"/>
    <w:rsid w:val="00455646"/>
    <w:rsid w:val="00455900"/>
    <w:rsid w:val="00455E68"/>
    <w:rsid w:val="00456152"/>
    <w:rsid w:val="004564AB"/>
    <w:rsid w:val="00456893"/>
    <w:rsid w:val="00456EB9"/>
    <w:rsid w:val="00457072"/>
    <w:rsid w:val="004570B8"/>
    <w:rsid w:val="0045724F"/>
    <w:rsid w:val="0045741F"/>
    <w:rsid w:val="00457E02"/>
    <w:rsid w:val="00457E0B"/>
    <w:rsid w:val="0046005B"/>
    <w:rsid w:val="00460E2A"/>
    <w:rsid w:val="00461924"/>
    <w:rsid w:val="00461F9F"/>
    <w:rsid w:val="00463A3B"/>
    <w:rsid w:val="00463E4A"/>
    <w:rsid w:val="00464274"/>
    <w:rsid w:val="00465965"/>
    <w:rsid w:val="00466844"/>
    <w:rsid w:val="004668B4"/>
    <w:rsid w:val="00466B4C"/>
    <w:rsid w:val="00466F9C"/>
    <w:rsid w:val="004675D0"/>
    <w:rsid w:val="00467903"/>
    <w:rsid w:val="0046795E"/>
    <w:rsid w:val="00467D3A"/>
    <w:rsid w:val="0047073D"/>
    <w:rsid w:val="00470AF9"/>
    <w:rsid w:val="004716E3"/>
    <w:rsid w:val="0047261F"/>
    <w:rsid w:val="00472DB9"/>
    <w:rsid w:val="0047326D"/>
    <w:rsid w:val="004734D9"/>
    <w:rsid w:val="00473963"/>
    <w:rsid w:val="00473993"/>
    <w:rsid w:val="004748BA"/>
    <w:rsid w:val="00475A49"/>
    <w:rsid w:val="004768B9"/>
    <w:rsid w:val="0047766F"/>
    <w:rsid w:val="00480209"/>
    <w:rsid w:val="0048154F"/>
    <w:rsid w:val="004821F5"/>
    <w:rsid w:val="004832AC"/>
    <w:rsid w:val="004838A6"/>
    <w:rsid w:val="00483BBE"/>
    <w:rsid w:val="00483D1D"/>
    <w:rsid w:val="00483EF4"/>
    <w:rsid w:val="00484B45"/>
    <w:rsid w:val="0048503E"/>
    <w:rsid w:val="00485749"/>
    <w:rsid w:val="00485759"/>
    <w:rsid w:val="0048592E"/>
    <w:rsid w:val="0048637B"/>
    <w:rsid w:val="0048685F"/>
    <w:rsid w:val="00486877"/>
    <w:rsid w:val="00487256"/>
    <w:rsid w:val="0048737D"/>
    <w:rsid w:val="00487488"/>
    <w:rsid w:val="004878BF"/>
    <w:rsid w:val="004918C1"/>
    <w:rsid w:val="0049219B"/>
    <w:rsid w:val="00492738"/>
    <w:rsid w:val="00493CC2"/>
    <w:rsid w:val="00493FDC"/>
    <w:rsid w:val="00494846"/>
    <w:rsid w:val="00494C0F"/>
    <w:rsid w:val="00495737"/>
    <w:rsid w:val="00495D7E"/>
    <w:rsid w:val="0049638D"/>
    <w:rsid w:val="00496F9B"/>
    <w:rsid w:val="004976F2"/>
    <w:rsid w:val="00497BBC"/>
    <w:rsid w:val="004A0B35"/>
    <w:rsid w:val="004A189A"/>
    <w:rsid w:val="004A1A10"/>
    <w:rsid w:val="004A2281"/>
    <w:rsid w:val="004A28A7"/>
    <w:rsid w:val="004A2A7C"/>
    <w:rsid w:val="004A3F45"/>
    <w:rsid w:val="004A3FFE"/>
    <w:rsid w:val="004A4143"/>
    <w:rsid w:val="004A482B"/>
    <w:rsid w:val="004A494C"/>
    <w:rsid w:val="004A58F9"/>
    <w:rsid w:val="004A5C21"/>
    <w:rsid w:val="004A5EDA"/>
    <w:rsid w:val="004A7A91"/>
    <w:rsid w:val="004B025A"/>
    <w:rsid w:val="004B02F1"/>
    <w:rsid w:val="004B24E8"/>
    <w:rsid w:val="004B368B"/>
    <w:rsid w:val="004B3D5D"/>
    <w:rsid w:val="004B459B"/>
    <w:rsid w:val="004B4609"/>
    <w:rsid w:val="004B4963"/>
    <w:rsid w:val="004B641D"/>
    <w:rsid w:val="004B7B15"/>
    <w:rsid w:val="004B7D6C"/>
    <w:rsid w:val="004C0353"/>
    <w:rsid w:val="004C0946"/>
    <w:rsid w:val="004C0A78"/>
    <w:rsid w:val="004C0E84"/>
    <w:rsid w:val="004C2448"/>
    <w:rsid w:val="004C24CE"/>
    <w:rsid w:val="004C2A01"/>
    <w:rsid w:val="004C2BA3"/>
    <w:rsid w:val="004C2E43"/>
    <w:rsid w:val="004C30BF"/>
    <w:rsid w:val="004C340E"/>
    <w:rsid w:val="004C3EE1"/>
    <w:rsid w:val="004C46D9"/>
    <w:rsid w:val="004C4772"/>
    <w:rsid w:val="004C49B5"/>
    <w:rsid w:val="004C4A2B"/>
    <w:rsid w:val="004C4B50"/>
    <w:rsid w:val="004C505A"/>
    <w:rsid w:val="004C547C"/>
    <w:rsid w:val="004C5588"/>
    <w:rsid w:val="004C6269"/>
    <w:rsid w:val="004C6864"/>
    <w:rsid w:val="004C69F9"/>
    <w:rsid w:val="004C71A0"/>
    <w:rsid w:val="004C73D5"/>
    <w:rsid w:val="004C7743"/>
    <w:rsid w:val="004D0816"/>
    <w:rsid w:val="004D1CEB"/>
    <w:rsid w:val="004D2737"/>
    <w:rsid w:val="004D2F1B"/>
    <w:rsid w:val="004D3837"/>
    <w:rsid w:val="004D401C"/>
    <w:rsid w:val="004D41E2"/>
    <w:rsid w:val="004D4AAD"/>
    <w:rsid w:val="004D513B"/>
    <w:rsid w:val="004D5BEC"/>
    <w:rsid w:val="004D71B4"/>
    <w:rsid w:val="004E1541"/>
    <w:rsid w:val="004E1D93"/>
    <w:rsid w:val="004E1FF5"/>
    <w:rsid w:val="004E2AAE"/>
    <w:rsid w:val="004E3024"/>
    <w:rsid w:val="004E367E"/>
    <w:rsid w:val="004E37AA"/>
    <w:rsid w:val="004E3BBB"/>
    <w:rsid w:val="004E3FD1"/>
    <w:rsid w:val="004E4267"/>
    <w:rsid w:val="004E4D62"/>
    <w:rsid w:val="004E5196"/>
    <w:rsid w:val="004E617F"/>
    <w:rsid w:val="004E64A6"/>
    <w:rsid w:val="004E6BC5"/>
    <w:rsid w:val="004E6C40"/>
    <w:rsid w:val="004E79BD"/>
    <w:rsid w:val="004E7C9B"/>
    <w:rsid w:val="004F0FDA"/>
    <w:rsid w:val="004F2AB1"/>
    <w:rsid w:val="004F3575"/>
    <w:rsid w:val="004F3C8B"/>
    <w:rsid w:val="004F5078"/>
    <w:rsid w:val="004F56A1"/>
    <w:rsid w:val="004F5E6A"/>
    <w:rsid w:val="004F70F4"/>
    <w:rsid w:val="004F7AED"/>
    <w:rsid w:val="00500148"/>
    <w:rsid w:val="0050121C"/>
    <w:rsid w:val="0050139F"/>
    <w:rsid w:val="005015E6"/>
    <w:rsid w:val="0050162B"/>
    <w:rsid w:val="005022F1"/>
    <w:rsid w:val="005038B2"/>
    <w:rsid w:val="0050410E"/>
    <w:rsid w:val="00504D25"/>
    <w:rsid w:val="005058FF"/>
    <w:rsid w:val="00506599"/>
    <w:rsid w:val="005112AC"/>
    <w:rsid w:val="00511A20"/>
    <w:rsid w:val="00511F0E"/>
    <w:rsid w:val="00512945"/>
    <w:rsid w:val="00512D8B"/>
    <w:rsid w:val="00513196"/>
    <w:rsid w:val="00513F85"/>
    <w:rsid w:val="0051487F"/>
    <w:rsid w:val="00514916"/>
    <w:rsid w:val="00514BFF"/>
    <w:rsid w:val="00514E7D"/>
    <w:rsid w:val="005164EC"/>
    <w:rsid w:val="00516701"/>
    <w:rsid w:val="00516A5D"/>
    <w:rsid w:val="00516A6A"/>
    <w:rsid w:val="00516D9A"/>
    <w:rsid w:val="0052089E"/>
    <w:rsid w:val="00520C9E"/>
    <w:rsid w:val="0052136D"/>
    <w:rsid w:val="0052397A"/>
    <w:rsid w:val="0052434D"/>
    <w:rsid w:val="00524C98"/>
    <w:rsid w:val="00525395"/>
    <w:rsid w:val="005253FE"/>
    <w:rsid w:val="00526349"/>
    <w:rsid w:val="00526E19"/>
    <w:rsid w:val="0052775E"/>
    <w:rsid w:val="00527B53"/>
    <w:rsid w:val="005304A6"/>
    <w:rsid w:val="00530A0E"/>
    <w:rsid w:val="00530F9C"/>
    <w:rsid w:val="0053131A"/>
    <w:rsid w:val="00531826"/>
    <w:rsid w:val="00531F54"/>
    <w:rsid w:val="0053229C"/>
    <w:rsid w:val="00532A89"/>
    <w:rsid w:val="00532E5F"/>
    <w:rsid w:val="00533633"/>
    <w:rsid w:val="00533C65"/>
    <w:rsid w:val="00533CAC"/>
    <w:rsid w:val="00533EFD"/>
    <w:rsid w:val="00534179"/>
    <w:rsid w:val="00534307"/>
    <w:rsid w:val="00534989"/>
    <w:rsid w:val="005358CD"/>
    <w:rsid w:val="00537FA8"/>
    <w:rsid w:val="00540676"/>
    <w:rsid w:val="005409DC"/>
    <w:rsid w:val="005420F2"/>
    <w:rsid w:val="00542BC7"/>
    <w:rsid w:val="00543089"/>
    <w:rsid w:val="005438E0"/>
    <w:rsid w:val="005479E7"/>
    <w:rsid w:val="00547A47"/>
    <w:rsid w:val="00547B4A"/>
    <w:rsid w:val="00550BDA"/>
    <w:rsid w:val="00550D3B"/>
    <w:rsid w:val="00550DC6"/>
    <w:rsid w:val="005519D0"/>
    <w:rsid w:val="00552689"/>
    <w:rsid w:val="00552E60"/>
    <w:rsid w:val="00553373"/>
    <w:rsid w:val="00553EA9"/>
    <w:rsid w:val="005541A6"/>
    <w:rsid w:val="005541DD"/>
    <w:rsid w:val="005545F1"/>
    <w:rsid w:val="00554941"/>
    <w:rsid w:val="005569FF"/>
    <w:rsid w:val="0055703E"/>
    <w:rsid w:val="0055771E"/>
    <w:rsid w:val="005577F5"/>
    <w:rsid w:val="00560D05"/>
    <w:rsid w:val="005618F9"/>
    <w:rsid w:val="00561F16"/>
    <w:rsid w:val="005628B6"/>
    <w:rsid w:val="005628E2"/>
    <w:rsid w:val="00562B61"/>
    <w:rsid w:val="00562F4D"/>
    <w:rsid w:val="00563F6B"/>
    <w:rsid w:val="00564714"/>
    <w:rsid w:val="00564B42"/>
    <w:rsid w:val="005655F7"/>
    <w:rsid w:val="00565779"/>
    <w:rsid w:val="0056587E"/>
    <w:rsid w:val="00565BB7"/>
    <w:rsid w:val="00565D55"/>
    <w:rsid w:val="00565EA8"/>
    <w:rsid w:val="0056624F"/>
    <w:rsid w:val="00566DEB"/>
    <w:rsid w:val="005704D1"/>
    <w:rsid w:val="00570AA3"/>
    <w:rsid w:val="00570BF8"/>
    <w:rsid w:val="0057161F"/>
    <w:rsid w:val="00571BB4"/>
    <w:rsid w:val="00571CA9"/>
    <w:rsid w:val="00572032"/>
    <w:rsid w:val="005722B3"/>
    <w:rsid w:val="00573545"/>
    <w:rsid w:val="0057376F"/>
    <w:rsid w:val="00573CE1"/>
    <w:rsid w:val="0057407A"/>
    <w:rsid w:val="0057414A"/>
    <w:rsid w:val="005745A4"/>
    <w:rsid w:val="0057494C"/>
    <w:rsid w:val="00574EB0"/>
    <w:rsid w:val="00575C3E"/>
    <w:rsid w:val="005769BF"/>
    <w:rsid w:val="00577312"/>
    <w:rsid w:val="00580700"/>
    <w:rsid w:val="005809EB"/>
    <w:rsid w:val="00581115"/>
    <w:rsid w:val="005811E2"/>
    <w:rsid w:val="00581392"/>
    <w:rsid w:val="005814A2"/>
    <w:rsid w:val="00581FBC"/>
    <w:rsid w:val="00582218"/>
    <w:rsid w:val="00584483"/>
    <w:rsid w:val="005848B3"/>
    <w:rsid w:val="005853D7"/>
    <w:rsid w:val="00585B4E"/>
    <w:rsid w:val="00586059"/>
    <w:rsid w:val="00586ABA"/>
    <w:rsid w:val="0058726B"/>
    <w:rsid w:val="00587866"/>
    <w:rsid w:val="00590245"/>
    <w:rsid w:val="005905E2"/>
    <w:rsid w:val="00590F87"/>
    <w:rsid w:val="005928DF"/>
    <w:rsid w:val="00592C4A"/>
    <w:rsid w:val="00592C4B"/>
    <w:rsid w:val="00592D66"/>
    <w:rsid w:val="00592EFD"/>
    <w:rsid w:val="005931BB"/>
    <w:rsid w:val="00593402"/>
    <w:rsid w:val="00593A84"/>
    <w:rsid w:val="005941D6"/>
    <w:rsid w:val="00594628"/>
    <w:rsid w:val="00594CF0"/>
    <w:rsid w:val="00595476"/>
    <w:rsid w:val="00595C80"/>
    <w:rsid w:val="00596396"/>
    <w:rsid w:val="0059673B"/>
    <w:rsid w:val="00596EFC"/>
    <w:rsid w:val="0059786F"/>
    <w:rsid w:val="0059796C"/>
    <w:rsid w:val="00597BF3"/>
    <w:rsid w:val="00597E6E"/>
    <w:rsid w:val="00597F4D"/>
    <w:rsid w:val="005A02CA"/>
    <w:rsid w:val="005A0312"/>
    <w:rsid w:val="005A0327"/>
    <w:rsid w:val="005A0415"/>
    <w:rsid w:val="005A084E"/>
    <w:rsid w:val="005A0C1C"/>
    <w:rsid w:val="005A0DD8"/>
    <w:rsid w:val="005A104A"/>
    <w:rsid w:val="005A15B5"/>
    <w:rsid w:val="005A1B1D"/>
    <w:rsid w:val="005A26B8"/>
    <w:rsid w:val="005A2F4B"/>
    <w:rsid w:val="005A3B8B"/>
    <w:rsid w:val="005A3B99"/>
    <w:rsid w:val="005A3C41"/>
    <w:rsid w:val="005A4853"/>
    <w:rsid w:val="005A4888"/>
    <w:rsid w:val="005A50AD"/>
    <w:rsid w:val="005A533E"/>
    <w:rsid w:val="005A616F"/>
    <w:rsid w:val="005A618F"/>
    <w:rsid w:val="005A72E7"/>
    <w:rsid w:val="005A7430"/>
    <w:rsid w:val="005A7C89"/>
    <w:rsid w:val="005A7F8F"/>
    <w:rsid w:val="005B0BA6"/>
    <w:rsid w:val="005B180A"/>
    <w:rsid w:val="005B2730"/>
    <w:rsid w:val="005B31F6"/>
    <w:rsid w:val="005B3C41"/>
    <w:rsid w:val="005B3DB3"/>
    <w:rsid w:val="005B580C"/>
    <w:rsid w:val="005B5E21"/>
    <w:rsid w:val="005B5F27"/>
    <w:rsid w:val="005B6292"/>
    <w:rsid w:val="005B6AD7"/>
    <w:rsid w:val="005B7184"/>
    <w:rsid w:val="005B73CC"/>
    <w:rsid w:val="005C01CF"/>
    <w:rsid w:val="005C066F"/>
    <w:rsid w:val="005C0CF6"/>
    <w:rsid w:val="005C0FC8"/>
    <w:rsid w:val="005C10F6"/>
    <w:rsid w:val="005C14E0"/>
    <w:rsid w:val="005C1861"/>
    <w:rsid w:val="005C1CC7"/>
    <w:rsid w:val="005C1E97"/>
    <w:rsid w:val="005C280C"/>
    <w:rsid w:val="005C30E8"/>
    <w:rsid w:val="005C4358"/>
    <w:rsid w:val="005C458B"/>
    <w:rsid w:val="005C4825"/>
    <w:rsid w:val="005C4B93"/>
    <w:rsid w:val="005C4D93"/>
    <w:rsid w:val="005C53D3"/>
    <w:rsid w:val="005C5760"/>
    <w:rsid w:val="005C5808"/>
    <w:rsid w:val="005C5ACF"/>
    <w:rsid w:val="005C611C"/>
    <w:rsid w:val="005C674E"/>
    <w:rsid w:val="005C6C4F"/>
    <w:rsid w:val="005C6CE5"/>
    <w:rsid w:val="005C6D98"/>
    <w:rsid w:val="005C7BB2"/>
    <w:rsid w:val="005D0CDF"/>
    <w:rsid w:val="005D0E65"/>
    <w:rsid w:val="005D2128"/>
    <w:rsid w:val="005D2B66"/>
    <w:rsid w:val="005D2DFC"/>
    <w:rsid w:val="005D3075"/>
    <w:rsid w:val="005D30B8"/>
    <w:rsid w:val="005D3201"/>
    <w:rsid w:val="005D3CB6"/>
    <w:rsid w:val="005D3F18"/>
    <w:rsid w:val="005D3FB5"/>
    <w:rsid w:val="005D4087"/>
    <w:rsid w:val="005D438F"/>
    <w:rsid w:val="005D4560"/>
    <w:rsid w:val="005D4877"/>
    <w:rsid w:val="005D4A98"/>
    <w:rsid w:val="005D542D"/>
    <w:rsid w:val="005D5721"/>
    <w:rsid w:val="005D5AF5"/>
    <w:rsid w:val="005D5F5B"/>
    <w:rsid w:val="005D5FE7"/>
    <w:rsid w:val="005D6D72"/>
    <w:rsid w:val="005D7408"/>
    <w:rsid w:val="005D763C"/>
    <w:rsid w:val="005D7B9A"/>
    <w:rsid w:val="005E01D5"/>
    <w:rsid w:val="005E06C2"/>
    <w:rsid w:val="005E111E"/>
    <w:rsid w:val="005E190D"/>
    <w:rsid w:val="005E2B5F"/>
    <w:rsid w:val="005E2D2C"/>
    <w:rsid w:val="005E2E34"/>
    <w:rsid w:val="005E34B1"/>
    <w:rsid w:val="005E3F67"/>
    <w:rsid w:val="005E40A3"/>
    <w:rsid w:val="005E40FD"/>
    <w:rsid w:val="005E4BCE"/>
    <w:rsid w:val="005E4FFC"/>
    <w:rsid w:val="005E5034"/>
    <w:rsid w:val="005E58F2"/>
    <w:rsid w:val="005E65A8"/>
    <w:rsid w:val="005E707B"/>
    <w:rsid w:val="005E783D"/>
    <w:rsid w:val="005E7981"/>
    <w:rsid w:val="005F1B2D"/>
    <w:rsid w:val="005F1FDF"/>
    <w:rsid w:val="005F33F4"/>
    <w:rsid w:val="005F494A"/>
    <w:rsid w:val="005F5024"/>
    <w:rsid w:val="005F5699"/>
    <w:rsid w:val="005F575F"/>
    <w:rsid w:val="005F57AD"/>
    <w:rsid w:val="005F6013"/>
    <w:rsid w:val="005F6B14"/>
    <w:rsid w:val="005F7079"/>
    <w:rsid w:val="005F74ED"/>
    <w:rsid w:val="005F7717"/>
    <w:rsid w:val="005F7B75"/>
    <w:rsid w:val="005F7F93"/>
    <w:rsid w:val="006001EE"/>
    <w:rsid w:val="00600DB9"/>
    <w:rsid w:val="00601CA8"/>
    <w:rsid w:val="006023C0"/>
    <w:rsid w:val="00602B75"/>
    <w:rsid w:val="00602CBD"/>
    <w:rsid w:val="00602E64"/>
    <w:rsid w:val="00602EF3"/>
    <w:rsid w:val="006032B5"/>
    <w:rsid w:val="00603976"/>
    <w:rsid w:val="00603DAF"/>
    <w:rsid w:val="00604415"/>
    <w:rsid w:val="00605042"/>
    <w:rsid w:val="00605747"/>
    <w:rsid w:val="00606238"/>
    <w:rsid w:val="00606B2B"/>
    <w:rsid w:val="00606ECF"/>
    <w:rsid w:val="00607635"/>
    <w:rsid w:val="0061047C"/>
    <w:rsid w:val="0061115C"/>
    <w:rsid w:val="00611FC4"/>
    <w:rsid w:val="006123D4"/>
    <w:rsid w:val="00613406"/>
    <w:rsid w:val="00613963"/>
    <w:rsid w:val="006147BD"/>
    <w:rsid w:val="00614C50"/>
    <w:rsid w:val="006157D5"/>
    <w:rsid w:val="00615C66"/>
    <w:rsid w:val="00616894"/>
    <w:rsid w:val="006176FB"/>
    <w:rsid w:val="006179D8"/>
    <w:rsid w:val="00617D23"/>
    <w:rsid w:val="00617EB4"/>
    <w:rsid w:val="00621286"/>
    <w:rsid w:val="00621DE8"/>
    <w:rsid w:val="006225C7"/>
    <w:rsid w:val="00622E3D"/>
    <w:rsid w:val="00623021"/>
    <w:rsid w:val="00623A8B"/>
    <w:rsid w:val="00623C4A"/>
    <w:rsid w:val="006241B3"/>
    <w:rsid w:val="00624677"/>
    <w:rsid w:val="006249F9"/>
    <w:rsid w:val="00624F12"/>
    <w:rsid w:val="006255F2"/>
    <w:rsid w:val="006258E1"/>
    <w:rsid w:val="006258F4"/>
    <w:rsid w:val="00625FB0"/>
    <w:rsid w:val="006260B2"/>
    <w:rsid w:val="006264FB"/>
    <w:rsid w:val="00626D71"/>
    <w:rsid w:val="00627113"/>
    <w:rsid w:val="006274AD"/>
    <w:rsid w:val="00627697"/>
    <w:rsid w:val="00627FB0"/>
    <w:rsid w:val="006303F9"/>
    <w:rsid w:val="00630676"/>
    <w:rsid w:val="00630A0B"/>
    <w:rsid w:val="00631010"/>
    <w:rsid w:val="00632287"/>
    <w:rsid w:val="00632E64"/>
    <w:rsid w:val="006343E4"/>
    <w:rsid w:val="00635006"/>
    <w:rsid w:val="006365F5"/>
    <w:rsid w:val="00636CE7"/>
    <w:rsid w:val="00636EFE"/>
    <w:rsid w:val="006373BF"/>
    <w:rsid w:val="006400F6"/>
    <w:rsid w:val="006402A2"/>
    <w:rsid w:val="006405BC"/>
    <w:rsid w:val="00640B26"/>
    <w:rsid w:val="0064129E"/>
    <w:rsid w:val="0064226F"/>
    <w:rsid w:val="00642394"/>
    <w:rsid w:val="0064496E"/>
    <w:rsid w:val="00645F22"/>
    <w:rsid w:val="006478E6"/>
    <w:rsid w:val="00647ABB"/>
    <w:rsid w:val="006509A8"/>
    <w:rsid w:val="00651798"/>
    <w:rsid w:val="00652D0A"/>
    <w:rsid w:val="00654341"/>
    <w:rsid w:val="00654777"/>
    <w:rsid w:val="00654D81"/>
    <w:rsid w:val="00655E6F"/>
    <w:rsid w:val="00657241"/>
    <w:rsid w:val="006572E9"/>
    <w:rsid w:val="0065732B"/>
    <w:rsid w:val="0066030D"/>
    <w:rsid w:val="0066060E"/>
    <w:rsid w:val="00661597"/>
    <w:rsid w:val="006617E2"/>
    <w:rsid w:val="006619EB"/>
    <w:rsid w:val="00662BB6"/>
    <w:rsid w:val="006632C5"/>
    <w:rsid w:val="006640C2"/>
    <w:rsid w:val="00664204"/>
    <w:rsid w:val="00664722"/>
    <w:rsid w:val="006647AF"/>
    <w:rsid w:val="00664C49"/>
    <w:rsid w:val="0066644D"/>
    <w:rsid w:val="006678BA"/>
    <w:rsid w:val="0067103C"/>
    <w:rsid w:val="00671907"/>
    <w:rsid w:val="006729FE"/>
    <w:rsid w:val="00673B41"/>
    <w:rsid w:val="00674026"/>
    <w:rsid w:val="006743E9"/>
    <w:rsid w:val="00674D94"/>
    <w:rsid w:val="006752A4"/>
    <w:rsid w:val="0067606C"/>
    <w:rsid w:val="006770D4"/>
    <w:rsid w:val="0067729C"/>
    <w:rsid w:val="00677B80"/>
    <w:rsid w:val="0068043D"/>
    <w:rsid w:val="00680461"/>
    <w:rsid w:val="00680A72"/>
    <w:rsid w:val="00682284"/>
    <w:rsid w:val="006829B7"/>
    <w:rsid w:val="006838C8"/>
    <w:rsid w:val="00683EEF"/>
    <w:rsid w:val="00683EF7"/>
    <w:rsid w:val="006841E3"/>
    <w:rsid w:val="00684C21"/>
    <w:rsid w:val="006853D1"/>
    <w:rsid w:val="0068555B"/>
    <w:rsid w:val="0068599A"/>
    <w:rsid w:val="00685B26"/>
    <w:rsid w:val="00685FA6"/>
    <w:rsid w:val="006864A5"/>
    <w:rsid w:val="00686BAC"/>
    <w:rsid w:val="00686FB7"/>
    <w:rsid w:val="00687350"/>
    <w:rsid w:val="0068743C"/>
    <w:rsid w:val="00687C43"/>
    <w:rsid w:val="00687C7B"/>
    <w:rsid w:val="00691D60"/>
    <w:rsid w:val="00691E9D"/>
    <w:rsid w:val="00691F84"/>
    <w:rsid w:val="00692BBE"/>
    <w:rsid w:val="00692F9B"/>
    <w:rsid w:val="00693A2B"/>
    <w:rsid w:val="0069416D"/>
    <w:rsid w:val="00694695"/>
    <w:rsid w:val="00694AE6"/>
    <w:rsid w:val="00695476"/>
    <w:rsid w:val="00695F39"/>
    <w:rsid w:val="00696046"/>
    <w:rsid w:val="00696929"/>
    <w:rsid w:val="00697471"/>
    <w:rsid w:val="0069763E"/>
    <w:rsid w:val="006976A6"/>
    <w:rsid w:val="006A0E69"/>
    <w:rsid w:val="006A1764"/>
    <w:rsid w:val="006A1AFC"/>
    <w:rsid w:val="006A23BF"/>
    <w:rsid w:val="006A24AA"/>
    <w:rsid w:val="006A2970"/>
    <w:rsid w:val="006A2B44"/>
    <w:rsid w:val="006A53B5"/>
    <w:rsid w:val="006A58FE"/>
    <w:rsid w:val="006A5A73"/>
    <w:rsid w:val="006A6790"/>
    <w:rsid w:val="006A703F"/>
    <w:rsid w:val="006A7737"/>
    <w:rsid w:val="006B04B5"/>
    <w:rsid w:val="006B0995"/>
    <w:rsid w:val="006B0C89"/>
    <w:rsid w:val="006B1787"/>
    <w:rsid w:val="006B27AB"/>
    <w:rsid w:val="006B3157"/>
    <w:rsid w:val="006B3CB8"/>
    <w:rsid w:val="006B409F"/>
    <w:rsid w:val="006B4564"/>
    <w:rsid w:val="006B4AA4"/>
    <w:rsid w:val="006B4DDA"/>
    <w:rsid w:val="006B5AB9"/>
    <w:rsid w:val="006B5CC6"/>
    <w:rsid w:val="006B6574"/>
    <w:rsid w:val="006C014A"/>
    <w:rsid w:val="006C082A"/>
    <w:rsid w:val="006C1AAD"/>
    <w:rsid w:val="006C32BC"/>
    <w:rsid w:val="006C37DC"/>
    <w:rsid w:val="006C3AD1"/>
    <w:rsid w:val="006C4887"/>
    <w:rsid w:val="006C48BB"/>
    <w:rsid w:val="006C692F"/>
    <w:rsid w:val="006C7A23"/>
    <w:rsid w:val="006D02CB"/>
    <w:rsid w:val="006D12A9"/>
    <w:rsid w:val="006D1B61"/>
    <w:rsid w:val="006D2401"/>
    <w:rsid w:val="006D241C"/>
    <w:rsid w:val="006D2B97"/>
    <w:rsid w:val="006D37AF"/>
    <w:rsid w:val="006D3D02"/>
    <w:rsid w:val="006D51D0"/>
    <w:rsid w:val="006D68F5"/>
    <w:rsid w:val="006D75C7"/>
    <w:rsid w:val="006E0696"/>
    <w:rsid w:val="006E0BAF"/>
    <w:rsid w:val="006E0E57"/>
    <w:rsid w:val="006E10C6"/>
    <w:rsid w:val="006E1274"/>
    <w:rsid w:val="006E1779"/>
    <w:rsid w:val="006E1A90"/>
    <w:rsid w:val="006E1D8A"/>
    <w:rsid w:val="006E3134"/>
    <w:rsid w:val="006E34B9"/>
    <w:rsid w:val="006E37EC"/>
    <w:rsid w:val="006E3FDB"/>
    <w:rsid w:val="006E4A22"/>
    <w:rsid w:val="006E564B"/>
    <w:rsid w:val="006E6797"/>
    <w:rsid w:val="006E6FAF"/>
    <w:rsid w:val="006E7191"/>
    <w:rsid w:val="006F0BBD"/>
    <w:rsid w:val="006F182E"/>
    <w:rsid w:val="006F23E2"/>
    <w:rsid w:val="006F2CD8"/>
    <w:rsid w:val="006F36AC"/>
    <w:rsid w:val="006F3DA5"/>
    <w:rsid w:val="006F46A6"/>
    <w:rsid w:val="006F561D"/>
    <w:rsid w:val="006F5788"/>
    <w:rsid w:val="006F7622"/>
    <w:rsid w:val="006F7FFD"/>
    <w:rsid w:val="007006A5"/>
    <w:rsid w:val="00700DA3"/>
    <w:rsid w:val="00701FD5"/>
    <w:rsid w:val="0070234A"/>
    <w:rsid w:val="0070353B"/>
    <w:rsid w:val="00703577"/>
    <w:rsid w:val="007048C0"/>
    <w:rsid w:val="00704A7A"/>
    <w:rsid w:val="007052C3"/>
    <w:rsid w:val="007053C1"/>
    <w:rsid w:val="00705625"/>
    <w:rsid w:val="007103F5"/>
    <w:rsid w:val="007113A4"/>
    <w:rsid w:val="00711F00"/>
    <w:rsid w:val="00712C0C"/>
    <w:rsid w:val="00713546"/>
    <w:rsid w:val="00713B23"/>
    <w:rsid w:val="0071450D"/>
    <w:rsid w:val="0071487B"/>
    <w:rsid w:val="00715AD0"/>
    <w:rsid w:val="0071718F"/>
    <w:rsid w:val="00717631"/>
    <w:rsid w:val="00720196"/>
    <w:rsid w:val="0072149D"/>
    <w:rsid w:val="007214D1"/>
    <w:rsid w:val="0072226B"/>
    <w:rsid w:val="00723486"/>
    <w:rsid w:val="0072352E"/>
    <w:rsid w:val="0072378B"/>
    <w:rsid w:val="00725453"/>
    <w:rsid w:val="00725F30"/>
    <w:rsid w:val="007260FC"/>
    <w:rsid w:val="0072632A"/>
    <w:rsid w:val="00726F57"/>
    <w:rsid w:val="00727B35"/>
    <w:rsid w:val="00727C60"/>
    <w:rsid w:val="007314F3"/>
    <w:rsid w:val="007327D5"/>
    <w:rsid w:val="00732B51"/>
    <w:rsid w:val="0073354D"/>
    <w:rsid w:val="00733D2D"/>
    <w:rsid w:val="00734B12"/>
    <w:rsid w:val="00734BAC"/>
    <w:rsid w:val="007357A1"/>
    <w:rsid w:val="00735CA1"/>
    <w:rsid w:val="007365B7"/>
    <w:rsid w:val="00736666"/>
    <w:rsid w:val="00736E08"/>
    <w:rsid w:val="00737776"/>
    <w:rsid w:val="00737CDD"/>
    <w:rsid w:val="00740255"/>
    <w:rsid w:val="007405D8"/>
    <w:rsid w:val="0074060B"/>
    <w:rsid w:val="007417BC"/>
    <w:rsid w:val="00741ADD"/>
    <w:rsid w:val="00742E8C"/>
    <w:rsid w:val="00743015"/>
    <w:rsid w:val="00743842"/>
    <w:rsid w:val="007439B3"/>
    <w:rsid w:val="00745A0C"/>
    <w:rsid w:val="00745F7A"/>
    <w:rsid w:val="00746BB2"/>
    <w:rsid w:val="00746DA6"/>
    <w:rsid w:val="00746F1E"/>
    <w:rsid w:val="00747452"/>
    <w:rsid w:val="00747853"/>
    <w:rsid w:val="00750D47"/>
    <w:rsid w:val="00750E2D"/>
    <w:rsid w:val="00750FCA"/>
    <w:rsid w:val="00751074"/>
    <w:rsid w:val="00751147"/>
    <w:rsid w:val="007523EF"/>
    <w:rsid w:val="00753BA9"/>
    <w:rsid w:val="007551B4"/>
    <w:rsid w:val="00756A3F"/>
    <w:rsid w:val="00757352"/>
    <w:rsid w:val="0076033B"/>
    <w:rsid w:val="00760464"/>
    <w:rsid w:val="00760B19"/>
    <w:rsid w:val="00760F53"/>
    <w:rsid w:val="0076123C"/>
    <w:rsid w:val="007624CA"/>
    <w:rsid w:val="00762792"/>
    <w:rsid w:val="007627EE"/>
    <w:rsid w:val="007629C8"/>
    <w:rsid w:val="00764390"/>
    <w:rsid w:val="00764878"/>
    <w:rsid w:val="00764914"/>
    <w:rsid w:val="00764DC4"/>
    <w:rsid w:val="0076609B"/>
    <w:rsid w:val="00767016"/>
    <w:rsid w:val="00770328"/>
    <w:rsid w:val="00770877"/>
    <w:rsid w:val="007709DF"/>
    <w:rsid w:val="00770D3F"/>
    <w:rsid w:val="007717FF"/>
    <w:rsid w:val="007723A1"/>
    <w:rsid w:val="00772C49"/>
    <w:rsid w:val="0077320E"/>
    <w:rsid w:val="00773548"/>
    <w:rsid w:val="00774EF7"/>
    <w:rsid w:val="00775788"/>
    <w:rsid w:val="007757D4"/>
    <w:rsid w:val="00776265"/>
    <w:rsid w:val="0077671F"/>
    <w:rsid w:val="00777DF8"/>
    <w:rsid w:val="00781054"/>
    <w:rsid w:val="007812BA"/>
    <w:rsid w:val="007818F4"/>
    <w:rsid w:val="00781C83"/>
    <w:rsid w:val="00782557"/>
    <w:rsid w:val="00782644"/>
    <w:rsid w:val="007826F5"/>
    <w:rsid w:val="00782F90"/>
    <w:rsid w:val="0078300D"/>
    <w:rsid w:val="00783313"/>
    <w:rsid w:val="00783530"/>
    <w:rsid w:val="00783EA8"/>
    <w:rsid w:val="00784231"/>
    <w:rsid w:val="00784BCF"/>
    <w:rsid w:val="00784C71"/>
    <w:rsid w:val="00785247"/>
    <w:rsid w:val="00785417"/>
    <w:rsid w:val="00785623"/>
    <w:rsid w:val="00785739"/>
    <w:rsid w:val="007868E9"/>
    <w:rsid w:val="00786EFA"/>
    <w:rsid w:val="00786F3A"/>
    <w:rsid w:val="0078771D"/>
    <w:rsid w:val="00787E5D"/>
    <w:rsid w:val="0079049B"/>
    <w:rsid w:val="00790718"/>
    <w:rsid w:val="00790ED6"/>
    <w:rsid w:val="0079151D"/>
    <w:rsid w:val="00791C81"/>
    <w:rsid w:val="007925AE"/>
    <w:rsid w:val="007928BA"/>
    <w:rsid w:val="00793303"/>
    <w:rsid w:val="00793B19"/>
    <w:rsid w:val="00794890"/>
    <w:rsid w:val="00794B4A"/>
    <w:rsid w:val="00795F7A"/>
    <w:rsid w:val="00796529"/>
    <w:rsid w:val="007965DB"/>
    <w:rsid w:val="007966A8"/>
    <w:rsid w:val="007A102A"/>
    <w:rsid w:val="007A1319"/>
    <w:rsid w:val="007A150E"/>
    <w:rsid w:val="007A1C94"/>
    <w:rsid w:val="007A2241"/>
    <w:rsid w:val="007A26E3"/>
    <w:rsid w:val="007A2815"/>
    <w:rsid w:val="007A2D51"/>
    <w:rsid w:val="007A3D00"/>
    <w:rsid w:val="007A401C"/>
    <w:rsid w:val="007A4383"/>
    <w:rsid w:val="007A7897"/>
    <w:rsid w:val="007A78F7"/>
    <w:rsid w:val="007B0584"/>
    <w:rsid w:val="007B078D"/>
    <w:rsid w:val="007B0D02"/>
    <w:rsid w:val="007B0D46"/>
    <w:rsid w:val="007B19F4"/>
    <w:rsid w:val="007B1D5B"/>
    <w:rsid w:val="007B1E62"/>
    <w:rsid w:val="007B2A09"/>
    <w:rsid w:val="007B3C73"/>
    <w:rsid w:val="007B415A"/>
    <w:rsid w:val="007B4DC9"/>
    <w:rsid w:val="007B5249"/>
    <w:rsid w:val="007B5A0F"/>
    <w:rsid w:val="007B5B34"/>
    <w:rsid w:val="007B5CB0"/>
    <w:rsid w:val="007B5F65"/>
    <w:rsid w:val="007B693F"/>
    <w:rsid w:val="007B6A5D"/>
    <w:rsid w:val="007B6BA5"/>
    <w:rsid w:val="007B764A"/>
    <w:rsid w:val="007B7CE1"/>
    <w:rsid w:val="007C013F"/>
    <w:rsid w:val="007C203A"/>
    <w:rsid w:val="007C3390"/>
    <w:rsid w:val="007C3A7C"/>
    <w:rsid w:val="007C3D25"/>
    <w:rsid w:val="007C3F74"/>
    <w:rsid w:val="007C3FFB"/>
    <w:rsid w:val="007C41D9"/>
    <w:rsid w:val="007C4F4B"/>
    <w:rsid w:val="007C5032"/>
    <w:rsid w:val="007C58E8"/>
    <w:rsid w:val="007C63FA"/>
    <w:rsid w:val="007C73E0"/>
    <w:rsid w:val="007C784F"/>
    <w:rsid w:val="007C7C57"/>
    <w:rsid w:val="007D0063"/>
    <w:rsid w:val="007D0270"/>
    <w:rsid w:val="007D126C"/>
    <w:rsid w:val="007D18F4"/>
    <w:rsid w:val="007D3316"/>
    <w:rsid w:val="007D3677"/>
    <w:rsid w:val="007D42B0"/>
    <w:rsid w:val="007D4542"/>
    <w:rsid w:val="007D54A0"/>
    <w:rsid w:val="007D5803"/>
    <w:rsid w:val="007D5EA3"/>
    <w:rsid w:val="007D7559"/>
    <w:rsid w:val="007E0392"/>
    <w:rsid w:val="007E0821"/>
    <w:rsid w:val="007E0B2D"/>
    <w:rsid w:val="007E1318"/>
    <w:rsid w:val="007E16D9"/>
    <w:rsid w:val="007E2DA1"/>
    <w:rsid w:val="007E3050"/>
    <w:rsid w:val="007E32DC"/>
    <w:rsid w:val="007E3DF7"/>
    <w:rsid w:val="007E3E13"/>
    <w:rsid w:val="007E4641"/>
    <w:rsid w:val="007E5179"/>
    <w:rsid w:val="007E51F9"/>
    <w:rsid w:val="007E5732"/>
    <w:rsid w:val="007E6F98"/>
    <w:rsid w:val="007F0685"/>
    <w:rsid w:val="007F1247"/>
    <w:rsid w:val="007F17E3"/>
    <w:rsid w:val="007F1E75"/>
    <w:rsid w:val="007F27A4"/>
    <w:rsid w:val="007F30C9"/>
    <w:rsid w:val="007F31D9"/>
    <w:rsid w:val="007F3A2C"/>
    <w:rsid w:val="007F42A7"/>
    <w:rsid w:val="007F5739"/>
    <w:rsid w:val="007F5A4F"/>
    <w:rsid w:val="007F5AA8"/>
    <w:rsid w:val="007F5B63"/>
    <w:rsid w:val="007F6611"/>
    <w:rsid w:val="007F6A2C"/>
    <w:rsid w:val="007F7246"/>
    <w:rsid w:val="007F75D2"/>
    <w:rsid w:val="007F7E17"/>
    <w:rsid w:val="00801CBF"/>
    <w:rsid w:val="008022BF"/>
    <w:rsid w:val="00802944"/>
    <w:rsid w:val="00802CAE"/>
    <w:rsid w:val="00803EEC"/>
    <w:rsid w:val="00805D55"/>
    <w:rsid w:val="00806AAA"/>
    <w:rsid w:val="00806BCA"/>
    <w:rsid w:val="008076A7"/>
    <w:rsid w:val="00810223"/>
    <w:rsid w:val="008105B8"/>
    <w:rsid w:val="00810C74"/>
    <w:rsid w:val="008111BA"/>
    <w:rsid w:val="00812971"/>
    <w:rsid w:val="0081367C"/>
    <w:rsid w:val="00813793"/>
    <w:rsid w:val="00814F95"/>
    <w:rsid w:val="00815038"/>
    <w:rsid w:val="0081534F"/>
    <w:rsid w:val="0081547F"/>
    <w:rsid w:val="00815845"/>
    <w:rsid w:val="00815ADE"/>
    <w:rsid w:val="00815C52"/>
    <w:rsid w:val="008163F8"/>
    <w:rsid w:val="0081671D"/>
    <w:rsid w:val="00816874"/>
    <w:rsid w:val="00816972"/>
    <w:rsid w:val="00817344"/>
    <w:rsid w:val="0081741E"/>
    <w:rsid w:val="0081770E"/>
    <w:rsid w:val="00817C33"/>
    <w:rsid w:val="008216A5"/>
    <w:rsid w:val="00821A8D"/>
    <w:rsid w:val="00821FEC"/>
    <w:rsid w:val="00822677"/>
    <w:rsid w:val="00823767"/>
    <w:rsid w:val="008242D7"/>
    <w:rsid w:val="00824584"/>
    <w:rsid w:val="00824F1B"/>
    <w:rsid w:val="008251D3"/>
    <w:rsid w:val="00825659"/>
    <w:rsid w:val="008257B1"/>
    <w:rsid w:val="00825B61"/>
    <w:rsid w:val="00825F45"/>
    <w:rsid w:val="00826086"/>
    <w:rsid w:val="00827317"/>
    <w:rsid w:val="008274A4"/>
    <w:rsid w:val="00827DD2"/>
    <w:rsid w:val="0083016A"/>
    <w:rsid w:val="008310C1"/>
    <w:rsid w:val="008310F0"/>
    <w:rsid w:val="008319E1"/>
    <w:rsid w:val="00831AE1"/>
    <w:rsid w:val="008320F6"/>
    <w:rsid w:val="00833415"/>
    <w:rsid w:val="00833511"/>
    <w:rsid w:val="00833EF6"/>
    <w:rsid w:val="00834953"/>
    <w:rsid w:val="00835421"/>
    <w:rsid w:val="008357EC"/>
    <w:rsid w:val="008363D3"/>
    <w:rsid w:val="00840104"/>
    <w:rsid w:val="0084035B"/>
    <w:rsid w:val="0084126F"/>
    <w:rsid w:val="00841297"/>
    <w:rsid w:val="00841306"/>
    <w:rsid w:val="00841338"/>
    <w:rsid w:val="008421CE"/>
    <w:rsid w:val="008428C9"/>
    <w:rsid w:val="00842C9E"/>
    <w:rsid w:val="00843767"/>
    <w:rsid w:val="00843E00"/>
    <w:rsid w:val="00845FA8"/>
    <w:rsid w:val="00846ED4"/>
    <w:rsid w:val="00847AA9"/>
    <w:rsid w:val="00850438"/>
    <w:rsid w:val="00850E95"/>
    <w:rsid w:val="00851259"/>
    <w:rsid w:val="008528FD"/>
    <w:rsid w:val="00852B57"/>
    <w:rsid w:val="008538BE"/>
    <w:rsid w:val="00854271"/>
    <w:rsid w:val="00854751"/>
    <w:rsid w:val="008552F5"/>
    <w:rsid w:val="00855566"/>
    <w:rsid w:val="0085669F"/>
    <w:rsid w:val="008579E7"/>
    <w:rsid w:val="00857E2C"/>
    <w:rsid w:val="008609AA"/>
    <w:rsid w:val="00860FD7"/>
    <w:rsid w:val="008621E0"/>
    <w:rsid w:val="00862362"/>
    <w:rsid w:val="008632A4"/>
    <w:rsid w:val="00863787"/>
    <w:rsid w:val="00863AEC"/>
    <w:rsid w:val="00864082"/>
    <w:rsid w:val="008641D8"/>
    <w:rsid w:val="008655A1"/>
    <w:rsid w:val="008655A9"/>
    <w:rsid w:val="008658CB"/>
    <w:rsid w:val="008659F3"/>
    <w:rsid w:val="00865FDE"/>
    <w:rsid w:val="0086733B"/>
    <w:rsid w:val="008674A9"/>
    <w:rsid w:val="00867815"/>
    <w:rsid w:val="008678D8"/>
    <w:rsid w:val="008679D9"/>
    <w:rsid w:val="0087062D"/>
    <w:rsid w:val="00870E05"/>
    <w:rsid w:val="00870F53"/>
    <w:rsid w:val="00871051"/>
    <w:rsid w:val="00871842"/>
    <w:rsid w:val="0087204B"/>
    <w:rsid w:val="008724A2"/>
    <w:rsid w:val="00872841"/>
    <w:rsid w:val="00872FE7"/>
    <w:rsid w:val="00873693"/>
    <w:rsid w:val="00874CAC"/>
    <w:rsid w:val="008752E3"/>
    <w:rsid w:val="0087544C"/>
    <w:rsid w:val="00875BCE"/>
    <w:rsid w:val="00875FE5"/>
    <w:rsid w:val="008809FB"/>
    <w:rsid w:val="00880F4C"/>
    <w:rsid w:val="00881091"/>
    <w:rsid w:val="008817F2"/>
    <w:rsid w:val="008833F8"/>
    <w:rsid w:val="00883958"/>
    <w:rsid w:val="00883D53"/>
    <w:rsid w:val="008840E2"/>
    <w:rsid w:val="00884110"/>
    <w:rsid w:val="008854BE"/>
    <w:rsid w:val="00885BF6"/>
    <w:rsid w:val="00885F41"/>
    <w:rsid w:val="0088636B"/>
    <w:rsid w:val="00886FFA"/>
    <w:rsid w:val="008878C3"/>
    <w:rsid w:val="008908B6"/>
    <w:rsid w:val="00891309"/>
    <w:rsid w:val="00891311"/>
    <w:rsid w:val="0089139E"/>
    <w:rsid w:val="00891599"/>
    <w:rsid w:val="0089246C"/>
    <w:rsid w:val="008926B5"/>
    <w:rsid w:val="00892F75"/>
    <w:rsid w:val="00892FD6"/>
    <w:rsid w:val="00893268"/>
    <w:rsid w:val="0089456C"/>
    <w:rsid w:val="00894F8B"/>
    <w:rsid w:val="00895430"/>
    <w:rsid w:val="008955B9"/>
    <w:rsid w:val="008975D6"/>
    <w:rsid w:val="008979B1"/>
    <w:rsid w:val="008A0CAF"/>
    <w:rsid w:val="008A0E7B"/>
    <w:rsid w:val="008A0ED0"/>
    <w:rsid w:val="008A10D2"/>
    <w:rsid w:val="008A17C9"/>
    <w:rsid w:val="008A1DB2"/>
    <w:rsid w:val="008A2431"/>
    <w:rsid w:val="008A2621"/>
    <w:rsid w:val="008A2B09"/>
    <w:rsid w:val="008A3238"/>
    <w:rsid w:val="008A3EBF"/>
    <w:rsid w:val="008A4733"/>
    <w:rsid w:val="008A48FA"/>
    <w:rsid w:val="008A5196"/>
    <w:rsid w:val="008A5C87"/>
    <w:rsid w:val="008A61F6"/>
    <w:rsid w:val="008A62CB"/>
    <w:rsid w:val="008A6AC6"/>
    <w:rsid w:val="008A6B25"/>
    <w:rsid w:val="008A6BB4"/>
    <w:rsid w:val="008A6C4F"/>
    <w:rsid w:val="008A71DA"/>
    <w:rsid w:val="008A778A"/>
    <w:rsid w:val="008A7CAC"/>
    <w:rsid w:val="008B1EE4"/>
    <w:rsid w:val="008B2335"/>
    <w:rsid w:val="008B2485"/>
    <w:rsid w:val="008B30C2"/>
    <w:rsid w:val="008B31E4"/>
    <w:rsid w:val="008B388D"/>
    <w:rsid w:val="008B3ABB"/>
    <w:rsid w:val="008B3D32"/>
    <w:rsid w:val="008B3D95"/>
    <w:rsid w:val="008B51B3"/>
    <w:rsid w:val="008B6178"/>
    <w:rsid w:val="008B703B"/>
    <w:rsid w:val="008B7C4F"/>
    <w:rsid w:val="008C017D"/>
    <w:rsid w:val="008C0D4A"/>
    <w:rsid w:val="008C0E41"/>
    <w:rsid w:val="008C10A5"/>
    <w:rsid w:val="008C4EDC"/>
    <w:rsid w:val="008C6A80"/>
    <w:rsid w:val="008C7901"/>
    <w:rsid w:val="008C7A22"/>
    <w:rsid w:val="008D0FBA"/>
    <w:rsid w:val="008D1459"/>
    <w:rsid w:val="008D2503"/>
    <w:rsid w:val="008D38F3"/>
    <w:rsid w:val="008D3AD8"/>
    <w:rsid w:val="008D3C30"/>
    <w:rsid w:val="008D3E55"/>
    <w:rsid w:val="008D4A3E"/>
    <w:rsid w:val="008D4BF5"/>
    <w:rsid w:val="008D4D0B"/>
    <w:rsid w:val="008D4DE1"/>
    <w:rsid w:val="008D52B1"/>
    <w:rsid w:val="008D5553"/>
    <w:rsid w:val="008D5CEF"/>
    <w:rsid w:val="008D6F8D"/>
    <w:rsid w:val="008E0104"/>
    <w:rsid w:val="008E0678"/>
    <w:rsid w:val="008E0FE9"/>
    <w:rsid w:val="008E1567"/>
    <w:rsid w:val="008E1D1B"/>
    <w:rsid w:val="008E1FE2"/>
    <w:rsid w:val="008E21DE"/>
    <w:rsid w:val="008E27EC"/>
    <w:rsid w:val="008E29F8"/>
    <w:rsid w:val="008E3011"/>
    <w:rsid w:val="008E32D2"/>
    <w:rsid w:val="008E36FD"/>
    <w:rsid w:val="008E39CC"/>
    <w:rsid w:val="008E4C4F"/>
    <w:rsid w:val="008E5320"/>
    <w:rsid w:val="008E5B19"/>
    <w:rsid w:val="008E6A47"/>
    <w:rsid w:val="008E71D6"/>
    <w:rsid w:val="008E7478"/>
    <w:rsid w:val="008E7D8C"/>
    <w:rsid w:val="008F11A1"/>
    <w:rsid w:val="008F142A"/>
    <w:rsid w:val="008F1D58"/>
    <w:rsid w:val="008F2587"/>
    <w:rsid w:val="008F2674"/>
    <w:rsid w:val="008F272C"/>
    <w:rsid w:val="008F2894"/>
    <w:rsid w:val="008F2E3E"/>
    <w:rsid w:val="008F34D7"/>
    <w:rsid w:val="008F4AA6"/>
    <w:rsid w:val="008F4AF5"/>
    <w:rsid w:val="008F4C04"/>
    <w:rsid w:val="008F6A55"/>
    <w:rsid w:val="008F6CC3"/>
    <w:rsid w:val="008F6DBE"/>
    <w:rsid w:val="008F78BA"/>
    <w:rsid w:val="008F7EF1"/>
    <w:rsid w:val="009006B0"/>
    <w:rsid w:val="00900EB6"/>
    <w:rsid w:val="00901402"/>
    <w:rsid w:val="00901CCF"/>
    <w:rsid w:val="0090209D"/>
    <w:rsid w:val="009020C8"/>
    <w:rsid w:val="0090237B"/>
    <w:rsid w:val="00902668"/>
    <w:rsid w:val="00902FE8"/>
    <w:rsid w:val="00903876"/>
    <w:rsid w:val="009041AD"/>
    <w:rsid w:val="0090596D"/>
    <w:rsid w:val="00905D21"/>
    <w:rsid w:val="00905FD2"/>
    <w:rsid w:val="009061BF"/>
    <w:rsid w:val="0090647C"/>
    <w:rsid w:val="009067DD"/>
    <w:rsid w:val="009069F2"/>
    <w:rsid w:val="00906B86"/>
    <w:rsid w:val="00910F40"/>
    <w:rsid w:val="00911247"/>
    <w:rsid w:val="00911303"/>
    <w:rsid w:val="00912256"/>
    <w:rsid w:val="00912962"/>
    <w:rsid w:val="00912C08"/>
    <w:rsid w:val="00912D02"/>
    <w:rsid w:val="00912DB1"/>
    <w:rsid w:val="00913616"/>
    <w:rsid w:val="00913F5E"/>
    <w:rsid w:val="0091460C"/>
    <w:rsid w:val="00914B6E"/>
    <w:rsid w:val="00914DAD"/>
    <w:rsid w:val="009152C3"/>
    <w:rsid w:val="00916567"/>
    <w:rsid w:val="00917CE6"/>
    <w:rsid w:val="00920815"/>
    <w:rsid w:val="009223CA"/>
    <w:rsid w:val="00923365"/>
    <w:rsid w:val="009234A8"/>
    <w:rsid w:val="00924A12"/>
    <w:rsid w:val="0092535C"/>
    <w:rsid w:val="00925507"/>
    <w:rsid w:val="00925889"/>
    <w:rsid w:val="009261C4"/>
    <w:rsid w:val="009262A6"/>
    <w:rsid w:val="009264B8"/>
    <w:rsid w:val="009268DD"/>
    <w:rsid w:val="00930515"/>
    <w:rsid w:val="00930A0A"/>
    <w:rsid w:val="00930D71"/>
    <w:rsid w:val="00932159"/>
    <w:rsid w:val="009321D4"/>
    <w:rsid w:val="009331C0"/>
    <w:rsid w:val="0093413A"/>
    <w:rsid w:val="00934AB2"/>
    <w:rsid w:val="0093516A"/>
    <w:rsid w:val="0093571E"/>
    <w:rsid w:val="00935941"/>
    <w:rsid w:val="00936533"/>
    <w:rsid w:val="0093723F"/>
    <w:rsid w:val="0093754A"/>
    <w:rsid w:val="00937974"/>
    <w:rsid w:val="00940F93"/>
    <w:rsid w:val="009412FE"/>
    <w:rsid w:val="0094132A"/>
    <w:rsid w:val="00941AB8"/>
    <w:rsid w:val="00941B2F"/>
    <w:rsid w:val="0094236B"/>
    <w:rsid w:val="00942BBE"/>
    <w:rsid w:val="009431D5"/>
    <w:rsid w:val="00943251"/>
    <w:rsid w:val="009437F7"/>
    <w:rsid w:val="00943A7B"/>
    <w:rsid w:val="00943FBA"/>
    <w:rsid w:val="00945A23"/>
    <w:rsid w:val="0094712A"/>
    <w:rsid w:val="009502AF"/>
    <w:rsid w:val="00950AF4"/>
    <w:rsid w:val="00951181"/>
    <w:rsid w:val="00951522"/>
    <w:rsid w:val="00951620"/>
    <w:rsid w:val="00951A9F"/>
    <w:rsid w:val="00951EAC"/>
    <w:rsid w:val="009520BA"/>
    <w:rsid w:val="00952427"/>
    <w:rsid w:val="00952EDF"/>
    <w:rsid w:val="009532A6"/>
    <w:rsid w:val="0095347F"/>
    <w:rsid w:val="009536B7"/>
    <w:rsid w:val="0095403A"/>
    <w:rsid w:val="009541F4"/>
    <w:rsid w:val="009550A0"/>
    <w:rsid w:val="00955194"/>
    <w:rsid w:val="00955F34"/>
    <w:rsid w:val="00956159"/>
    <w:rsid w:val="009562B1"/>
    <w:rsid w:val="009564B1"/>
    <w:rsid w:val="009568BE"/>
    <w:rsid w:val="00956A6B"/>
    <w:rsid w:val="0095745B"/>
    <w:rsid w:val="009607B5"/>
    <w:rsid w:val="00960CDA"/>
    <w:rsid w:val="00961835"/>
    <w:rsid w:val="00962B3A"/>
    <w:rsid w:val="0096476B"/>
    <w:rsid w:val="00964E2E"/>
    <w:rsid w:val="00965361"/>
    <w:rsid w:val="009669EA"/>
    <w:rsid w:val="00966D7C"/>
    <w:rsid w:val="00966DDD"/>
    <w:rsid w:val="0096722C"/>
    <w:rsid w:val="00967F59"/>
    <w:rsid w:val="009701C4"/>
    <w:rsid w:val="00970A75"/>
    <w:rsid w:val="00971C45"/>
    <w:rsid w:val="009720B8"/>
    <w:rsid w:val="00972495"/>
    <w:rsid w:val="0097250B"/>
    <w:rsid w:val="009735A8"/>
    <w:rsid w:val="009735EF"/>
    <w:rsid w:val="00973B67"/>
    <w:rsid w:val="009740CC"/>
    <w:rsid w:val="009743DC"/>
    <w:rsid w:val="00974A2F"/>
    <w:rsid w:val="00974EF5"/>
    <w:rsid w:val="00975230"/>
    <w:rsid w:val="009759CB"/>
    <w:rsid w:val="00975C30"/>
    <w:rsid w:val="00975C63"/>
    <w:rsid w:val="00975C94"/>
    <w:rsid w:val="00975E5F"/>
    <w:rsid w:val="009760F3"/>
    <w:rsid w:val="009761F4"/>
    <w:rsid w:val="00977537"/>
    <w:rsid w:val="00980F20"/>
    <w:rsid w:val="009812E7"/>
    <w:rsid w:val="00983306"/>
    <w:rsid w:val="00983C0B"/>
    <w:rsid w:val="009842D9"/>
    <w:rsid w:val="00984A06"/>
    <w:rsid w:val="00984E4F"/>
    <w:rsid w:val="00985506"/>
    <w:rsid w:val="00985865"/>
    <w:rsid w:val="009862A4"/>
    <w:rsid w:val="009863EF"/>
    <w:rsid w:val="009863FB"/>
    <w:rsid w:val="00986B9B"/>
    <w:rsid w:val="00986EDB"/>
    <w:rsid w:val="009901E3"/>
    <w:rsid w:val="00990941"/>
    <w:rsid w:val="009909F5"/>
    <w:rsid w:val="00991AA6"/>
    <w:rsid w:val="00991D00"/>
    <w:rsid w:val="00992030"/>
    <w:rsid w:val="00993179"/>
    <w:rsid w:val="00993266"/>
    <w:rsid w:val="0099366E"/>
    <w:rsid w:val="00993934"/>
    <w:rsid w:val="00993D77"/>
    <w:rsid w:val="00993FC8"/>
    <w:rsid w:val="00995B27"/>
    <w:rsid w:val="00995EB9"/>
    <w:rsid w:val="0099730A"/>
    <w:rsid w:val="00997A0C"/>
    <w:rsid w:val="00997B77"/>
    <w:rsid w:val="00997F10"/>
    <w:rsid w:val="00997F12"/>
    <w:rsid w:val="009A01E5"/>
    <w:rsid w:val="009A0E8D"/>
    <w:rsid w:val="009A1452"/>
    <w:rsid w:val="009A3538"/>
    <w:rsid w:val="009A3555"/>
    <w:rsid w:val="009A430F"/>
    <w:rsid w:val="009A446A"/>
    <w:rsid w:val="009A46D6"/>
    <w:rsid w:val="009A56EA"/>
    <w:rsid w:val="009A5E1E"/>
    <w:rsid w:val="009A6988"/>
    <w:rsid w:val="009A7439"/>
    <w:rsid w:val="009B0452"/>
    <w:rsid w:val="009B1313"/>
    <w:rsid w:val="009B1F46"/>
    <w:rsid w:val="009B262C"/>
    <w:rsid w:val="009B26E7"/>
    <w:rsid w:val="009B26E9"/>
    <w:rsid w:val="009B2CFB"/>
    <w:rsid w:val="009B2EF2"/>
    <w:rsid w:val="009B358E"/>
    <w:rsid w:val="009B3B6D"/>
    <w:rsid w:val="009B4E0B"/>
    <w:rsid w:val="009B6134"/>
    <w:rsid w:val="009B613C"/>
    <w:rsid w:val="009B63C7"/>
    <w:rsid w:val="009B685A"/>
    <w:rsid w:val="009B6EBF"/>
    <w:rsid w:val="009C00AE"/>
    <w:rsid w:val="009C1842"/>
    <w:rsid w:val="009C188B"/>
    <w:rsid w:val="009C24F4"/>
    <w:rsid w:val="009C2850"/>
    <w:rsid w:val="009C2B94"/>
    <w:rsid w:val="009C2C0D"/>
    <w:rsid w:val="009C2C81"/>
    <w:rsid w:val="009C33C8"/>
    <w:rsid w:val="009C4874"/>
    <w:rsid w:val="009C530D"/>
    <w:rsid w:val="009C5316"/>
    <w:rsid w:val="009C5B24"/>
    <w:rsid w:val="009C6AEC"/>
    <w:rsid w:val="009C77E5"/>
    <w:rsid w:val="009C7EFD"/>
    <w:rsid w:val="009D04AC"/>
    <w:rsid w:val="009D065F"/>
    <w:rsid w:val="009D0B1B"/>
    <w:rsid w:val="009D1D59"/>
    <w:rsid w:val="009D22A2"/>
    <w:rsid w:val="009D24AB"/>
    <w:rsid w:val="009D26D2"/>
    <w:rsid w:val="009D28AB"/>
    <w:rsid w:val="009D39B0"/>
    <w:rsid w:val="009D4601"/>
    <w:rsid w:val="009D4AEA"/>
    <w:rsid w:val="009D4BB8"/>
    <w:rsid w:val="009D4EB9"/>
    <w:rsid w:val="009D5361"/>
    <w:rsid w:val="009D5673"/>
    <w:rsid w:val="009D6527"/>
    <w:rsid w:val="009D6A16"/>
    <w:rsid w:val="009D7514"/>
    <w:rsid w:val="009D76B0"/>
    <w:rsid w:val="009D7894"/>
    <w:rsid w:val="009D7E85"/>
    <w:rsid w:val="009E0854"/>
    <w:rsid w:val="009E11CB"/>
    <w:rsid w:val="009E2542"/>
    <w:rsid w:val="009E26A2"/>
    <w:rsid w:val="009E2898"/>
    <w:rsid w:val="009E2A10"/>
    <w:rsid w:val="009E2F54"/>
    <w:rsid w:val="009E36BD"/>
    <w:rsid w:val="009E36ED"/>
    <w:rsid w:val="009E418A"/>
    <w:rsid w:val="009E445F"/>
    <w:rsid w:val="009E44C3"/>
    <w:rsid w:val="009E52B6"/>
    <w:rsid w:val="009E577B"/>
    <w:rsid w:val="009E5925"/>
    <w:rsid w:val="009E642A"/>
    <w:rsid w:val="009E6A7F"/>
    <w:rsid w:val="009E6CCC"/>
    <w:rsid w:val="009E74F7"/>
    <w:rsid w:val="009E7D26"/>
    <w:rsid w:val="009F069D"/>
    <w:rsid w:val="009F08B1"/>
    <w:rsid w:val="009F0C24"/>
    <w:rsid w:val="009F151A"/>
    <w:rsid w:val="009F192B"/>
    <w:rsid w:val="009F2AC1"/>
    <w:rsid w:val="009F3272"/>
    <w:rsid w:val="009F390B"/>
    <w:rsid w:val="009F3F1E"/>
    <w:rsid w:val="009F40E9"/>
    <w:rsid w:val="009F5905"/>
    <w:rsid w:val="009F5D91"/>
    <w:rsid w:val="009F76B2"/>
    <w:rsid w:val="009F7772"/>
    <w:rsid w:val="009F78F4"/>
    <w:rsid w:val="00A004B1"/>
    <w:rsid w:val="00A00575"/>
    <w:rsid w:val="00A009C6"/>
    <w:rsid w:val="00A00A3F"/>
    <w:rsid w:val="00A012C3"/>
    <w:rsid w:val="00A01489"/>
    <w:rsid w:val="00A01ACB"/>
    <w:rsid w:val="00A01E7F"/>
    <w:rsid w:val="00A02273"/>
    <w:rsid w:val="00A0276A"/>
    <w:rsid w:val="00A02BF8"/>
    <w:rsid w:val="00A02F7B"/>
    <w:rsid w:val="00A030AB"/>
    <w:rsid w:val="00A036B3"/>
    <w:rsid w:val="00A04A2D"/>
    <w:rsid w:val="00A04BAB"/>
    <w:rsid w:val="00A04DCD"/>
    <w:rsid w:val="00A05D55"/>
    <w:rsid w:val="00A06158"/>
    <w:rsid w:val="00A069BB"/>
    <w:rsid w:val="00A069E2"/>
    <w:rsid w:val="00A06C0C"/>
    <w:rsid w:val="00A06D4C"/>
    <w:rsid w:val="00A07123"/>
    <w:rsid w:val="00A07872"/>
    <w:rsid w:val="00A10474"/>
    <w:rsid w:val="00A10E84"/>
    <w:rsid w:val="00A11A0C"/>
    <w:rsid w:val="00A11AD7"/>
    <w:rsid w:val="00A12518"/>
    <w:rsid w:val="00A12625"/>
    <w:rsid w:val="00A1306D"/>
    <w:rsid w:val="00A130FE"/>
    <w:rsid w:val="00A14D3B"/>
    <w:rsid w:val="00A15032"/>
    <w:rsid w:val="00A153F9"/>
    <w:rsid w:val="00A15A08"/>
    <w:rsid w:val="00A16256"/>
    <w:rsid w:val="00A164B7"/>
    <w:rsid w:val="00A176A5"/>
    <w:rsid w:val="00A1776E"/>
    <w:rsid w:val="00A20CCC"/>
    <w:rsid w:val="00A230A0"/>
    <w:rsid w:val="00A2315A"/>
    <w:rsid w:val="00A24972"/>
    <w:rsid w:val="00A2561D"/>
    <w:rsid w:val="00A2597E"/>
    <w:rsid w:val="00A25E53"/>
    <w:rsid w:val="00A25E9B"/>
    <w:rsid w:val="00A262B7"/>
    <w:rsid w:val="00A266D4"/>
    <w:rsid w:val="00A2698E"/>
    <w:rsid w:val="00A27019"/>
    <w:rsid w:val="00A309AA"/>
    <w:rsid w:val="00A31B81"/>
    <w:rsid w:val="00A3202F"/>
    <w:rsid w:val="00A32494"/>
    <w:rsid w:val="00A32FC1"/>
    <w:rsid w:val="00A33679"/>
    <w:rsid w:val="00A338F1"/>
    <w:rsid w:val="00A3470F"/>
    <w:rsid w:val="00A3488C"/>
    <w:rsid w:val="00A358F1"/>
    <w:rsid w:val="00A36087"/>
    <w:rsid w:val="00A3630E"/>
    <w:rsid w:val="00A36331"/>
    <w:rsid w:val="00A36BE3"/>
    <w:rsid w:val="00A36D80"/>
    <w:rsid w:val="00A37713"/>
    <w:rsid w:val="00A37DD8"/>
    <w:rsid w:val="00A400B6"/>
    <w:rsid w:val="00A40510"/>
    <w:rsid w:val="00A4143D"/>
    <w:rsid w:val="00A4192B"/>
    <w:rsid w:val="00A41A96"/>
    <w:rsid w:val="00A4263D"/>
    <w:rsid w:val="00A42CF7"/>
    <w:rsid w:val="00A4404F"/>
    <w:rsid w:val="00A44615"/>
    <w:rsid w:val="00A44B91"/>
    <w:rsid w:val="00A4531D"/>
    <w:rsid w:val="00A455A7"/>
    <w:rsid w:val="00A45D7B"/>
    <w:rsid w:val="00A45DB8"/>
    <w:rsid w:val="00A45DFE"/>
    <w:rsid w:val="00A460C7"/>
    <w:rsid w:val="00A4722B"/>
    <w:rsid w:val="00A47396"/>
    <w:rsid w:val="00A4753A"/>
    <w:rsid w:val="00A50C59"/>
    <w:rsid w:val="00A50EFE"/>
    <w:rsid w:val="00A50F81"/>
    <w:rsid w:val="00A513D4"/>
    <w:rsid w:val="00A515FA"/>
    <w:rsid w:val="00A52F00"/>
    <w:rsid w:val="00A534F8"/>
    <w:rsid w:val="00A53B60"/>
    <w:rsid w:val="00A5434B"/>
    <w:rsid w:val="00A55318"/>
    <w:rsid w:val="00A55F52"/>
    <w:rsid w:val="00A56744"/>
    <w:rsid w:val="00A57155"/>
    <w:rsid w:val="00A604F4"/>
    <w:rsid w:val="00A60653"/>
    <w:rsid w:val="00A6098E"/>
    <w:rsid w:val="00A60C3C"/>
    <w:rsid w:val="00A60E9F"/>
    <w:rsid w:val="00A61815"/>
    <w:rsid w:val="00A61ABB"/>
    <w:rsid w:val="00A61FAD"/>
    <w:rsid w:val="00A62026"/>
    <w:rsid w:val="00A62162"/>
    <w:rsid w:val="00A622BD"/>
    <w:rsid w:val="00A63073"/>
    <w:rsid w:val="00A64C65"/>
    <w:rsid w:val="00A65252"/>
    <w:rsid w:val="00A65885"/>
    <w:rsid w:val="00A65C95"/>
    <w:rsid w:val="00A65F5F"/>
    <w:rsid w:val="00A661B6"/>
    <w:rsid w:val="00A66C0A"/>
    <w:rsid w:val="00A674AA"/>
    <w:rsid w:val="00A67515"/>
    <w:rsid w:val="00A6783D"/>
    <w:rsid w:val="00A67871"/>
    <w:rsid w:val="00A679E9"/>
    <w:rsid w:val="00A703CE"/>
    <w:rsid w:val="00A708BB"/>
    <w:rsid w:val="00A70B9B"/>
    <w:rsid w:val="00A70E56"/>
    <w:rsid w:val="00A710E2"/>
    <w:rsid w:val="00A71A80"/>
    <w:rsid w:val="00A71B51"/>
    <w:rsid w:val="00A71DF5"/>
    <w:rsid w:val="00A7276C"/>
    <w:rsid w:val="00A72F22"/>
    <w:rsid w:val="00A7360F"/>
    <w:rsid w:val="00A73AAB"/>
    <w:rsid w:val="00A73EDD"/>
    <w:rsid w:val="00A741DE"/>
    <w:rsid w:val="00A7466A"/>
    <w:rsid w:val="00A748A6"/>
    <w:rsid w:val="00A75355"/>
    <w:rsid w:val="00A753F2"/>
    <w:rsid w:val="00A769F4"/>
    <w:rsid w:val="00A7729B"/>
    <w:rsid w:val="00A776B4"/>
    <w:rsid w:val="00A77C66"/>
    <w:rsid w:val="00A77F16"/>
    <w:rsid w:val="00A813BB"/>
    <w:rsid w:val="00A817B1"/>
    <w:rsid w:val="00A8191A"/>
    <w:rsid w:val="00A81FC7"/>
    <w:rsid w:val="00A82504"/>
    <w:rsid w:val="00A8255A"/>
    <w:rsid w:val="00A826D1"/>
    <w:rsid w:val="00A832D3"/>
    <w:rsid w:val="00A84062"/>
    <w:rsid w:val="00A8467B"/>
    <w:rsid w:val="00A85674"/>
    <w:rsid w:val="00A859BA"/>
    <w:rsid w:val="00A85C57"/>
    <w:rsid w:val="00A85D29"/>
    <w:rsid w:val="00A86F19"/>
    <w:rsid w:val="00A871D5"/>
    <w:rsid w:val="00A87251"/>
    <w:rsid w:val="00A872E8"/>
    <w:rsid w:val="00A87551"/>
    <w:rsid w:val="00A8780F"/>
    <w:rsid w:val="00A9044C"/>
    <w:rsid w:val="00A90C5B"/>
    <w:rsid w:val="00A90E23"/>
    <w:rsid w:val="00A91499"/>
    <w:rsid w:val="00A91DBE"/>
    <w:rsid w:val="00A91DF3"/>
    <w:rsid w:val="00A93113"/>
    <w:rsid w:val="00A937E1"/>
    <w:rsid w:val="00A93CCD"/>
    <w:rsid w:val="00A93EB2"/>
    <w:rsid w:val="00A9430F"/>
    <w:rsid w:val="00A94361"/>
    <w:rsid w:val="00A94C79"/>
    <w:rsid w:val="00A95024"/>
    <w:rsid w:val="00A956A5"/>
    <w:rsid w:val="00A95B69"/>
    <w:rsid w:val="00A96457"/>
    <w:rsid w:val="00A96762"/>
    <w:rsid w:val="00A96799"/>
    <w:rsid w:val="00A97410"/>
    <w:rsid w:val="00AA0619"/>
    <w:rsid w:val="00AA0F58"/>
    <w:rsid w:val="00AA293C"/>
    <w:rsid w:val="00AA2D0D"/>
    <w:rsid w:val="00AA3434"/>
    <w:rsid w:val="00AA368F"/>
    <w:rsid w:val="00AA42C6"/>
    <w:rsid w:val="00AA4A02"/>
    <w:rsid w:val="00AA4F43"/>
    <w:rsid w:val="00AA5CEF"/>
    <w:rsid w:val="00AA5EE8"/>
    <w:rsid w:val="00AA634D"/>
    <w:rsid w:val="00AB0DB9"/>
    <w:rsid w:val="00AB112C"/>
    <w:rsid w:val="00AB1733"/>
    <w:rsid w:val="00AB19FA"/>
    <w:rsid w:val="00AB1FA3"/>
    <w:rsid w:val="00AB1FB2"/>
    <w:rsid w:val="00AB386F"/>
    <w:rsid w:val="00AB4E1A"/>
    <w:rsid w:val="00AB5043"/>
    <w:rsid w:val="00AB5A41"/>
    <w:rsid w:val="00AB5D75"/>
    <w:rsid w:val="00AB7014"/>
    <w:rsid w:val="00AB7523"/>
    <w:rsid w:val="00AB7C6D"/>
    <w:rsid w:val="00AC03E4"/>
    <w:rsid w:val="00AC0A14"/>
    <w:rsid w:val="00AC0D25"/>
    <w:rsid w:val="00AC153F"/>
    <w:rsid w:val="00AC1844"/>
    <w:rsid w:val="00AC2300"/>
    <w:rsid w:val="00AC3B93"/>
    <w:rsid w:val="00AC40C7"/>
    <w:rsid w:val="00AC4840"/>
    <w:rsid w:val="00AC4A9B"/>
    <w:rsid w:val="00AC5653"/>
    <w:rsid w:val="00AC63A2"/>
    <w:rsid w:val="00AC647E"/>
    <w:rsid w:val="00AC72E3"/>
    <w:rsid w:val="00AD001C"/>
    <w:rsid w:val="00AD1011"/>
    <w:rsid w:val="00AD10F3"/>
    <w:rsid w:val="00AD1591"/>
    <w:rsid w:val="00AD1C54"/>
    <w:rsid w:val="00AD25D8"/>
    <w:rsid w:val="00AD293B"/>
    <w:rsid w:val="00AD392F"/>
    <w:rsid w:val="00AD45BB"/>
    <w:rsid w:val="00AD46B8"/>
    <w:rsid w:val="00AD6EA8"/>
    <w:rsid w:val="00AD7999"/>
    <w:rsid w:val="00AE0645"/>
    <w:rsid w:val="00AE1B3F"/>
    <w:rsid w:val="00AE24FE"/>
    <w:rsid w:val="00AE2860"/>
    <w:rsid w:val="00AE309F"/>
    <w:rsid w:val="00AE3157"/>
    <w:rsid w:val="00AE4567"/>
    <w:rsid w:val="00AE49B7"/>
    <w:rsid w:val="00AE5108"/>
    <w:rsid w:val="00AE5404"/>
    <w:rsid w:val="00AE67E7"/>
    <w:rsid w:val="00AE7C52"/>
    <w:rsid w:val="00AF009F"/>
    <w:rsid w:val="00AF1998"/>
    <w:rsid w:val="00AF1A44"/>
    <w:rsid w:val="00AF1E8E"/>
    <w:rsid w:val="00AF2366"/>
    <w:rsid w:val="00AF2509"/>
    <w:rsid w:val="00AF256C"/>
    <w:rsid w:val="00AF2B8D"/>
    <w:rsid w:val="00AF3290"/>
    <w:rsid w:val="00AF4244"/>
    <w:rsid w:val="00AF5CCF"/>
    <w:rsid w:val="00AF6C3B"/>
    <w:rsid w:val="00AF7833"/>
    <w:rsid w:val="00B003BF"/>
    <w:rsid w:val="00B016FF"/>
    <w:rsid w:val="00B0282C"/>
    <w:rsid w:val="00B02B00"/>
    <w:rsid w:val="00B02BAA"/>
    <w:rsid w:val="00B03187"/>
    <w:rsid w:val="00B033CC"/>
    <w:rsid w:val="00B0380C"/>
    <w:rsid w:val="00B04543"/>
    <w:rsid w:val="00B05BD9"/>
    <w:rsid w:val="00B05CF1"/>
    <w:rsid w:val="00B06B8F"/>
    <w:rsid w:val="00B06D66"/>
    <w:rsid w:val="00B07070"/>
    <w:rsid w:val="00B07138"/>
    <w:rsid w:val="00B072E2"/>
    <w:rsid w:val="00B07A6A"/>
    <w:rsid w:val="00B1072E"/>
    <w:rsid w:val="00B10872"/>
    <w:rsid w:val="00B11238"/>
    <w:rsid w:val="00B11C54"/>
    <w:rsid w:val="00B12229"/>
    <w:rsid w:val="00B128E8"/>
    <w:rsid w:val="00B12BB4"/>
    <w:rsid w:val="00B12E1C"/>
    <w:rsid w:val="00B13D28"/>
    <w:rsid w:val="00B13E9B"/>
    <w:rsid w:val="00B1421A"/>
    <w:rsid w:val="00B142F7"/>
    <w:rsid w:val="00B14BDF"/>
    <w:rsid w:val="00B15987"/>
    <w:rsid w:val="00B15993"/>
    <w:rsid w:val="00B16FC0"/>
    <w:rsid w:val="00B17560"/>
    <w:rsid w:val="00B17A87"/>
    <w:rsid w:val="00B17F54"/>
    <w:rsid w:val="00B200E4"/>
    <w:rsid w:val="00B201CC"/>
    <w:rsid w:val="00B20B3C"/>
    <w:rsid w:val="00B2177C"/>
    <w:rsid w:val="00B22321"/>
    <w:rsid w:val="00B22683"/>
    <w:rsid w:val="00B22C20"/>
    <w:rsid w:val="00B23D39"/>
    <w:rsid w:val="00B241FA"/>
    <w:rsid w:val="00B247AB"/>
    <w:rsid w:val="00B2707A"/>
    <w:rsid w:val="00B273DB"/>
    <w:rsid w:val="00B2766A"/>
    <w:rsid w:val="00B27CC0"/>
    <w:rsid w:val="00B30179"/>
    <w:rsid w:val="00B30613"/>
    <w:rsid w:val="00B31398"/>
    <w:rsid w:val="00B32131"/>
    <w:rsid w:val="00B32EDF"/>
    <w:rsid w:val="00B339A7"/>
    <w:rsid w:val="00B33F29"/>
    <w:rsid w:val="00B34616"/>
    <w:rsid w:val="00B34A3F"/>
    <w:rsid w:val="00B3514D"/>
    <w:rsid w:val="00B35C17"/>
    <w:rsid w:val="00B35F15"/>
    <w:rsid w:val="00B3612D"/>
    <w:rsid w:val="00B36626"/>
    <w:rsid w:val="00B369CE"/>
    <w:rsid w:val="00B36F65"/>
    <w:rsid w:val="00B3738E"/>
    <w:rsid w:val="00B3784A"/>
    <w:rsid w:val="00B37AAE"/>
    <w:rsid w:val="00B37BAE"/>
    <w:rsid w:val="00B4074B"/>
    <w:rsid w:val="00B40F49"/>
    <w:rsid w:val="00B41837"/>
    <w:rsid w:val="00B41ACB"/>
    <w:rsid w:val="00B42057"/>
    <w:rsid w:val="00B427FA"/>
    <w:rsid w:val="00B42FE5"/>
    <w:rsid w:val="00B43A0B"/>
    <w:rsid w:val="00B43F57"/>
    <w:rsid w:val="00B443E2"/>
    <w:rsid w:val="00B448FE"/>
    <w:rsid w:val="00B44C85"/>
    <w:rsid w:val="00B46096"/>
    <w:rsid w:val="00B4718F"/>
    <w:rsid w:val="00B47380"/>
    <w:rsid w:val="00B508E8"/>
    <w:rsid w:val="00B5092B"/>
    <w:rsid w:val="00B50A5B"/>
    <w:rsid w:val="00B512C7"/>
    <w:rsid w:val="00B515D4"/>
    <w:rsid w:val="00B52CAF"/>
    <w:rsid w:val="00B53F42"/>
    <w:rsid w:val="00B5461F"/>
    <w:rsid w:val="00B56A03"/>
    <w:rsid w:val="00B56E4A"/>
    <w:rsid w:val="00B56E9C"/>
    <w:rsid w:val="00B603E4"/>
    <w:rsid w:val="00B60748"/>
    <w:rsid w:val="00B60BB3"/>
    <w:rsid w:val="00B63732"/>
    <w:rsid w:val="00B6380E"/>
    <w:rsid w:val="00B639A0"/>
    <w:rsid w:val="00B63FAE"/>
    <w:rsid w:val="00B63FF7"/>
    <w:rsid w:val="00B640A3"/>
    <w:rsid w:val="00B640E8"/>
    <w:rsid w:val="00B64B1F"/>
    <w:rsid w:val="00B65293"/>
    <w:rsid w:val="00B6548B"/>
    <w:rsid w:val="00B654DC"/>
    <w:rsid w:val="00B6553F"/>
    <w:rsid w:val="00B65A64"/>
    <w:rsid w:val="00B65D1D"/>
    <w:rsid w:val="00B66364"/>
    <w:rsid w:val="00B66E5E"/>
    <w:rsid w:val="00B6735D"/>
    <w:rsid w:val="00B67763"/>
    <w:rsid w:val="00B67817"/>
    <w:rsid w:val="00B67BE1"/>
    <w:rsid w:val="00B67C9C"/>
    <w:rsid w:val="00B705E0"/>
    <w:rsid w:val="00B70C5B"/>
    <w:rsid w:val="00B7160E"/>
    <w:rsid w:val="00B716A0"/>
    <w:rsid w:val="00B71AB0"/>
    <w:rsid w:val="00B720E1"/>
    <w:rsid w:val="00B721B9"/>
    <w:rsid w:val="00B722AE"/>
    <w:rsid w:val="00B72A6A"/>
    <w:rsid w:val="00B73247"/>
    <w:rsid w:val="00B73EF6"/>
    <w:rsid w:val="00B74EC9"/>
    <w:rsid w:val="00B74FBD"/>
    <w:rsid w:val="00B753D1"/>
    <w:rsid w:val="00B76F9C"/>
    <w:rsid w:val="00B77D05"/>
    <w:rsid w:val="00B77EB1"/>
    <w:rsid w:val="00B805D3"/>
    <w:rsid w:val="00B81202"/>
    <w:rsid w:val="00B81206"/>
    <w:rsid w:val="00B81590"/>
    <w:rsid w:val="00B81DC2"/>
    <w:rsid w:val="00B81E12"/>
    <w:rsid w:val="00B81FFE"/>
    <w:rsid w:val="00B82156"/>
    <w:rsid w:val="00B8236D"/>
    <w:rsid w:val="00B82B14"/>
    <w:rsid w:val="00B82B33"/>
    <w:rsid w:val="00B83A07"/>
    <w:rsid w:val="00B846C0"/>
    <w:rsid w:val="00B849F0"/>
    <w:rsid w:val="00B84C4B"/>
    <w:rsid w:val="00B84CBE"/>
    <w:rsid w:val="00B84D8C"/>
    <w:rsid w:val="00B84E12"/>
    <w:rsid w:val="00B855CC"/>
    <w:rsid w:val="00B857DE"/>
    <w:rsid w:val="00B85908"/>
    <w:rsid w:val="00B861DB"/>
    <w:rsid w:val="00B86623"/>
    <w:rsid w:val="00B86849"/>
    <w:rsid w:val="00B86B5F"/>
    <w:rsid w:val="00B87106"/>
    <w:rsid w:val="00B87194"/>
    <w:rsid w:val="00B874C1"/>
    <w:rsid w:val="00B876FC"/>
    <w:rsid w:val="00B878B3"/>
    <w:rsid w:val="00B879F3"/>
    <w:rsid w:val="00B87ED4"/>
    <w:rsid w:val="00B9030F"/>
    <w:rsid w:val="00B9067B"/>
    <w:rsid w:val="00B907BE"/>
    <w:rsid w:val="00B90F27"/>
    <w:rsid w:val="00B9187A"/>
    <w:rsid w:val="00B932AA"/>
    <w:rsid w:val="00B93B25"/>
    <w:rsid w:val="00B94491"/>
    <w:rsid w:val="00B94B8D"/>
    <w:rsid w:val="00B95204"/>
    <w:rsid w:val="00B95FC8"/>
    <w:rsid w:val="00B96520"/>
    <w:rsid w:val="00B96941"/>
    <w:rsid w:val="00B970A5"/>
    <w:rsid w:val="00B97172"/>
    <w:rsid w:val="00B97E4C"/>
    <w:rsid w:val="00B97EDF"/>
    <w:rsid w:val="00BA01DB"/>
    <w:rsid w:val="00BA0CA7"/>
    <w:rsid w:val="00BA10AE"/>
    <w:rsid w:val="00BA1EDB"/>
    <w:rsid w:val="00BA27B3"/>
    <w:rsid w:val="00BA287E"/>
    <w:rsid w:val="00BA29D1"/>
    <w:rsid w:val="00BA2D26"/>
    <w:rsid w:val="00BA4341"/>
    <w:rsid w:val="00BA4B0C"/>
    <w:rsid w:val="00BA6B50"/>
    <w:rsid w:val="00BA6C63"/>
    <w:rsid w:val="00BA6EF6"/>
    <w:rsid w:val="00BA740D"/>
    <w:rsid w:val="00BA7545"/>
    <w:rsid w:val="00BB02D8"/>
    <w:rsid w:val="00BB0B41"/>
    <w:rsid w:val="00BB18C2"/>
    <w:rsid w:val="00BB18E7"/>
    <w:rsid w:val="00BB1D7C"/>
    <w:rsid w:val="00BB2047"/>
    <w:rsid w:val="00BB22D5"/>
    <w:rsid w:val="00BB2DB0"/>
    <w:rsid w:val="00BB3491"/>
    <w:rsid w:val="00BB37C3"/>
    <w:rsid w:val="00BB5068"/>
    <w:rsid w:val="00BB577C"/>
    <w:rsid w:val="00BB7F1B"/>
    <w:rsid w:val="00BC012A"/>
    <w:rsid w:val="00BC01E3"/>
    <w:rsid w:val="00BC05BC"/>
    <w:rsid w:val="00BC0B15"/>
    <w:rsid w:val="00BC13D8"/>
    <w:rsid w:val="00BC186C"/>
    <w:rsid w:val="00BC23DB"/>
    <w:rsid w:val="00BC298A"/>
    <w:rsid w:val="00BC29F2"/>
    <w:rsid w:val="00BC2C23"/>
    <w:rsid w:val="00BC2C92"/>
    <w:rsid w:val="00BC48F3"/>
    <w:rsid w:val="00BC4B5D"/>
    <w:rsid w:val="00BC5A8B"/>
    <w:rsid w:val="00BC6B1E"/>
    <w:rsid w:val="00BC70AB"/>
    <w:rsid w:val="00BC74E9"/>
    <w:rsid w:val="00BC7F26"/>
    <w:rsid w:val="00BD035A"/>
    <w:rsid w:val="00BD1277"/>
    <w:rsid w:val="00BD21E3"/>
    <w:rsid w:val="00BD2AEB"/>
    <w:rsid w:val="00BD391F"/>
    <w:rsid w:val="00BD3CF9"/>
    <w:rsid w:val="00BD3DD8"/>
    <w:rsid w:val="00BD5EB3"/>
    <w:rsid w:val="00BD6FD3"/>
    <w:rsid w:val="00BD7EA8"/>
    <w:rsid w:val="00BD7F54"/>
    <w:rsid w:val="00BE008D"/>
    <w:rsid w:val="00BE07C8"/>
    <w:rsid w:val="00BE0B12"/>
    <w:rsid w:val="00BE20DE"/>
    <w:rsid w:val="00BE29BC"/>
    <w:rsid w:val="00BE2C31"/>
    <w:rsid w:val="00BE2F99"/>
    <w:rsid w:val="00BE325F"/>
    <w:rsid w:val="00BE3442"/>
    <w:rsid w:val="00BE3A3E"/>
    <w:rsid w:val="00BE53D5"/>
    <w:rsid w:val="00BE6F42"/>
    <w:rsid w:val="00BE76EE"/>
    <w:rsid w:val="00BE7732"/>
    <w:rsid w:val="00BE7ED4"/>
    <w:rsid w:val="00BF09D4"/>
    <w:rsid w:val="00BF1BB0"/>
    <w:rsid w:val="00BF1D74"/>
    <w:rsid w:val="00BF21FF"/>
    <w:rsid w:val="00BF30BB"/>
    <w:rsid w:val="00BF3245"/>
    <w:rsid w:val="00BF33F3"/>
    <w:rsid w:val="00BF3A8F"/>
    <w:rsid w:val="00BF3D9D"/>
    <w:rsid w:val="00BF450E"/>
    <w:rsid w:val="00BF4AA2"/>
    <w:rsid w:val="00BF5A65"/>
    <w:rsid w:val="00BF5B2C"/>
    <w:rsid w:val="00BF63EF"/>
    <w:rsid w:val="00BF65C9"/>
    <w:rsid w:val="00BF68A8"/>
    <w:rsid w:val="00BF6DBF"/>
    <w:rsid w:val="00BF71FC"/>
    <w:rsid w:val="00C0058E"/>
    <w:rsid w:val="00C006A7"/>
    <w:rsid w:val="00C00A5E"/>
    <w:rsid w:val="00C01BCA"/>
    <w:rsid w:val="00C01E54"/>
    <w:rsid w:val="00C027AF"/>
    <w:rsid w:val="00C02900"/>
    <w:rsid w:val="00C03041"/>
    <w:rsid w:val="00C03905"/>
    <w:rsid w:val="00C0401B"/>
    <w:rsid w:val="00C042DD"/>
    <w:rsid w:val="00C04F50"/>
    <w:rsid w:val="00C0718D"/>
    <w:rsid w:val="00C07721"/>
    <w:rsid w:val="00C11207"/>
    <w:rsid w:val="00C11A03"/>
    <w:rsid w:val="00C122D5"/>
    <w:rsid w:val="00C127A4"/>
    <w:rsid w:val="00C12BBC"/>
    <w:rsid w:val="00C13B55"/>
    <w:rsid w:val="00C14023"/>
    <w:rsid w:val="00C14199"/>
    <w:rsid w:val="00C149DC"/>
    <w:rsid w:val="00C14A79"/>
    <w:rsid w:val="00C15217"/>
    <w:rsid w:val="00C154D2"/>
    <w:rsid w:val="00C1552C"/>
    <w:rsid w:val="00C15938"/>
    <w:rsid w:val="00C15C4D"/>
    <w:rsid w:val="00C16605"/>
    <w:rsid w:val="00C168CA"/>
    <w:rsid w:val="00C176E9"/>
    <w:rsid w:val="00C17C03"/>
    <w:rsid w:val="00C2027D"/>
    <w:rsid w:val="00C20E98"/>
    <w:rsid w:val="00C218AA"/>
    <w:rsid w:val="00C22039"/>
    <w:rsid w:val="00C22595"/>
    <w:rsid w:val="00C22636"/>
    <w:rsid w:val="00C226F1"/>
    <w:rsid w:val="00C227E8"/>
    <w:rsid w:val="00C2284D"/>
    <w:rsid w:val="00C237CB"/>
    <w:rsid w:val="00C2458A"/>
    <w:rsid w:val="00C24D8D"/>
    <w:rsid w:val="00C25636"/>
    <w:rsid w:val="00C25E02"/>
    <w:rsid w:val="00C2617F"/>
    <w:rsid w:val="00C2623D"/>
    <w:rsid w:val="00C2698D"/>
    <w:rsid w:val="00C27C77"/>
    <w:rsid w:val="00C27D00"/>
    <w:rsid w:val="00C305FF"/>
    <w:rsid w:val="00C31235"/>
    <w:rsid w:val="00C31948"/>
    <w:rsid w:val="00C31D00"/>
    <w:rsid w:val="00C31EAB"/>
    <w:rsid w:val="00C324B0"/>
    <w:rsid w:val="00C3279A"/>
    <w:rsid w:val="00C33045"/>
    <w:rsid w:val="00C3340F"/>
    <w:rsid w:val="00C33936"/>
    <w:rsid w:val="00C33BD4"/>
    <w:rsid w:val="00C34341"/>
    <w:rsid w:val="00C345DC"/>
    <w:rsid w:val="00C34926"/>
    <w:rsid w:val="00C35312"/>
    <w:rsid w:val="00C35621"/>
    <w:rsid w:val="00C35807"/>
    <w:rsid w:val="00C3581A"/>
    <w:rsid w:val="00C36248"/>
    <w:rsid w:val="00C36695"/>
    <w:rsid w:val="00C36CA4"/>
    <w:rsid w:val="00C37106"/>
    <w:rsid w:val="00C37550"/>
    <w:rsid w:val="00C401AE"/>
    <w:rsid w:val="00C40796"/>
    <w:rsid w:val="00C40CCC"/>
    <w:rsid w:val="00C40EE4"/>
    <w:rsid w:val="00C41957"/>
    <w:rsid w:val="00C42305"/>
    <w:rsid w:val="00C42783"/>
    <w:rsid w:val="00C4279B"/>
    <w:rsid w:val="00C42964"/>
    <w:rsid w:val="00C42AEC"/>
    <w:rsid w:val="00C42C0E"/>
    <w:rsid w:val="00C43121"/>
    <w:rsid w:val="00C4468C"/>
    <w:rsid w:val="00C4482F"/>
    <w:rsid w:val="00C44D68"/>
    <w:rsid w:val="00C463DD"/>
    <w:rsid w:val="00C46474"/>
    <w:rsid w:val="00C46A14"/>
    <w:rsid w:val="00C4723D"/>
    <w:rsid w:val="00C4724C"/>
    <w:rsid w:val="00C50356"/>
    <w:rsid w:val="00C5158E"/>
    <w:rsid w:val="00C51960"/>
    <w:rsid w:val="00C51B7F"/>
    <w:rsid w:val="00C51F0A"/>
    <w:rsid w:val="00C51F77"/>
    <w:rsid w:val="00C52063"/>
    <w:rsid w:val="00C528D7"/>
    <w:rsid w:val="00C52916"/>
    <w:rsid w:val="00C52F3D"/>
    <w:rsid w:val="00C5392D"/>
    <w:rsid w:val="00C539D4"/>
    <w:rsid w:val="00C547E5"/>
    <w:rsid w:val="00C548A1"/>
    <w:rsid w:val="00C54F73"/>
    <w:rsid w:val="00C55779"/>
    <w:rsid w:val="00C561E4"/>
    <w:rsid w:val="00C571B8"/>
    <w:rsid w:val="00C6017C"/>
    <w:rsid w:val="00C606D3"/>
    <w:rsid w:val="00C615FB"/>
    <w:rsid w:val="00C61F13"/>
    <w:rsid w:val="00C61F70"/>
    <w:rsid w:val="00C6242A"/>
    <w:rsid w:val="00C629A0"/>
    <w:rsid w:val="00C62A55"/>
    <w:rsid w:val="00C6410D"/>
    <w:rsid w:val="00C64A07"/>
    <w:rsid w:val="00C659A9"/>
    <w:rsid w:val="00C65F90"/>
    <w:rsid w:val="00C666AD"/>
    <w:rsid w:val="00C6671F"/>
    <w:rsid w:val="00C6698A"/>
    <w:rsid w:val="00C702EE"/>
    <w:rsid w:val="00C709C4"/>
    <w:rsid w:val="00C719BD"/>
    <w:rsid w:val="00C71B21"/>
    <w:rsid w:val="00C72327"/>
    <w:rsid w:val="00C72BDE"/>
    <w:rsid w:val="00C7315E"/>
    <w:rsid w:val="00C7351B"/>
    <w:rsid w:val="00C7385F"/>
    <w:rsid w:val="00C73A15"/>
    <w:rsid w:val="00C745C3"/>
    <w:rsid w:val="00C77374"/>
    <w:rsid w:val="00C77867"/>
    <w:rsid w:val="00C77C10"/>
    <w:rsid w:val="00C815DC"/>
    <w:rsid w:val="00C82175"/>
    <w:rsid w:val="00C822D7"/>
    <w:rsid w:val="00C82416"/>
    <w:rsid w:val="00C8264E"/>
    <w:rsid w:val="00C82965"/>
    <w:rsid w:val="00C8345C"/>
    <w:rsid w:val="00C84095"/>
    <w:rsid w:val="00C8488E"/>
    <w:rsid w:val="00C84F0A"/>
    <w:rsid w:val="00C8504E"/>
    <w:rsid w:val="00C850F5"/>
    <w:rsid w:val="00C8561F"/>
    <w:rsid w:val="00C866DB"/>
    <w:rsid w:val="00C869BF"/>
    <w:rsid w:val="00C878DB"/>
    <w:rsid w:val="00C9045B"/>
    <w:rsid w:val="00C909F8"/>
    <w:rsid w:val="00C911E7"/>
    <w:rsid w:val="00C9183C"/>
    <w:rsid w:val="00C91851"/>
    <w:rsid w:val="00C91BBB"/>
    <w:rsid w:val="00C921CF"/>
    <w:rsid w:val="00C925DA"/>
    <w:rsid w:val="00C929A2"/>
    <w:rsid w:val="00C934B4"/>
    <w:rsid w:val="00C940C1"/>
    <w:rsid w:val="00C94134"/>
    <w:rsid w:val="00C9414B"/>
    <w:rsid w:val="00C94AAA"/>
    <w:rsid w:val="00C94BC7"/>
    <w:rsid w:val="00C9571F"/>
    <w:rsid w:val="00C961CC"/>
    <w:rsid w:val="00C96D26"/>
    <w:rsid w:val="00CA026A"/>
    <w:rsid w:val="00CA1691"/>
    <w:rsid w:val="00CA1CA1"/>
    <w:rsid w:val="00CA2882"/>
    <w:rsid w:val="00CA399D"/>
    <w:rsid w:val="00CA40A4"/>
    <w:rsid w:val="00CA40C1"/>
    <w:rsid w:val="00CA42FF"/>
    <w:rsid w:val="00CA48BE"/>
    <w:rsid w:val="00CA4D53"/>
    <w:rsid w:val="00CA505B"/>
    <w:rsid w:val="00CA56DE"/>
    <w:rsid w:val="00CA5848"/>
    <w:rsid w:val="00CA5CC4"/>
    <w:rsid w:val="00CA7C33"/>
    <w:rsid w:val="00CA7D62"/>
    <w:rsid w:val="00CB06B5"/>
    <w:rsid w:val="00CB0FAC"/>
    <w:rsid w:val="00CB1B90"/>
    <w:rsid w:val="00CB2007"/>
    <w:rsid w:val="00CB21C9"/>
    <w:rsid w:val="00CB22DB"/>
    <w:rsid w:val="00CB25DD"/>
    <w:rsid w:val="00CB27E8"/>
    <w:rsid w:val="00CB2CED"/>
    <w:rsid w:val="00CB335D"/>
    <w:rsid w:val="00CB3664"/>
    <w:rsid w:val="00CB41B9"/>
    <w:rsid w:val="00CB4487"/>
    <w:rsid w:val="00CB4C59"/>
    <w:rsid w:val="00CB51F2"/>
    <w:rsid w:val="00CB6C7D"/>
    <w:rsid w:val="00CB6C91"/>
    <w:rsid w:val="00CB787B"/>
    <w:rsid w:val="00CB78B8"/>
    <w:rsid w:val="00CB7F90"/>
    <w:rsid w:val="00CC00C8"/>
    <w:rsid w:val="00CC04F4"/>
    <w:rsid w:val="00CC0C13"/>
    <w:rsid w:val="00CC0DF3"/>
    <w:rsid w:val="00CC140E"/>
    <w:rsid w:val="00CC1F58"/>
    <w:rsid w:val="00CC241F"/>
    <w:rsid w:val="00CC2948"/>
    <w:rsid w:val="00CC327C"/>
    <w:rsid w:val="00CC3443"/>
    <w:rsid w:val="00CC4C0C"/>
    <w:rsid w:val="00CC4D2A"/>
    <w:rsid w:val="00CC5849"/>
    <w:rsid w:val="00CC5BCE"/>
    <w:rsid w:val="00CC664C"/>
    <w:rsid w:val="00CC6EAC"/>
    <w:rsid w:val="00CC7484"/>
    <w:rsid w:val="00CC7652"/>
    <w:rsid w:val="00CC7755"/>
    <w:rsid w:val="00CD0C45"/>
    <w:rsid w:val="00CD2903"/>
    <w:rsid w:val="00CD386B"/>
    <w:rsid w:val="00CD425D"/>
    <w:rsid w:val="00CD462F"/>
    <w:rsid w:val="00CD56E2"/>
    <w:rsid w:val="00CD5808"/>
    <w:rsid w:val="00CD5983"/>
    <w:rsid w:val="00CD6F25"/>
    <w:rsid w:val="00CD70B8"/>
    <w:rsid w:val="00CD7522"/>
    <w:rsid w:val="00CD7B2C"/>
    <w:rsid w:val="00CE1494"/>
    <w:rsid w:val="00CE1672"/>
    <w:rsid w:val="00CE170A"/>
    <w:rsid w:val="00CE2140"/>
    <w:rsid w:val="00CE3035"/>
    <w:rsid w:val="00CE3E66"/>
    <w:rsid w:val="00CE4904"/>
    <w:rsid w:val="00CE4A8F"/>
    <w:rsid w:val="00CE4D40"/>
    <w:rsid w:val="00CE5876"/>
    <w:rsid w:val="00CE5F5D"/>
    <w:rsid w:val="00CE673A"/>
    <w:rsid w:val="00CE6D64"/>
    <w:rsid w:val="00CE7317"/>
    <w:rsid w:val="00CE7349"/>
    <w:rsid w:val="00CF0A32"/>
    <w:rsid w:val="00CF106D"/>
    <w:rsid w:val="00CF20BA"/>
    <w:rsid w:val="00CF21B3"/>
    <w:rsid w:val="00CF2919"/>
    <w:rsid w:val="00CF2C0D"/>
    <w:rsid w:val="00CF2C2A"/>
    <w:rsid w:val="00CF2FC3"/>
    <w:rsid w:val="00CF3B0D"/>
    <w:rsid w:val="00CF3E3C"/>
    <w:rsid w:val="00CF44EE"/>
    <w:rsid w:val="00CF6255"/>
    <w:rsid w:val="00CF7083"/>
    <w:rsid w:val="00CF76CE"/>
    <w:rsid w:val="00CF7D0F"/>
    <w:rsid w:val="00D003D6"/>
    <w:rsid w:val="00D00BD4"/>
    <w:rsid w:val="00D00BD7"/>
    <w:rsid w:val="00D012D4"/>
    <w:rsid w:val="00D01C8B"/>
    <w:rsid w:val="00D02042"/>
    <w:rsid w:val="00D0217D"/>
    <w:rsid w:val="00D0222D"/>
    <w:rsid w:val="00D0273C"/>
    <w:rsid w:val="00D032D3"/>
    <w:rsid w:val="00D0336D"/>
    <w:rsid w:val="00D03A8D"/>
    <w:rsid w:val="00D03D77"/>
    <w:rsid w:val="00D04459"/>
    <w:rsid w:val="00D04B04"/>
    <w:rsid w:val="00D052FB"/>
    <w:rsid w:val="00D05395"/>
    <w:rsid w:val="00D056DA"/>
    <w:rsid w:val="00D05885"/>
    <w:rsid w:val="00D06910"/>
    <w:rsid w:val="00D06EAB"/>
    <w:rsid w:val="00D07060"/>
    <w:rsid w:val="00D072D7"/>
    <w:rsid w:val="00D10234"/>
    <w:rsid w:val="00D103AB"/>
    <w:rsid w:val="00D107D6"/>
    <w:rsid w:val="00D11301"/>
    <w:rsid w:val="00D1131C"/>
    <w:rsid w:val="00D1134A"/>
    <w:rsid w:val="00D122F4"/>
    <w:rsid w:val="00D126E8"/>
    <w:rsid w:val="00D13038"/>
    <w:rsid w:val="00D134DC"/>
    <w:rsid w:val="00D137CD"/>
    <w:rsid w:val="00D139E4"/>
    <w:rsid w:val="00D141CF"/>
    <w:rsid w:val="00D1526D"/>
    <w:rsid w:val="00D153D1"/>
    <w:rsid w:val="00D16450"/>
    <w:rsid w:val="00D169C0"/>
    <w:rsid w:val="00D200AB"/>
    <w:rsid w:val="00D2031B"/>
    <w:rsid w:val="00D20619"/>
    <w:rsid w:val="00D20B52"/>
    <w:rsid w:val="00D213F2"/>
    <w:rsid w:val="00D21B2B"/>
    <w:rsid w:val="00D21D87"/>
    <w:rsid w:val="00D21E61"/>
    <w:rsid w:val="00D2276A"/>
    <w:rsid w:val="00D228DB"/>
    <w:rsid w:val="00D2305C"/>
    <w:rsid w:val="00D231F6"/>
    <w:rsid w:val="00D2341B"/>
    <w:rsid w:val="00D236D5"/>
    <w:rsid w:val="00D23C28"/>
    <w:rsid w:val="00D24040"/>
    <w:rsid w:val="00D24185"/>
    <w:rsid w:val="00D24DA3"/>
    <w:rsid w:val="00D256FB"/>
    <w:rsid w:val="00D257E7"/>
    <w:rsid w:val="00D25FE2"/>
    <w:rsid w:val="00D2672E"/>
    <w:rsid w:val="00D26C24"/>
    <w:rsid w:val="00D270EF"/>
    <w:rsid w:val="00D27315"/>
    <w:rsid w:val="00D305BA"/>
    <w:rsid w:val="00D30CA1"/>
    <w:rsid w:val="00D31218"/>
    <w:rsid w:val="00D33324"/>
    <w:rsid w:val="00D3346A"/>
    <w:rsid w:val="00D334BD"/>
    <w:rsid w:val="00D33CD6"/>
    <w:rsid w:val="00D3406C"/>
    <w:rsid w:val="00D34E31"/>
    <w:rsid w:val="00D354E1"/>
    <w:rsid w:val="00D3669F"/>
    <w:rsid w:val="00D36E57"/>
    <w:rsid w:val="00D377FC"/>
    <w:rsid w:val="00D37E2D"/>
    <w:rsid w:val="00D40028"/>
    <w:rsid w:val="00D41FE9"/>
    <w:rsid w:val="00D42DC1"/>
    <w:rsid w:val="00D42E65"/>
    <w:rsid w:val="00D431EB"/>
    <w:rsid w:val="00D43252"/>
    <w:rsid w:val="00D435C8"/>
    <w:rsid w:val="00D43891"/>
    <w:rsid w:val="00D4394C"/>
    <w:rsid w:val="00D44FB1"/>
    <w:rsid w:val="00D45303"/>
    <w:rsid w:val="00D45485"/>
    <w:rsid w:val="00D4560B"/>
    <w:rsid w:val="00D46294"/>
    <w:rsid w:val="00D46877"/>
    <w:rsid w:val="00D46BA9"/>
    <w:rsid w:val="00D46C0F"/>
    <w:rsid w:val="00D473D1"/>
    <w:rsid w:val="00D47963"/>
    <w:rsid w:val="00D47B2C"/>
    <w:rsid w:val="00D47EEA"/>
    <w:rsid w:val="00D50C86"/>
    <w:rsid w:val="00D50E8D"/>
    <w:rsid w:val="00D50EE6"/>
    <w:rsid w:val="00D5152D"/>
    <w:rsid w:val="00D51532"/>
    <w:rsid w:val="00D5167F"/>
    <w:rsid w:val="00D537C3"/>
    <w:rsid w:val="00D53B93"/>
    <w:rsid w:val="00D53CC8"/>
    <w:rsid w:val="00D54AC8"/>
    <w:rsid w:val="00D54E97"/>
    <w:rsid w:val="00D556B8"/>
    <w:rsid w:val="00D56CCE"/>
    <w:rsid w:val="00D577D8"/>
    <w:rsid w:val="00D579D6"/>
    <w:rsid w:val="00D60739"/>
    <w:rsid w:val="00D61B09"/>
    <w:rsid w:val="00D6250E"/>
    <w:rsid w:val="00D63013"/>
    <w:rsid w:val="00D6302C"/>
    <w:rsid w:val="00D63136"/>
    <w:rsid w:val="00D644E5"/>
    <w:rsid w:val="00D64A83"/>
    <w:rsid w:val="00D64D91"/>
    <w:rsid w:val="00D65841"/>
    <w:rsid w:val="00D65878"/>
    <w:rsid w:val="00D66812"/>
    <w:rsid w:val="00D66BBC"/>
    <w:rsid w:val="00D70A01"/>
    <w:rsid w:val="00D71187"/>
    <w:rsid w:val="00D712FE"/>
    <w:rsid w:val="00D725AD"/>
    <w:rsid w:val="00D73195"/>
    <w:rsid w:val="00D73357"/>
    <w:rsid w:val="00D73754"/>
    <w:rsid w:val="00D749FD"/>
    <w:rsid w:val="00D750F6"/>
    <w:rsid w:val="00D757ED"/>
    <w:rsid w:val="00D75A5E"/>
    <w:rsid w:val="00D7781D"/>
    <w:rsid w:val="00D77AEF"/>
    <w:rsid w:val="00D80212"/>
    <w:rsid w:val="00D82605"/>
    <w:rsid w:val="00D82B3A"/>
    <w:rsid w:val="00D8324A"/>
    <w:rsid w:val="00D839C8"/>
    <w:rsid w:val="00D8586C"/>
    <w:rsid w:val="00D85DCB"/>
    <w:rsid w:val="00D86B85"/>
    <w:rsid w:val="00D87C94"/>
    <w:rsid w:val="00D87EF4"/>
    <w:rsid w:val="00D9001E"/>
    <w:rsid w:val="00D902C0"/>
    <w:rsid w:val="00D90984"/>
    <w:rsid w:val="00D90A8D"/>
    <w:rsid w:val="00D90F93"/>
    <w:rsid w:val="00D911BD"/>
    <w:rsid w:val="00D91CED"/>
    <w:rsid w:val="00D9204F"/>
    <w:rsid w:val="00D92AE1"/>
    <w:rsid w:val="00D92FD3"/>
    <w:rsid w:val="00D94069"/>
    <w:rsid w:val="00D94433"/>
    <w:rsid w:val="00D95303"/>
    <w:rsid w:val="00D9541E"/>
    <w:rsid w:val="00D956BB"/>
    <w:rsid w:val="00D95A82"/>
    <w:rsid w:val="00D96442"/>
    <w:rsid w:val="00D9732B"/>
    <w:rsid w:val="00D978C6"/>
    <w:rsid w:val="00D97BE6"/>
    <w:rsid w:val="00D97FB9"/>
    <w:rsid w:val="00DA0F6C"/>
    <w:rsid w:val="00DA16D9"/>
    <w:rsid w:val="00DA1948"/>
    <w:rsid w:val="00DA2765"/>
    <w:rsid w:val="00DA2C96"/>
    <w:rsid w:val="00DA3111"/>
    <w:rsid w:val="00DA3C1C"/>
    <w:rsid w:val="00DA3D54"/>
    <w:rsid w:val="00DA3DC3"/>
    <w:rsid w:val="00DA3EB3"/>
    <w:rsid w:val="00DA4457"/>
    <w:rsid w:val="00DA49AA"/>
    <w:rsid w:val="00DA53E6"/>
    <w:rsid w:val="00DA560E"/>
    <w:rsid w:val="00DA60DB"/>
    <w:rsid w:val="00DA7238"/>
    <w:rsid w:val="00DA730E"/>
    <w:rsid w:val="00DA7412"/>
    <w:rsid w:val="00DA764F"/>
    <w:rsid w:val="00DB0C79"/>
    <w:rsid w:val="00DB162B"/>
    <w:rsid w:val="00DB1F1F"/>
    <w:rsid w:val="00DB208A"/>
    <w:rsid w:val="00DB24CE"/>
    <w:rsid w:val="00DB2F5E"/>
    <w:rsid w:val="00DB36BD"/>
    <w:rsid w:val="00DB3C10"/>
    <w:rsid w:val="00DB45B8"/>
    <w:rsid w:val="00DB4CDF"/>
    <w:rsid w:val="00DB5B2F"/>
    <w:rsid w:val="00DB6242"/>
    <w:rsid w:val="00DB67B7"/>
    <w:rsid w:val="00DB6CA7"/>
    <w:rsid w:val="00DC0CAC"/>
    <w:rsid w:val="00DC0FCD"/>
    <w:rsid w:val="00DC128E"/>
    <w:rsid w:val="00DC290C"/>
    <w:rsid w:val="00DC3411"/>
    <w:rsid w:val="00DC4569"/>
    <w:rsid w:val="00DC48DF"/>
    <w:rsid w:val="00DC49FD"/>
    <w:rsid w:val="00DC4F03"/>
    <w:rsid w:val="00DC54BF"/>
    <w:rsid w:val="00DC5929"/>
    <w:rsid w:val="00DC6989"/>
    <w:rsid w:val="00DC6DBB"/>
    <w:rsid w:val="00DC6E39"/>
    <w:rsid w:val="00DC7063"/>
    <w:rsid w:val="00DC71FF"/>
    <w:rsid w:val="00DC784A"/>
    <w:rsid w:val="00DC7EEC"/>
    <w:rsid w:val="00DD013D"/>
    <w:rsid w:val="00DD0339"/>
    <w:rsid w:val="00DD0347"/>
    <w:rsid w:val="00DD0474"/>
    <w:rsid w:val="00DD0C32"/>
    <w:rsid w:val="00DD0D14"/>
    <w:rsid w:val="00DD0D2C"/>
    <w:rsid w:val="00DD1B10"/>
    <w:rsid w:val="00DD26A8"/>
    <w:rsid w:val="00DD2781"/>
    <w:rsid w:val="00DD2835"/>
    <w:rsid w:val="00DD28E0"/>
    <w:rsid w:val="00DD3406"/>
    <w:rsid w:val="00DD3D73"/>
    <w:rsid w:val="00DD3DDA"/>
    <w:rsid w:val="00DD575E"/>
    <w:rsid w:val="00DD6D53"/>
    <w:rsid w:val="00DD7562"/>
    <w:rsid w:val="00DE000C"/>
    <w:rsid w:val="00DE0828"/>
    <w:rsid w:val="00DE0BB9"/>
    <w:rsid w:val="00DE1DD2"/>
    <w:rsid w:val="00DE3E91"/>
    <w:rsid w:val="00DE3F50"/>
    <w:rsid w:val="00DE473D"/>
    <w:rsid w:val="00DE5461"/>
    <w:rsid w:val="00DE592D"/>
    <w:rsid w:val="00DE5C04"/>
    <w:rsid w:val="00DE5C5D"/>
    <w:rsid w:val="00DE79A8"/>
    <w:rsid w:val="00DE79F7"/>
    <w:rsid w:val="00DF0447"/>
    <w:rsid w:val="00DF0819"/>
    <w:rsid w:val="00DF1194"/>
    <w:rsid w:val="00DF159D"/>
    <w:rsid w:val="00DF1E57"/>
    <w:rsid w:val="00DF2D98"/>
    <w:rsid w:val="00DF374D"/>
    <w:rsid w:val="00DF3F04"/>
    <w:rsid w:val="00DF4996"/>
    <w:rsid w:val="00DF4D62"/>
    <w:rsid w:val="00DF50FB"/>
    <w:rsid w:val="00DF56AC"/>
    <w:rsid w:val="00DF5756"/>
    <w:rsid w:val="00DF589C"/>
    <w:rsid w:val="00DF5DD1"/>
    <w:rsid w:val="00DF5EFA"/>
    <w:rsid w:val="00DF67AC"/>
    <w:rsid w:val="00DF6941"/>
    <w:rsid w:val="00DF6C8D"/>
    <w:rsid w:val="00DF6E87"/>
    <w:rsid w:val="00DF740E"/>
    <w:rsid w:val="00DF7914"/>
    <w:rsid w:val="00E00251"/>
    <w:rsid w:val="00E003CC"/>
    <w:rsid w:val="00E012C9"/>
    <w:rsid w:val="00E01753"/>
    <w:rsid w:val="00E03890"/>
    <w:rsid w:val="00E0416B"/>
    <w:rsid w:val="00E0462F"/>
    <w:rsid w:val="00E04B7E"/>
    <w:rsid w:val="00E05998"/>
    <w:rsid w:val="00E0696B"/>
    <w:rsid w:val="00E06BD4"/>
    <w:rsid w:val="00E07C3D"/>
    <w:rsid w:val="00E105DF"/>
    <w:rsid w:val="00E10CF1"/>
    <w:rsid w:val="00E11639"/>
    <w:rsid w:val="00E124A0"/>
    <w:rsid w:val="00E12C41"/>
    <w:rsid w:val="00E1304F"/>
    <w:rsid w:val="00E138E5"/>
    <w:rsid w:val="00E13BA7"/>
    <w:rsid w:val="00E13BBE"/>
    <w:rsid w:val="00E13CA7"/>
    <w:rsid w:val="00E1418A"/>
    <w:rsid w:val="00E14467"/>
    <w:rsid w:val="00E15945"/>
    <w:rsid w:val="00E16CD9"/>
    <w:rsid w:val="00E16E9D"/>
    <w:rsid w:val="00E17496"/>
    <w:rsid w:val="00E17CD1"/>
    <w:rsid w:val="00E20861"/>
    <w:rsid w:val="00E209FD"/>
    <w:rsid w:val="00E20ADD"/>
    <w:rsid w:val="00E21D75"/>
    <w:rsid w:val="00E22038"/>
    <w:rsid w:val="00E2297A"/>
    <w:rsid w:val="00E22DBB"/>
    <w:rsid w:val="00E23119"/>
    <w:rsid w:val="00E2352D"/>
    <w:rsid w:val="00E237A7"/>
    <w:rsid w:val="00E24886"/>
    <w:rsid w:val="00E248D7"/>
    <w:rsid w:val="00E24E16"/>
    <w:rsid w:val="00E24EAC"/>
    <w:rsid w:val="00E24F44"/>
    <w:rsid w:val="00E25E54"/>
    <w:rsid w:val="00E26103"/>
    <w:rsid w:val="00E27346"/>
    <w:rsid w:val="00E2792F"/>
    <w:rsid w:val="00E27F6D"/>
    <w:rsid w:val="00E31D69"/>
    <w:rsid w:val="00E3235C"/>
    <w:rsid w:val="00E334A0"/>
    <w:rsid w:val="00E33D68"/>
    <w:rsid w:val="00E3477A"/>
    <w:rsid w:val="00E352FB"/>
    <w:rsid w:val="00E35FC6"/>
    <w:rsid w:val="00E366E0"/>
    <w:rsid w:val="00E36CF1"/>
    <w:rsid w:val="00E376E4"/>
    <w:rsid w:val="00E37733"/>
    <w:rsid w:val="00E40420"/>
    <w:rsid w:val="00E419A5"/>
    <w:rsid w:val="00E41EBB"/>
    <w:rsid w:val="00E422B8"/>
    <w:rsid w:val="00E42BF1"/>
    <w:rsid w:val="00E42D0D"/>
    <w:rsid w:val="00E43EC4"/>
    <w:rsid w:val="00E4406C"/>
    <w:rsid w:val="00E44542"/>
    <w:rsid w:val="00E466BF"/>
    <w:rsid w:val="00E51BCB"/>
    <w:rsid w:val="00E51C11"/>
    <w:rsid w:val="00E5258A"/>
    <w:rsid w:val="00E52B10"/>
    <w:rsid w:val="00E53400"/>
    <w:rsid w:val="00E5357A"/>
    <w:rsid w:val="00E53714"/>
    <w:rsid w:val="00E53914"/>
    <w:rsid w:val="00E53A63"/>
    <w:rsid w:val="00E542F7"/>
    <w:rsid w:val="00E54361"/>
    <w:rsid w:val="00E54E7F"/>
    <w:rsid w:val="00E55609"/>
    <w:rsid w:val="00E5597B"/>
    <w:rsid w:val="00E55EB5"/>
    <w:rsid w:val="00E55EE1"/>
    <w:rsid w:val="00E5731A"/>
    <w:rsid w:val="00E57B61"/>
    <w:rsid w:val="00E57E46"/>
    <w:rsid w:val="00E603ED"/>
    <w:rsid w:val="00E6108F"/>
    <w:rsid w:val="00E61121"/>
    <w:rsid w:val="00E61E3D"/>
    <w:rsid w:val="00E624A1"/>
    <w:rsid w:val="00E627E6"/>
    <w:rsid w:val="00E62BDD"/>
    <w:rsid w:val="00E632CC"/>
    <w:rsid w:val="00E63CD8"/>
    <w:rsid w:val="00E65396"/>
    <w:rsid w:val="00E6540A"/>
    <w:rsid w:val="00E65C41"/>
    <w:rsid w:val="00E66A03"/>
    <w:rsid w:val="00E66B74"/>
    <w:rsid w:val="00E66C40"/>
    <w:rsid w:val="00E67476"/>
    <w:rsid w:val="00E67F91"/>
    <w:rsid w:val="00E70327"/>
    <w:rsid w:val="00E70FC3"/>
    <w:rsid w:val="00E711CA"/>
    <w:rsid w:val="00E71252"/>
    <w:rsid w:val="00E71BC8"/>
    <w:rsid w:val="00E7260F"/>
    <w:rsid w:val="00E7343A"/>
    <w:rsid w:val="00E74951"/>
    <w:rsid w:val="00E74C90"/>
    <w:rsid w:val="00E74EF5"/>
    <w:rsid w:val="00E7543A"/>
    <w:rsid w:val="00E7582C"/>
    <w:rsid w:val="00E759A9"/>
    <w:rsid w:val="00E75E9C"/>
    <w:rsid w:val="00E75F22"/>
    <w:rsid w:val="00E762C0"/>
    <w:rsid w:val="00E76A04"/>
    <w:rsid w:val="00E779FC"/>
    <w:rsid w:val="00E77C0A"/>
    <w:rsid w:val="00E809CA"/>
    <w:rsid w:val="00E80B72"/>
    <w:rsid w:val="00E81CC1"/>
    <w:rsid w:val="00E82675"/>
    <w:rsid w:val="00E848D3"/>
    <w:rsid w:val="00E85010"/>
    <w:rsid w:val="00E85522"/>
    <w:rsid w:val="00E85E43"/>
    <w:rsid w:val="00E86349"/>
    <w:rsid w:val="00E863FD"/>
    <w:rsid w:val="00E86AF5"/>
    <w:rsid w:val="00E87157"/>
    <w:rsid w:val="00E875A8"/>
    <w:rsid w:val="00E879CB"/>
    <w:rsid w:val="00E90155"/>
    <w:rsid w:val="00E92E6D"/>
    <w:rsid w:val="00E93CD3"/>
    <w:rsid w:val="00E94088"/>
    <w:rsid w:val="00E9408F"/>
    <w:rsid w:val="00E946BA"/>
    <w:rsid w:val="00E9537E"/>
    <w:rsid w:val="00E95575"/>
    <w:rsid w:val="00E96630"/>
    <w:rsid w:val="00E96A37"/>
    <w:rsid w:val="00E97027"/>
    <w:rsid w:val="00E97FF4"/>
    <w:rsid w:val="00EA0821"/>
    <w:rsid w:val="00EA1117"/>
    <w:rsid w:val="00EA118F"/>
    <w:rsid w:val="00EA1886"/>
    <w:rsid w:val="00EA26C7"/>
    <w:rsid w:val="00EA3104"/>
    <w:rsid w:val="00EA31F7"/>
    <w:rsid w:val="00EA3812"/>
    <w:rsid w:val="00EA4EE1"/>
    <w:rsid w:val="00EA5005"/>
    <w:rsid w:val="00EA5836"/>
    <w:rsid w:val="00EB12F3"/>
    <w:rsid w:val="00EB152C"/>
    <w:rsid w:val="00EB16A9"/>
    <w:rsid w:val="00EB1D90"/>
    <w:rsid w:val="00EB1ECC"/>
    <w:rsid w:val="00EB2581"/>
    <w:rsid w:val="00EB31B2"/>
    <w:rsid w:val="00EB327A"/>
    <w:rsid w:val="00EB35CF"/>
    <w:rsid w:val="00EB3A70"/>
    <w:rsid w:val="00EB3DAC"/>
    <w:rsid w:val="00EB60B3"/>
    <w:rsid w:val="00EB7049"/>
    <w:rsid w:val="00EC0A2F"/>
    <w:rsid w:val="00EC1345"/>
    <w:rsid w:val="00EC1C71"/>
    <w:rsid w:val="00EC240B"/>
    <w:rsid w:val="00EC2416"/>
    <w:rsid w:val="00EC28F3"/>
    <w:rsid w:val="00EC347A"/>
    <w:rsid w:val="00EC4754"/>
    <w:rsid w:val="00EC5009"/>
    <w:rsid w:val="00EC542F"/>
    <w:rsid w:val="00EC5632"/>
    <w:rsid w:val="00EC5FE7"/>
    <w:rsid w:val="00EC6086"/>
    <w:rsid w:val="00EC6A38"/>
    <w:rsid w:val="00EC7459"/>
    <w:rsid w:val="00ED00C7"/>
    <w:rsid w:val="00ED00F0"/>
    <w:rsid w:val="00ED020C"/>
    <w:rsid w:val="00ED0483"/>
    <w:rsid w:val="00ED06EC"/>
    <w:rsid w:val="00ED1386"/>
    <w:rsid w:val="00ED140E"/>
    <w:rsid w:val="00ED1515"/>
    <w:rsid w:val="00ED1FE9"/>
    <w:rsid w:val="00ED3814"/>
    <w:rsid w:val="00ED4972"/>
    <w:rsid w:val="00ED5317"/>
    <w:rsid w:val="00ED55EF"/>
    <w:rsid w:val="00ED5716"/>
    <w:rsid w:val="00ED655E"/>
    <w:rsid w:val="00ED6562"/>
    <w:rsid w:val="00ED6652"/>
    <w:rsid w:val="00ED739D"/>
    <w:rsid w:val="00ED7A2A"/>
    <w:rsid w:val="00ED7EE3"/>
    <w:rsid w:val="00EE0A55"/>
    <w:rsid w:val="00EE0B0F"/>
    <w:rsid w:val="00EE0D70"/>
    <w:rsid w:val="00EE0D9B"/>
    <w:rsid w:val="00EE1129"/>
    <w:rsid w:val="00EE1204"/>
    <w:rsid w:val="00EE1955"/>
    <w:rsid w:val="00EE1B4E"/>
    <w:rsid w:val="00EE26A1"/>
    <w:rsid w:val="00EE307D"/>
    <w:rsid w:val="00EE3526"/>
    <w:rsid w:val="00EE370F"/>
    <w:rsid w:val="00EE3AA2"/>
    <w:rsid w:val="00EE456A"/>
    <w:rsid w:val="00EE5084"/>
    <w:rsid w:val="00EE5A36"/>
    <w:rsid w:val="00EE5BD5"/>
    <w:rsid w:val="00EE5E84"/>
    <w:rsid w:val="00EE6199"/>
    <w:rsid w:val="00EE68F2"/>
    <w:rsid w:val="00EE711E"/>
    <w:rsid w:val="00EE7275"/>
    <w:rsid w:val="00EE744F"/>
    <w:rsid w:val="00EE77B7"/>
    <w:rsid w:val="00EE7A90"/>
    <w:rsid w:val="00EF0235"/>
    <w:rsid w:val="00EF09E6"/>
    <w:rsid w:val="00EF1457"/>
    <w:rsid w:val="00EF1D7F"/>
    <w:rsid w:val="00EF1EF6"/>
    <w:rsid w:val="00EF28E5"/>
    <w:rsid w:val="00EF4D33"/>
    <w:rsid w:val="00EF4F34"/>
    <w:rsid w:val="00EF5073"/>
    <w:rsid w:val="00EF65BA"/>
    <w:rsid w:val="00EF6EE2"/>
    <w:rsid w:val="00EF7717"/>
    <w:rsid w:val="00F004E2"/>
    <w:rsid w:val="00F028F3"/>
    <w:rsid w:val="00F02C8E"/>
    <w:rsid w:val="00F03069"/>
    <w:rsid w:val="00F0317F"/>
    <w:rsid w:val="00F03190"/>
    <w:rsid w:val="00F03535"/>
    <w:rsid w:val="00F03A99"/>
    <w:rsid w:val="00F0493B"/>
    <w:rsid w:val="00F04CDE"/>
    <w:rsid w:val="00F05290"/>
    <w:rsid w:val="00F05B21"/>
    <w:rsid w:val="00F060D9"/>
    <w:rsid w:val="00F06644"/>
    <w:rsid w:val="00F06702"/>
    <w:rsid w:val="00F06A0F"/>
    <w:rsid w:val="00F07596"/>
    <w:rsid w:val="00F07C5A"/>
    <w:rsid w:val="00F100FA"/>
    <w:rsid w:val="00F10238"/>
    <w:rsid w:val="00F10790"/>
    <w:rsid w:val="00F10A25"/>
    <w:rsid w:val="00F10E0C"/>
    <w:rsid w:val="00F1114D"/>
    <w:rsid w:val="00F12D79"/>
    <w:rsid w:val="00F12EC0"/>
    <w:rsid w:val="00F137BE"/>
    <w:rsid w:val="00F1389A"/>
    <w:rsid w:val="00F142FF"/>
    <w:rsid w:val="00F145AF"/>
    <w:rsid w:val="00F14650"/>
    <w:rsid w:val="00F148F2"/>
    <w:rsid w:val="00F151BD"/>
    <w:rsid w:val="00F15309"/>
    <w:rsid w:val="00F1539A"/>
    <w:rsid w:val="00F16063"/>
    <w:rsid w:val="00F16C07"/>
    <w:rsid w:val="00F16F6B"/>
    <w:rsid w:val="00F16FA2"/>
    <w:rsid w:val="00F17E29"/>
    <w:rsid w:val="00F17FFE"/>
    <w:rsid w:val="00F20424"/>
    <w:rsid w:val="00F20680"/>
    <w:rsid w:val="00F20AB6"/>
    <w:rsid w:val="00F20C3D"/>
    <w:rsid w:val="00F2157E"/>
    <w:rsid w:val="00F2311F"/>
    <w:rsid w:val="00F23259"/>
    <w:rsid w:val="00F23820"/>
    <w:rsid w:val="00F23B86"/>
    <w:rsid w:val="00F23E8E"/>
    <w:rsid w:val="00F25118"/>
    <w:rsid w:val="00F2528A"/>
    <w:rsid w:val="00F25822"/>
    <w:rsid w:val="00F25C4A"/>
    <w:rsid w:val="00F25E5E"/>
    <w:rsid w:val="00F26246"/>
    <w:rsid w:val="00F26BC3"/>
    <w:rsid w:val="00F27F80"/>
    <w:rsid w:val="00F301C6"/>
    <w:rsid w:val="00F30C7A"/>
    <w:rsid w:val="00F30F1F"/>
    <w:rsid w:val="00F318C1"/>
    <w:rsid w:val="00F31FB3"/>
    <w:rsid w:val="00F32635"/>
    <w:rsid w:val="00F33852"/>
    <w:rsid w:val="00F33AEB"/>
    <w:rsid w:val="00F36060"/>
    <w:rsid w:val="00F36AFD"/>
    <w:rsid w:val="00F36C66"/>
    <w:rsid w:val="00F36EE0"/>
    <w:rsid w:val="00F41357"/>
    <w:rsid w:val="00F4174F"/>
    <w:rsid w:val="00F417CB"/>
    <w:rsid w:val="00F4204E"/>
    <w:rsid w:val="00F421C4"/>
    <w:rsid w:val="00F4380B"/>
    <w:rsid w:val="00F43E9E"/>
    <w:rsid w:val="00F4418A"/>
    <w:rsid w:val="00F44474"/>
    <w:rsid w:val="00F453A1"/>
    <w:rsid w:val="00F45731"/>
    <w:rsid w:val="00F45EE4"/>
    <w:rsid w:val="00F460AC"/>
    <w:rsid w:val="00F4652A"/>
    <w:rsid w:val="00F4697F"/>
    <w:rsid w:val="00F46AC4"/>
    <w:rsid w:val="00F46CDD"/>
    <w:rsid w:val="00F477DE"/>
    <w:rsid w:val="00F508C3"/>
    <w:rsid w:val="00F50B6A"/>
    <w:rsid w:val="00F50F06"/>
    <w:rsid w:val="00F52FFC"/>
    <w:rsid w:val="00F530E2"/>
    <w:rsid w:val="00F534BC"/>
    <w:rsid w:val="00F53F0E"/>
    <w:rsid w:val="00F547C6"/>
    <w:rsid w:val="00F549D0"/>
    <w:rsid w:val="00F554AC"/>
    <w:rsid w:val="00F55AE7"/>
    <w:rsid w:val="00F564F6"/>
    <w:rsid w:val="00F56D24"/>
    <w:rsid w:val="00F5774C"/>
    <w:rsid w:val="00F57C6B"/>
    <w:rsid w:val="00F60BB1"/>
    <w:rsid w:val="00F60C16"/>
    <w:rsid w:val="00F612EF"/>
    <w:rsid w:val="00F61DE7"/>
    <w:rsid w:val="00F6333B"/>
    <w:rsid w:val="00F63797"/>
    <w:rsid w:val="00F647F9"/>
    <w:rsid w:val="00F64FCD"/>
    <w:rsid w:val="00F656E4"/>
    <w:rsid w:val="00F659C1"/>
    <w:rsid w:val="00F65E7F"/>
    <w:rsid w:val="00F667CF"/>
    <w:rsid w:val="00F6721A"/>
    <w:rsid w:val="00F67B7A"/>
    <w:rsid w:val="00F70FF2"/>
    <w:rsid w:val="00F713E3"/>
    <w:rsid w:val="00F71BF6"/>
    <w:rsid w:val="00F73B88"/>
    <w:rsid w:val="00F749AF"/>
    <w:rsid w:val="00F74E67"/>
    <w:rsid w:val="00F756F2"/>
    <w:rsid w:val="00F75F5B"/>
    <w:rsid w:val="00F76E01"/>
    <w:rsid w:val="00F771FB"/>
    <w:rsid w:val="00F77963"/>
    <w:rsid w:val="00F77E3F"/>
    <w:rsid w:val="00F80602"/>
    <w:rsid w:val="00F80641"/>
    <w:rsid w:val="00F8075C"/>
    <w:rsid w:val="00F82380"/>
    <w:rsid w:val="00F824B8"/>
    <w:rsid w:val="00F8265D"/>
    <w:rsid w:val="00F82BF8"/>
    <w:rsid w:val="00F83C24"/>
    <w:rsid w:val="00F8403A"/>
    <w:rsid w:val="00F84476"/>
    <w:rsid w:val="00F84719"/>
    <w:rsid w:val="00F8521C"/>
    <w:rsid w:val="00F85832"/>
    <w:rsid w:val="00F858CE"/>
    <w:rsid w:val="00F85C54"/>
    <w:rsid w:val="00F85E0B"/>
    <w:rsid w:val="00F86121"/>
    <w:rsid w:val="00F86289"/>
    <w:rsid w:val="00F87D43"/>
    <w:rsid w:val="00F90553"/>
    <w:rsid w:val="00F9057C"/>
    <w:rsid w:val="00F906D7"/>
    <w:rsid w:val="00F90D84"/>
    <w:rsid w:val="00F90EA8"/>
    <w:rsid w:val="00F90FD3"/>
    <w:rsid w:val="00F910E4"/>
    <w:rsid w:val="00F9190E"/>
    <w:rsid w:val="00F91FD2"/>
    <w:rsid w:val="00F92055"/>
    <w:rsid w:val="00F922F7"/>
    <w:rsid w:val="00F93781"/>
    <w:rsid w:val="00F9394E"/>
    <w:rsid w:val="00F963B8"/>
    <w:rsid w:val="00F9669A"/>
    <w:rsid w:val="00F96A11"/>
    <w:rsid w:val="00F96BA5"/>
    <w:rsid w:val="00F96C9D"/>
    <w:rsid w:val="00F96D05"/>
    <w:rsid w:val="00F97390"/>
    <w:rsid w:val="00F976E7"/>
    <w:rsid w:val="00FA1481"/>
    <w:rsid w:val="00FA1718"/>
    <w:rsid w:val="00FA1A7C"/>
    <w:rsid w:val="00FA1C50"/>
    <w:rsid w:val="00FA1FCE"/>
    <w:rsid w:val="00FA2416"/>
    <w:rsid w:val="00FA2A43"/>
    <w:rsid w:val="00FA3145"/>
    <w:rsid w:val="00FA32C0"/>
    <w:rsid w:val="00FA35A2"/>
    <w:rsid w:val="00FA380F"/>
    <w:rsid w:val="00FA447C"/>
    <w:rsid w:val="00FA56DB"/>
    <w:rsid w:val="00FA57FA"/>
    <w:rsid w:val="00FA5D93"/>
    <w:rsid w:val="00FA678E"/>
    <w:rsid w:val="00FA6BE1"/>
    <w:rsid w:val="00FA6D79"/>
    <w:rsid w:val="00FB1408"/>
    <w:rsid w:val="00FB1B6F"/>
    <w:rsid w:val="00FB1E66"/>
    <w:rsid w:val="00FB2DAC"/>
    <w:rsid w:val="00FB36FC"/>
    <w:rsid w:val="00FB3767"/>
    <w:rsid w:val="00FB4B15"/>
    <w:rsid w:val="00FB4E3D"/>
    <w:rsid w:val="00FB5EB5"/>
    <w:rsid w:val="00FB613B"/>
    <w:rsid w:val="00FB6F7F"/>
    <w:rsid w:val="00FB7622"/>
    <w:rsid w:val="00FC0832"/>
    <w:rsid w:val="00FC0957"/>
    <w:rsid w:val="00FC20C0"/>
    <w:rsid w:val="00FC22CD"/>
    <w:rsid w:val="00FC285D"/>
    <w:rsid w:val="00FC2CE8"/>
    <w:rsid w:val="00FC2CFD"/>
    <w:rsid w:val="00FC479E"/>
    <w:rsid w:val="00FC4A09"/>
    <w:rsid w:val="00FC4B83"/>
    <w:rsid w:val="00FC5381"/>
    <w:rsid w:val="00FC6453"/>
    <w:rsid w:val="00FC68B7"/>
    <w:rsid w:val="00FC6B4F"/>
    <w:rsid w:val="00FC70CA"/>
    <w:rsid w:val="00FC7212"/>
    <w:rsid w:val="00FC7F59"/>
    <w:rsid w:val="00FD0299"/>
    <w:rsid w:val="00FD0381"/>
    <w:rsid w:val="00FD0A8A"/>
    <w:rsid w:val="00FD0BF9"/>
    <w:rsid w:val="00FD15D6"/>
    <w:rsid w:val="00FD1616"/>
    <w:rsid w:val="00FD1954"/>
    <w:rsid w:val="00FD1C34"/>
    <w:rsid w:val="00FD23D3"/>
    <w:rsid w:val="00FD38E1"/>
    <w:rsid w:val="00FD3CB6"/>
    <w:rsid w:val="00FD436D"/>
    <w:rsid w:val="00FD4F3A"/>
    <w:rsid w:val="00FD4FB8"/>
    <w:rsid w:val="00FD5F60"/>
    <w:rsid w:val="00FD7631"/>
    <w:rsid w:val="00FD7CE4"/>
    <w:rsid w:val="00FE08CB"/>
    <w:rsid w:val="00FE106A"/>
    <w:rsid w:val="00FE1292"/>
    <w:rsid w:val="00FE22ED"/>
    <w:rsid w:val="00FE4268"/>
    <w:rsid w:val="00FE48B6"/>
    <w:rsid w:val="00FE52FC"/>
    <w:rsid w:val="00FE61F7"/>
    <w:rsid w:val="00FE6DC3"/>
    <w:rsid w:val="00FE7356"/>
    <w:rsid w:val="00FE7EF7"/>
    <w:rsid w:val="00FF0611"/>
    <w:rsid w:val="00FF0FD2"/>
    <w:rsid w:val="00FF1D1B"/>
    <w:rsid w:val="00FF3273"/>
    <w:rsid w:val="00FF3FD6"/>
    <w:rsid w:val="00FF49A1"/>
    <w:rsid w:val="00FF67E9"/>
    <w:rsid w:val="00FF6837"/>
    <w:rsid w:val="00FF7839"/>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72469C75"/>
  <w15:docId w15:val="{DD27F7D1-9E4D-4882-8839-393EC6F14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A83"/>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uiPriority w:val="99"/>
    <w:qFormat/>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qFormat/>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qFormat/>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uiPriority w:val="99"/>
    <w:locked/>
    <w:rsid w:val="00FF7920"/>
    <w:rPr>
      <w:lang w:eastAsia="en-US"/>
    </w:rPr>
  </w:style>
  <w:style w:type="character" w:styleId="CommentReference">
    <w:name w:val="annotation reference"/>
    <w:basedOn w:val="DefaultParagraphFont"/>
    <w:rsid w:val="00161B02"/>
    <w:rPr>
      <w:rFonts w:cs="Times New Roman"/>
      <w:sz w:val="16"/>
    </w:rPr>
  </w:style>
  <w:style w:type="paragraph" w:styleId="CommentText">
    <w:name w:val="annotation text"/>
    <w:basedOn w:val="Normal"/>
    <w:link w:val="CommentTextChar"/>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Footnote Refernece"/>
    <w:link w:val="Appelnotedebasde"/>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371327"/>
    <w:pPr>
      <w:spacing w:before="120" w:after="120"/>
    </w:pPr>
    <w:rPr>
      <w:sz w:val="18"/>
      <w:szCs w:val="22"/>
      <w:vertAlign w:val="superscript"/>
      <w:lang w:val="de-DE" w:eastAsia="de-DE" w:bidi="ar-SA"/>
    </w:rPr>
  </w:style>
  <w:style w:type="paragraph" w:styleId="HTMLPreformatted">
    <w:name w:val="HTML Preformatted"/>
    <w:basedOn w:val="Normal"/>
    <w:link w:val="HTMLPreformattedChar"/>
    <w:uiPriority w:val="99"/>
    <w:semiHidden/>
    <w:unhideWhenUsed/>
    <w:rsid w:val="00203CA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03CA7"/>
    <w:rPr>
      <w:rFonts w:ascii="Consolas" w:hAnsi="Consolas"/>
      <w:sz w:val="20"/>
      <w:szCs w:val="20"/>
      <w:lang w:val="en-US" w:eastAsia="en-US" w:bidi="he-IL"/>
    </w:rPr>
  </w:style>
  <w:style w:type="character" w:styleId="UnresolvedMention">
    <w:name w:val="Unresolved Mention"/>
    <w:basedOn w:val="DefaultParagraphFont"/>
    <w:uiPriority w:val="99"/>
    <w:semiHidden/>
    <w:unhideWhenUsed/>
    <w:rsid w:val="00EE0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0754">
      <w:bodyDiv w:val="1"/>
      <w:marLeft w:val="0"/>
      <w:marRight w:val="0"/>
      <w:marTop w:val="0"/>
      <w:marBottom w:val="0"/>
      <w:divBdr>
        <w:top w:val="none" w:sz="0" w:space="0" w:color="auto"/>
        <w:left w:val="none" w:sz="0" w:space="0" w:color="auto"/>
        <w:bottom w:val="none" w:sz="0" w:space="0" w:color="auto"/>
        <w:right w:val="none" w:sz="0" w:space="0" w:color="auto"/>
      </w:divBdr>
    </w:div>
    <w:div w:id="151454363">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280499104">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440145908">
      <w:bodyDiv w:val="1"/>
      <w:marLeft w:val="0"/>
      <w:marRight w:val="0"/>
      <w:marTop w:val="0"/>
      <w:marBottom w:val="0"/>
      <w:divBdr>
        <w:top w:val="none" w:sz="0" w:space="0" w:color="auto"/>
        <w:left w:val="none" w:sz="0" w:space="0" w:color="auto"/>
        <w:bottom w:val="none" w:sz="0" w:space="0" w:color="auto"/>
        <w:right w:val="none" w:sz="0" w:space="0" w:color="auto"/>
      </w:divBdr>
    </w:div>
    <w:div w:id="460614537">
      <w:bodyDiv w:val="1"/>
      <w:marLeft w:val="0"/>
      <w:marRight w:val="0"/>
      <w:marTop w:val="0"/>
      <w:marBottom w:val="0"/>
      <w:divBdr>
        <w:top w:val="none" w:sz="0" w:space="0" w:color="auto"/>
        <w:left w:val="none" w:sz="0" w:space="0" w:color="auto"/>
        <w:bottom w:val="none" w:sz="0" w:space="0" w:color="auto"/>
        <w:right w:val="none" w:sz="0" w:space="0" w:color="auto"/>
      </w:divBdr>
    </w:div>
    <w:div w:id="465511014">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709497984">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811292105">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295016048">
      <w:bodyDiv w:val="1"/>
      <w:marLeft w:val="0"/>
      <w:marRight w:val="0"/>
      <w:marTop w:val="0"/>
      <w:marBottom w:val="0"/>
      <w:divBdr>
        <w:top w:val="none" w:sz="0" w:space="0" w:color="auto"/>
        <w:left w:val="none" w:sz="0" w:space="0" w:color="auto"/>
        <w:bottom w:val="none" w:sz="0" w:space="0" w:color="auto"/>
        <w:right w:val="none" w:sz="0" w:space="0" w:color="auto"/>
      </w:divBdr>
    </w:div>
    <w:div w:id="1301763984">
      <w:bodyDiv w:val="1"/>
      <w:marLeft w:val="0"/>
      <w:marRight w:val="0"/>
      <w:marTop w:val="0"/>
      <w:marBottom w:val="0"/>
      <w:divBdr>
        <w:top w:val="none" w:sz="0" w:space="0" w:color="auto"/>
        <w:left w:val="none" w:sz="0" w:space="0" w:color="auto"/>
        <w:bottom w:val="none" w:sz="0" w:space="0" w:color="auto"/>
        <w:right w:val="none" w:sz="0" w:space="0" w:color="auto"/>
      </w:divBdr>
    </w:div>
    <w:div w:id="1398819278">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464041075">
      <w:bodyDiv w:val="1"/>
      <w:marLeft w:val="0"/>
      <w:marRight w:val="0"/>
      <w:marTop w:val="0"/>
      <w:marBottom w:val="0"/>
      <w:divBdr>
        <w:top w:val="none" w:sz="0" w:space="0" w:color="auto"/>
        <w:left w:val="none" w:sz="0" w:space="0" w:color="auto"/>
        <w:bottom w:val="none" w:sz="0" w:space="0" w:color="auto"/>
        <w:right w:val="none" w:sz="0" w:space="0" w:color="auto"/>
      </w:divBdr>
    </w:div>
    <w:div w:id="1505971922">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638490585">
      <w:bodyDiv w:val="1"/>
      <w:marLeft w:val="0"/>
      <w:marRight w:val="0"/>
      <w:marTop w:val="0"/>
      <w:marBottom w:val="0"/>
      <w:divBdr>
        <w:top w:val="none" w:sz="0" w:space="0" w:color="auto"/>
        <w:left w:val="none" w:sz="0" w:space="0" w:color="auto"/>
        <w:bottom w:val="none" w:sz="0" w:space="0" w:color="auto"/>
        <w:right w:val="none" w:sz="0" w:space="0" w:color="auto"/>
      </w:divBdr>
    </w:div>
    <w:div w:id="1735199089">
      <w:bodyDiv w:val="1"/>
      <w:marLeft w:val="0"/>
      <w:marRight w:val="0"/>
      <w:marTop w:val="0"/>
      <w:marBottom w:val="0"/>
      <w:divBdr>
        <w:top w:val="none" w:sz="0" w:space="0" w:color="auto"/>
        <w:left w:val="none" w:sz="0" w:space="0" w:color="auto"/>
        <w:bottom w:val="none" w:sz="0" w:space="0" w:color="auto"/>
        <w:right w:val="none" w:sz="0" w:space="0" w:color="auto"/>
      </w:divBdr>
    </w:div>
    <w:div w:id="1772355645">
      <w:bodyDiv w:val="1"/>
      <w:marLeft w:val="0"/>
      <w:marRight w:val="0"/>
      <w:marTop w:val="0"/>
      <w:marBottom w:val="0"/>
      <w:divBdr>
        <w:top w:val="none" w:sz="0" w:space="0" w:color="auto"/>
        <w:left w:val="none" w:sz="0" w:space="0" w:color="auto"/>
        <w:bottom w:val="none" w:sz="0" w:space="0" w:color="auto"/>
        <w:right w:val="none" w:sz="0" w:space="0" w:color="auto"/>
      </w:divBdr>
    </w:div>
    <w:div w:id="1777553582">
      <w:bodyDiv w:val="1"/>
      <w:marLeft w:val="0"/>
      <w:marRight w:val="0"/>
      <w:marTop w:val="0"/>
      <w:marBottom w:val="0"/>
      <w:divBdr>
        <w:top w:val="none" w:sz="0" w:space="0" w:color="auto"/>
        <w:left w:val="none" w:sz="0" w:space="0" w:color="auto"/>
        <w:bottom w:val="none" w:sz="0" w:space="0" w:color="auto"/>
        <w:right w:val="none" w:sz="0" w:space="0" w:color="auto"/>
      </w:divBdr>
    </w:div>
    <w:div w:id="1781559378">
      <w:bodyDiv w:val="1"/>
      <w:marLeft w:val="0"/>
      <w:marRight w:val="0"/>
      <w:marTop w:val="0"/>
      <w:marBottom w:val="0"/>
      <w:divBdr>
        <w:top w:val="none" w:sz="0" w:space="0" w:color="auto"/>
        <w:left w:val="none" w:sz="0" w:space="0" w:color="auto"/>
        <w:bottom w:val="none" w:sz="0" w:space="0" w:color="auto"/>
        <w:right w:val="none" w:sz="0" w:space="0" w:color="auto"/>
      </w:divBdr>
    </w:div>
    <w:div w:id="1814829462">
      <w:bodyDiv w:val="1"/>
      <w:marLeft w:val="0"/>
      <w:marRight w:val="0"/>
      <w:marTop w:val="0"/>
      <w:marBottom w:val="0"/>
      <w:divBdr>
        <w:top w:val="none" w:sz="0" w:space="0" w:color="auto"/>
        <w:left w:val="none" w:sz="0" w:space="0" w:color="auto"/>
        <w:bottom w:val="none" w:sz="0" w:space="0" w:color="auto"/>
        <w:right w:val="none" w:sz="0" w:space="0" w:color="auto"/>
      </w:divBdr>
    </w:div>
    <w:div w:id="1839298984">
      <w:bodyDiv w:val="1"/>
      <w:marLeft w:val="0"/>
      <w:marRight w:val="0"/>
      <w:marTop w:val="0"/>
      <w:marBottom w:val="0"/>
      <w:divBdr>
        <w:top w:val="none" w:sz="0" w:space="0" w:color="auto"/>
        <w:left w:val="none" w:sz="0" w:space="0" w:color="auto"/>
        <w:bottom w:val="none" w:sz="0" w:space="0" w:color="auto"/>
        <w:right w:val="none" w:sz="0" w:space="0" w:color="auto"/>
      </w:divBdr>
    </w:div>
    <w:div w:id="1839999777">
      <w:bodyDiv w:val="1"/>
      <w:marLeft w:val="0"/>
      <w:marRight w:val="0"/>
      <w:marTop w:val="0"/>
      <w:marBottom w:val="0"/>
      <w:divBdr>
        <w:top w:val="none" w:sz="0" w:space="0" w:color="auto"/>
        <w:left w:val="none" w:sz="0" w:space="0" w:color="auto"/>
        <w:bottom w:val="none" w:sz="0" w:space="0" w:color="auto"/>
        <w:right w:val="none" w:sz="0" w:space="0" w:color="auto"/>
      </w:divBdr>
    </w:div>
    <w:div w:id="1873375686">
      <w:bodyDiv w:val="1"/>
      <w:marLeft w:val="0"/>
      <w:marRight w:val="0"/>
      <w:marTop w:val="0"/>
      <w:marBottom w:val="0"/>
      <w:divBdr>
        <w:top w:val="none" w:sz="0" w:space="0" w:color="auto"/>
        <w:left w:val="none" w:sz="0" w:space="0" w:color="auto"/>
        <w:bottom w:val="none" w:sz="0" w:space="0" w:color="auto"/>
        <w:right w:val="none" w:sz="0" w:space="0" w:color="auto"/>
      </w:divBdr>
    </w:div>
    <w:div w:id="1994331819">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ver_x0020_page xmlns="843519ee-602c-4a77-9f98-e0b2d1df032d">false</Cover_x0020_page>
    <Folder xmlns="843519ee-602c-4a77-9f98-e0b2d1df032d">Folder 1</Folder>
    <Case xmlns="1bb7588e-e247-4215-aaaa-8ddb8e8e8079" xsi:nil="true"/>
    <Chamber_2 xmlns="d0e6e1dd-cead-4b20-a8ab-6c17962cc4ab">false</Chamber_2>
    <Inadmissibility xmlns="d0e6e1dd-cead-4b20-a8ab-6c17962cc4ab">false</Inadmissibility>
    <Chamber_1 xmlns="d0e6e1dd-cead-4b20-a8ab-6c17962cc4ab">false</Chamber_1>
    <Follow_x002d_up xmlns="d0e6e1dd-cead-4b20-a8ab-6c17962cc4ab">false</Follow_x002d_up>
    <Repetitive xmlns="d0e6e1dd-cead-4b20-a8ab-6c17962cc4ab">false</Repetitive>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4.xml><?xml version="1.0" encoding="utf-8"?>
<ct:contentTypeSchema xmlns:ct="http://schemas.microsoft.com/office/2006/metadata/contentType" xmlns:ma="http://schemas.microsoft.com/office/2006/metadata/properties/metaAttributes" ct:_="" ma:_="" ma:contentTypeName="Case document" ma:contentTypeID="0x010100A70BC505B2949A43BBFACEE4A972077000BFB2A85C4D5578468EFD8A017682D8B7" ma:contentTypeVersion="17" ma:contentTypeDescription="" ma:contentTypeScope="" ma:versionID="e4117c5df31e86bd50a20fc64f3c5582">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9c21b8c842bae9d1267c904587dc4f63"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enumeration value="Discontinuance Report"/>
          <xsd:enumeration value="Follow Up To Views"/>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76ACD-06A8-44FE-A565-B96A1ACAB7BB}">
  <ds:schemaRefs>
    <ds:schemaRef ds:uri="http://schemas.openxmlformats.org/officeDocument/2006/bibliography"/>
  </ds:schemaRefs>
</ds:datastoreItem>
</file>

<file path=customXml/itemProps2.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3.xml><?xml version="1.0" encoding="utf-8"?>
<ds:datastoreItem xmlns:ds="http://schemas.openxmlformats.org/officeDocument/2006/customXml" ds:itemID="{58DFB642-8438-4430-99C8-225DA0B7C868}">
  <ds:schemaRefs>
    <ds:schemaRef ds:uri="http://schemas.microsoft.com/office/2006/metadata/properties"/>
    <ds:schemaRef ds:uri="http://schemas.microsoft.com/office/infopath/2007/PartnerControls"/>
    <ds:schemaRef ds:uri="843519ee-602c-4a77-9f98-e0b2d1df032d"/>
    <ds:schemaRef ds:uri="1bb7588e-e247-4215-aaaa-8ddb8e8e8079"/>
    <ds:schemaRef ds:uri="d0e6e1dd-cead-4b20-a8ab-6c17962cc4ab"/>
    <ds:schemaRef ds:uri="2d113eb4-e65a-468c-82cb-a0357bc1037f"/>
  </ds:schemaRefs>
</ds:datastoreItem>
</file>

<file path=customXml/itemProps4.xml><?xml version="1.0" encoding="utf-8"?>
<ds:datastoreItem xmlns:ds="http://schemas.openxmlformats.org/officeDocument/2006/customXml" ds:itemID="{C0CFB3E7-8E61-4B0F-B775-7C18CAC379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4831</Words>
  <Characters>27539</Characters>
  <DocSecurity>0</DocSecurity>
  <Lines>229</Lines>
  <Paragraphs>64</Paragraphs>
  <ScaleCrop>false</ScaleCrop>
  <HeadingPairs>
    <vt:vector size="10" baseType="variant">
      <vt:variant>
        <vt:lpstr>Title</vt:lpstr>
      </vt:variant>
      <vt:variant>
        <vt:i4>1</vt:i4>
      </vt:variant>
      <vt:variant>
        <vt:lpstr>Título</vt:lpstr>
      </vt:variant>
      <vt:variant>
        <vt:i4>1</vt:i4>
      </vt:variant>
      <vt:variant>
        <vt:lpstr>Titre</vt:lpstr>
      </vt:variant>
      <vt:variant>
        <vt:i4>1</vt:i4>
      </vt:variant>
      <vt:variant>
        <vt:lpstr>タイトル</vt:lpstr>
      </vt:variant>
      <vt:variant>
        <vt:i4>1</vt:i4>
      </vt:variant>
      <vt:variant>
        <vt:lpstr>Titel</vt:lpstr>
      </vt:variant>
      <vt:variant>
        <vt:i4>1</vt:i4>
      </vt:variant>
    </vt:vector>
  </HeadingPairs>
  <TitlesOfParts>
    <vt:vector size="5" baseType="lpstr">
      <vt:lpstr>CCPR/C/139/DR/3056/2017</vt:lpstr>
      <vt:lpstr>CCPR/C/139/DR/3056/2017</vt:lpstr>
      <vt:lpstr>CCPR/C/138/DR/2895/2016</vt:lpstr>
      <vt:lpstr>1610356</vt:lpstr>
      <vt:lpstr>1610356</vt:lpstr>
    </vt:vector>
  </TitlesOfParts>
  <LinksUpToDate>false</LinksUpToDate>
  <CharactersWithSpaces>32306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Printed>2023-08-04T08:50:00Z</cp:lastPrinted>
  <dcterms:created xsi:type="dcterms:W3CDTF">2023-12-11T17:41:00Z</dcterms:created>
  <dcterms:modified xsi:type="dcterms:W3CDTF">2023-12-11T19:25:00Z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0x010100A70BC505B2949A43BBFACEE4A972077000BFB2A85C4D5578468EFD8A017682D8B7</vt:lpwstr>
  </property>
  <property fmtid="{D5CDD505-2E9C-101B-9397-08002B2CF9AE}" pid="3" name="Order">
    <vt:r8>1000</vt:r8>
  </property>
</Properties>
</file>