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151E2F" w14:textId="77777777" w:rsidR="00E4402E" w:rsidRPr="00563B7C" w:rsidRDefault="00FE1029" w:rsidP="009B4F99">
      <w:pPr>
        <w:pStyle w:val="DeptBullets"/>
        <w:numPr>
          <w:ilvl w:val="0"/>
          <w:numId w:val="0"/>
        </w:numPr>
        <w:rPr>
          <w:rFonts w:cs="Arial"/>
          <w:b/>
          <w:szCs w:val="24"/>
        </w:rPr>
      </w:pPr>
      <w:bookmarkStart w:id="0" w:name="_GoBack"/>
      <w:bookmarkEnd w:id="0"/>
      <w:r w:rsidRPr="00563B7C">
        <w:rPr>
          <w:rFonts w:cs="Arial"/>
          <w:b/>
          <w:szCs w:val="24"/>
        </w:rPr>
        <w:t>A</w:t>
      </w:r>
      <w:r w:rsidR="00C84420" w:rsidRPr="00563B7C">
        <w:rPr>
          <w:rFonts w:cs="Arial"/>
          <w:b/>
          <w:szCs w:val="24"/>
        </w:rPr>
        <w:t>nnex A</w:t>
      </w:r>
      <w:r w:rsidR="000A7E42" w:rsidRPr="00563B7C">
        <w:rPr>
          <w:rFonts w:cs="Arial"/>
          <w:b/>
          <w:szCs w:val="24"/>
        </w:rPr>
        <w:t>: UK Jurisdictions and Governance</w:t>
      </w:r>
    </w:p>
    <w:p w14:paraId="0F151E30" w14:textId="7DEA90A9" w:rsidR="000A7E42" w:rsidRPr="00810B26" w:rsidRDefault="000A7E42" w:rsidP="009B4F99">
      <w:pPr>
        <w:pStyle w:val="DeptBullets"/>
        <w:numPr>
          <w:ilvl w:val="0"/>
          <w:numId w:val="14"/>
        </w:numPr>
        <w:spacing w:after="0"/>
        <w:ind w:left="0" w:firstLine="0"/>
        <w:rPr>
          <w:szCs w:val="24"/>
        </w:rPr>
      </w:pPr>
      <w:r w:rsidRPr="00563B7C">
        <w:rPr>
          <w:szCs w:val="24"/>
        </w:rPr>
        <w:t>The U</w:t>
      </w:r>
      <w:r w:rsidR="00743693">
        <w:rPr>
          <w:szCs w:val="24"/>
        </w:rPr>
        <w:t xml:space="preserve">nited </w:t>
      </w:r>
      <w:r w:rsidRPr="00563B7C">
        <w:rPr>
          <w:szCs w:val="24"/>
        </w:rPr>
        <w:t>K</w:t>
      </w:r>
      <w:r w:rsidR="00743693">
        <w:rPr>
          <w:szCs w:val="24"/>
        </w:rPr>
        <w:t>ingdom</w:t>
      </w:r>
      <w:r w:rsidR="0006307D">
        <w:rPr>
          <w:szCs w:val="24"/>
        </w:rPr>
        <w:t xml:space="preserve"> (UK)</w:t>
      </w:r>
      <w:r w:rsidR="00B02A2D">
        <w:rPr>
          <w:szCs w:val="24"/>
        </w:rPr>
        <w:t>, Overseas Territories and t</w:t>
      </w:r>
      <w:r w:rsidR="00073E3C">
        <w:rPr>
          <w:szCs w:val="24"/>
        </w:rPr>
        <w:t>he Crown Dependencies form one ‘</w:t>
      </w:r>
      <w:r w:rsidR="00B02A2D">
        <w:rPr>
          <w:szCs w:val="24"/>
        </w:rPr>
        <w:t>undivided Realm</w:t>
      </w:r>
      <w:r w:rsidR="00073E3C">
        <w:rPr>
          <w:szCs w:val="24"/>
        </w:rPr>
        <w:t>’</w:t>
      </w:r>
      <w:r w:rsidR="00B02A2D">
        <w:rPr>
          <w:szCs w:val="24"/>
        </w:rPr>
        <w:t>, which is distinct from the other States of which Her Majesty Queen Elizabeth II is monarch.</w:t>
      </w:r>
      <w:r w:rsidRPr="00563B7C">
        <w:rPr>
          <w:szCs w:val="24"/>
        </w:rPr>
        <w:t xml:space="preserve"> </w:t>
      </w:r>
      <w:r w:rsidR="0006307D" w:rsidRPr="00810B26">
        <w:rPr>
          <w:szCs w:val="24"/>
        </w:rPr>
        <w:t>The ‘UK Government’ has varying degrees of responsibilities for each of the jurisdictions.</w:t>
      </w:r>
      <w:r w:rsidR="00C866A0" w:rsidRPr="00810B26">
        <w:rPr>
          <w:szCs w:val="24"/>
        </w:rPr>
        <w:t xml:space="preserve"> T</w:t>
      </w:r>
      <w:r w:rsidR="00810B26">
        <w:rPr>
          <w:szCs w:val="24"/>
        </w:rPr>
        <w:t>his</w:t>
      </w:r>
      <w:r w:rsidR="0006307D" w:rsidRPr="00810B26">
        <w:rPr>
          <w:szCs w:val="24"/>
        </w:rPr>
        <w:t xml:space="preserve"> annex sets out the structure of </w:t>
      </w:r>
      <w:r w:rsidRPr="00810B26">
        <w:rPr>
          <w:szCs w:val="24"/>
        </w:rPr>
        <w:t>the UK</w:t>
      </w:r>
      <w:r w:rsidR="00743693" w:rsidRPr="00810B26">
        <w:rPr>
          <w:szCs w:val="24"/>
        </w:rPr>
        <w:t xml:space="preserve"> State Party</w:t>
      </w:r>
      <w:r w:rsidRPr="00810B26">
        <w:rPr>
          <w:szCs w:val="24"/>
        </w:rPr>
        <w:t xml:space="preserve"> including governance and accountability.  </w:t>
      </w:r>
    </w:p>
    <w:p w14:paraId="0F151E31" w14:textId="77777777" w:rsidR="00563B7C" w:rsidRDefault="00563B7C" w:rsidP="009B4F99">
      <w:pPr>
        <w:pStyle w:val="DeptBullets"/>
        <w:numPr>
          <w:ilvl w:val="0"/>
          <w:numId w:val="0"/>
        </w:numPr>
        <w:spacing w:after="0"/>
        <w:rPr>
          <w:szCs w:val="24"/>
        </w:rPr>
      </w:pPr>
    </w:p>
    <w:p w14:paraId="0F151E32" w14:textId="77777777" w:rsidR="00563B7C" w:rsidRPr="00563B7C" w:rsidRDefault="00563B7C" w:rsidP="009B4F99">
      <w:pPr>
        <w:pStyle w:val="DeptBullets"/>
        <w:numPr>
          <w:ilvl w:val="0"/>
          <w:numId w:val="0"/>
        </w:numPr>
        <w:spacing w:after="0"/>
        <w:rPr>
          <w:szCs w:val="24"/>
          <w:u w:val="single"/>
        </w:rPr>
      </w:pPr>
      <w:r>
        <w:rPr>
          <w:szCs w:val="24"/>
          <w:u w:val="single"/>
        </w:rPr>
        <w:t xml:space="preserve">The </w:t>
      </w:r>
      <w:r w:rsidR="00743693">
        <w:rPr>
          <w:szCs w:val="24"/>
          <w:u w:val="single"/>
        </w:rPr>
        <w:t>UK</w:t>
      </w:r>
      <w:r>
        <w:rPr>
          <w:szCs w:val="24"/>
          <w:u w:val="single"/>
        </w:rPr>
        <w:t xml:space="preserve"> and Devolved Administrations</w:t>
      </w:r>
    </w:p>
    <w:p w14:paraId="0F151E33" w14:textId="77777777" w:rsidR="000A7E42" w:rsidRPr="00563B7C" w:rsidRDefault="00CA5940" w:rsidP="009B4F99">
      <w:pPr>
        <w:pStyle w:val="DeptBullets"/>
        <w:numPr>
          <w:ilvl w:val="0"/>
          <w:numId w:val="0"/>
        </w:numPr>
        <w:tabs>
          <w:tab w:val="left" w:pos="5370"/>
        </w:tabs>
        <w:spacing w:after="0"/>
        <w:rPr>
          <w:szCs w:val="24"/>
        </w:rPr>
      </w:pPr>
      <w:r>
        <w:rPr>
          <w:szCs w:val="24"/>
        </w:rPr>
        <w:tab/>
      </w:r>
    </w:p>
    <w:p w14:paraId="0F151E34" w14:textId="780BA036" w:rsidR="000C612B" w:rsidRDefault="000A7E42" w:rsidP="009B4F99">
      <w:pPr>
        <w:pStyle w:val="DeptBullets"/>
        <w:numPr>
          <w:ilvl w:val="0"/>
          <w:numId w:val="14"/>
        </w:numPr>
        <w:spacing w:after="0"/>
        <w:ind w:left="0" w:firstLine="0"/>
        <w:rPr>
          <w:szCs w:val="24"/>
        </w:rPr>
      </w:pPr>
      <w:r w:rsidRPr="00563B7C">
        <w:rPr>
          <w:szCs w:val="24"/>
        </w:rPr>
        <w:t>The</w:t>
      </w:r>
      <w:r w:rsidR="009A22B1">
        <w:rPr>
          <w:szCs w:val="24"/>
        </w:rPr>
        <w:t xml:space="preserve"> Devolved Administrations </w:t>
      </w:r>
      <w:r w:rsidR="0088341C">
        <w:rPr>
          <w:szCs w:val="24"/>
        </w:rPr>
        <w:t>refer to</w:t>
      </w:r>
      <w:r w:rsidR="009A22B1">
        <w:rPr>
          <w:szCs w:val="24"/>
        </w:rPr>
        <w:t xml:space="preserve"> </w:t>
      </w:r>
      <w:r w:rsidR="00563B7C" w:rsidRPr="00563B7C">
        <w:rPr>
          <w:szCs w:val="24"/>
        </w:rPr>
        <w:t>Northern Ireland, Scotland and Wales</w:t>
      </w:r>
      <w:r w:rsidR="009A22B1">
        <w:rPr>
          <w:szCs w:val="24"/>
        </w:rPr>
        <w:t>.</w:t>
      </w:r>
      <w:r w:rsidR="00C866A0">
        <w:rPr>
          <w:szCs w:val="24"/>
        </w:rPr>
        <w:t xml:space="preserve"> </w:t>
      </w:r>
      <w:r w:rsidR="00563B7C" w:rsidRPr="00563B7C">
        <w:rPr>
          <w:szCs w:val="24"/>
        </w:rPr>
        <w:t>The term ‘Great Britain’ is used when referring to England, Scotland and Wales.</w:t>
      </w:r>
      <w:r w:rsidR="00C866A0" w:rsidRPr="00C866A0">
        <w:rPr>
          <w:szCs w:val="24"/>
        </w:rPr>
        <w:t xml:space="preserve"> </w:t>
      </w:r>
      <w:r w:rsidR="00C866A0" w:rsidRPr="000C612B">
        <w:rPr>
          <w:szCs w:val="24"/>
        </w:rPr>
        <w:t>UK Parliament (Westminster) legislates on matters which affect the UK as a whole</w:t>
      </w:r>
      <w:r w:rsidR="00073E3C">
        <w:rPr>
          <w:szCs w:val="24"/>
        </w:rPr>
        <w:t>;</w:t>
      </w:r>
      <w:r w:rsidR="00C866A0">
        <w:rPr>
          <w:szCs w:val="24"/>
        </w:rPr>
        <w:t xml:space="preserve"> </w:t>
      </w:r>
      <w:r w:rsidR="00C866A0" w:rsidRPr="000C612B">
        <w:rPr>
          <w:szCs w:val="24"/>
        </w:rPr>
        <w:t>for example, immigration, foreign affairs and defence.</w:t>
      </w:r>
    </w:p>
    <w:p w14:paraId="0F151E35" w14:textId="77777777" w:rsidR="000C612B" w:rsidRDefault="000C612B" w:rsidP="009B4F99">
      <w:pPr>
        <w:pStyle w:val="DeptBullets"/>
        <w:numPr>
          <w:ilvl w:val="0"/>
          <w:numId w:val="0"/>
        </w:numPr>
        <w:spacing w:after="0"/>
        <w:rPr>
          <w:szCs w:val="24"/>
        </w:rPr>
      </w:pPr>
    </w:p>
    <w:p w14:paraId="0F151E36" w14:textId="6805C589" w:rsidR="000C612B" w:rsidRDefault="000C612B" w:rsidP="009B4F99">
      <w:pPr>
        <w:pStyle w:val="DeptBullets"/>
        <w:numPr>
          <w:ilvl w:val="0"/>
          <w:numId w:val="14"/>
        </w:numPr>
        <w:spacing w:after="0"/>
        <w:ind w:left="0" w:firstLine="0"/>
        <w:rPr>
          <w:szCs w:val="24"/>
        </w:rPr>
      </w:pPr>
      <w:r w:rsidRPr="000C612B">
        <w:rPr>
          <w:szCs w:val="24"/>
        </w:rPr>
        <w:t xml:space="preserve">Education, the National Health Service (NHS) and social care are devolved matters, by which we mean that powers for legislative changes have been transferred from the </w:t>
      </w:r>
      <w:r w:rsidR="00810B26">
        <w:rPr>
          <w:szCs w:val="24"/>
        </w:rPr>
        <w:t>UK Parliament</w:t>
      </w:r>
      <w:r w:rsidRPr="000C612B">
        <w:rPr>
          <w:szCs w:val="24"/>
        </w:rPr>
        <w:t xml:space="preserve"> to the Scottish Parliament, the National Assembly for Wales, the Northern Ireland Assembly and their associated executive bodies (the Scottish Go</w:t>
      </w:r>
      <w:r w:rsidR="00073E3C">
        <w:rPr>
          <w:szCs w:val="24"/>
        </w:rPr>
        <w:t xml:space="preserve">vernment, the Welsh Government and </w:t>
      </w:r>
      <w:r w:rsidRPr="000C612B">
        <w:rPr>
          <w:szCs w:val="24"/>
        </w:rPr>
        <w:t xml:space="preserve">the Northern Ireland Executive). In Scotland and Northern Ireland, justice and policing is also devolved.  </w:t>
      </w:r>
    </w:p>
    <w:p w14:paraId="0F151E37" w14:textId="77777777" w:rsidR="00C866A0" w:rsidRPr="000C612B" w:rsidRDefault="00C866A0" w:rsidP="009B4F99">
      <w:pPr>
        <w:pStyle w:val="DeptBullets"/>
        <w:numPr>
          <w:ilvl w:val="0"/>
          <w:numId w:val="0"/>
        </w:numPr>
        <w:spacing w:after="0"/>
        <w:rPr>
          <w:szCs w:val="24"/>
        </w:rPr>
      </w:pPr>
    </w:p>
    <w:p w14:paraId="0F151E38" w14:textId="77777777" w:rsidR="00C84420" w:rsidRPr="009C5C23" w:rsidRDefault="00C84420" w:rsidP="009B4F99">
      <w:pPr>
        <w:pStyle w:val="DeptBullets"/>
        <w:numPr>
          <w:ilvl w:val="0"/>
          <w:numId w:val="0"/>
        </w:numPr>
        <w:spacing w:after="0"/>
        <w:rPr>
          <w:szCs w:val="24"/>
          <w:u w:val="single"/>
        </w:rPr>
      </w:pPr>
      <w:r w:rsidRPr="009C5C23">
        <w:rPr>
          <w:szCs w:val="24"/>
          <w:u w:val="single"/>
        </w:rPr>
        <w:t>Crown Dependencies</w:t>
      </w:r>
    </w:p>
    <w:p w14:paraId="0F151E39" w14:textId="77777777" w:rsidR="00891321" w:rsidRDefault="00891321" w:rsidP="009B4F99">
      <w:pPr>
        <w:pStyle w:val="DeptBullets"/>
        <w:numPr>
          <w:ilvl w:val="0"/>
          <w:numId w:val="0"/>
        </w:numPr>
        <w:spacing w:after="0"/>
        <w:rPr>
          <w:szCs w:val="24"/>
        </w:rPr>
      </w:pPr>
    </w:p>
    <w:p w14:paraId="0F54F7D5" w14:textId="77777777" w:rsidR="00BE2308" w:rsidRDefault="000C612B" w:rsidP="00BE2308">
      <w:pPr>
        <w:pStyle w:val="DeptBullets"/>
        <w:numPr>
          <w:ilvl w:val="0"/>
          <w:numId w:val="14"/>
        </w:numPr>
        <w:spacing w:after="0"/>
        <w:ind w:left="0" w:firstLine="0"/>
        <w:jc w:val="both"/>
      </w:pPr>
      <w:r w:rsidRPr="00BE2308">
        <w:rPr>
          <w:szCs w:val="24"/>
        </w:rPr>
        <w:t xml:space="preserve">The Crown Dependencies are the Bailiwick of Jersey, the Bailiwick of Guernsey and the Isle of Man. Within the Bailiwick of Guernsey there are three separate jurisdictions: Guernsey (which includes the islands of Herm and </w:t>
      </w:r>
      <w:proofErr w:type="spellStart"/>
      <w:r w:rsidRPr="00BE2308">
        <w:rPr>
          <w:szCs w:val="24"/>
        </w:rPr>
        <w:t>Jethou</w:t>
      </w:r>
      <w:proofErr w:type="spellEnd"/>
      <w:r w:rsidRPr="00BE2308">
        <w:rPr>
          <w:szCs w:val="24"/>
        </w:rPr>
        <w:t xml:space="preserve">); Alderney; and Sark (which includes the island of </w:t>
      </w:r>
      <w:proofErr w:type="spellStart"/>
      <w:r w:rsidRPr="00BE2308">
        <w:rPr>
          <w:szCs w:val="24"/>
        </w:rPr>
        <w:t>Brecqhou</w:t>
      </w:r>
      <w:proofErr w:type="spellEnd"/>
      <w:r w:rsidRPr="00BE2308">
        <w:rPr>
          <w:szCs w:val="24"/>
        </w:rPr>
        <w:t xml:space="preserve">). </w:t>
      </w:r>
      <w:r w:rsidR="00BE2308" w:rsidRPr="00BE2308">
        <w:t>UK’s ratification of the UNCRC has not yet been extended to the Bailiwick of Guernsey.</w:t>
      </w:r>
    </w:p>
    <w:p w14:paraId="2A886E76" w14:textId="77777777" w:rsidR="00BE2308" w:rsidRDefault="00BE2308" w:rsidP="00BE2308">
      <w:pPr>
        <w:pStyle w:val="DeptBullets"/>
        <w:numPr>
          <w:ilvl w:val="0"/>
          <w:numId w:val="0"/>
        </w:numPr>
        <w:spacing w:after="0"/>
        <w:jc w:val="both"/>
      </w:pPr>
    </w:p>
    <w:p w14:paraId="02B3D4C4" w14:textId="5645525C" w:rsidR="00BE2308" w:rsidRPr="00BE2308" w:rsidRDefault="00891321" w:rsidP="00BE2308">
      <w:pPr>
        <w:pStyle w:val="DeptBullets"/>
        <w:numPr>
          <w:ilvl w:val="0"/>
          <w:numId w:val="14"/>
        </w:numPr>
        <w:spacing w:after="0"/>
        <w:ind w:left="0" w:firstLine="0"/>
        <w:jc w:val="both"/>
      </w:pPr>
      <w:r w:rsidRPr="00BE2308">
        <w:rPr>
          <w:szCs w:val="24"/>
        </w:rPr>
        <w:t>The Crown Dependencies</w:t>
      </w:r>
      <w:r w:rsidR="00EE7F15" w:rsidRPr="00BE2308">
        <w:rPr>
          <w:szCs w:val="24"/>
        </w:rPr>
        <w:t xml:space="preserve"> </w:t>
      </w:r>
      <w:r w:rsidRPr="00BE2308">
        <w:rPr>
          <w:szCs w:val="24"/>
        </w:rPr>
        <w:t>fall under the sovereignty of the British Crown</w:t>
      </w:r>
      <w:r w:rsidR="00683037" w:rsidRPr="00BE2308">
        <w:rPr>
          <w:szCs w:val="24"/>
        </w:rPr>
        <w:t xml:space="preserve"> but are not part of the UK and have no representation in </w:t>
      </w:r>
      <w:r w:rsidR="00073E3C">
        <w:rPr>
          <w:szCs w:val="24"/>
        </w:rPr>
        <w:t>Westminster Parliament</w:t>
      </w:r>
      <w:r w:rsidR="00683037" w:rsidRPr="00BE2308">
        <w:rPr>
          <w:szCs w:val="24"/>
        </w:rPr>
        <w:t>.</w:t>
      </w:r>
      <w:r w:rsidR="009A22B1" w:rsidRPr="00BE2308">
        <w:rPr>
          <w:szCs w:val="24"/>
        </w:rPr>
        <w:t xml:space="preserve"> E</w:t>
      </w:r>
      <w:r w:rsidR="00683037" w:rsidRPr="00BE2308">
        <w:rPr>
          <w:szCs w:val="24"/>
        </w:rPr>
        <w:t xml:space="preserve">ach </w:t>
      </w:r>
      <w:r w:rsidR="00F47E1C">
        <w:rPr>
          <w:szCs w:val="24"/>
        </w:rPr>
        <w:t>Crown Dependency has</w:t>
      </w:r>
      <w:r w:rsidR="00683037" w:rsidRPr="00BE2308">
        <w:rPr>
          <w:szCs w:val="24"/>
        </w:rPr>
        <w:t xml:space="preserve"> </w:t>
      </w:r>
      <w:proofErr w:type="gramStart"/>
      <w:r w:rsidR="00683037" w:rsidRPr="00BE2308">
        <w:rPr>
          <w:szCs w:val="24"/>
        </w:rPr>
        <w:t>their own</w:t>
      </w:r>
      <w:proofErr w:type="gramEnd"/>
      <w:r w:rsidR="00683037" w:rsidRPr="00BE2308">
        <w:rPr>
          <w:szCs w:val="24"/>
        </w:rPr>
        <w:t xml:space="preserve"> elected legislative assemblies responsible for making primary and secondary domestic legislation</w:t>
      </w:r>
      <w:r w:rsidR="00BE2308" w:rsidRPr="00BE2308">
        <w:rPr>
          <w:szCs w:val="24"/>
        </w:rPr>
        <w:t>.</w:t>
      </w:r>
      <w:r w:rsidR="00C866A0" w:rsidRPr="00BE2308">
        <w:rPr>
          <w:szCs w:val="24"/>
        </w:rPr>
        <w:t xml:space="preserve"> </w:t>
      </w:r>
      <w:r w:rsidR="00BE2308" w:rsidRPr="00BE2308">
        <w:rPr>
          <w:szCs w:val="24"/>
        </w:rPr>
        <w:t>Certain primary legislation requires Royal Assent or Sanction</w:t>
      </w:r>
      <w:r w:rsidR="00073E3C">
        <w:rPr>
          <w:szCs w:val="24"/>
        </w:rPr>
        <w:t>.</w:t>
      </w:r>
    </w:p>
    <w:p w14:paraId="0F151E3D" w14:textId="77777777" w:rsidR="00C866A0" w:rsidRDefault="00C866A0" w:rsidP="009B4F99">
      <w:pPr>
        <w:pStyle w:val="ListParagraph"/>
        <w:rPr>
          <w:szCs w:val="24"/>
        </w:rPr>
      </w:pPr>
    </w:p>
    <w:p w14:paraId="0F151E3E" w14:textId="3A8F7642" w:rsidR="000C612B" w:rsidRDefault="00073E3C" w:rsidP="009B4F99">
      <w:pPr>
        <w:pStyle w:val="DeptBullets"/>
        <w:numPr>
          <w:ilvl w:val="0"/>
          <w:numId w:val="14"/>
        </w:numPr>
        <w:spacing w:after="0"/>
        <w:ind w:left="0" w:firstLine="0"/>
        <w:rPr>
          <w:szCs w:val="24"/>
        </w:rPr>
      </w:pPr>
      <w:r>
        <w:rPr>
          <w:szCs w:val="24"/>
        </w:rPr>
        <w:t>Administrative, fiscal and</w:t>
      </w:r>
      <w:r w:rsidR="00683037" w:rsidRPr="00BE2308">
        <w:rPr>
          <w:szCs w:val="24"/>
        </w:rPr>
        <w:t xml:space="preserve"> legal systems and courts of law are independent of the UK</w:t>
      </w:r>
      <w:r w:rsidR="00742AF7" w:rsidRPr="00BE2308">
        <w:rPr>
          <w:szCs w:val="24"/>
        </w:rPr>
        <w:t>, as are matters pertaining to the protection of children</w:t>
      </w:r>
      <w:r w:rsidR="00800AE6" w:rsidRPr="00BE2308">
        <w:rPr>
          <w:szCs w:val="24"/>
        </w:rPr>
        <w:t>.</w:t>
      </w:r>
      <w:r w:rsidR="00683037" w:rsidRPr="00BE2308">
        <w:rPr>
          <w:szCs w:val="24"/>
        </w:rPr>
        <w:t xml:space="preserve"> </w:t>
      </w:r>
      <w:r w:rsidR="00BE2308" w:rsidRPr="00BE2308">
        <w:rPr>
          <w:iCs/>
          <w:lang w:eastAsia="en-GB"/>
        </w:rPr>
        <w:t>HM Government is responsible for the defence and international relations of the Islands.</w:t>
      </w:r>
      <w:r w:rsidR="00BE2308" w:rsidRPr="00BE2308">
        <w:rPr>
          <w:sz w:val="22"/>
          <w:szCs w:val="22"/>
        </w:rPr>
        <w:t xml:space="preserve"> </w:t>
      </w:r>
      <w:r w:rsidR="00683037" w:rsidRPr="00BE2308">
        <w:rPr>
          <w:szCs w:val="24"/>
        </w:rPr>
        <w:t>The Crown, acting through the Privy Council, is ultimately responsible for the good gove</w:t>
      </w:r>
      <w:r w:rsidR="00683037" w:rsidRPr="009C5C23">
        <w:rPr>
          <w:szCs w:val="24"/>
        </w:rPr>
        <w:t>rnance</w:t>
      </w:r>
      <w:r w:rsidR="00C866A0">
        <w:rPr>
          <w:szCs w:val="24"/>
        </w:rPr>
        <w:t xml:space="preserve"> of the Crown </w:t>
      </w:r>
      <w:r w:rsidR="009A22B1">
        <w:rPr>
          <w:szCs w:val="24"/>
        </w:rPr>
        <w:t>Dependencies</w:t>
      </w:r>
      <w:r w:rsidR="00C866A0">
        <w:rPr>
          <w:szCs w:val="24"/>
        </w:rPr>
        <w:t>.</w:t>
      </w:r>
    </w:p>
    <w:p w14:paraId="0F151E3F" w14:textId="77777777" w:rsidR="000C612B" w:rsidRDefault="000C612B" w:rsidP="009B4F99">
      <w:pPr>
        <w:pStyle w:val="ListParagraph"/>
        <w:rPr>
          <w:szCs w:val="24"/>
        </w:rPr>
      </w:pPr>
    </w:p>
    <w:p w14:paraId="0F151E40" w14:textId="77777777" w:rsidR="000A7E42" w:rsidRDefault="009C17C3" w:rsidP="009B4F99">
      <w:pPr>
        <w:pStyle w:val="DeptBullets"/>
        <w:numPr>
          <w:ilvl w:val="0"/>
          <w:numId w:val="0"/>
        </w:numPr>
        <w:spacing w:after="0"/>
        <w:rPr>
          <w:szCs w:val="24"/>
        </w:rPr>
      </w:pPr>
      <w:r>
        <w:rPr>
          <w:szCs w:val="24"/>
          <w:u w:val="single"/>
        </w:rPr>
        <w:t xml:space="preserve">British </w:t>
      </w:r>
      <w:r w:rsidR="00C84420" w:rsidRPr="009C5C23">
        <w:rPr>
          <w:szCs w:val="24"/>
          <w:u w:val="single"/>
        </w:rPr>
        <w:t>Overseas Territories</w:t>
      </w:r>
      <w:r>
        <w:rPr>
          <w:szCs w:val="24"/>
        </w:rPr>
        <w:t xml:space="preserve"> </w:t>
      </w:r>
    </w:p>
    <w:p w14:paraId="0F151E41" w14:textId="77777777" w:rsidR="009C17C3" w:rsidRPr="009C5C23" w:rsidRDefault="009C17C3" w:rsidP="009B4F99">
      <w:pPr>
        <w:pStyle w:val="DeptBullets"/>
        <w:numPr>
          <w:ilvl w:val="0"/>
          <w:numId w:val="0"/>
        </w:numPr>
        <w:spacing w:after="0"/>
        <w:rPr>
          <w:szCs w:val="24"/>
        </w:rPr>
      </w:pPr>
    </w:p>
    <w:p w14:paraId="0F151E42" w14:textId="6E345B9A" w:rsidR="008366CF" w:rsidRDefault="00341D80" w:rsidP="009B4F99">
      <w:pPr>
        <w:pStyle w:val="DeptBullets"/>
        <w:numPr>
          <w:ilvl w:val="0"/>
          <w:numId w:val="36"/>
        </w:numPr>
        <w:tabs>
          <w:tab w:val="left" w:pos="720"/>
        </w:tabs>
        <w:spacing w:after="0"/>
        <w:ind w:left="0" w:firstLine="0"/>
        <w:textAlignment w:val="auto"/>
        <w:rPr>
          <w:rFonts w:cs="Arial"/>
          <w:szCs w:val="24"/>
        </w:rPr>
      </w:pPr>
      <w:r>
        <w:rPr>
          <w:rFonts w:cs="Arial"/>
          <w:szCs w:val="24"/>
        </w:rPr>
        <w:t xml:space="preserve">There are 14 British Overseas Territories, of which 10 are permanently </w:t>
      </w:r>
      <w:r>
        <w:rPr>
          <w:rFonts w:cs="Arial"/>
          <w:szCs w:val="24"/>
        </w:rPr>
        <w:lastRenderedPageBreak/>
        <w:t>inhabited</w:t>
      </w:r>
      <w:r w:rsidR="00073E3C">
        <w:rPr>
          <w:rFonts w:cs="Arial"/>
          <w:szCs w:val="24"/>
        </w:rPr>
        <w:t>.</w:t>
      </w:r>
      <w:r>
        <w:rPr>
          <w:rStyle w:val="FootnoteReference"/>
          <w:rFonts w:cs="Arial"/>
          <w:szCs w:val="24"/>
        </w:rPr>
        <w:footnoteReference w:id="1"/>
      </w:r>
      <w:r>
        <w:rPr>
          <w:rFonts w:cs="Arial"/>
          <w:szCs w:val="24"/>
        </w:rPr>
        <w:t xml:space="preserve"> </w:t>
      </w:r>
      <w:r>
        <w:rPr>
          <w:rFonts w:cs="Arial"/>
          <w:color w:val="0B0C0C"/>
          <w:shd w:val="clear" w:color="auto" w:fill="FFFFFF"/>
        </w:rPr>
        <w:t xml:space="preserve">The Overseas Territories do not form part of the </w:t>
      </w:r>
      <w:r w:rsidR="00073E3C">
        <w:rPr>
          <w:rFonts w:cs="Arial"/>
          <w:color w:val="0B0C0C"/>
          <w:shd w:val="clear" w:color="auto" w:fill="FFFFFF"/>
        </w:rPr>
        <w:t>UK</w:t>
      </w:r>
      <w:r>
        <w:rPr>
          <w:rFonts w:cs="Arial"/>
          <w:color w:val="0B0C0C"/>
          <w:shd w:val="clear" w:color="auto" w:fill="FFFFFF"/>
        </w:rPr>
        <w:t xml:space="preserve"> and have no representation in the Westminster Parliament. </w:t>
      </w:r>
    </w:p>
    <w:p w14:paraId="0F151E43" w14:textId="77777777" w:rsidR="00341D80" w:rsidRDefault="00341D80" w:rsidP="009B4F99">
      <w:pPr>
        <w:pStyle w:val="DeptBullets"/>
        <w:numPr>
          <w:ilvl w:val="0"/>
          <w:numId w:val="0"/>
        </w:numPr>
        <w:tabs>
          <w:tab w:val="left" w:pos="720"/>
        </w:tabs>
        <w:spacing w:after="0"/>
        <w:textAlignment w:val="auto"/>
        <w:rPr>
          <w:rFonts w:cs="Arial"/>
          <w:szCs w:val="24"/>
        </w:rPr>
      </w:pPr>
    </w:p>
    <w:p w14:paraId="0F151E44" w14:textId="77777777" w:rsidR="00341D80" w:rsidRDefault="00341D80" w:rsidP="009B4F99">
      <w:pPr>
        <w:pStyle w:val="DeptBullets"/>
        <w:numPr>
          <w:ilvl w:val="0"/>
          <w:numId w:val="36"/>
        </w:numPr>
        <w:tabs>
          <w:tab w:val="left" w:pos="720"/>
        </w:tabs>
        <w:spacing w:after="0"/>
        <w:ind w:left="0" w:firstLine="0"/>
        <w:textAlignment w:val="auto"/>
        <w:rPr>
          <w:rFonts w:cs="Arial"/>
          <w:szCs w:val="24"/>
        </w:rPr>
      </w:pPr>
      <w:r w:rsidRPr="00341D80">
        <w:rPr>
          <w:rFonts w:cs="Arial"/>
          <w:szCs w:val="24"/>
        </w:rPr>
        <w:t xml:space="preserve">Each Overseas Territory has its own written constitution, government and local laws. </w:t>
      </w:r>
      <w:r w:rsidRPr="00341D80">
        <w:rPr>
          <w:rFonts w:cs="Arial"/>
          <w:color w:val="0B0C0C"/>
          <w:shd w:val="clear" w:color="auto" w:fill="FFFFFF"/>
        </w:rPr>
        <w:t>The UK government acknowledges that the peoples of all the territories have the right of self-determination, and has a fundamental responsibility to ensure the security and good governance of the territories and their peoples.</w:t>
      </w:r>
    </w:p>
    <w:p w14:paraId="0F151E45" w14:textId="77777777" w:rsidR="00341D80" w:rsidRDefault="00341D80" w:rsidP="009B4F99">
      <w:pPr>
        <w:pStyle w:val="ListParagraph"/>
        <w:rPr>
          <w:rFonts w:cs="Arial"/>
          <w:color w:val="0B0C0C"/>
          <w:shd w:val="clear" w:color="auto" w:fill="FFFFFF"/>
        </w:rPr>
      </w:pPr>
    </w:p>
    <w:p w14:paraId="0F151E46" w14:textId="5939399F" w:rsidR="00341D80" w:rsidRDefault="00341D80" w:rsidP="009B4F99">
      <w:pPr>
        <w:pStyle w:val="DeptBullets"/>
        <w:numPr>
          <w:ilvl w:val="0"/>
          <w:numId w:val="36"/>
        </w:numPr>
        <w:tabs>
          <w:tab w:val="left" w:pos="720"/>
        </w:tabs>
        <w:spacing w:after="0"/>
        <w:ind w:left="0" w:firstLine="0"/>
        <w:textAlignment w:val="auto"/>
        <w:rPr>
          <w:rFonts w:cs="Arial"/>
          <w:szCs w:val="24"/>
        </w:rPr>
      </w:pPr>
      <w:r w:rsidRPr="00341D80">
        <w:rPr>
          <w:rFonts w:cs="Arial"/>
          <w:color w:val="0B0C0C"/>
          <w:shd w:val="clear" w:color="auto" w:fill="FFFFFF"/>
        </w:rPr>
        <w:t>The protection and promotion of human rights (including children’s rights) are primarily the responsibility of territory governments, although the UK government works in partnership with them to ensure the territories act in accordance with their international human rights obligations</w:t>
      </w:r>
      <w:r>
        <w:t>,</w:t>
      </w:r>
      <w:r w:rsidR="001573C8">
        <w:t xml:space="preserve"> </w:t>
      </w:r>
      <w:r>
        <w:t>including those enshrined in the UN Convention on the Rights of the Child.</w:t>
      </w:r>
    </w:p>
    <w:p w14:paraId="0F151E47" w14:textId="77777777" w:rsidR="00341D80" w:rsidRDefault="00341D80" w:rsidP="009B4F99">
      <w:pPr>
        <w:pStyle w:val="ListParagraph"/>
        <w:rPr>
          <w:rFonts w:cs="Arial"/>
          <w:color w:val="0B0C0C"/>
          <w:shd w:val="clear" w:color="auto" w:fill="FFFFFF"/>
        </w:rPr>
      </w:pPr>
    </w:p>
    <w:p w14:paraId="0F151E49" w14:textId="6A6A2B98" w:rsidR="00341D80" w:rsidRDefault="00341D80" w:rsidP="009B4F99">
      <w:pPr>
        <w:pStyle w:val="DeptBullets"/>
        <w:numPr>
          <w:ilvl w:val="0"/>
          <w:numId w:val="36"/>
        </w:numPr>
        <w:tabs>
          <w:tab w:val="left" w:pos="720"/>
        </w:tabs>
        <w:spacing w:after="0"/>
        <w:ind w:left="0" w:firstLine="0"/>
        <w:textAlignment w:val="auto"/>
        <w:rPr>
          <w:rFonts w:cs="Arial"/>
          <w:color w:val="0B0C0C"/>
          <w:shd w:val="clear" w:color="auto" w:fill="FFFFFF"/>
        </w:rPr>
      </w:pPr>
      <w:r w:rsidRPr="00073E3C">
        <w:rPr>
          <w:rFonts w:cs="Arial"/>
          <w:color w:val="0B0C0C"/>
          <w:shd w:val="clear" w:color="auto" w:fill="FFFFFF"/>
        </w:rPr>
        <w:t>The UK government exte</w:t>
      </w:r>
      <w:r w:rsidR="00073E3C" w:rsidRPr="00073E3C">
        <w:rPr>
          <w:rFonts w:cs="Arial"/>
          <w:color w:val="0B0C0C"/>
          <w:shd w:val="clear" w:color="auto" w:fill="FFFFFF"/>
        </w:rPr>
        <w:t>nded its ratification of the UN</w:t>
      </w:r>
      <w:r w:rsidRPr="00073E3C">
        <w:rPr>
          <w:rFonts w:cs="Arial"/>
          <w:color w:val="0B0C0C"/>
          <w:shd w:val="clear" w:color="auto" w:fill="FFFFFF"/>
        </w:rPr>
        <w:t xml:space="preserve">CRC to nine of the 10 inhabited Overseas Territories in 1994. In December 2015, the UK government and HM Government of Gibraltar reiterated their commitment to working together to extend the UNCRC to Gibraltar. </w:t>
      </w:r>
    </w:p>
    <w:p w14:paraId="4B0BCB8B" w14:textId="77777777" w:rsidR="00073E3C" w:rsidRDefault="00073E3C" w:rsidP="00073E3C">
      <w:pPr>
        <w:pStyle w:val="ListParagraph"/>
        <w:rPr>
          <w:rFonts w:cs="Arial"/>
          <w:color w:val="0B0C0C"/>
          <w:shd w:val="clear" w:color="auto" w:fill="FFFFFF"/>
        </w:rPr>
      </w:pPr>
    </w:p>
    <w:p w14:paraId="0F151E4A" w14:textId="3C75811E" w:rsidR="00341D80" w:rsidRPr="00341D80" w:rsidRDefault="00341D80" w:rsidP="009B4F99">
      <w:pPr>
        <w:pStyle w:val="DeptBullets"/>
        <w:numPr>
          <w:ilvl w:val="0"/>
          <w:numId w:val="36"/>
        </w:numPr>
        <w:tabs>
          <w:tab w:val="left" w:pos="720"/>
        </w:tabs>
        <w:spacing w:after="0"/>
        <w:ind w:left="0" w:firstLine="0"/>
        <w:textAlignment w:val="auto"/>
        <w:rPr>
          <w:rFonts w:cs="Arial"/>
          <w:szCs w:val="24"/>
        </w:rPr>
      </w:pPr>
      <w:r w:rsidRPr="00341D80">
        <w:rPr>
          <w:rFonts w:cs="Arial"/>
          <w:color w:val="0B0C0C"/>
          <w:shd w:val="clear" w:color="auto" w:fill="FFFFFF"/>
        </w:rPr>
        <w:t xml:space="preserve">In February 2015, the UK government </w:t>
      </w:r>
      <w:r w:rsidRPr="00341D80">
        <w:rPr>
          <w:rFonts w:cs="Arial"/>
          <w:shd w:val="clear" w:color="auto" w:fill="FFFFFF"/>
        </w:rPr>
        <w:t>established the Overseas Territories Child Safeguarding Unit to help strengthen child safeguarding</w:t>
      </w:r>
      <w:r w:rsidRPr="00341D80">
        <w:rPr>
          <w:rFonts w:cs="Arial"/>
          <w:color w:val="0B0C0C"/>
          <w:shd w:val="clear" w:color="auto" w:fill="FFFFFF"/>
        </w:rPr>
        <w:t xml:space="preserve"> </w:t>
      </w:r>
      <w:r w:rsidRPr="00341D80">
        <w:rPr>
          <w:rFonts w:cs="Arial"/>
          <w:shd w:val="clear" w:color="auto" w:fill="FFFFFF"/>
        </w:rPr>
        <w:t>capabilities and systems in partnership with</w:t>
      </w:r>
      <w:r w:rsidRPr="00341D80">
        <w:rPr>
          <w:rFonts w:cs="Arial"/>
          <w:color w:val="FF0000"/>
          <w:shd w:val="clear" w:color="auto" w:fill="FFFFFF"/>
        </w:rPr>
        <w:t xml:space="preserve"> </w:t>
      </w:r>
      <w:r w:rsidRPr="00341D80">
        <w:rPr>
          <w:rFonts w:cs="Arial"/>
          <w:color w:val="0B0C0C"/>
          <w:shd w:val="clear" w:color="auto" w:fill="FFFFFF"/>
        </w:rPr>
        <w:t>the territories. This builds on efforts by the UK Department for International Development (DFID), which launched the second Child Safeguarding Children in the Overseas Territories programme in February 2014</w:t>
      </w:r>
      <w:r w:rsidR="00F47E1C">
        <w:rPr>
          <w:rFonts w:cs="Arial"/>
          <w:color w:val="0B0C0C"/>
          <w:shd w:val="clear" w:color="auto" w:fill="FFFFFF"/>
        </w:rPr>
        <w:t>,</w:t>
      </w:r>
      <w:r w:rsidRPr="00341D80">
        <w:rPr>
          <w:rFonts w:cs="Arial"/>
          <w:color w:val="0B0C0C"/>
          <w:shd w:val="clear" w:color="auto" w:fill="FFFFFF"/>
        </w:rPr>
        <w:t xml:space="preserve"> in partnership with UNICEF Caribbean</w:t>
      </w:r>
      <w:r w:rsidR="002273BF">
        <w:rPr>
          <w:rFonts w:cs="Arial"/>
          <w:color w:val="0B0C0C"/>
          <w:shd w:val="clear" w:color="auto" w:fill="FFFFFF"/>
        </w:rPr>
        <w:t xml:space="preserve"> and others, and provides budgetary assistance for safeguarding</w:t>
      </w:r>
      <w:r w:rsidRPr="00341D80">
        <w:rPr>
          <w:rFonts w:cs="Arial"/>
          <w:color w:val="0B0C0C"/>
          <w:shd w:val="clear" w:color="auto" w:fill="FFFFFF"/>
        </w:rPr>
        <w:t xml:space="preserve">. </w:t>
      </w:r>
    </w:p>
    <w:p w14:paraId="0F151E4B" w14:textId="77777777" w:rsidR="00341D80" w:rsidRDefault="00341D80" w:rsidP="009B4F99">
      <w:pPr>
        <w:pStyle w:val="ListParagraph"/>
        <w:rPr>
          <w:rFonts w:cs="Arial"/>
          <w:szCs w:val="24"/>
        </w:rPr>
      </w:pPr>
    </w:p>
    <w:p w14:paraId="0F151E4C" w14:textId="77777777" w:rsidR="00341D80" w:rsidRPr="00341D80" w:rsidRDefault="00341D80" w:rsidP="009B4F99">
      <w:pPr>
        <w:pStyle w:val="DeptBullets"/>
        <w:numPr>
          <w:ilvl w:val="0"/>
          <w:numId w:val="0"/>
        </w:numPr>
        <w:tabs>
          <w:tab w:val="left" w:pos="720"/>
        </w:tabs>
        <w:spacing w:after="0"/>
        <w:textAlignment w:val="auto"/>
        <w:rPr>
          <w:rFonts w:cs="Arial"/>
          <w:szCs w:val="24"/>
        </w:rPr>
      </w:pPr>
    </w:p>
    <w:p w14:paraId="0F151E4D" w14:textId="77777777" w:rsidR="00563B7C" w:rsidRPr="00FE585E" w:rsidRDefault="00563B7C" w:rsidP="009B4F99">
      <w:pPr>
        <w:pStyle w:val="DeptBullets"/>
        <w:numPr>
          <w:ilvl w:val="0"/>
          <w:numId w:val="0"/>
        </w:numPr>
        <w:spacing w:after="0"/>
        <w:ind w:left="360"/>
        <w:rPr>
          <w:b/>
          <w:i/>
        </w:rPr>
      </w:pPr>
    </w:p>
    <w:sectPr w:rsidR="00563B7C" w:rsidRPr="00FE585E" w:rsidSect="00572EB1">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51E50" w14:textId="77777777" w:rsidR="00F64D14" w:rsidRDefault="00F64D14">
      <w:r>
        <w:separator/>
      </w:r>
    </w:p>
  </w:endnote>
  <w:endnote w:type="continuationSeparator" w:id="0">
    <w:p w14:paraId="0F151E51" w14:textId="77777777" w:rsidR="00F64D14" w:rsidRDefault="00F64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7180425"/>
      <w:docPartObj>
        <w:docPartGallery w:val="Page Numbers (Bottom of Page)"/>
        <w:docPartUnique/>
      </w:docPartObj>
    </w:sdtPr>
    <w:sdtEndPr>
      <w:rPr>
        <w:noProof/>
      </w:rPr>
    </w:sdtEndPr>
    <w:sdtContent>
      <w:p w14:paraId="0F151E52" w14:textId="77777777" w:rsidR="00B02A2D" w:rsidRDefault="00F64D14">
        <w:pPr>
          <w:pStyle w:val="Footer"/>
          <w:jc w:val="center"/>
        </w:pPr>
        <w:r>
          <w:fldChar w:fldCharType="begin"/>
        </w:r>
        <w:r>
          <w:instrText xml:space="preserve"> PAGE   \* MERGEFORMAT </w:instrText>
        </w:r>
        <w:r>
          <w:fldChar w:fldCharType="separate"/>
        </w:r>
        <w:r w:rsidR="00B66AAE">
          <w:rPr>
            <w:noProof/>
          </w:rPr>
          <w:t>2</w:t>
        </w:r>
        <w:r>
          <w:rPr>
            <w:noProof/>
          </w:rPr>
          <w:fldChar w:fldCharType="end"/>
        </w:r>
      </w:p>
    </w:sdtContent>
  </w:sdt>
  <w:p w14:paraId="0F151E53" w14:textId="77777777" w:rsidR="00B02A2D" w:rsidRDefault="00B02A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151E4E" w14:textId="77777777" w:rsidR="00F64D14" w:rsidRDefault="00F64D14">
      <w:r>
        <w:separator/>
      </w:r>
    </w:p>
  </w:footnote>
  <w:footnote w:type="continuationSeparator" w:id="0">
    <w:p w14:paraId="0F151E4F" w14:textId="77777777" w:rsidR="00F64D14" w:rsidRDefault="00F64D14">
      <w:r>
        <w:continuationSeparator/>
      </w:r>
    </w:p>
  </w:footnote>
  <w:footnote w:id="1">
    <w:p w14:paraId="0F151E54" w14:textId="0D6AC0FC" w:rsidR="00341D80" w:rsidRPr="009B4F99" w:rsidRDefault="00341D80">
      <w:pPr>
        <w:pStyle w:val="FootnoteText"/>
        <w:rPr>
          <w:sz w:val="16"/>
          <w:szCs w:val="16"/>
        </w:rPr>
      </w:pPr>
      <w:r>
        <w:rPr>
          <w:rStyle w:val="FootnoteReference"/>
        </w:rPr>
        <w:footnoteRef/>
      </w:r>
      <w:r>
        <w:t xml:space="preserve"> </w:t>
      </w:r>
      <w:r w:rsidR="008366CF" w:rsidRPr="009B4F99">
        <w:rPr>
          <w:sz w:val="16"/>
          <w:szCs w:val="16"/>
        </w:rPr>
        <w:t xml:space="preserve">Anguilla; Bermuda; Cayman Islands; Falkland Islands; Gibraltar; Montserrat; Pitcairn, Henderson, </w:t>
      </w:r>
      <w:proofErr w:type="spellStart"/>
      <w:r w:rsidR="008366CF" w:rsidRPr="009B4F99">
        <w:rPr>
          <w:sz w:val="16"/>
          <w:szCs w:val="16"/>
        </w:rPr>
        <w:t>Ducie</w:t>
      </w:r>
      <w:proofErr w:type="spellEnd"/>
      <w:r w:rsidR="008366CF" w:rsidRPr="009B4F99">
        <w:rPr>
          <w:sz w:val="16"/>
          <w:szCs w:val="16"/>
        </w:rPr>
        <w:t xml:space="preserve"> and </w:t>
      </w:r>
      <w:proofErr w:type="spellStart"/>
      <w:r w:rsidR="008366CF" w:rsidRPr="009B4F99">
        <w:rPr>
          <w:sz w:val="16"/>
          <w:szCs w:val="16"/>
        </w:rPr>
        <w:t>Oeno</w:t>
      </w:r>
      <w:proofErr w:type="spellEnd"/>
      <w:r w:rsidR="008366CF" w:rsidRPr="009B4F99">
        <w:rPr>
          <w:sz w:val="16"/>
          <w:szCs w:val="16"/>
        </w:rPr>
        <w:t xml:space="preserve"> (Pitcairn Islands); St Helena, Ascension and Tristan da Cunha; Turks and Caicos Islands; Virgin Islands (commonly known</w:t>
      </w:r>
      <w:r w:rsidR="00073E3C">
        <w:rPr>
          <w:sz w:val="16"/>
          <w:szCs w:val="16"/>
        </w:rPr>
        <w:t xml:space="preserve"> as the British Virgin Islands)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5F55"/>
    <w:multiLevelType w:val="hybridMultilevel"/>
    <w:tmpl w:val="57B2C38C"/>
    <w:lvl w:ilvl="0" w:tplc="F3CC70AE">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F472BA"/>
    <w:multiLevelType w:val="hybridMultilevel"/>
    <w:tmpl w:val="D3DC1C24"/>
    <w:lvl w:ilvl="0" w:tplc="BCB4C504">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nsid w:val="2555713F"/>
    <w:multiLevelType w:val="hybridMultilevel"/>
    <w:tmpl w:val="7EC6D8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nsid w:val="4586776F"/>
    <w:multiLevelType w:val="hybridMultilevel"/>
    <w:tmpl w:val="4C94496A"/>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5C67A83"/>
    <w:multiLevelType w:val="hybridMultilevel"/>
    <w:tmpl w:val="3C0611F0"/>
    <w:lvl w:ilvl="0" w:tplc="8FC8697C">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9E82FE6"/>
    <w:multiLevelType w:val="hybridMultilevel"/>
    <w:tmpl w:val="9C340E0C"/>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4152960"/>
    <w:multiLevelType w:val="hybridMultilevel"/>
    <w:tmpl w:val="1CCC3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6B2537E"/>
    <w:multiLevelType w:val="hybridMultilevel"/>
    <w:tmpl w:val="9946A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7A9E4373"/>
    <w:multiLevelType w:val="hybridMultilevel"/>
    <w:tmpl w:val="C8D8881C"/>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7"/>
  </w:num>
  <w:num w:numId="2">
    <w:abstractNumId w:val="4"/>
  </w:num>
  <w:num w:numId="3">
    <w:abstractNumId w:val="15"/>
  </w:num>
  <w:num w:numId="4">
    <w:abstractNumId w:val="2"/>
  </w:num>
  <w:num w:numId="5">
    <w:abstractNumId w:val="8"/>
  </w:num>
  <w:num w:numId="6">
    <w:abstractNumId w:val="11"/>
  </w:num>
  <w:num w:numId="7">
    <w:abstractNumId w:val="9"/>
  </w:num>
  <w:num w:numId="8">
    <w:abstractNumId w:val="0"/>
  </w:num>
  <w:num w:numId="9">
    <w:abstractNumId w:val="5"/>
  </w:num>
  <w:num w:numId="10">
    <w:abstractNumId w:val="14"/>
  </w:num>
  <w:num w:numId="11">
    <w:abstractNumId w:val="10"/>
  </w:num>
  <w:num w:numId="12">
    <w:abstractNumId w:val="6"/>
  </w:num>
  <w:num w:numId="13">
    <w:abstractNumId w:val="3"/>
  </w:num>
  <w:num w:numId="14">
    <w:abstractNumId w:val="1"/>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3"/>
  </w:num>
  <w:num w:numId="22">
    <w:abstractNumId w:val="7"/>
  </w:num>
  <w:num w:numId="23">
    <w:abstractNumId w:val="7"/>
  </w:num>
  <w:num w:numId="24">
    <w:abstractNumId w:val="7"/>
  </w:num>
  <w:num w:numId="25">
    <w:abstractNumId w:val="7"/>
  </w:num>
  <w:num w:numId="26">
    <w:abstractNumId w:val="12"/>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95C"/>
    <w:rsid w:val="00011F78"/>
    <w:rsid w:val="00022DB6"/>
    <w:rsid w:val="00035EBA"/>
    <w:rsid w:val="00041864"/>
    <w:rsid w:val="0004776A"/>
    <w:rsid w:val="0006307D"/>
    <w:rsid w:val="00073E3C"/>
    <w:rsid w:val="000833EF"/>
    <w:rsid w:val="000A0C1B"/>
    <w:rsid w:val="000A7E42"/>
    <w:rsid w:val="000B1468"/>
    <w:rsid w:val="000B57F2"/>
    <w:rsid w:val="000B58F5"/>
    <w:rsid w:val="000C612B"/>
    <w:rsid w:val="000F2E17"/>
    <w:rsid w:val="000F4E59"/>
    <w:rsid w:val="000F6054"/>
    <w:rsid w:val="00101436"/>
    <w:rsid w:val="001148A8"/>
    <w:rsid w:val="00116F59"/>
    <w:rsid w:val="00127CD7"/>
    <w:rsid w:val="001362FD"/>
    <w:rsid w:val="001366BB"/>
    <w:rsid w:val="001372F2"/>
    <w:rsid w:val="00153F85"/>
    <w:rsid w:val="001573C8"/>
    <w:rsid w:val="001631B3"/>
    <w:rsid w:val="00180A06"/>
    <w:rsid w:val="00182783"/>
    <w:rsid w:val="001867AD"/>
    <w:rsid w:val="00195F8E"/>
    <w:rsid w:val="001A54FA"/>
    <w:rsid w:val="001B05C8"/>
    <w:rsid w:val="001B6DF9"/>
    <w:rsid w:val="001C74C1"/>
    <w:rsid w:val="001D55BC"/>
    <w:rsid w:val="001D7FB3"/>
    <w:rsid w:val="001F12F7"/>
    <w:rsid w:val="002009C2"/>
    <w:rsid w:val="00211C37"/>
    <w:rsid w:val="00212D24"/>
    <w:rsid w:val="00217581"/>
    <w:rsid w:val="002273BF"/>
    <w:rsid w:val="002335B0"/>
    <w:rsid w:val="002338A1"/>
    <w:rsid w:val="00235668"/>
    <w:rsid w:val="00266064"/>
    <w:rsid w:val="00271F14"/>
    <w:rsid w:val="0027611C"/>
    <w:rsid w:val="002840D0"/>
    <w:rsid w:val="00295EFC"/>
    <w:rsid w:val="002A3A3A"/>
    <w:rsid w:val="002B651E"/>
    <w:rsid w:val="002B7D4C"/>
    <w:rsid w:val="002D2A7A"/>
    <w:rsid w:val="002E28FA"/>
    <w:rsid w:val="00310708"/>
    <w:rsid w:val="00312BD3"/>
    <w:rsid w:val="003231FB"/>
    <w:rsid w:val="00341D80"/>
    <w:rsid w:val="00347A3B"/>
    <w:rsid w:val="00367EEB"/>
    <w:rsid w:val="00370895"/>
    <w:rsid w:val="00392AE9"/>
    <w:rsid w:val="003B78F9"/>
    <w:rsid w:val="003D74A2"/>
    <w:rsid w:val="003D7A13"/>
    <w:rsid w:val="003E1B86"/>
    <w:rsid w:val="00402829"/>
    <w:rsid w:val="00430DC5"/>
    <w:rsid w:val="00446427"/>
    <w:rsid w:val="00450D89"/>
    <w:rsid w:val="004533A7"/>
    <w:rsid w:val="00460505"/>
    <w:rsid w:val="00463122"/>
    <w:rsid w:val="00480E77"/>
    <w:rsid w:val="00484C39"/>
    <w:rsid w:val="0049312C"/>
    <w:rsid w:val="004955D9"/>
    <w:rsid w:val="004B2F13"/>
    <w:rsid w:val="004E633C"/>
    <w:rsid w:val="004F66DF"/>
    <w:rsid w:val="00511CA5"/>
    <w:rsid w:val="005150CE"/>
    <w:rsid w:val="00527230"/>
    <w:rsid w:val="00530814"/>
    <w:rsid w:val="00545301"/>
    <w:rsid w:val="00551857"/>
    <w:rsid w:val="00563B7C"/>
    <w:rsid w:val="00565333"/>
    <w:rsid w:val="00572EB1"/>
    <w:rsid w:val="00583BA6"/>
    <w:rsid w:val="00591B39"/>
    <w:rsid w:val="005A72CD"/>
    <w:rsid w:val="005B1CC3"/>
    <w:rsid w:val="005B5A07"/>
    <w:rsid w:val="005C1372"/>
    <w:rsid w:val="005C1400"/>
    <w:rsid w:val="00607A4B"/>
    <w:rsid w:val="0062704E"/>
    <w:rsid w:val="00634682"/>
    <w:rsid w:val="0063507E"/>
    <w:rsid w:val="006363E9"/>
    <w:rsid w:val="00683037"/>
    <w:rsid w:val="006858D6"/>
    <w:rsid w:val="00687908"/>
    <w:rsid w:val="006A0189"/>
    <w:rsid w:val="006A1127"/>
    <w:rsid w:val="006A2F72"/>
    <w:rsid w:val="006A3278"/>
    <w:rsid w:val="006C527C"/>
    <w:rsid w:val="006D3EBD"/>
    <w:rsid w:val="006E6F0B"/>
    <w:rsid w:val="00700F45"/>
    <w:rsid w:val="007104E4"/>
    <w:rsid w:val="00735795"/>
    <w:rsid w:val="00742AF7"/>
    <w:rsid w:val="00743693"/>
    <w:rsid w:val="007442BB"/>
    <w:rsid w:val="007463C5"/>
    <w:rsid w:val="00746846"/>
    <w:rsid w:val="007510C3"/>
    <w:rsid w:val="0076458E"/>
    <w:rsid w:val="00767063"/>
    <w:rsid w:val="007940AE"/>
    <w:rsid w:val="007A10F9"/>
    <w:rsid w:val="007A4C02"/>
    <w:rsid w:val="007B49CD"/>
    <w:rsid w:val="007B593B"/>
    <w:rsid w:val="007B5A46"/>
    <w:rsid w:val="007C1BC2"/>
    <w:rsid w:val="007D0DBA"/>
    <w:rsid w:val="007D24E9"/>
    <w:rsid w:val="007D4DB0"/>
    <w:rsid w:val="007F073B"/>
    <w:rsid w:val="00800AE6"/>
    <w:rsid w:val="00805C72"/>
    <w:rsid w:val="00810B26"/>
    <w:rsid w:val="00831225"/>
    <w:rsid w:val="008366CF"/>
    <w:rsid w:val="008428AB"/>
    <w:rsid w:val="00863664"/>
    <w:rsid w:val="0087620E"/>
    <w:rsid w:val="0088151C"/>
    <w:rsid w:val="008817AB"/>
    <w:rsid w:val="0088341C"/>
    <w:rsid w:val="008843A4"/>
    <w:rsid w:val="00891321"/>
    <w:rsid w:val="008A1450"/>
    <w:rsid w:val="008B1C49"/>
    <w:rsid w:val="008B67CC"/>
    <w:rsid w:val="008D1228"/>
    <w:rsid w:val="008E3BDA"/>
    <w:rsid w:val="008F452F"/>
    <w:rsid w:val="00901697"/>
    <w:rsid w:val="00905ADC"/>
    <w:rsid w:val="00906C33"/>
    <w:rsid w:val="009173AF"/>
    <w:rsid w:val="00932946"/>
    <w:rsid w:val="009424FA"/>
    <w:rsid w:val="009426CB"/>
    <w:rsid w:val="0094529B"/>
    <w:rsid w:val="00963073"/>
    <w:rsid w:val="0097315A"/>
    <w:rsid w:val="00983C30"/>
    <w:rsid w:val="009A22B1"/>
    <w:rsid w:val="009A3F0A"/>
    <w:rsid w:val="009B3EFE"/>
    <w:rsid w:val="009B493A"/>
    <w:rsid w:val="009B4F99"/>
    <w:rsid w:val="009C17C3"/>
    <w:rsid w:val="009C5C23"/>
    <w:rsid w:val="009D3D73"/>
    <w:rsid w:val="009E73AD"/>
    <w:rsid w:val="009F5357"/>
    <w:rsid w:val="009F7653"/>
    <w:rsid w:val="00A00569"/>
    <w:rsid w:val="00A21E85"/>
    <w:rsid w:val="00A24E6D"/>
    <w:rsid w:val="00A2712A"/>
    <w:rsid w:val="00A274FA"/>
    <w:rsid w:val="00A3306B"/>
    <w:rsid w:val="00A36044"/>
    <w:rsid w:val="00A366A9"/>
    <w:rsid w:val="00A46912"/>
    <w:rsid w:val="00A64099"/>
    <w:rsid w:val="00A929EC"/>
    <w:rsid w:val="00A947A1"/>
    <w:rsid w:val="00A96425"/>
    <w:rsid w:val="00AA5377"/>
    <w:rsid w:val="00AA6875"/>
    <w:rsid w:val="00AB6016"/>
    <w:rsid w:val="00AC2A37"/>
    <w:rsid w:val="00AD0E50"/>
    <w:rsid w:val="00AD632D"/>
    <w:rsid w:val="00AF0554"/>
    <w:rsid w:val="00AF1C07"/>
    <w:rsid w:val="00AF737F"/>
    <w:rsid w:val="00B006DF"/>
    <w:rsid w:val="00B02A2D"/>
    <w:rsid w:val="00B05ECD"/>
    <w:rsid w:val="00B06172"/>
    <w:rsid w:val="00B16763"/>
    <w:rsid w:val="00B16A24"/>
    <w:rsid w:val="00B16A8C"/>
    <w:rsid w:val="00B275C1"/>
    <w:rsid w:val="00B6522B"/>
    <w:rsid w:val="00B65709"/>
    <w:rsid w:val="00B66AAE"/>
    <w:rsid w:val="00B67DF2"/>
    <w:rsid w:val="00B85BF7"/>
    <w:rsid w:val="00B938BE"/>
    <w:rsid w:val="00B939CC"/>
    <w:rsid w:val="00B96C3B"/>
    <w:rsid w:val="00BB24B5"/>
    <w:rsid w:val="00BC547B"/>
    <w:rsid w:val="00BD4B6C"/>
    <w:rsid w:val="00BE2308"/>
    <w:rsid w:val="00C0494A"/>
    <w:rsid w:val="00C10CBD"/>
    <w:rsid w:val="00C16167"/>
    <w:rsid w:val="00C37933"/>
    <w:rsid w:val="00C408C7"/>
    <w:rsid w:val="00C40AB1"/>
    <w:rsid w:val="00C436F4"/>
    <w:rsid w:val="00C47EEA"/>
    <w:rsid w:val="00C519D0"/>
    <w:rsid w:val="00C70ACB"/>
    <w:rsid w:val="00C84420"/>
    <w:rsid w:val="00C866A0"/>
    <w:rsid w:val="00CA4FEC"/>
    <w:rsid w:val="00CA5940"/>
    <w:rsid w:val="00CC179B"/>
    <w:rsid w:val="00CC2718"/>
    <w:rsid w:val="00CD00DD"/>
    <w:rsid w:val="00CD7921"/>
    <w:rsid w:val="00CE084B"/>
    <w:rsid w:val="00D02D57"/>
    <w:rsid w:val="00D054BE"/>
    <w:rsid w:val="00D118D6"/>
    <w:rsid w:val="00D1198F"/>
    <w:rsid w:val="00D20266"/>
    <w:rsid w:val="00D20C29"/>
    <w:rsid w:val="00D33842"/>
    <w:rsid w:val="00D47915"/>
    <w:rsid w:val="00D57D6E"/>
    <w:rsid w:val="00D61F5A"/>
    <w:rsid w:val="00D656C2"/>
    <w:rsid w:val="00D8666E"/>
    <w:rsid w:val="00D90B38"/>
    <w:rsid w:val="00DB4C12"/>
    <w:rsid w:val="00E0081E"/>
    <w:rsid w:val="00E02094"/>
    <w:rsid w:val="00E10F4C"/>
    <w:rsid w:val="00E2419F"/>
    <w:rsid w:val="00E36395"/>
    <w:rsid w:val="00E366D6"/>
    <w:rsid w:val="00E4402E"/>
    <w:rsid w:val="00E63D8B"/>
    <w:rsid w:val="00E81F4B"/>
    <w:rsid w:val="00EA11BE"/>
    <w:rsid w:val="00EC644A"/>
    <w:rsid w:val="00EC6A3F"/>
    <w:rsid w:val="00EE1C4E"/>
    <w:rsid w:val="00EE62E7"/>
    <w:rsid w:val="00EE7F15"/>
    <w:rsid w:val="00EF495C"/>
    <w:rsid w:val="00F30554"/>
    <w:rsid w:val="00F348D2"/>
    <w:rsid w:val="00F4485F"/>
    <w:rsid w:val="00F44B6A"/>
    <w:rsid w:val="00F47E1C"/>
    <w:rsid w:val="00F521C7"/>
    <w:rsid w:val="00F60BF8"/>
    <w:rsid w:val="00F64863"/>
    <w:rsid w:val="00F64D14"/>
    <w:rsid w:val="00F811CE"/>
    <w:rsid w:val="00F960C1"/>
    <w:rsid w:val="00FA0331"/>
    <w:rsid w:val="00FC049C"/>
    <w:rsid w:val="00FC1C0E"/>
    <w:rsid w:val="00FC5ED8"/>
    <w:rsid w:val="00FE1029"/>
    <w:rsid w:val="00FE3B2A"/>
    <w:rsid w:val="00FE44AC"/>
    <w:rsid w:val="00FE585E"/>
    <w:rsid w:val="00FF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5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uiPriority w:val="99"/>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unhideWhenUsed/>
    <w:rsid w:val="00446427"/>
    <w:rPr>
      <w:color w:val="0000FF"/>
      <w:u w:val="single"/>
    </w:rPr>
  </w:style>
  <w:style w:type="table" w:styleId="TableGrid">
    <w:name w:val="Table Grid"/>
    <w:basedOn w:val="TableNormal"/>
    <w:rsid w:val="00C84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198F"/>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700F45"/>
    <w:rPr>
      <w:rFonts w:ascii="Tahoma" w:hAnsi="Tahoma" w:cs="Tahoma"/>
      <w:sz w:val="16"/>
      <w:szCs w:val="16"/>
    </w:rPr>
  </w:style>
  <w:style w:type="character" w:customStyle="1" w:styleId="BalloonTextChar">
    <w:name w:val="Balloon Text Char"/>
    <w:basedOn w:val="DefaultParagraphFont"/>
    <w:link w:val="BalloonText"/>
    <w:rsid w:val="00700F45"/>
    <w:rPr>
      <w:rFonts w:ascii="Tahoma" w:hAnsi="Tahoma" w:cs="Tahoma"/>
      <w:sz w:val="16"/>
      <w:szCs w:val="16"/>
      <w:lang w:eastAsia="en-US"/>
    </w:rPr>
  </w:style>
  <w:style w:type="character" w:styleId="CommentReference">
    <w:name w:val="annotation reference"/>
    <w:basedOn w:val="DefaultParagraphFont"/>
    <w:rsid w:val="00700F45"/>
    <w:rPr>
      <w:sz w:val="16"/>
      <w:szCs w:val="16"/>
    </w:rPr>
  </w:style>
  <w:style w:type="paragraph" w:styleId="CommentText">
    <w:name w:val="annotation text"/>
    <w:basedOn w:val="Normal"/>
    <w:link w:val="CommentTextChar"/>
    <w:rsid w:val="00700F45"/>
    <w:rPr>
      <w:sz w:val="20"/>
    </w:rPr>
  </w:style>
  <w:style w:type="character" w:customStyle="1" w:styleId="CommentTextChar">
    <w:name w:val="Comment Text Char"/>
    <w:basedOn w:val="DefaultParagraphFont"/>
    <w:link w:val="CommentText"/>
    <w:rsid w:val="00700F45"/>
    <w:rPr>
      <w:rFonts w:ascii="Arial" w:hAnsi="Arial"/>
      <w:lang w:eastAsia="en-US"/>
    </w:rPr>
  </w:style>
  <w:style w:type="paragraph" w:styleId="CommentSubject">
    <w:name w:val="annotation subject"/>
    <w:basedOn w:val="CommentText"/>
    <w:next w:val="CommentText"/>
    <w:link w:val="CommentSubjectChar"/>
    <w:rsid w:val="00700F45"/>
    <w:rPr>
      <w:b/>
      <w:bCs/>
    </w:rPr>
  </w:style>
  <w:style w:type="character" w:customStyle="1" w:styleId="CommentSubjectChar">
    <w:name w:val="Comment Subject Char"/>
    <w:basedOn w:val="CommentTextChar"/>
    <w:link w:val="CommentSubject"/>
    <w:rsid w:val="00700F45"/>
    <w:rPr>
      <w:rFonts w:ascii="Arial" w:hAnsi="Arial"/>
      <w:b/>
      <w:bCs/>
      <w:lang w:eastAsia="en-US"/>
    </w:rPr>
  </w:style>
  <w:style w:type="paragraph" w:styleId="FootnoteText">
    <w:name w:val="footnote text"/>
    <w:basedOn w:val="Normal"/>
    <w:link w:val="FootnoteTextChar"/>
    <w:rsid w:val="00FE585E"/>
    <w:rPr>
      <w:sz w:val="20"/>
    </w:rPr>
  </w:style>
  <w:style w:type="character" w:customStyle="1" w:styleId="FootnoteTextChar">
    <w:name w:val="Footnote Text Char"/>
    <w:basedOn w:val="DefaultParagraphFont"/>
    <w:link w:val="FootnoteText"/>
    <w:rsid w:val="00FE585E"/>
    <w:rPr>
      <w:rFonts w:ascii="Arial" w:hAnsi="Arial"/>
      <w:lang w:eastAsia="en-US"/>
    </w:rPr>
  </w:style>
  <w:style w:type="character" w:styleId="FootnoteReference">
    <w:name w:val="footnote reference"/>
    <w:basedOn w:val="DefaultParagraphFont"/>
    <w:rsid w:val="00FE585E"/>
    <w:rPr>
      <w:vertAlign w:val="superscript"/>
    </w:rPr>
  </w:style>
  <w:style w:type="character" w:customStyle="1" w:styleId="FooterChar">
    <w:name w:val="Footer Char"/>
    <w:basedOn w:val="DefaultParagraphFont"/>
    <w:link w:val="Footer"/>
    <w:uiPriority w:val="99"/>
    <w:rsid w:val="00CA5940"/>
    <w:rPr>
      <w:rFonts w:ascii="Arial" w:hAnsi="Arial"/>
      <w:sz w:val="24"/>
      <w:lang w:eastAsia="en-US"/>
    </w:rPr>
  </w:style>
  <w:style w:type="character" w:customStyle="1" w:styleId="apple-converted-space">
    <w:name w:val="apple-converted-space"/>
    <w:basedOn w:val="DefaultParagraphFont"/>
    <w:rsid w:val="00B02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uiPriority w:val="99"/>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unhideWhenUsed/>
    <w:rsid w:val="00446427"/>
    <w:rPr>
      <w:color w:val="0000FF"/>
      <w:u w:val="single"/>
    </w:rPr>
  </w:style>
  <w:style w:type="table" w:styleId="TableGrid">
    <w:name w:val="Table Grid"/>
    <w:basedOn w:val="TableNormal"/>
    <w:rsid w:val="00C84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198F"/>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700F45"/>
    <w:rPr>
      <w:rFonts w:ascii="Tahoma" w:hAnsi="Tahoma" w:cs="Tahoma"/>
      <w:sz w:val="16"/>
      <w:szCs w:val="16"/>
    </w:rPr>
  </w:style>
  <w:style w:type="character" w:customStyle="1" w:styleId="BalloonTextChar">
    <w:name w:val="Balloon Text Char"/>
    <w:basedOn w:val="DefaultParagraphFont"/>
    <w:link w:val="BalloonText"/>
    <w:rsid w:val="00700F45"/>
    <w:rPr>
      <w:rFonts w:ascii="Tahoma" w:hAnsi="Tahoma" w:cs="Tahoma"/>
      <w:sz w:val="16"/>
      <w:szCs w:val="16"/>
      <w:lang w:eastAsia="en-US"/>
    </w:rPr>
  </w:style>
  <w:style w:type="character" w:styleId="CommentReference">
    <w:name w:val="annotation reference"/>
    <w:basedOn w:val="DefaultParagraphFont"/>
    <w:rsid w:val="00700F45"/>
    <w:rPr>
      <w:sz w:val="16"/>
      <w:szCs w:val="16"/>
    </w:rPr>
  </w:style>
  <w:style w:type="paragraph" w:styleId="CommentText">
    <w:name w:val="annotation text"/>
    <w:basedOn w:val="Normal"/>
    <w:link w:val="CommentTextChar"/>
    <w:rsid w:val="00700F45"/>
    <w:rPr>
      <w:sz w:val="20"/>
    </w:rPr>
  </w:style>
  <w:style w:type="character" w:customStyle="1" w:styleId="CommentTextChar">
    <w:name w:val="Comment Text Char"/>
    <w:basedOn w:val="DefaultParagraphFont"/>
    <w:link w:val="CommentText"/>
    <w:rsid w:val="00700F45"/>
    <w:rPr>
      <w:rFonts w:ascii="Arial" w:hAnsi="Arial"/>
      <w:lang w:eastAsia="en-US"/>
    </w:rPr>
  </w:style>
  <w:style w:type="paragraph" w:styleId="CommentSubject">
    <w:name w:val="annotation subject"/>
    <w:basedOn w:val="CommentText"/>
    <w:next w:val="CommentText"/>
    <w:link w:val="CommentSubjectChar"/>
    <w:rsid w:val="00700F45"/>
    <w:rPr>
      <w:b/>
      <w:bCs/>
    </w:rPr>
  </w:style>
  <w:style w:type="character" w:customStyle="1" w:styleId="CommentSubjectChar">
    <w:name w:val="Comment Subject Char"/>
    <w:basedOn w:val="CommentTextChar"/>
    <w:link w:val="CommentSubject"/>
    <w:rsid w:val="00700F45"/>
    <w:rPr>
      <w:rFonts w:ascii="Arial" w:hAnsi="Arial"/>
      <w:b/>
      <w:bCs/>
      <w:lang w:eastAsia="en-US"/>
    </w:rPr>
  </w:style>
  <w:style w:type="paragraph" w:styleId="FootnoteText">
    <w:name w:val="footnote text"/>
    <w:basedOn w:val="Normal"/>
    <w:link w:val="FootnoteTextChar"/>
    <w:rsid w:val="00FE585E"/>
    <w:rPr>
      <w:sz w:val="20"/>
    </w:rPr>
  </w:style>
  <w:style w:type="character" w:customStyle="1" w:styleId="FootnoteTextChar">
    <w:name w:val="Footnote Text Char"/>
    <w:basedOn w:val="DefaultParagraphFont"/>
    <w:link w:val="FootnoteText"/>
    <w:rsid w:val="00FE585E"/>
    <w:rPr>
      <w:rFonts w:ascii="Arial" w:hAnsi="Arial"/>
      <w:lang w:eastAsia="en-US"/>
    </w:rPr>
  </w:style>
  <w:style w:type="character" w:styleId="FootnoteReference">
    <w:name w:val="footnote reference"/>
    <w:basedOn w:val="DefaultParagraphFont"/>
    <w:rsid w:val="00FE585E"/>
    <w:rPr>
      <w:vertAlign w:val="superscript"/>
    </w:rPr>
  </w:style>
  <w:style w:type="character" w:customStyle="1" w:styleId="FooterChar">
    <w:name w:val="Footer Char"/>
    <w:basedOn w:val="DefaultParagraphFont"/>
    <w:link w:val="Footer"/>
    <w:uiPriority w:val="99"/>
    <w:rsid w:val="00CA5940"/>
    <w:rPr>
      <w:rFonts w:ascii="Arial" w:hAnsi="Arial"/>
      <w:sz w:val="24"/>
      <w:lang w:eastAsia="en-US"/>
    </w:rPr>
  </w:style>
  <w:style w:type="character" w:customStyle="1" w:styleId="apple-converted-space">
    <w:name w:val="apple-converted-space"/>
    <w:basedOn w:val="DefaultParagraphFont"/>
    <w:rsid w:val="00B02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67216">
      <w:bodyDiv w:val="1"/>
      <w:marLeft w:val="0"/>
      <w:marRight w:val="0"/>
      <w:marTop w:val="0"/>
      <w:marBottom w:val="0"/>
      <w:divBdr>
        <w:top w:val="none" w:sz="0" w:space="0" w:color="auto"/>
        <w:left w:val="none" w:sz="0" w:space="0" w:color="auto"/>
        <w:bottom w:val="none" w:sz="0" w:space="0" w:color="auto"/>
        <w:right w:val="none" w:sz="0" w:space="0" w:color="auto"/>
      </w:divBdr>
    </w:div>
    <w:div w:id="829909560">
      <w:bodyDiv w:val="1"/>
      <w:marLeft w:val="0"/>
      <w:marRight w:val="0"/>
      <w:marTop w:val="0"/>
      <w:marBottom w:val="0"/>
      <w:divBdr>
        <w:top w:val="none" w:sz="0" w:space="0" w:color="auto"/>
        <w:left w:val="none" w:sz="0" w:space="0" w:color="auto"/>
        <w:bottom w:val="none" w:sz="0" w:space="0" w:color="auto"/>
        <w:right w:val="none" w:sz="0" w:space="0" w:color="auto"/>
      </w:divBdr>
    </w:div>
    <w:div w:id="150019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settings" Target="settings.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Policy briefing" ma:contentTypeID="0x0101007F645D6FBA204A029FECB8BFC6578C39005279853530254253B886E13194843F8A003AA4A7828D8545A79A935680138123480002FDFA6A9A3312489489C60A4299CABE" ma:contentTypeVersion="9" ma:contentTypeDescription="For departmental policy briefings. Records retained for 10 years." ma:contentTypeScope="" ma:versionID="db3dc28f131f52abc62c38290c337100">
  <xsd:schema xmlns:xsd="http://www.w3.org/2001/XMLSchema" xmlns:xs="http://www.w3.org/2001/XMLSchema" xmlns:p="http://schemas.microsoft.com/office/2006/metadata/properties" xmlns:ns1="http://schemas.microsoft.com/sharepoint/v3" xmlns:ns2="b8cb3cbd-ce5c-4a72-9da4-9013f91c5903" xmlns:ns3="485a4600-21bf-404d-bb84-8b204e1f3801" targetNamespace="http://schemas.microsoft.com/office/2006/metadata/properties" ma:root="true" ma:fieldsID="7a8295a244f7c7dbe074967eb1b530ef" ns1:_="" ns2:_="" ns3:_="">
    <xsd:import namespace="http://schemas.microsoft.com/sharepoint/v3"/>
    <xsd:import namespace="b8cb3cbd-ce5c-4a72-9da4-9013f91c5903"/>
    <xsd:import namespace="485a4600-21bf-404d-bb84-8b204e1f3801"/>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a131f9-8c8b-490e-a055-ffd7b05c0de0}" ma:internalName="TaxCatchAll" ma:showField="CatchAllData" ma:web="485a4600-21bf-404d-bb84-8b204e1f3801">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a131f9-8c8b-490e-a055-ffd7b05c0de0}" ma:internalName="TaxCatchAllLabel" ma:readOnly="true" ma:showField="CatchAllDataLabel" ma:web="485a4600-21bf-404d-bb84-8b204e1f38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85a4600-21bf-404d-bb84-8b204e1f3801"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3812348" PreviousValue="false"/>
</file>

<file path=customXml/item6.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B35F9A-9E4A-4073-8857-5D3885931017}"/>
</file>

<file path=customXml/itemProps2.xml><?xml version="1.0" encoding="utf-8"?>
<ds:datastoreItem xmlns:ds="http://schemas.openxmlformats.org/officeDocument/2006/customXml" ds:itemID="{B5BF065F-FFEC-4720-9408-8D5CD6E53403}"/>
</file>

<file path=customXml/itemProps3.xml><?xml version="1.0" encoding="utf-8"?>
<ds:datastoreItem xmlns:ds="http://schemas.openxmlformats.org/officeDocument/2006/customXml" ds:itemID="{9B63AFBC-DC4E-45DD-8E9C-3F922F3DCF06}"/>
</file>

<file path=customXml/itemProps4.xml><?xml version="1.0" encoding="utf-8"?>
<ds:datastoreItem xmlns:ds="http://schemas.openxmlformats.org/officeDocument/2006/customXml" ds:itemID="{A92E2BEC-BF83-4F1C-B0B3-B48F3DE42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485a4600-21bf-404d-bb84-8b204e1f3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9F62CBD-9B63-4CD8-A9E3-345A02105C01}">
  <ds:schemaRefs>
    <ds:schemaRef ds:uri="Microsoft.SharePoint.Taxonomy.ContentTypeSync"/>
  </ds:schemaRefs>
</ds:datastoreItem>
</file>

<file path=customXml/itemProps6.xml><?xml version="1.0" encoding="utf-8"?>
<ds:datastoreItem xmlns:ds="http://schemas.openxmlformats.org/officeDocument/2006/customXml" ds:itemID="{933C1C6D-F31F-4C9F-B046-9756F59D11A9}"/>
</file>

<file path=docProps/app.xml><?xml version="1.0" encoding="utf-8"?>
<Properties xmlns="http://schemas.openxmlformats.org/officeDocument/2006/extended-properties" xmlns:vt="http://schemas.openxmlformats.org/officeDocument/2006/docPropsVTypes">
  <Template>EFA6A945</Template>
  <TotalTime>0</TotalTime>
  <Pages>2</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Annex A - UK Jurisdictions</vt:lpstr>
    </vt:vector>
  </TitlesOfParts>
  <Company>DFID</Company>
  <LinksUpToDate>false</LinksUpToDate>
  <CharactersWithSpaces>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A - UK Jurisdictions</dc:title>
  <dc:creator>PAYNE, Gemma</dc:creator>
  <cp:lastModifiedBy>WHITE, Helen</cp:lastModifiedBy>
  <cp:revision>2</cp:revision>
  <cp:lastPrinted>2016-02-02T16:46:00Z</cp:lastPrinted>
  <dcterms:created xsi:type="dcterms:W3CDTF">2016-03-01T15:09:00Z</dcterms:created>
  <dcterms:modified xsi:type="dcterms:W3CDTF">2016-03-01T15:09:00Z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_dlc_DocIdItemGuid">
    <vt:lpwstr>b304fee7-017c-4488-9b0c-447b9c6a7de3</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3;#Official|0884c477-2e62-47ea-b19c-5af6e91124c5</vt:lpwstr>
  </property>
</Properties>
</file>