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C246F" w14:textId="01EEEA51" w:rsidR="00D52D39" w:rsidRPr="00D52D39" w:rsidRDefault="00D52D39" w:rsidP="00D52D39">
      <w:pPr>
        <w:jc w:val="center"/>
        <w:rPr>
          <w:rFonts w:asciiTheme="majorBidi" w:hAnsiTheme="majorBidi" w:cstheme="majorBidi"/>
          <w:b/>
          <w:bCs/>
          <w:color w:val="2E74B5" w:themeColor="accent5" w:themeShade="BF"/>
          <w:sz w:val="28"/>
          <w:szCs w:val="28"/>
          <w:u w:val="single"/>
          <w:lang w:bidi="ar-EG"/>
        </w:rPr>
      </w:pPr>
      <w:r w:rsidRPr="00D52D39">
        <w:rPr>
          <w:rFonts w:asciiTheme="majorBidi" w:hAnsiTheme="majorBidi" w:cstheme="majorBidi"/>
          <w:b/>
          <w:bCs/>
          <w:color w:val="2E74B5" w:themeColor="accent5" w:themeShade="BF"/>
          <w:sz w:val="28"/>
          <w:szCs w:val="28"/>
          <w:u w:val="single"/>
          <w:lang w:bidi="ar-EG"/>
        </w:rPr>
        <w:t xml:space="preserve">Report submitted to the </w:t>
      </w:r>
      <w:r w:rsidR="00B25BAD">
        <w:rPr>
          <w:rFonts w:asciiTheme="majorBidi" w:hAnsiTheme="majorBidi" w:cstheme="majorBidi"/>
          <w:b/>
          <w:bCs/>
          <w:color w:val="2E74B5" w:themeColor="accent5" w:themeShade="BF"/>
          <w:sz w:val="28"/>
          <w:szCs w:val="28"/>
          <w:u w:val="single"/>
          <w:lang w:bidi="ar-EG"/>
        </w:rPr>
        <w:t>CCPR</w:t>
      </w:r>
      <w:r w:rsidRPr="00D52D39">
        <w:rPr>
          <w:rFonts w:asciiTheme="majorBidi" w:hAnsiTheme="majorBidi" w:cstheme="majorBidi"/>
          <w:b/>
          <w:bCs/>
          <w:color w:val="2E74B5" w:themeColor="accent5" w:themeShade="BF"/>
          <w:sz w:val="28"/>
          <w:szCs w:val="28"/>
          <w:u w:val="single"/>
          <w:lang w:bidi="ar-EG"/>
        </w:rPr>
        <w:t xml:space="preserve"> </w:t>
      </w:r>
      <w:r w:rsidR="00B25BAD">
        <w:rPr>
          <w:rFonts w:asciiTheme="majorBidi" w:hAnsiTheme="majorBidi" w:cstheme="majorBidi"/>
          <w:b/>
          <w:bCs/>
          <w:color w:val="2E74B5" w:themeColor="accent5" w:themeShade="BF"/>
          <w:sz w:val="28"/>
          <w:szCs w:val="28"/>
          <w:u w:val="single"/>
          <w:lang w:bidi="ar-EG"/>
        </w:rPr>
        <w:t>regarding the review of</w:t>
      </w:r>
      <w:r w:rsidRPr="00144A1D">
        <w:rPr>
          <w:rFonts w:asciiTheme="majorBidi" w:hAnsiTheme="majorBidi" w:cstheme="majorBidi"/>
          <w:b/>
          <w:bCs/>
          <w:color w:val="2E74B5" w:themeColor="accent5" w:themeShade="BF"/>
          <w:sz w:val="28"/>
          <w:szCs w:val="28"/>
          <w:u w:val="single"/>
          <w:lang w:bidi="ar-EG"/>
        </w:rPr>
        <w:t xml:space="preserve"> </w:t>
      </w:r>
      <w:r w:rsidR="00B25BAD">
        <w:rPr>
          <w:rFonts w:asciiTheme="majorBidi" w:hAnsiTheme="majorBidi" w:cstheme="majorBidi"/>
          <w:b/>
          <w:bCs/>
          <w:color w:val="2E74B5" w:themeColor="accent5" w:themeShade="BF"/>
          <w:sz w:val="28"/>
          <w:szCs w:val="28"/>
          <w:u w:val="single"/>
          <w:lang w:bidi="ar-EG"/>
        </w:rPr>
        <w:t>Spain</w:t>
      </w:r>
    </w:p>
    <w:p w14:paraId="098E9B2E" w14:textId="32196D76" w:rsidR="00D52D39" w:rsidRPr="00D52D39" w:rsidRDefault="00D52D39" w:rsidP="00D52D39">
      <w:pPr>
        <w:rPr>
          <w:rFonts w:asciiTheme="majorBidi" w:hAnsiTheme="majorBidi" w:cstheme="majorBidi"/>
          <w:b/>
          <w:bCs/>
          <w:sz w:val="28"/>
          <w:szCs w:val="28"/>
          <w:lang w:bidi="ar-EG"/>
        </w:rPr>
      </w:pPr>
      <w:r w:rsidRPr="00D52D39">
        <w:rPr>
          <w:rFonts w:asciiTheme="majorBidi" w:hAnsiTheme="majorBidi" w:cstheme="majorBidi"/>
          <w:b/>
          <w:bCs/>
          <w:sz w:val="28"/>
          <w:szCs w:val="28"/>
          <w:lang w:bidi="ar-EG"/>
        </w:rPr>
        <w:t xml:space="preserve">Submitted to: </w:t>
      </w:r>
      <w:r w:rsidR="00B25BAD">
        <w:rPr>
          <w:rFonts w:asciiTheme="majorBidi" w:hAnsiTheme="majorBidi" w:cstheme="majorBidi"/>
          <w:sz w:val="28"/>
          <w:szCs w:val="28"/>
          <w:lang w:bidi="ar-EG"/>
        </w:rPr>
        <w:t>CCPR</w:t>
      </w:r>
      <w:r w:rsidRPr="00D52D39">
        <w:rPr>
          <w:rFonts w:asciiTheme="majorBidi" w:hAnsiTheme="majorBidi" w:cstheme="majorBidi"/>
          <w:b/>
          <w:bCs/>
          <w:sz w:val="28"/>
          <w:szCs w:val="28"/>
          <w:lang w:bidi="ar-EG"/>
        </w:rPr>
        <w:t xml:space="preserve"> </w:t>
      </w:r>
    </w:p>
    <w:p w14:paraId="3EE3F9EB" w14:textId="77777777" w:rsidR="00D52D39" w:rsidRPr="00D52D39" w:rsidRDefault="00D52D39" w:rsidP="00D52D39">
      <w:pPr>
        <w:rPr>
          <w:rFonts w:asciiTheme="majorBidi" w:hAnsiTheme="majorBidi" w:cstheme="majorBidi"/>
          <w:b/>
          <w:bCs/>
          <w:sz w:val="28"/>
          <w:szCs w:val="28"/>
          <w:lang w:bidi="ar-EG"/>
        </w:rPr>
      </w:pPr>
      <w:r w:rsidRPr="00D52D39">
        <w:rPr>
          <w:rFonts w:asciiTheme="majorBidi" w:hAnsiTheme="majorBidi" w:cstheme="majorBidi"/>
          <w:b/>
          <w:bCs/>
          <w:sz w:val="28"/>
          <w:szCs w:val="28"/>
          <w:lang w:bidi="ar-EG"/>
        </w:rPr>
        <w:t xml:space="preserve">Submitted by: </w:t>
      </w:r>
      <w:r w:rsidRPr="00D52D39">
        <w:rPr>
          <w:rFonts w:asciiTheme="majorBidi" w:hAnsiTheme="majorBidi" w:cstheme="majorBidi"/>
          <w:sz w:val="28"/>
          <w:szCs w:val="28"/>
          <w:lang w:bidi="ar-EG"/>
        </w:rPr>
        <w:t>Partners for Transparency (granted consultative status with the ECOSOC)</w:t>
      </w:r>
    </w:p>
    <w:p w14:paraId="4AF78DC7" w14:textId="39A214C6" w:rsidR="00D52D39" w:rsidRPr="00D52D39" w:rsidRDefault="00D52D39" w:rsidP="00D52D39">
      <w:pPr>
        <w:rPr>
          <w:rFonts w:asciiTheme="majorBidi" w:hAnsiTheme="majorBidi" w:cstheme="majorBidi"/>
          <w:b/>
          <w:bCs/>
          <w:sz w:val="28"/>
          <w:szCs w:val="28"/>
          <w:lang w:bidi="ar-EG"/>
        </w:rPr>
      </w:pPr>
      <w:r w:rsidRPr="00D52D39">
        <w:rPr>
          <w:rFonts w:asciiTheme="majorBidi" w:hAnsiTheme="majorBidi" w:cstheme="majorBidi"/>
          <w:b/>
          <w:bCs/>
          <w:sz w:val="28"/>
          <w:szCs w:val="28"/>
          <w:lang w:bidi="ar-EG"/>
        </w:rPr>
        <w:t xml:space="preserve">Date: </w:t>
      </w:r>
      <w:r w:rsidRPr="00144A1D">
        <w:rPr>
          <w:rFonts w:asciiTheme="majorBidi" w:hAnsiTheme="majorBidi" w:cstheme="majorBidi"/>
          <w:sz w:val="28"/>
          <w:szCs w:val="28"/>
          <w:lang w:bidi="ar-EG"/>
        </w:rPr>
        <w:t>May</w:t>
      </w:r>
      <w:r w:rsidRPr="00D52D39">
        <w:rPr>
          <w:rFonts w:asciiTheme="majorBidi" w:hAnsiTheme="majorBidi" w:cstheme="majorBidi"/>
          <w:sz w:val="28"/>
          <w:szCs w:val="28"/>
          <w:lang w:bidi="ar-EG"/>
        </w:rPr>
        <w:t xml:space="preserve"> 2025</w:t>
      </w:r>
    </w:p>
    <w:p w14:paraId="1606EA3B" w14:textId="77777777" w:rsidR="00D52D39" w:rsidRPr="00D52D39" w:rsidRDefault="00D52D39" w:rsidP="00D52D39">
      <w:pPr>
        <w:shd w:val="clear" w:color="auto" w:fill="002060"/>
        <w:rPr>
          <w:rFonts w:asciiTheme="majorBidi" w:hAnsiTheme="majorBidi" w:cstheme="majorBidi"/>
          <w:b/>
          <w:bCs/>
          <w:sz w:val="28"/>
          <w:szCs w:val="28"/>
          <w:lang w:bidi="ar-EG"/>
        </w:rPr>
      </w:pPr>
      <w:r w:rsidRPr="00D52D39">
        <w:rPr>
          <w:rFonts w:asciiTheme="majorBidi" w:hAnsiTheme="majorBidi" w:cstheme="majorBidi"/>
          <w:b/>
          <w:bCs/>
          <w:sz w:val="28"/>
          <w:szCs w:val="28"/>
          <w:lang w:bidi="ar-EG"/>
        </w:rPr>
        <w:t>Introduction</w:t>
      </w:r>
    </w:p>
    <w:p w14:paraId="5DBF5BC2" w14:textId="77777777" w:rsidR="00B25BAD" w:rsidRP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sz w:val="28"/>
          <w:szCs w:val="28"/>
          <w:lang w:bidi="ar-EG"/>
        </w:rPr>
        <w:t>Spain ratified the International Covenant on Civil and Political Rights in April 1977. Since then, it has been obligated to implement its provisions within its territory and ensure that its national legislation is consistent with the provisions of the Covenant, ensuring respect for the civil and political rights of all individuals without discrimination. As a state party to the Covenant and a member of the European Union, Spain is required to adhere to high human rights standards, particularly the civil and political rights stipulated in the Covenant, and to provide effective remedies in the event of any violation of its provisions.</w:t>
      </w:r>
    </w:p>
    <w:p w14:paraId="44B41CEE" w14:textId="77777777" w:rsid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sz w:val="28"/>
          <w:szCs w:val="28"/>
          <w:lang w:bidi="ar-EG"/>
        </w:rPr>
        <w:t xml:space="preserve">Despite the institutional and legal progress achieved by </w:t>
      </w:r>
      <w:r>
        <w:rPr>
          <w:rFonts w:asciiTheme="majorBidi" w:hAnsiTheme="majorBidi" w:cstheme="majorBidi"/>
          <w:sz w:val="28"/>
          <w:szCs w:val="28"/>
          <w:lang w:bidi="ar-EG"/>
        </w:rPr>
        <w:t>Spain</w:t>
      </w:r>
      <w:r w:rsidRPr="00B25BAD">
        <w:rPr>
          <w:rFonts w:asciiTheme="majorBidi" w:hAnsiTheme="majorBidi" w:cstheme="majorBidi"/>
          <w:sz w:val="28"/>
          <w:szCs w:val="28"/>
          <w:lang w:bidi="ar-EG"/>
        </w:rPr>
        <w:t xml:space="preserve">, recent years have revealed a number of practices and violations, particularly regarding racial profiling and the rise in hate crimes and hate speech against certain groups of immigrants and people of non-European origin. This threatens the principle of equality and non-discrimination before the law and undermines confidence in state institutions. </w:t>
      </w:r>
    </w:p>
    <w:p w14:paraId="751C7C51" w14:textId="62871D33" w:rsidR="00DE5F90" w:rsidRDefault="00B25BAD" w:rsidP="00B25BAD">
      <w:pPr>
        <w:jc w:val="both"/>
        <w:rPr>
          <w:rFonts w:asciiTheme="majorBidi" w:hAnsiTheme="majorBidi" w:cstheme="majorBidi"/>
          <w:sz w:val="28"/>
          <w:szCs w:val="28"/>
          <w:lang w:bidi="ar-EG"/>
        </w:rPr>
      </w:pPr>
      <w:r w:rsidRPr="00B25BAD">
        <w:rPr>
          <w:rFonts w:asciiTheme="majorBidi" w:hAnsiTheme="majorBidi" w:cstheme="majorBidi"/>
          <w:sz w:val="28"/>
          <w:szCs w:val="28"/>
          <w:lang w:bidi="ar-EG"/>
        </w:rPr>
        <w:t xml:space="preserve">In this report, Partners for Transparency provides an overview and detailed observations to the </w:t>
      </w:r>
      <w:r>
        <w:rPr>
          <w:rFonts w:asciiTheme="majorBidi" w:hAnsiTheme="majorBidi" w:cstheme="majorBidi"/>
          <w:sz w:val="28"/>
          <w:szCs w:val="28"/>
          <w:lang w:bidi="ar-EG"/>
        </w:rPr>
        <w:t>CCPR</w:t>
      </w:r>
      <w:r w:rsidRPr="00B25BAD">
        <w:rPr>
          <w:rFonts w:asciiTheme="majorBidi" w:hAnsiTheme="majorBidi" w:cstheme="majorBidi"/>
          <w:sz w:val="28"/>
          <w:szCs w:val="28"/>
          <w:lang w:bidi="ar-EG"/>
        </w:rPr>
        <w:t xml:space="preserve"> regarding Spain's review at its 144</w:t>
      </w:r>
      <w:r w:rsidRPr="00B25BAD">
        <w:rPr>
          <w:rFonts w:asciiTheme="majorBidi" w:hAnsiTheme="majorBidi" w:cstheme="majorBidi"/>
          <w:sz w:val="28"/>
          <w:szCs w:val="28"/>
          <w:vertAlign w:val="superscript"/>
          <w:lang w:bidi="ar-EG"/>
        </w:rPr>
        <w:t>th</w:t>
      </w:r>
      <w:r w:rsidRPr="00B25BAD">
        <w:rPr>
          <w:rFonts w:asciiTheme="majorBidi" w:hAnsiTheme="majorBidi" w:cstheme="majorBidi"/>
          <w:sz w:val="28"/>
          <w:szCs w:val="28"/>
          <w:lang w:bidi="ar-EG"/>
        </w:rPr>
        <w:t xml:space="preserve"> session, focusing on the most prominent provisions of the International Covenant on Civil and Political Rights that raise growing concerns in the Spanish context. The report addresses three key issues that directly impact individuals' enjoyment of their rights, including: the rise in hate speech and racist attacks against minorities and migrants, violations of the right to life, and the forced return of refugees and asylum seekers to countries where they are more likely to be subjected to persecution and torture. It highlights the legal and institutional gaps that allow these violations to continue without effective accountability. In light of the above, Partners for </w:t>
      </w:r>
      <w:r w:rsidRPr="00B25BAD">
        <w:rPr>
          <w:rFonts w:asciiTheme="majorBidi" w:hAnsiTheme="majorBidi" w:cstheme="majorBidi"/>
          <w:sz w:val="28"/>
          <w:szCs w:val="28"/>
          <w:lang w:bidi="ar-EG"/>
        </w:rPr>
        <w:lastRenderedPageBreak/>
        <w:t>Transparency reviews Spain's compliance with the provisions of the International Covenant on Civil and Political Rights as follows:</w:t>
      </w:r>
    </w:p>
    <w:p w14:paraId="4117B543" w14:textId="5A84D6F9" w:rsidR="00B25BAD" w:rsidRPr="00B25BAD" w:rsidRDefault="00B25BAD" w:rsidP="00B25BAD">
      <w:pPr>
        <w:shd w:val="clear" w:color="auto" w:fill="FFC000"/>
        <w:jc w:val="both"/>
        <w:rPr>
          <w:rFonts w:asciiTheme="majorBidi" w:hAnsiTheme="majorBidi" w:cstheme="majorBidi"/>
          <w:b/>
          <w:bCs/>
          <w:sz w:val="28"/>
          <w:szCs w:val="28"/>
          <w:lang w:bidi="ar-EG"/>
        </w:rPr>
      </w:pPr>
      <w:r w:rsidRPr="00B25BAD">
        <w:rPr>
          <w:rFonts w:asciiTheme="majorBidi" w:hAnsiTheme="majorBidi" w:cstheme="majorBidi"/>
          <w:b/>
          <w:bCs/>
          <w:sz w:val="28"/>
          <w:szCs w:val="28"/>
          <w:lang w:bidi="ar-EG"/>
        </w:rPr>
        <w:t>Discrimination and racism against minorities and immigrants</w:t>
      </w:r>
    </w:p>
    <w:p w14:paraId="61D071B2" w14:textId="77777777" w:rsid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sz w:val="28"/>
          <w:szCs w:val="28"/>
          <w:lang w:bidi="ar-EG"/>
        </w:rPr>
        <w:t xml:space="preserve">Articles 20, 26, 27, and 7 of the International Covenant on Civil and Political Rights require States Parties, including Spain, to take effective measures to prohibit any advocacy of national or racial hatred that constitutes incitement to discrimination, hostility, or violence; to ensure equal enjoyment of rights without discrimination based on ethnic or social origin; to protect the rights of minorities, including the Roma community, to enjoy their own culture and to freely practice their customs and traditions; and to prohibit any form of cruel, inhuman, or degrading treatment, which may be manifested in racist practices or discriminatory behavior by authorities or individuals. </w:t>
      </w:r>
    </w:p>
    <w:p w14:paraId="3F474138" w14:textId="44D4903F" w:rsid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sz w:val="28"/>
          <w:szCs w:val="28"/>
          <w:lang w:bidi="ar-EG"/>
        </w:rPr>
        <w:t>Partners Foundation commends the measures taken by the Spanish authorities, whether at the policy, legislative, or judicial levels, over the past years to combat hate crimes and hate speech. At the policy level, the Spanish government approved the second action plan to combat hate crimes in April 2022, which entered into force in December of the same year. This plan aims to prevent and investigate hate crimes against migrants and Roma, improve victim support, enhance coordination between various government agencies and NGOs to ensure a unified and effective response to hate crimes, and enhance the training provided to law enforcement personnel to identify, prevent, and effectively respond to hate crimes.</w:t>
      </w:r>
      <w:r>
        <w:rPr>
          <w:rStyle w:val="FootnoteReference"/>
          <w:rFonts w:asciiTheme="majorBidi" w:hAnsiTheme="majorBidi" w:cstheme="majorBidi"/>
          <w:sz w:val="28"/>
          <w:szCs w:val="28"/>
          <w:lang w:bidi="ar-EG"/>
        </w:rPr>
        <w:footnoteReference w:id="1"/>
      </w:r>
    </w:p>
    <w:p w14:paraId="741CFDFF" w14:textId="2D8F3355" w:rsid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b/>
          <w:bCs/>
          <w:sz w:val="28"/>
          <w:szCs w:val="28"/>
          <w:lang w:bidi="ar-EG"/>
        </w:rPr>
        <w:t xml:space="preserve">On the legislative </w:t>
      </w:r>
      <w:r>
        <w:rPr>
          <w:rFonts w:asciiTheme="majorBidi" w:hAnsiTheme="majorBidi" w:cstheme="majorBidi"/>
          <w:b/>
          <w:bCs/>
          <w:sz w:val="28"/>
          <w:szCs w:val="28"/>
          <w:lang w:bidi="ar-EG"/>
        </w:rPr>
        <w:t>level</w:t>
      </w:r>
      <w:r w:rsidRPr="00B25BAD">
        <w:rPr>
          <w:rFonts w:asciiTheme="majorBidi" w:hAnsiTheme="majorBidi" w:cstheme="majorBidi"/>
          <w:b/>
          <w:bCs/>
          <w:sz w:val="28"/>
          <w:szCs w:val="28"/>
          <w:lang w:bidi="ar-EG"/>
        </w:rPr>
        <w:t>,</w:t>
      </w:r>
      <w:r w:rsidRPr="00B25BAD">
        <w:rPr>
          <w:rFonts w:asciiTheme="majorBidi" w:hAnsiTheme="majorBidi" w:cstheme="majorBidi"/>
          <w:sz w:val="28"/>
          <w:szCs w:val="28"/>
          <w:lang w:bidi="ar-EG"/>
        </w:rPr>
        <w:t xml:space="preserve"> the Spanish government has taken concrete steps to strengthen the legal framework for combating hate speech and racism. In 2022, the Spanish government approved amendments to the Penal Code to criminalize incitement to hatred and violence against ethnic and religious minorities and migrants. In this regard, the Spanish authorities amended Article 22 of the Penal Code to include racist, religious, and discriminatory motives as aggravating circumstances in criminal offenses, leading to harsher penalties if such motives are proven. Article 510 of the same code was also strengthened to criminalize public incitement, whether direct or indirect, to hatred or violence against ethnic and religious minorities and migrants. These amendments reflect the Spanish government's commitment to complying with European and international standards in combating discrimination and hate speech and contribute to providing stronger legal protection for targeted groups and achieving justice for victims. </w:t>
      </w:r>
      <w:r>
        <w:rPr>
          <w:rStyle w:val="FootnoteReference"/>
          <w:rFonts w:asciiTheme="majorBidi" w:hAnsiTheme="majorBidi" w:cstheme="majorBidi"/>
          <w:sz w:val="28"/>
          <w:szCs w:val="28"/>
          <w:lang w:bidi="ar-EG"/>
        </w:rPr>
        <w:footnoteReference w:id="2"/>
      </w:r>
    </w:p>
    <w:p w14:paraId="05C51770" w14:textId="555D0AC1" w:rsid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b/>
          <w:bCs/>
          <w:sz w:val="28"/>
          <w:szCs w:val="28"/>
          <w:lang w:bidi="ar-EG"/>
        </w:rPr>
        <w:t xml:space="preserve">On the judicial </w:t>
      </w:r>
      <w:r w:rsidRPr="00B25BAD">
        <w:rPr>
          <w:rFonts w:asciiTheme="majorBidi" w:hAnsiTheme="majorBidi" w:cstheme="majorBidi"/>
          <w:b/>
          <w:bCs/>
          <w:sz w:val="28"/>
          <w:szCs w:val="28"/>
          <w:lang w:bidi="ar-EG"/>
        </w:rPr>
        <w:t>level</w:t>
      </w:r>
      <w:r w:rsidRPr="00B25BAD">
        <w:rPr>
          <w:rFonts w:asciiTheme="majorBidi" w:hAnsiTheme="majorBidi" w:cstheme="majorBidi"/>
          <w:sz w:val="28"/>
          <w:szCs w:val="28"/>
          <w:lang w:bidi="ar-EG"/>
        </w:rPr>
        <w:t xml:space="preserve">, recent years have witnessed the first convictions for racist insult in Spain. In June 2024, a Spanish court sentenced three Valencia fans to </w:t>
      </w:r>
      <w:r>
        <w:rPr>
          <w:rFonts w:asciiTheme="majorBidi" w:hAnsiTheme="majorBidi" w:cstheme="majorBidi"/>
          <w:sz w:val="28"/>
          <w:szCs w:val="28"/>
          <w:lang w:bidi="ar-EG"/>
        </w:rPr>
        <w:t>8</w:t>
      </w:r>
      <w:r w:rsidRPr="00B25BAD">
        <w:rPr>
          <w:rFonts w:asciiTheme="majorBidi" w:hAnsiTheme="majorBidi" w:cstheme="majorBidi"/>
          <w:sz w:val="28"/>
          <w:szCs w:val="28"/>
          <w:lang w:bidi="ar-EG"/>
        </w:rPr>
        <w:t xml:space="preserve"> months in prison </w:t>
      </w:r>
      <w:r w:rsidRPr="00B25BAD">
        <w:rPr>
          <w:rFonts w:asciiTheme="majorBidi" w:hAnsiTheme="majorBidi" w:cstheme="majorBidi"/>
          <w:sz w:val="28"/>
          <w:szCs w:val="28"/>
          <w:lang w:bidi="ar-EG"/>
        </w:rPr>
        <w:lastRenderedPageBreak/>
        <w:t>and a two-year stadium ban for racially abusing Real Madrid's Brazilian player F.J. during a match in May 2023. This is the first conviction of its kind for racist insults inside a football stadium in the country. The incident sparked widespread reactions in Spain and highlighted the prevalence of racism in Spanish football stadiums.</w:t>
      </w:r>
      <w:r>
        <w:rPr>
          <w:rStyle w:val="FootnoteReference"/>
          <w:rFonts w:asciiTheme="majorBidi" w:hAnsiTheme="majorBidi" w:cstheme="majorBidi"/>
          <w:sz w:val="28"/>
          <w:szCs w:val="28"/>
          <w:lang w:bidi="ar-EG"/>
        </w:rPr>
        <w:footnoteReference w:id="3"/>
      </w:r>
      <w:r w:rsidRPr="00B25BAD">
        <w:rPr>
          <w:rFonts w:asciiTheme="majorBidi" w:hAnsiTheme="majorBidi" w:cstheme="majorBidi"/>
          <w:sz w:val="28"/>
          <w:szCs w:val="28"/>
          <w:lang w:bidi="ar-EG"/>
        </w:rPr>
        <w:t xml:space="preserve"> This incident, along with other similar incidents, prompted the Spanish Ministry of the Interior in July 2023 to issue guidelines on the suspension, cessation, and cancellation of sporting events and matches involving racist and xenophobic behavior or attitudes.</w:t>
      </w:r>
      <w:r>
        <w:rPr>
          <w:rStyle w:val="FootnoteReference"/>
          <w:rFonts w:asciiTheme="majorBidi" w:hAnsiTheme="majorBidi" w:cstheme="majorBidi"/>
          <w:sz w:val="28"/>
          <w:szCs w:val="28"/>
          <w:lang w:bidi="ar-EG"/>
        </w:rPr>
        <w:footnoteReference w:id="4"/>
      </w:r>
    </w:p>
    <w:p w14:paraId="72063EE3" w14:textId="6971A804" w:rsid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sz w:val="28"/>
          <w:szCs w:val="28"/>
          <w:lang w:bidi="ar-EG"/>
        </w:rPr>
        <w:t xml:space="preserve">Despite these efforts, Partners </w:t>
      </w:r>
      <w:r>
        <w:rPr>
          <w:rFonts w:asciiTheme="majorBidi" w:hAnsiTheme="majorBidi" w:cstheme="majorBidi"/>
          <w:sz w:val="28"/>
          <w:szCs w:val="28"/>
          <w:lang w:bidi="ar-EG"/>
        </w:rPr>
        <w:t xml:space="preserve">Foundation </w:t>
      </w:r>
      <w:r w:rsidRPr="00B25BAD">
        <w:rPr>
          <w:rFonts w:asciiTheme="majorBidi" w:hAnsiTheme="majorBidi" w:cstheme="majorBidi"/>
          <w:sz w:val="28"/>
          <w:szCs w:val="28"/>
          <w:lang w:bidi="ar-EG"/>
        </w:rPr>
        <w:t>notes that hate crimes and speech committed against minorities and immigrants, motivated by racism and xenophobia, remain a growing concern in Spain. In this regard, reliable official reports issued by the Spanish Ministry of the Interior in July 2024 indicated that the total number of hate crimes and incidents recorded in Spain in 2023 amounted to approximately 2</w:t>
      </w:r>
      <w:r>
        <w:rPr>
          <w:rFonts w:asciiTheme="majorBidi" w:hAnsiTheme="majorBidi" w:cstheme="majorBidi"/>
          <w:sz w:val="28"/>
          <w:szCs w:val="28"/>
          <w:lang w:bidi="ar-EG"/>
        </w:rPr>
        <w:t>.</w:t>
      </w:r>
      <w:r w:rsidRPr="00B25BAD">
        <w:rPr>
          <w:rFonts w:asciiTheme="majorBidi" w:hAnsiTheme="majorBidi" w:cstheme="majorBidi"/>
          <w:sz w:val="28"/>
          <w:szCs w:val="28"/>
          <w:lang w:bidi="ar-EG"/>
        </w:rPr>
        <w:t>268, an increase of 21.35% compared to 2022. These included approximately 856 hate crimes committed with racist and xenophobic motivations, an increase of 13.38% compared to 2022, which recorded 755 racist hate crimes. In addition, more than 37 hate crimes were committed against the Roma community in 2023, compared to approximately 22 cases recorded in 2022, indicating that hate crimes against Roma have increased by 68%.</w:t>
      </w:r>
      <w:r>
        <w:rPr>
          <w:rStyle w:val="FootnoteReference"/>
          <w:rFonts w:asciiTheme="majorBidi" w:hAnsiTheme="majorBidi" w:cstheme="majorBidi"/>
          <w:sz w:val="28"/>
          <w:szCs w:val="28"/>
          <w:lang w:bidi="ar-EG"/>
        </w:rPr>
        <w:footnoteReference w:id="5"/>
      </w:r>
      <w:r w:rsidRPr="00B25BAD">
        <w:rPr>
          <w:rFonts w:asciiTheme="majorBidi" w:hAnsiTheme="majorBidi" w:cstheme="majorBidi"/>
          <w:sz w:val="28"/>
          <w:szCs w:val="28"/>
          <w:lang w:bidi="ar-EG"/>
        </w:rPr>
        <w:t xml:space="preserve"> </w:t>
      </w:r>
    </w:p>
    <w:p w14:paraId="022B5121" w14:textId="028AC8C5" w:rsidR="00B25BAD" w:rsidRDefault="00B25BAD" w:rsidP="00B25BAD">
      <w:pPr>
        <w:jc w:val="both"/>
        <w:rPr>
          <w:rFonts w:asciiTheme="majorBidi" w:hAnsiTheme="majorBidi" w:cstheme="majorBidi"/>
          <w:sz w:val="28"/>
          <w:szCs w:val="28"/>
          <w:lang w:bidi="ar-EG"/>
        </w:rPr>
      </w:pPr>
      <w:r w:rsidRPr="00B25BAD">
        <w:rPr>
          <w:rFonts w:asciiTheme="majorBidi" w:hAnsiTheme="majorBidi" w:cstheme="majorBidi"/>
          <w:sz w:val="28"/>
          <w:szCs w:val="28"/>
          <w:lang w:bidi="ar-EG"/>
        </w:rPr>
        <w:t>The Foundation also has concerns about the delay in establishing an “Independent Equality and Non-Discrimination Authority”, which was promised in the Equality Act 2022, as an independent body aimed at promoting and protecting the right to equality and addressing all forms of discrimination, including those based on race, ethnic origin, gender, religion, disability or social status.</w:t>
      </w:r>
      <w:r>
        <w:rPr>
          <w:rStyle w:val="FootnoteReference"/>
          <w:rFonts w:asciiTheme="majorBidi" w:hAnsiTheme="majorBidi" w:cstheme="majorBidi"/>
          <w:sz w:val="28"/>
          <w:szCs w:val="28"/>
          <w:lang w:bidi="ar-EG"/>
        </w:rPr>
        <w:footnoteReference w:id="6"/>
      </w:r>
    </w:p>
    <w:p w14:paraId="15271265" w14:textId="699C9F29" w:rsidR="008D72F0" w:rsidRPr="008D72F0" w:rsidRDefault="008D72F0" w:rsidP="008D72F0">
      <w:pPr>
        <w:shd w:val="clear" w:color="auto" w:fill="FFC000"/>
        <w:jc w:val="both"/>
        <w:rPr>
          <w:rFonts w:asciiTheme="majorBidi" w:hAnsiTheme="majorBidi" w:cstheme="majorBidi"/>
          <w:b/>
          <w:bCs/>
          <w:sz w:val="28"/>
          <w:szCs w:val="28"/>
          <w:lang w:bidi="ar-EG"/>
        </w:rPr>
      </w:pPr>
      <w:r w:rsidRPr="008D72F0">
        <w:rPr>
          <w:rFonts w:asciiTheme="majorBidi" w:hAnsiTheme="majorBidi" w:cstheme="majorBidi"/>
          <w:b/>
          <w:bCs/>
          <w:sz w:val="28"/>
          <w:szCs w:val="28"/>
          <w:lang w:bidi="ar-EG"/>
        </w:rPr>
        <w:t>T</w:t>
      </w:r>
      <w:r w:rsidRPr="008D72F0">
        <w:rPr>
          <w:rFonts w:asciiTheme="majorBidi" w:hAnsiTheme="majorBidi" w:cstheme="majorBidi"/>
          <w:b/>
          <w:bCs/>
          <w:sz w:val="28"/>
          <w:szCs w:val="28"/>
          <w:lang w:bidi="ar-EG"/>
        </w:rPr>
        <w:t>orture and cruel treatment</w:t>
      </w:r>
    </w:p>
    <w:p w14:paraId="6E9C5254" w14:textId="77777777" w:rsidR="008D72F0" w:rsidRDefault="008D72F0" w:rsidP="008D72F0">
      <w:pPr>
        <w:jc w:val="both"/>
        <w:rPr>
          <w:rFonts w:asciiTheme="majorBidi" w:hAnsiTheme="majorBidi" w:cstheme="majorBidi"/>
          <w:sz w:val="28"/>
          <w:szCs w:val="28"/>
          <w:lang w:bidi="ar-EG"/>
        </w:rPr>
      </w:pPr>
      <w:r w:rsidRPr="008D72F0">
        <w:rPr>
          <w:rFonts w:asciiTheme="majorBidi" w:hAnsiTheme="majorBidi" w:cstheme="majorBidi"/>
          <w:sz w:val="28"/>
          <w:szCs w:val="28"/>
          <w:lang w:bidi="ar-EG"/>
        </w:rPr>
        <w:t xml:space="preserve">Article 7 of the International Covenant on Civil and Political Rights requires States Parties to prohibit torture and cruel, inhuman or degrading treatment or punishment, and to prohibit the expulsion or forcible return of a person to a country where he or she would be in danger of being subjected to torture or persecution. This constitutes a grave violation of the international obligations stipulated in the Covenant. </w:t>
      </w:r>
    </w:p>
    <w:p w14:paraId="58795404" w14:textId="26A27C3F" w:rsidR="008D72F0" w:rsidRDefault="008D72F0" w:rsidP="008D72F0">
      <w:pPr>
        <w:jc w:val="both"/>
        <w:rPr>
          <w:rFonts w:asciiTheme="majorBidi" w:hAnsiTheme="majorBidi" w:cstheme="majorBidi"/>
          <w:sz w:val="28"/>
          <w:szCs w:val="28"/>
          <w:lang w:bidi="ar-EG"/>
        </w:rPr>
      </w:pPr>
      <w:r w:rsidRPr="008D72F0">
        <w:rPr>
          <w:rFonts w:asciiTheme="majorBidi" w:hAnsiTheme="majorBidi" w:cstheme="majorBidi"/>
          <w:sz w:val="28"/>
          <w:szCs w:val="28"/>
          <w:lang w:bidi="ar-EG"/>
        </w:rPr>
        <w:t xml:space="preserve">However, Partners for Transparency noted that during the reporting period, refugees and asylum seekers in Spain were exposed to the risk of deportation or forced return to countries where they are more likely to be subjected to persecution, torture, and other </w:t>
      </w:r>
      <w:r w:rsidRPr="008D72F0">
        <w:rPr>
          <w:rFonts w:asciiTheme="majorBidi" w:hAnsiTheme="majorBidi" w:cstheme="majorBidi"/>
          <w:sz w:val="28"/>
          <w:szCs w:val="28"/>
          <w:lang w:bidi="ar-EG"/>
        </w:rPr>
        <w:lastRenderedPageBreak/>
        <w:t xml:space="preserve">human rights violations. In this regard, Partners </w:t>
      </w:r>
      <w:r>
        <w:rPr>
          <w:rFonts w:asciiTheme="majorBidi" w:hAnsiTheme="majorBidi" w:cstheme="majorBidi"/>
          <w:sz w:val="28"/>
          <w:szCs w:val="28"/>
          <w:lang w:bidi="ar-EG"/>
        </w:rPr>
        <w:t>Foundation</w:t>
      </w:r>
      <w:r w:rsidRPr="008D72F0">
        <w:rPr>
          <w:rFonts w:asciiTheme="majorBidi" w:hAnsiTheme="majorBidi" w:cstheme="majorBidi"/>
          <w:sz w:val="28"/>
          <w:szCs w:val="28"/>
          <w:lang w:bidi="ar-EG"/>
        </w:rPr>
        <w:t xml:space="preserve"> documented cases in which the Spanish state failed to comply with the principle of non-refoulement. For example, on </w:t>
      </w:r>
      <w:r>
        <w:rPr>
          <w:rFonts w:asciiTheme="majorBidi" w:hAnsiTheme="majorBidi" w:cstheme="majorBidi"/>
          <w:sz w:val="28"/>
          <w:szCs w:val="28"/>
          <w:lang w:bidi="ar-EG"/>
        </w:rPr>
        <w:t xml:space="preserve">24 </w:t>
      </w:r>
      <w:r w:rsidRPr="008D72F0">
        <w:rPr>
          <w:rFonts w:asciiTheme="majorBidi" w:hAnsiTheme="majorBidi" w:cstheme="majorBidi"/>
          <w:sz w:val="28"/>
          <w:szCs w:val="28"/>
          <w:lang w:bidi="ar-EG"/>
        </w:rPr>
        <w:t>June 2022, Spain forcibly returned at least 470 people from sub-Saharan Africa across its border in Melilla. Security forces used excessive force against asylum seekers attempting to enter the country, resulting in the deaths of 23 of them. While the Human Rights Ombudsman confirmed that the return of 470 people in June 2022 was unlawful and, along with the Council of Europe Commissioner for Human Rights, called for independent investigations into the deaths of 23 of them, the Public Prosecutor closed the investigation into this case in December 2022, arguing that police officers had acted in accordance with national legislation.</w:t>
      </w:r>
      <w:r>
        <w:rPr>
          <w:rStyle w:val="FootnoteReference"/>
          <w:rFonts w:asciiTheme="majorBidi" w:hAnsiTheme="majorBidi" w:cstheme="majorBidi"/>
          <w:sz w:val="28"/>
          <w:szCs w:val="28"/>
          <w:lang w:bidi="ar-EG"/>
        </w:rPr>
        <w:footnoteReference w:id="7"/>
      </w:r>
    </w:p>
    <w:p w14:paraId="0280B322" w14:textId="1F09C8E5" w:rsidR="008D72F0" w:rsidRDefault="008D72F0" w:rsidP="008D72F0">
      <w:pPr>
        <w:jc w:val="both"/>
        <w:rPr>
          <w:rFonts w:asciiTheme="majorBidi" w:hAnsiTheme="majorBidi" w:cstheme="majorBidi"/>
          <w:sz w:val="28"/>
          <w:szCs w:val="28"/>
          <w:lang w:bidi="ar-EG"/>
        </w:rPr>
      </w:pPr>
      <w:r w:rsidRPr="008D72F0">
        <w:rPr>
          <w:rFonts w:asciiTheme="majorBidi" w:hAnsiTheme="majorBidi" w:cstheme="majorBidi"/>
          <w:sz w:val="28"/>
          <w:szCs w:val="28"/>
          <w:lang w:bidi="ar-EG"/>
        </w:rPr>
        <w:t xml:space="preserve">On </w:t>
      </w:r>
      <w:r>
        <w:rPr>
          <w:rFonts w:asciiTheme="majorBidi" w:hAnsiTheme="majorBidi" w:cstheme="majorBidi"/>
          <w:sz w:val="28"/>
          <w:szCs w:val="28"/>
          <w:lang w:bidi="ar-EG"/>
        </w:rPr>
        <w:t xml:space="preserve">24 </w:t>
      </w:r>
      <w:r w:rsidRPr="008D72F0">
        <w:rPr>
          <w:rFonts w:asciiTheme="majorBidi" w:hAnsiTheme="majorBidi" w:cstheme="majorBidi"/>
          <w:sz w:val="28"/>
          <w:szCs w:val="28"/>
          <w:lang w:bidi="ar-EG"/>
        </w:rPr>
        <w:t xml:space="preserve">March 2022, the Spanish government deported M.B.H., a former Algerian military officer who had exposed allegations of corruption among senior military leaders, to Algeria. The deportation occurred despite numerous reports indicating a real risk of torture if he returned to Algeria. He testified before a judge at the Colia Court on </w:t>
      </w:r>
      <w:r>
        <w:rPr>
          <w:rFonts w:asciiTheme="majorBidi" w:hAnsiTheme="majorBidi" w:cstheme="majorBidi"/>
          <w:sz w:val="28"/>
          <w:szCs w:val="28"/>
          <w:lang w:bidi="ar-EG"/>
        </w:rPr>
        <w:t xml:space="preserve">19 </w:t>
      </w:r>
      <w:r w:rsidRPr="008D72F0">
        <w:rPr>
          <w:rFonts w:asciiTheme="majorBidi" w:hAnsiTheme="majorBidi" w:cstheme="majorBidi"/>
          <w:sz w:val="28"/>
          <w:szCs w:val="28"/>
          <w:lang w:bidi="ar-EG"/>
        </w:rPr>
        <w:t xml:space="preserve">June 2022, that military security agents at the Information Center in </w:t>
      </w:r>
      <w:proofErr w:type="spellStart"/>
      <w:r w:rsidRPr="008D72F0">
        <w:rPr>
          <w:rFonts w:asciiTheme="majorBidi" w:hAnsiTheme="majorBidi" w:cstheme="majorBidi"/>
          <w:sz w:val="28"/>
          <w:szCs w:val="28"/>
          <w:lang w:bidi="ar-EG"/>
        </w:rPr>
        <w:t>Cheraga</w:t>
      </w:r>
      <w:proofErr w:type="spellEnd"/>
      <w:r w:rsidRPr="008D72F0">
        <w:rPr>
          <w:rFonts w:asciiTheme="majorBidi" w:hAnsiTheme="majorBidi" w:cstheme="majorBidi"/>
          <w:sz w:val="28"/>
          <w:szCs w:val="28"/>
          <w:lang w:bidi="ar-EG"/>
        </w:rPr>
        <w:t xml:space="preserve">, Algeria, subjected him to torture and ill-treatment for several days after his return to Algeria, including stripping him of his clothes, dousing him with cold water, and placing him in solitary confinement for </w:t>
      </w:r>
      <w:r>
        <w:rPr>
          <w:rFonts w:asciiTheme="majorBidi" w:hAnsiTheme="majorBidi" w:cstheme="majorBidi"/>
          <w:sz w:val="28"/>
          <w:szCs w:val="28"/>
          <w:lang w:bidi="ar-EG"/>
        </w:rPr>
        <w:t>4</w:t>
      </w:r>
      <w:r w:rsidRPr="008D72F0">
        <w:rPr>
          <w:rFonts w:asciiTheme="majorBidi" w:hAnsiTheme="majorBidi" w:cstheme="majorBidi"/>
          <w:sz w:val="28"/>
          <w:szCs w:val="28"/>
          <w:lang w:bidi="ar-EG"/>
        </w:rPr>
        <w:t xml:space="preserve"> months.</w:t>
      </w:r>
      <w:r>
        <w:rPr>
          <w:rStyle w:val="FootnoteReference"/>
          <w:rFonts w:asciiTheme="majorBidi" w:hAnsiTheme="majorBidi" w:cstheme="majorBidi"/>
          <w:sz w:val="28"/>
          <w:szCs w:val="28"/>
          <w:lang w:bidi="ar-EG"/>
        </w:rPr>
        <w:footnoteReference w:id="8"/>
      </w:r>
      <w:r w:rsidRPr="008D72F0">
        <w:rPr>
          <w:rFonts w:asciiTheme="majorBidi" w:hAnsiTheme="majorBidi" w:cstheme="majorBidi"/>
          <w:sz w:val="28"/>
          <w:szCs w:val="28"/>
          <w:lang w:bidi="ar-EG"/>
        </w:rPr>
        <w:t xml:space="preserve"> </w:t>
      </w:r>
    </w:p>
    <w:p w14:paraId="2FB8DADD" w14:textId="2A06D912" w:rsidR="008D72F0" w:rsidRDefault="008D72F0" w:rsidP="008D72F0">
      <w:pPr>
        <w:jc w:val="both"/>
        <w:rPr>
          <w:rFonts w:asciiTheme="majorBidi" w:hAnsiTheme="majorBidi" w:cstheme="majorBidi"/>
          <w:sz w:val="28"/>
          <w:szCs w:val="28"/>
          <w:lang w:bidi="ar-EG"/>
        </w:rPr>
      </w:pPr>
      <w:r w:rsidRPr="008D72F0">
        <w:rPr>
          <w:rFonts w:asciiTheme="majorBidi" w:hAnsiTheme="majorBidi" w:cstheme="majorBidi"/>
          <w:sz w:val="28"/>
          <w:szCs w:val="28"/>
          <w:lang w:bidi="ar-EG"/>
        </w:rPr>
        <w:t xml:space="preserve">In June 2023, Spanish law enforcement authorities returned </w:t>
      </w:r>
      <w:r>
        <w:rPr>
          <w:rFonts w:asciiTheme="majorBidi" w:hAnsiTheme="majorBidi" w:cstheme="majorBidi"/>
          <w:sz w:val="28"/>
          <w:szCs w:val="28"/>
          <w:lang w:bidi="ar-EG"/>
        </w:rPr>
        <w:t>5</w:t>
      </w:r>
      <w:r w:rsidRPr="008D72F0">
        <w:rPr>
          <w:rFonts w:asciiTheme="majorBidi" w:hAnsiTheme="majorBidi" w:cstheme="majorBidi"/>
          <w:sz w:val="28"/>
          <w:szCs w:val="28"/>
          <w:lang w:bidi="ar-EG"/>
        </w:rPr>
        <w:t xml:space="preserve"> Yemeni nationals who had arrived by sea to Ceuta, despite them showing their identity cards and claiming to have sought asylum in Spain.</w:t>
      </w:r>
      <w:r>
        <w:rPr>
          <w:rStyle w:val="FootnoteReference"/>
          <w:rFonts w:asciiTheme="majorBidi" w:hAnsiTheme="majorBidi" w:cstheme="majorBidi"/>
          <w:sz w:val="28"/>
          <w:szCs w:val="28"/>
          <w:lang w:bidi="ar-EG"/>
        </w:rPr>
        <w:footnoteReference w:id="9"/>
      </w:r>
      <w:r w:rsidRPr="008D72F0">
        <w:rPr>
          <w:rFonts w:asciiTheme="majorBidi" w:hAnsiTheme="majorBidi" w:cstheme="majorBidi"/>
          <w:sz w:val="28"/>
          <w:szCs w:val="28"/>
          <w:lang w:bidi="ar-EG"/>
        </w:rPr>
        <w:t xml:space="preserve"> In August 2024, Spanish authorities revealed that they were returning between 150 and 200 people per day to Morocco under a law that allows for the rejection of migrants at the border.</w:t>
      </w:r>
      <w:r>
        <w:rPr>
          <w:rStyle w:val="FootnoteReference"/>
          <w:rFonts w:asciiTheme="majorBidi" w:hAnsiTheme="majorBidi" w:cstheme="majorBidi"/>
          <w:sz w:val="28"/>
          <w:szCs w:val="28"/>
          <w:lang w:bidi="ar-EG"/>
        </w:rPr>
        <w:footnoteReference w:id="10"/>
      </w:r>
      <w:r w:rsidRPr="008D72F0">
        <w:rPr>
          <w:rFonts w:asciiTheme="majorBidi" w:hAnsiTheme="majorBidi" w:cstheme="majorBidi"/>
          <w:sz w:val="28"/>
          <w:szCs w:val="28"/>
          <w:lang w:bidi="ar-EG"/>
        </w:rPr>
        <w:t xml:space="preserve"> </w:t>
      </w:r>
    </w:p>
    <w:p w14:paraId="7E1B68F6" w14:textId="4AD8ADB4" w:rsidR="008D72F0" w:rsidRDefault="008D72F0" w:rsidP="008D72F0">
      <w:pPr>
        <w:jc w:val="both"/>
        <w:rPr>
          <w:rFonts w:asciiTheme="majorBidi" w:hAnsiTheme="majorBidi" w:cstheme="majorBidi"/>
          <w:sz w:val="28"/>
          <w:szCs w:val="28"/>
          <w:lang w:bidi="ar-EG"/>
        </w:rPr>
      </w:pPr>
      <w:r w:rsidRPr="008D72F0">
        <w:rPr>
          <w:rFonts w:asciiTheme="majorBidi" w:hAnsiTheme="majorBidi" w:cstheme="majorBidi"/>
          <w:sz w:val="28"/>
          <w:szCs w:val="28"/>
          <w:lang w:bidi="ar-EG"/>
        </w:rPr>
        <w:t xml:space="preserve">However, Partners for Transparency commends the January 2024 Spanish Supreme Court ruling that Spanish authorities acted unlawfully when they returned unaccompanied migrant children to Morocco in August 2021 following a mass border crossing, asserting that these deportations violated the European Convention on Human Rights. Partners </w:t>
      </w:r>
      <w:r>
        <w:rPr>
          <w:rFonts w:asciiTheme="majorBidi" w:hAnsiTheme="majorBidi" w:cstheme="majorBidi"/>
          <w:sz w:val="28"/>
          <w:szCs w:val="28"/>
          <w:lang w:bidi="ar-EG"/>
        </w:rPr>
        <w:t xml:space="preserve">Foundation </w:t>
      </w:r>
      <w:r w:rsidRPr="008D72F0">
        <w:rPr>
          <w:rFonts w:asciiTheme="majorBidi" w:hAnsiTheme="majorBidi" w:cstheme="majorBidi"/>
          <w:sz w:val="28"/>
          <w:szCs w:val="28"/>
          <w:lang w:bidi="ar-EG"/>
        </w:rPr>
        <w:t xml:space="preserve">believes this ruling could herald a fundamental shift in future child refoulement policy, contributing to a reduction in forced deportations of underage </w:t>
      </w:r>
      <w:r w:rsidRPr="008D72F0">
        <w:rPr>
          <w:rFonts w:asciiTheme="majorBidi" w:hAnsiTheme="majorBidi" w:cstheme="majorBidi"/>
          <w:sz w:val="28"/>
          <w:szCs w:val="28"/>
          <w:lang w:bidi="ar-EG"/>
        </w:rPr>
        <w:lastRenderedPageBreak/>
        <w:t>individuals and ensuring their cases are handled legally and humanely, thereby strengthening the protection of the rights of migrant children.</w:t>
      </w:r>
      <w:r>
        <w:rPr>
          <w:rStyle w:val="FootnoteReference"/>
          <w:rFonts w:asciiTheme="majorBidi" w:hAnsiTheme="majorBidi" w:cstheme="majorBidi"/>
          <w:sz w:val="28"/>
          <w:szCs w:val="28"/>
          <w:lang w:bidi="ar-EG"/>
        </w:rPr>
        <w:footnoteReference w:id="11"/>
      </w:r>
    </w:p>
    <w:p w14:paraId="3A3D0839" w14:textId="5F299ED3" w:rsidR="008D72F0" w:rsidRPr="008D72F0" w:rsidRDefault="008D72F0" w:rsidP="008D72F0">
      <w:pPr>
        <w:shd w:val="clear" w:color="auto" w:fill="002060"/>
        <w:jc w:val="both"/>
        <w:rPr>
          <w:rFonts w:asciiTheme="majorBidi" w:hAnsiTheme="majorBidi" w:cstheme="majorBidi"/>
          <w:b/>
          <w:bCs/>
          <w:sz w:val="28"/>
          <w:szCs w:val="28"/>
          <w:lang w:bidi="ar-EG"/>
        </w:rPr>
      </w:pPr>
      <w:r w:rsidRPr="008D72F0">
        <w:rPr>
          <w:rFonts w:asciiTheme="majorBidi" w:hAnsiTheme="majorBidi" w:cstheme="majorBidi"/>
          <w:b/>
          <w:bCs/>
          <w:sz w:val="28"/>
          <w:szCs w:val="28"/>
          <w:lang w:bidi="ar-EG"/>
        </w:rPr>
        <w:t>Recommendations</w:t>
      </w:r>
    </w:p>
    <w:p w14:paraId="1BA6DDE1" w14:textId="77777777" w:rsidR="008D72F0" w:rsidRPr="008D72F0" w:rsidRDefault="008D72F0" w:rsidP="008D72F0">
      <w:pPr>
        <w:jc w:val="both"/>
        <w:rPr>
          <w:rFonts w:asciiTheme="majorBidi" w:hAnsiTheme="majorBidi" w:cstheme="majorBidi"/>
          <w:sz w:val="28"/>
          <w:szCs w:val="28"/>
          <w:lang w:bidi="ar-EG"/>
        </w:rPr>
      </w:pPr>
      <w:r w:rsidRPr="008D72F0">
        <w:rPr>
          <w:rFonts w:asciiTheme="majorBidi" w:hAnsiTheme="majorBidi" w:cstheme="majorBidi"/>
          <w:sz w:val="28"/>
          <w:szCs w:val="28"/>
          <w:lang w:bidi="ar-EG"/>
        </w:rPr>
        <w:t>In light of the above, Partners for Transparency presents its recommendations to the Spanish government as follows:</w:t>
      </w:r>
    </w:p>
    <w:p w14:paraId="6B9AB749" w14:textId="27FC375E" w:rsidR="008D72F0" w:rsidRPr="008D72F0" w:rsidRDefault="008D72F0" w:rsidP="008D72F0">
      <w:pPr>
        <w:pStyle w:val="ListParagraph"/>
        <w:numPr>
          <w:ilvl w:val="0"/>
          <w:numId w:val="23"/>
        </w:numPr>
        <w:bidi w:val="0"/>
        <w:jc w:val="both"/>
        <w:rPr>
          <w:rFonts w:asciiTheme="majorBidi" w:hAnsiTheme="majorBidi" w:cstheme="majorBidi"/>
          <w:sz w:val="28"/>
          <w:szCs w:val="28"/>
          <w:lang w:bidi="ar-EG"/>
        </w:rPr>
      </w:pPr>
      <w:r w:rsidRPr="008D72F0">
        <w:rPr>
          <w:rFonts w:asciiTheme="majorBidi" w:hAnsiTheme="majorBidi" w:cstheme="majorBidi"/>
          <w:sz w:val="28"/>
          <w:szCs w:val="28"/>
          <w:lang w:bidi="ar-EG"/>
        </w:rPr>
        <w:t>The Spanish government should expedite the establishment of an "Independent Equality and Non-Discrimination Authority," as pledged in the 2022 Equality Law, and ensure that this body has sufficient independence and powers to investigate and address cases of discrimination.</w:t>
      </w:r>
    </w:p>
    <w:p w14:paraId="29764E5A" w14:textId="11ED5911" w:rsidR="008D72F0" w:rsidRPr="008D72F0" w:rsidRDefault="008D72F0" w:rsidP="008D72F0">
      <w:pPr>
        <w:pStyle w:val="ListParagraph"/>
        <w:numPr>
          <w:ilvl w:val="0"/>
          <w:numId w:val="23"/>
        </w:numPr>
        <w:bidi w:val="0"/>
        <w:jc w:val="both"/>
        <w:rPr>
          <w:rFonts w:asciiTheme="majorBidi" w:hAnsiTheme="majorBidi" w:cstheme="majorBidi"/>
          <w:sz w:val="28"/>
          <w:szCs w:val="28"/>
          <w:lang w:bidi="ar-EG"/>
        </w:rPr>
      </w:pPr>
      <w:r w:rsidRPr="008D72F0">
        <w:rPr>
          <w:rFonts w:asciiTheme="majorBidi" w:hAnsiTheme="majorBidi" w:cstheme="majorBidi"/>
          <w:sz w:val="28"/>
          <w:szCs w:val="28"/>
          <w:lang w:bidi="ar-EG"/>
        </w:rPr>
        <w:t>The Spanish government should strengthen preventive and awareness-raising measures to address the rise in hate crimes and hate speech against minorities and migrants, with particular attention to the Roma community and victims of non-European origin.</w:t>
      </w:r>
    </w:p>
    <w:p w14:paraId="3AA89CA6" w14:textId="4A67E141" w:rsidR="008D72F0" w:rsidRPr="008D72F0" w:rsidRDefault="008D72F0" w:rsidP="008D72F0">
      <w:pPr>
        <w:pStyle w:val="ListParagraph"/>
        <w:numPr>
          <w:ilvl w:val="0"/>
          <w:numId w:val="23"/>
        </w:numPr>
        <w:bidi w:val="0"/>
        <w:jc w:val="both"/>
        <w:rPr>
          <w:rFonts w:asciiTheme="majorBidi" w:hAnsiTheme="majorBidi" w:cstheme="majorBidi"/>
          <w:sz w:val="28"/>
          <w:szCs w:val="28"/>
          <w:lang w:bidi="ar-EG"/>
        </w:rPr>
      </w:pPr>
      <w:r w:rsidRPr="008D72F0">
        <w:rPr>
          <w:rFonts w:asciiTheme="majorBidi" w:hAnsiTheme="majorBidi" w:cstheme="majorBidi"/>
          <w:sz w:val="28"/>
          <w:szCs w:val="28"/>
          <w:lang w:bidi="ar-EG"/>
        </w:rPr>
        <w:t>T</w:t>
      </w:r>
      <w:r w:rsidRPr="008D72F0">
        <w:rPr>
          <w:rFonts w:asciiTheme="majorBidi" w:hAnsiTheme="majorBidi" w:cstheme="majorBidi"/>
          <w:sz w:val="28"/>
          <w:szCs w:val="28"/>
          <w:lang w:bidi="ar-EG"/>
        </w:rPr>
        <w:t>he Spanish government should ensure the effective implementation of legislative amendments criminalizing hate speech and provide appropriate training for law enforcement personnel to monitor, investigate, and hold perpetrators accountable for such crimes.</w:t>
      </w:r>
    </w:p>
    <w:p w14:paraId="64EE7D2D" w14:textId="77777777" w:rsidR="008D72F0" w:rsidRPr="008D72F0" w:rsidRDefault="008D72F0" w:rsidP="008D72F0">
      <w:pPr>
        <w:pStyle w:val="ListParagraph"/>
        <w:numPr>
          <w:ilvl w:val="0"/>
          <w:numId w:val="23"/>
        </w:numPr>
        <w:bidi w:val="0"/>
        <w:jc w:val="both"/>
        <w:rPr>
          <w:rFonts w:asciiTheme="majorBidi" w:hAnsiTheme="majorBidi" w:cstheme="majorBidi"/>
          <w:sz w:val="28"/>
          <w:szCs w:val="28"/>
          <w:lang w:bidi="ar-EG"/>
        </w:rPr>
      </w:pPr>
      <w:r w:rsidRPr="008D72F0">
        <w:rPr>
          <w:rFonts w:asciiTheme="majorBidi" w:hAnsiTheme="majorBidi" w:cstheme="majorBidi"/>
          <w:sz w:val="28"/>
          <w:szCs w:val="28"/>
          <w:lang w:bidi="ar-EG"/>
        </w:rPr>
        <w:t xml:space="preserve">The Spanish government should refrain from returning or deporting refugees and asylum seekers to countries where they face a risk of torture or persecution, and ensure strict compliance with the principle of non-refoulement in accordance with international standards. </w:t>
      </w:r>
    </w:p>
    <w:p w14:paraId="3319C198" w14:textId="66DA6F58" w:rsidR="008D72F0" w:rsidRPr="008D72F0" w:rsidRDefault="008D72F0" w:rsidP="008D72F0">
      <w:pPr>
        <w:pStyle w:val="ListParagraph"/>
        <w:numPr>
          <w:ilvl w:val="0"/>
          <w:numId w:val="23"/>
        </w:numPr>
        <w:bidi w:val="0"/>
        <w:jc w:val="both"/>
        <w:rPr>
          <w:rFonts w:asciiTheme="majorBidi" w:hAnsiTheme="majorBidi" w:cstheme="majorBidi"/>
          <w:sz w:val="28"/>
          <w:szCs w:val="28"/>
          <w:rtl/>
          <w:lang w:bidi="ar-EG"/>
        </w:rPr>
      </w:pPr>
      <w:r w:rsidRPr="008D72F0">
        <w:rPr>
          <w:rFonts w:asciiTheme="majorBidi" w:hAnsiTheme="majorBidi" w:cstheme="majorBidi"/>
          <w:sz w:val="28"/>
          <w:szCs w:val="28"/>
          <w:lang w:bidi="ar-EG"/>
        </w:rPr>
        <w:t>The Spanish government should open transparent and independent investigations into previous cases of forced return that resulted in serious violations, including the Melilla incident in June 2022, and hold those responsible for those violations accountable.</w:t>
      </w:r>
    </w:p>
    <w:sectPr w:rsidR="008D72F0" w:rsidRPr="008D72F0"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ECCE8" w14:textId="77777777" w:rsidR="0052732F" w:rsidRDefault="0052732F" w:rsidP="0076180A">
      <w:pPr>
        <w:spacing w:after="0" w:line="240" w:lineRule="auto"/>
      </w:pPr>
      <w:r>
        <w:separator/>
      </w:r>
    </w:p>
  </w:endnote>
  <w:endnote w:type="continuationSeparator" w:id="0">
    <w:p w14:paraId="1C06430B" w14:textId="77777777" w:rsidR="0052732F" w:rsidRDefault="0052732F"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01F8F" w14:textId="43A9F1A1" w:rsidR="00B003E7" w:rsidRPr="00D869E9" w:rsidRDefault="00B003E7"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Pr="00D87309">
      <w:rPr>
        <w:b/>
        <w:bCs/>
        <w:sz w:val="24"/>
        <w:szCs w:val="24"/>
      </w:rPr>
      <w:fldChar w:fldCharType="begin"/>
    </w:r>
    <w:r w:rsidRPr="00D87309">
      <w:rPr>
        <w:b/>
        <w:bCs/>
        <w:sz w:val="24"/>
        <w:szCs w:val="24"/>
      </w:rPr>
      <w:instrText>PAGE   \* MERGEFORMAT</w:instrText>
    </w:r>
    <w:r w:rsidRPr="00D87309">
      <w:rPr>
        <w:b/>
        <w:bCs/>
        <w:sz w:val="24"/>
        <w:szCs w:val="24"/>
      </w:rPr>
      <w:fldChar w:fldCharType="separate"/>
    </w:r>
    <w:r w:rsidR="00475531" w:rsidRPr="00475531">
      <w:rPr>
        <w:rFonts w:cs="Calibri"/>
        <w:b/>
        <w:bCs/>
        <w:noProof/>
        <w:sz w:val="24"/>
        <w:szCs w:val="24"/>
        <w:rtl/>
        <w:lang w:val="ar-SA"/>
      </w:rPr>
      <w:t>7</w:t>
    </w:r>
    <w:r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B003E7" w:rsidRPr="00B026C1" w14:paraId="740774A9" w14:textId="77777777" w:rsidTr="00B026C1">
      <w:trPr>
        <w:trHeight w:val="510"/>
      </w:trPr>
      <w:tc>
        <w:tcPr>
          <w:tcW w:w="9974" w:type="dxa"/>
          <w:gridSpan w:val="5"/>
          <w:tcBorders>
            <w:bottom w:val="nil"/>
          </w:tcBorders>
          <w:vAlign w:val="center"/>
        </w:tcPr>
        <w:p w14:paraId="66ED27A1" w14:textId="77777777" w:rsidR="00B003E7" w:rsidRPr="006042B5" w:rsidRDefault="00B003E7"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0AEF09"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Pr="006042B5">
            <w:rPr>
              <w:rFonts w:ascii="Times New Roman" w:hAnsi="Times New Roman" w:cs="Times New Roman"/>
              <w:b/>
              <w:bCs/>
              <w:color w:val="E48527"/>
              <w:sz w:val="28"/>
              <w:szCs w:val="28"/>
            </w:rPr>
            <w:t>A</w:t>
          </w:r>
          <w:r w:rsidRPr="006042B5">
            <w:rPr>
              <w:rFonts w:ascii="Times New Roman" w:hAnsi="Times New Roman" w:cs="Times New Roman"/>
              <w:b/>
              <w:bCs/>
              <w:color w:val="E48527"/>
              <w:sz w:val="32"/>
              <w:szCs w:val="32"/>
            </w:rPr>
            <w:t>.</w:t>
          </w:r>
        </w:p>
        <w:p w14:paraId="331627F3" w14:textId="724F4721" w:rsidR="00B003E7" w:rsidRPr="006042B5" w:rsidRDefault="00B003E7" w:rsidP="003B2405">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Pr>
              <w:rFonts w:ascii="Times New Roman" w:hAnsi="Times New Roman" w:cs="Times New Roman"/>
              <w:b/>
              <w:bCs/>
              <w:color w:val="006B86"/>
              <w:sz w:val="20"/>
              <w:szCs w:val="20"/>
            </w:rPr>
            <w:t>48</w:t>
          </w:r>
          <w:r w:rsidRPr="006042B5">
            <w:rPr>
              <w:rFonts w:ascii="Times New Roman" w:hAnsi="Times New Roman" w:cs="Times New Roman"/>
              <w:b/>
              <w:bCs/>
              <w:color w:val="006B86"/>
              <w:sz w:val="20"/>
              <w:szCs w:val="20"/>
            </w:rPr>
            <w:t xml:space="preserve"> Misr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w:t>
          </w:r>
          <w:proofErr w:type="gramStart"/>
          <w:r w:rsidRPr="006042B5">
            <w:rPr>
              <w:rFonts w:ascii="Times New Roman" w:hAnsi="Times New Roman" w:cs="Times New Roman"/>
              <w:b/>
              <w:bCs/>
              <w:color w:val="006B86"/>
              <w:sz w:val="20"/>
              <w:szCs w:val="20"/>
            </w:rPr>
            <w:t>Road ,</w:t>
          </w:r>
          <w:proofErr w:type="gramEnd"/>
          <w:r w:rsidRPr="006042B5">
            <w:rPr>
              <w:rFonts w:ascii="Times New Roman" w:hAnsi="Times New Roman" w:cs="Times New Roman"/>
              <w:b/>
              <w:bCs/>
              <w:color w:val="006B86"/>
              <w:sz w:val="20"/>
              <w:szCs w:val="20"/>
            </w:rPr>
            <w:t xml:space="preserve">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proofErr w:type="gramStart"/>
          <w:r w:rsidRPr="006042B5">
            <w:rPr>
              <w:rFonts w:ascii="Times New Roman" w:hAnsi="Times New Roman" w:cs="Times New Roman"/>
              <w:b/>
              <w:bCs/>
              <w:color w:val="006B86"/>
              <w:sz w:val="20"/>
              <w:szCs w:val="20"/>
            </w:rPr>
            <w:t>H.El</w:t>
          </w:r>
          <w:proofErr w:type="spellEnd"/>
          <w:proofErr w:type="gramEnd"/>
          <w:r w:rsidRPr="006042B5">
            <w:rPr>
              <w:rFonts w:ascii="Times New Roman" w:hAnsi="Times New Roman" w:cs="Times New Roman"/>
              <w:b/>
              <w:bCs/>
              <w:color w:val="006B86"/>
              <w:sz w:val="20"/>
              <w:szCs w:val="20"/>
            </w:rPr>
            <w:t xml:space="preserve"> Maadi, </w:t>
          </w:r>
          <w:r>
            <w:rPr>
              <w:rFonts w:ascii="Times New Roman" w:hAnsi="Times New Roman" w:cs="Times New Roman"/>
              <w:b/>
              <w:bCs/>
              <w:color w:val="006B86"/>
              <w:sz w:val="20"/>
              <w:szCs w:val="20"/>
            </w:rPr>
            <w:t>4</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w:t>
          </w:r>
          <w:proofErr w:type="gramStart"/>
          <w:r w:rsidRPr="006042B5">
            <w:rPr>
              <w:rFonts w:ascii="Times New Roman" w:hAnsi="Times New Roman" w:cs="Times New Roman"/>
              <w:b/>
              <w:bCs/>
              <w:color w:val="006B86"/>
              <w:sz w:val="20"/>
              <w:szCs w:val="20"/>
            </w:rPr>
            <w:t>112 ,</w:t>
          </w:r>
          <w:proofErr w:type="gramEnd"/>
          <w:r w:rsidRPr="006042B5">
            <w:rPr>
              <w:rFonts w:ascii="Times New Roman" w:hAnsi="Times New Roman" w:cs="Times New Roman"/>
              <w:b/>
              <w:bCs/>
              <w:color w:val="006B86"/>
              <w:sz w:val="20"/>
              <w:szCs w:val="20"/>
            </w:rPr>
            <w:t xml:space="preserve"> Cairo, Egypt </w:t>
          </w:r>
        </w:p>
      </w:tc>
    </w:tr>
    <w:tr w:rsidR="00B003E7"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B003E7" w:rsidRPr="006042B5" w:rsidRDefault="00B003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B003E7" w:rsidRPr="006042B5" w:rsidRDefault="00B003E7"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B003E7" w:rsidRPr="006042B5" w:rsidRDefault="00B003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B003E7" w:rsidRPr="006042B5" w:rsidRDefault="00B003E7"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B003E7" w:rsidRPr="006042B5" w:rsidRDefault="00B003E7"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B003E7" w:rsidRPr="006042B5" w:rsidRDefault="00B003E7"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B003E7" w:rsidRPr="006042B5" w:rsidRDefault="00B003E7"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B003E7" w:rsidRDefault="00B003E7">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3E50F" w14:textId="77777777" w:rsidR="0052732F" w:rsidRDefault="0052732F" w:rsidP="0076180A">
      <w:pPr>
        <w:spacing w:after="0" w:line="240" w:lineRule="auto"/>
      </w:pPr>
      <w:r>
        <w:separator/>
      </w:r>
    </w:p>
  </w:footnote>
  <w:footnote w:type="continuationSeparator" w:id="0">
    <w:p w14:paraId="6D1D41C2" w14:textId="77777777" w:rsidR="0052732F" w:rsidRDefault="0052732F" w:rsidP="0076180A">
      <w:pPr>
        <w:spacing w:after="0" w:line="240" w:lineRule="auto"/>
      </w:pPr>
      <w:r>
        <w:continuationSeparator/>
      </w:r>
    </w:p>
  </w:footnote>
  <w:footnote w:id="1">
    <w:p w14:paraId="29AEA91D" w14:textId="1FA167CB" w:rsidR="00B25BAD" w:rsidRDefault="00B25BAD" w:rsidP="00B25BAD">
      <w:pPr>
        <w:pStyle w:val="FootnoteText"/>
        <w:jc w:val="lowKashida"/>
        <w:rPr>
          <w:lang w:bidi="ar-EG"/>
        </w:rPr>
      </w:pPr>
      <w:r>
        <w:rPr>
          <w:rStyle w:val="FootnoteReference"/>
        </w:rPr>
        <w:footnoteRef/>
      </w:r>
      <w:r>
        <w:t xml:space="preserve"> </w:t>
      </w:r>
      <w:r w:rsidRPr="00AF4F27">
        <w:t>2ND ACTION PLAN TO COMBAT HATE CRIMES</w:t>
      </w:r>
      <w:r>
        <w:t xml:space="preserve">, link: </w:t>
      </w:r>
      <w:hyperlink r:id="rId1" w:history="1">
        <w:r w:rsidRPr="00FA7917">
          <w:rPr>
            <w:rStyle w:val="Hyperlink"/>
          </w:rPr>
          <w:t>https://tinyl.io/BU1X</w:t>
        </w:r>
      </w:hyperlink>
      <w:r>
        <w:t xml:space="preserve"> </w:t>
      </w:r>
    </w:p>
  </w:footnote>
  <w:footnote w:id="2">
    <w:p w14:paraId="69B117F2" w14:textId="668E7094" w:rsidR="00B25BAD" w:rsidRDefault="00B25BAD">
      <w:pPr>
        <w:pStyle w:val="FootnoteText"/>
      </w:pPr>
      <w:r>
        <w:rPr>
          <w:rStyle w:val="FootnoteReference"/>
        </w:rPr>
        <w:footnoteRef/>
      </w:r>
      <w:r>
        <w:t xml:space="preserve"> </w:t>
      </w:r>
      <w:r w:rsidRPr="00CC4C7A">
        <w:t>Hate crime legislation in Spain</w:t>
      </w:r>
      <w:r>
        <w:t xml:space="preserve">. Link: </w:t>
      </w:r>
      <w:hyperlink r:id="rId2" w:history="1">
        <w:r w:rsidRPr="00BB315D">
          <w:rPr>
            <w:rStyle w:val="Hyperlink"/>
          </w:rPr>
          <w:t>https://tinyurl.com/ylswh3ha</w:t>
        </w:r>
      </w:hyperlink>
    </w:p>
  </w:footnote>
  <w:footnote w:id="3">
    <w:p w14:paraId="140F8792" w14:textId="5DD126A6" w:rsidR="00B25BAD" w:rsidRDefault="00B25BAD" w:rsidP="00B25BAD">
      <w:pPr>
        <w:pStyle w:val="FootnoteText"/>
        <w:jc w:val="lowKashida"/>
        <w:rPr>
          <w:lang w:bidi="ar-EG"/>
        </w:rPr>
      </w:pPr>
      <w:r>
        <w:rPr>
          <w:rStyle w:val="FootnoteReference"/>
        </w:rPr>
        <w:footnoteRef/>
      </w:r>
      <w:r>
        <w:t xml:space="preserve"> </w:t>
      </w:r>
      <w:r w:rsidRPr="007565EF">
        <w:t>Valencia fans convicted for racist abuse against Vinicius Jr</w:t>
      </w:r>
      <w:r>
        <w:t xml:space="preserve">, </w:t>
      </w:r>
      <w:proofErr w:type="spellStart"/>
      <w:r w:rsidRPr="007565EF">
        <w:t>reuters</w:t>
      </w:r>
      <w:proofErr w:type="spellEnd"/>
      <w:r>
        <w:t xml:space="preserve">, </w:t>
      </w:r>
      <w:r w:rsidRPr="007565EF">
        <w:t>June 10, 2024</w:t>
      </w:r>
      <w:r>
        <w:t xml:space="preserve">, link: </w:t>
      </w:r>
      <w:hyperlink r:id="rId3" w:history="1">
        <w:r w:rsidRPr="00E23E04">
          <w:rPr>
            <w:rStyle w:val="Hyperlink"/>
          </w:rPr>
          <w:t>https://tinyl.io/BTcJ</w:t>
        </w:r>
      </w:hyperlink>
      <w:r>
        <w:t xml:space="preserve"> </w:t>
      </w:r>
    </w:p>
  </w:footnote>
  <w:footnote w:id="4">
    <w:p w14:paraId="6D727044" w14:textId="66D589BE" w:rsidR="00B25BAD" w:rsidRDefault="00B25BAD">
      <w:pPr>
        <w:pStyle w:val="FootnoteText"/>
      </w:pPr>
      <w:r>
        <w:rPr>
          <w:rStyle w:val="FootnoteReference"/>
        </w:rPr>
        <w:footnoteRef/>
      </w:r>
      <w:r>
        <w:t xml:space="preserve"> </w:t>
      </w:r>
      <w:r w:rsidRPr="00A235CD">
        <w:t xml:space="preserve">Interior </w:t>
      </w:r>
      <w:proofErr w:type="spellStart"/>
      <w:r w:rsidRPr="00A235CD">
        <w:t>establece</w:t>
      </w:r>
      <w:proofErr w:type="spellEnd"/>
      <w:r w:rsidRPr="00A235CD">
        <w:t xml:space="preserve"> la </w:t>
      </w:r>
      <w:proofErr w:type="spellStart"/>
      <w:r w:rsidRPr="00A235CD">
        <w:t>suspensión</w:t>
      </w:r>
      <w:proofErr w:type="spellEnd"/>
      <w:r w:rsidRPr="00A235CD">
        <w:t xml:space="preserve"> y </w:t>
      </w:r>
      <w:proofErr w:type="spellStart"/>
      <w:r w:rsidRPr="00A235CD">
        <w:t>desalojo</w:t>
      </w:r>
      <w:proofErr w:type="spellEnd"/>
      <w:r w:rsidRPr="00A235CD">
        <w:t xml:space="preserve"> de </w:t>
      </w:r>
      <w:proofErr w:type="spellStart"/>
      <w:r w:rsidRPr="00A235CD">
        <w:t>los</w:t>
      </w:r>
      <w:proofErr w:type="spellEnd"/>
      <w:r w:rsidRPr="00A235CD">
        <w:t xml:space="preserve"> </w:t>
      </w:r>
      <w:proofErr w:type="spellStart"/>
      <w:r w:rsidRPr="00A235CD">
        <w:t>eventos</w:t>
      </w:r>
      <w:proofErr w:type="spellEnd"/>
      <w:r w:rsidRPr="00A235CD">
        <w:t xml:space="preserve"> </w:t>
      </w:r>
      <w:proofErr w:type="spellStart"/>
      <w:r w:rsidRPr="00A235CD">
        <w:t>deportivos</w:t>
      </w:r>
      <w:proofErr w:type="spellEnd"/>
      <w:r w:rsidRPr="00A235CD">
        <w:t xml:space="preserve"> que </w:t>
      </w:r>
      <w:proofErr w:type="spellStart"/>
      <w:r w:rsidRPr="00A235CD">
        <w:t>registren</w:t>
      </w:r>
      <w:proofErr w:type="spellEnd"/>
      <w:r w:rsidRPr="00A235CD">
        <w:t xml:space="preserve"> </w:t>
      </w:r>
      <w:proofErr w:type="spellStart"/>
      <w:r w:rsidRPr="00A235CD">
        <w:t>incidentes</w:t>
      </w:r>
      <w:proofErr w:type="spellEnd"/>
      <w:r w:rsidRPr="00A235CD">
        <w:t xml:space="preserve"> </w:t>
      </w:r>
      <w:proofErr w:type="spellStart"/>
      <w:r w:rsidRPr="00A235CD">
        <w:t>racistas</w:t>
      </w:r>
      <w:proofErr w:type="spellEnd"/>
      <w:r>
        <w:t xml:space="preserve">, </w:t>
      </w:r>
      <w:r w:rsidRPr="00A235CD">
        <w:t>la</w:t>
      </w:r>
      <w:r>
        <w:t xml:space="preserve"> </w:t>
      </w:r>
      <w:proofErr w:type="spellStart"/>
      <w:r w:rsidRPr="00A235CD">
        <w:t>moncloa</w:t>
      </w:r>
      <w:proofErr w:type="spellEnd"/>
      <w:r>
        <w:t xml:space="preserve">, </w:t>
      </w:r>
      <w:r w:rsidRPr="00A235CD">
        <w:t>July 3, 2023</w:t>
      </w:r>
      <w:r>
        <w:t xml:space="preserve">, link: </w:t>
      </w:r>
      <w:hyperlink r:id="rId4" w:history="1">
        <w:r w:rsidRPr="00A235CD">
          <w:rPr>
            <w:rStyle w:val="Hyperlink"/>
          </w:rPr>
          <w:t>https://tinyl.io/BU1k</w:t>
        </w:r>
      </w:hyperlink>
    </w:p>
  </w:footnote>
  <w:footnote w:id="5">
    <w:p w14:paraId="48478B67" w14:textId="7FCD97A8" w:rsidR="00B25BAD" w:rsidRDefault="00B25BAD">
      <w:pPr>
        <w:pStyle w:val="FootnoteText"/>
      </w:pPr>
      <w:r>
        <w:rPr>
          <w:rStyle w:val="FootnoteReference"/>
        </w:rPr>
        <w:footnoteRef/>
      </w:r>
      <w:r>
        <w:t xml:space="preserve"> </w:t>
      </w:r>
      <w:r w:rsidRPr="00E73C29">
        <w:t>Hate crimes against Roma increase by 68% in Spain, according to the Report on the evolution of hate crimes 2023</w:t>
      </w:r>
      <w:r>
        <w:t>, G</w:t>
      </w:r>
      <w:r w:rsidRPr="00E677CC">
        <w:t>itanos</w:t>
      </w:r>
      <w:r>
        <w:t xml:space="preserve">, </w:t>
      </w:r>
      <w:r w:rsidRPr="00E677CC">
        <w:t>July 2, 2024</w:t>
      </w:r>
      <w:r>
        <w:t xml:space="preserve">. link: </w:t>
      </w:r>
      <w:hyperlink r:id="rId5" w:history="1">
        <w:r w:rsidRPr="00E677CC">
          <w:rPr>
            <w:rStyle w:val="Hyperlink"/>
          </w:rPr>
          <w:t>https://tinyl.io/BTcY</w:t>
        </w:r>
      </w:hyperlink>
      <w:r>
        <w:t xml:space="preserve">  </w:t>
      </w:r>
    </w:p>
  </w:footnote>
  <w:footnote w:id="6">
    <w:p w14:paraId="2144D98D" w14:textId="060A5CD7" w:rsidR="00B25BAD" w:rsidRDefault="00B25BAD">
      <w:pPr>
        <w:pStyle w:val="FootnoteText"/>
      </w:pPr>
      <w:r>
        <w:rPr>
          <w:rStyle w:val="FootnoteReference"/>
        </w:rPr>
        <w:footnoteRef/>
      </w:r>
      <w:r>
        <w:t xml:space="preserve"> </w:t>
      </w:r>
      <w:r w:rsidRPr="00B7120D">
        <w:t xml:space="preserve">La </w:t>
      </w:r>
      <w:proofErr w:type="spellStart"/>
      <w:r w:rsidRPr="00B7120D">
        <w:t>Alianza</w:t>
      </w:r>
      <w:proofErr w:type="spellEnd"/>
      <w:r w:rsidRPr="00B7120D">
        <w:t xml:space="preserve"> </w:t>
      </w:r>
      <w:proofErr w:type="spellStart"/>
      <w:r w:rsidRPr="00B7120D">
        <w:t>por</w:t>
      </w:r>
      <w:proofErr w:type="spellEnd"/>
      <w:r w:rsidRPr="00B7120D">
        <w:t xml:space="preserve"> la Ley de </w:t>
      </w:r>
      <w:proofErr w:type="spellStart"/>
      <w:r w:rsidRPr="00B7120D">
        <w:t>Igualdad</w:t>
      </w:r>
      <w:proofErr w:type="spellEnd"/>
      <w:r w:rsidRPr="00B7120D">
        <w:t xml:space="preserve"> de </w:t>
      </w:r>
      <w:proofErr w:type="spellStart"/>
      <w:r w:rsidRPr="00B7120D">
        <w:t>Trato</w:t>
      </w:r>
      <w:proofErr w:type="spellEnd"/>
      <w:r w:rsidRPr="00B7120D">
        <w:t xml:space="preserve"> </w:t>
      </w:r>
      <w:proofErr w:type="spellStart"/>
      <w:r w:rsidRPr="00B7120D">
        <w:t>valora</w:t>
      </w:r>
      <w:proofErr w:type="spellEnd"/>
      <w:r w:rsidRPr="00B7120D">
        <w:t xml:space="preserve"> </w:t>
      </w:r>
      <w:proofErr w:type="spellStart"/>
      <w:r w:rsidRPr="00B7120D">
        <w:t>los</w:t>
      </w:r>
      <w:proofErr w:type="spellEnd"/>
      <w:r w:rsidRPr="00B7120D">
        <w:t xml:space="preserve"> </w:t>
      </w:r>
      <w:proofErr w:type="spellStart"/>
      <w:r w:rsidRPr="00B7120D">
        <w:t>avances</w:t>
      </w:r>
      <w:proofErr w:type="spellEnd"/>
      <w:r w:rsidRPr="00B7120D">
        <w:t xml:space="preserve"> </w:t>
      </w:r>
      <w:proofErr w:type="spellStart"/>
      <w:r w:rsidRPr="00B7120D">
        <w:t>en</w:t>
      </w:r>
      <w:proofErr w:type="spellEnd"/>
      <w:r w:rsidRPr="00B7120D">
        <w:t xml:space="preserve"> la </w:t>
      </w:r>
      <w:proofErr w:type="spellStart"/>
      <w:r w:rsidRPr="00B7120D">
        <w:t>creación</w:t>
      </w:r>
      <w:proofErr w:type="spellEnd"/>
      <w:r w:rsidRPr="00B7120D">
        <w:t xml:space="preserve"> de </w:t>
      </w:r>
      <w:proofErr w:type="spellStart"/>
      <w:r w:rsidRPr="00B7120D">
        <w:t>una</w:t>
      </w:r>
      <w:proofErr w:type="spellEnd"/>
      <w:r w:rsidRPr="00B7120D">
        <w:t xml:space="preserve"> </w:t>
      </w:r>
      <w:proofErr w:type="spellStart"/>
      <w:r w:rsidRPr="00B7120D">
        <w:t>Autoridad</w:t>
      </w:r>
      <w:proofErr w:type="spellEnd"/>
      <w:r w:rsidRPr="00B7120D">
        <w:t xml:space="preserve"> Independiente</w:t>
      </w:r>
      <w:r>
        <w:t xml:space="preserve">. </w:t>
      </w:r>
      <w:proofErr w:type="spellStart"/>
      <w:r w:rsidRPr="00B7120D">
        <w:t>Accem</w:t>
      </w:r>
      <w:proofErr w:type="spellEnd"/>
      <w:r>
        <w:t xml:space="preserve">. </w:t>
      </w:r>
      <w:r w:rsidRPr="00B7120D">
        <w:t>July 1, 2024</w:t>
      </w:r>
      <w:r>
        <w:t xml:space="preserve">. Link: </w:t>
      </w:r>
      <w:hyperlink r:id="rId6" w:history="1">
        <w:r w:rsidRPr="00BB315D">
          <w:rPr>
            <w:rStyle w:val="Hyperlink"/>
          </w:rPr>
          <w:t>https://tinyl.co/3KTS</w:t>
        </w:r>
      </w:hyperlink>
    </w:p>
  </w:footnote>
  <w:footnote w:id="7">
    <w:p w14:paraId="42853DB3" w14:textId="34469983" w:rsidR="008D72F0" w:rsidRDefault="008D72F0">
      <w:pPr>
        <w:pStyle w:val="FootnoteText"/>
      </w:pPr>
      <w:r>
        <w:rPr>
          <w:rStyle w:val="FootnoteReference"/>
        </w:rPr>
        <w:footnoteRef/>
      </w:r>
      <w:r>
        <w:t xml:space="preserve"> </w:t>
      </w:r>
      <w:r w:rsidRPr="00864B1B">
        <w:t xml:space="preserve">El Defensor del Pueblo </w:t>
      </w:r>
      <w:proofErr w:type="spellStart"/>
      <w:r w:rsidRPr="00864B1B">
        <w:t>concluye</w:t>
      </w:r>
      <w:proofErr w:type="spellEnd"/>
      <w:r w:rsidRPr="00864B1B">
        <w:t xml:space="preserve"> que Interior </w:t>
      </w:r>
      <w:proofErr w:type="spellStart"/>
      <w:r w:rsidRPr="00864B1B">
        <w:t>expulsó</w:t>
      </w:r>
      <w:proofErr w:type="spellEnd"/>
      <w:r w:rsidRPr="00864B1B">
        <w:t xml:space="preserve"> a medio </w:t>
      </w:r>
      <w:proofErr w:type="spellStart"/>
      <w:r w:rsidRPr="00864B1B">
        <w:t>millar</w:t>
      </w:r>
      <w:proofErr w:type="spellEnd"/>
      <w:r w:rsidRPr="00864B1B">
        <w:t xml:space="preserve"> de </w:t>
      </w:r>
      <w:proofErr w:type="spellStart"/>
      <w:r w:rsidRPr="00864B1B">
        <w:t>migrantes</w:t>
      </w:r>
      <w:proofErr w:type="spellEnd"/>
      <w:r w:rsidRPr="00864B1B">
        <w:t xml:space="preserve"> </w:t>
      </w:r>
      <w:proofErr w:type="spellStart"/>
      <w:r w:rsidRPr="00864B1B">
        <w:t>ilegalmente</w:t>
      </w:r>
      <w:proofErr w:type="spellEnd"/>
      <w:r w:rsidRPr="00864B1B">
        <w:t xml:space="preserve"> </w:t>
      </w:r>
      <w:proofErr w:type="spellStart"/>
      <w:r w:rsidRPr="00864B1B">
        <w:t>en</w:t>
      </w:r>
      <w:proofErr w:type="spellEnd"/>
      <w:r w:rsidRPr="00864B1B">
        <w:t xml:space="preserve"> la </w:t>
      </w:r>
      <w:proofErr w:type="spellStart"/>
      <w:r w:rsidRPr="00864B1B">
        <w:t>tragedia</w:t>
      </w:r>
      <w:proofErr w:type="spellEnd"/>
      <w:r w:rsidRPr="00864B1B">
        <w:t xml:space="preserve"> de la </w:t>
      </w:r>
      <w:proofErr w:type="spellStart"/>
      <w:r w:rsidRPr="00864B1B">
        <w:t>valla</w:t>
      </w:r>
      <w:proofErr w:type="spellEnd"/>
      <w:r w:rsidRPr="00864B1B">
        <w:t xml:space="preserve"> de Melilla</w:t>
      </w:r>
      <w:r>
        <w:t xml:space="preserve">, </w:t>
      </w:r>
      <w:r w:rsidRPr="00864B1B">
        <w:t>El Mundo</w:t>
      </w:r>
      <w:r>
        <w:t xml:space="preserve">, </w:t>
      </w:r>
      <w:r w:rsidRPr="00864B1B">
        <w:t xml:space="preserve">14 </w:t>
      </w:r>
      <w:proofErr w:type="spellStart"/>
      <w:r w:rsidRPr="00864B1B">
        <w:t>octubre</w:t>
      </w:r>
      <w:proofErr w:type="spellEnd"/>
      <w:r w:rsidRPr="00864B1B">
        <w:t xml:space="preserve"> 2022</w:t>
      </w:r>
      <w:r>
        <w:t xml:space="preserve">, link: </w:t>
      </w:r>
      <w:hyperlink r:id="rId7" w:history="1">
        <w:r w:rsidRPr="0011430E">
          <w:rPr>
            <w:rStyle w:val="Hyperlink"/>
          </w:rPr>
          <w:t>https://tinyl.io/BTYF</w:t>
        </w:r>
      </w:hyperlink>
    </w:p>
  </w:footnote>
  <w:footnote w:id="8">
    <w:p w14:paraId="556CCC36" w14:textId="0899A9A7" w:rsidR="008D72F0" w:rsidRDefault="008D72F0" w:rsidP="008D72F0">
      <w:pPr>
        <w:pStyle w:val="FootnoteText"/>
        <w:jc w:val="lowKashida"/>
        <w:rPr>
          <w:lang w:bidi="ar-EG"/>
        </w:rPr>
      </w:pPr>
      <w:r>
        <w:rPr>
          <w:rStyle w:val="FootnoteReference"/>
        </w:rPr>
        <w:footnoteRef/>
      </w:r>
      <w:r>
        <w:t xml:space="preserve"> </w:t>
      </w:r>
      <w:r w:rsidRPr="00056628">
        <w:t xml:space="preserve">España </w:t>
      </w:r>
      <w:proofErr w:type="spellStart"/>
      <w:r w:rsidRPr="00056628">
        <w:t>entrega</w:t>
      </w:r>
      <w:proofErr w:type="spellEnd"/>
      <w:r w:rsidRPr="00056628">
        <w:t xml:space="preserve"> </w:t>
      </w:r>
      <w:proofErr w:type="gramStart"/>
      <w:r w:rsidRPr="00056628">
        <w:t>a</w:t>
      </w:r>
      <w:proofErr w:type="gramEnd"/>
      <w:r w:rsidRPr="00056628">
        <w:t xml:space="preserve"> Argelia a un </w:t>
      </w:r>
      <w:proofErr w:type="spellStart"/>
      <w:r w:rsidRPr="00056628">
        <w:t>disidente</w:t>
      </w:r>
      <w:proofErr w:type="spellEnd"/>
      <w:r w:rsidRPr="00056628">
        <w:t xml:space="preserve"> que </w:t>
      </w:r>
      <w:proofErr w:type="spellStart"/>
      <w:r w:rsidRPr="00056628">
        <w:t>teme</w:t>
      </w:r>
      <w:proofErr w:type="spellEnd"/>
      <w:r w:rsidRPr="00056628">
        <w:t xml:space="preserve"> ser </w:t>
      </w:r>
      <w:proofErr w:type="spellStart"/>
      <w:r w:rsidRPr="00056628">
        <w:t>preso</w:t>
      </w:r>
      <w:proofErr w:type="spellEnd"/>
      <w:r w:rsidRPr="00056628">
        <w:t xml:space="preserve"> y </w:t>
      </w:r>
      <w:proofErr w:type="spellStart"/>
      <w:r w:rsidRPr="00056628">
        <w:t>torturado</w:t>
      </w:r>
      <w:proofErr w:type="spellEnd"/>
      <w:r>
        <w:t>,</w:t>
      </w:r>
      <w:r w:rsidRPr="00F224F6">
        <w:t xml:space="preserve"> </w:t>
      </w:r>
      <w:proofErr w:type="spellStart"/>
      <w:r w:rsidRPr="00F224F6">
        <w:t>elpais</w:t>
      </w:r>
      <w:proofErr w:type="spellEnd"/>
      <w:r>
        <w:t xml:space="preserve">, </w:t>
      </w:r>
      <w:r w:rsidRPr="00056628">
        <w:t>25 mar 2022</w:t>
      </w:r>
      <w:r>
        <w:t xml:space="preserve">, link: </w:t>
      </w:r>
      <w:hyperlink r:id="rId8" w:history="1">
        <w:r w:rsidRPr="00056628">
          <w:rPr>
            <w:rStyle w:val="Hyperlink"/>
          </w:rPr>
          <w:t>https://tinyl.io/BTZK</w:t>
        </w:r>
      </w:hyperlink>
      <w:r>
        <w:t xml:space="preserve"> </w:t>
      </w:r>
    </w:p>
  </w:footnote>
  <w:footnote w:id="9">
    <w:p w14:paraId="3D82002A" w14:textId="7F0B0FE0" w:rsidR="008D72F0" w:rsidRDefault="008D72F0">
      <w:pPr>
        <w:pStyle w:val="FootnoteText"/>
      </w:pPr>
      <w:r>
        <w:rPr>
          <w:rStyle w:val="FootnoteReference"/>
        </w:rPr>
        <w:footnoteRef/>
      </w:r>
      <w:r>
        <w:t xml:space="preserve"> </w:t>
      </w:r>
      <w:r w:rsidRPr="003144DA">
        <w:t>2023 Country Reports on Human Rights Practices: Spain</w:t>
      </w:r>
      <w:r>
        <w:t xml:space="preserve">, </w:t>
      </w:r>
      <w:r w:rsidRPr="003144DA">
        <w:t>US Department of State</w:t>
      </w:r>
      <w:r>
        <w:t xml:space="preserve">, link: </w:t>
      </w:r>
      <w:hyperlink r:id="rId9" w:history="1">
        <w:r w:rsidRPr="003144DA">
          <w:rPr>
            <w:rStyle w:val="Hyperlink"/>
          </w:rPr>
          <w:t>https://tinyl.io/BTao</w:t>
        </w:r>
      </w:hyperlink>
      <w:r>
        <w:t xml:space="preserve">  </w:t>
      </w:r>
    </w:p>
  </w:footnote>
  <w:footnote w:id="10">
    <w:p w14:paraId="63C24F18" w14:textId="4F437905" w:rsidR="008D72F0" w:rsidRDefault="008D72F0">
      <w:pPr>
        <w:pStyle w:val="FootnoteText"/>
      </w:pPr>
      <w:r>
        <w:rPr>
          <w:rStyle w:val="FootnoteReference"/>
        </w:rPr>
        <w:footnoteRef/>
      </w:r>
      <w:r>
        <w:t xml:space="preserve"> </w:t>
      </w:r>
      <w:r w:rsidRPr="005F59EF">
        <w:t>Hundreds of migrants attempt to swim from Morocco to the Spanish territory of Ceuta</w:t>
      </w:r>
      <w:r>
        <w:t>,</w:t>
      </w:r>
      <w:r w:rsidRPr="005F59EF">
        <w:t xml:space="preserve"> ap</w:t>
      </w:r>
      <w:r>
        <w:t xml:space="preserve"> </w:t>
      </w:r>
      <w:proofErr w:type="gramStart"/>
      <w:r w:rsidRPr="005F59EF">
        <w:t>news</w:t>
      </w:r>
      <w:r>
        <w:t xml:space="preserve">,  </w:t>
      </w:r>
      <w:r w:rsidRPr="005F59EF">
        <w:t>August</w:t>
      </w:r>
      <w:proofErr w:type="gramEnd"/>
      <w:r w:rsidRPr="005F59EF">
        <w:t xml:space="preserve"> 27, 2024</w:t>
      </w:r>
      <w:r>
        <w:t xml:space="preserve">, link: </w:t>
      </w:r>
      <w:hyperlink r:id="rId10" w:history="1">
        <w:r w:rsidRPr="005F59EF">
          <w:rPr>
            <w:rStyle w:val="Hyperlink"/>
          </w:rPr>
          <w:t>https://tinyl.io/BTaZ</w:t>
        </w:r>
      </w:hyperlink>
    </w:p>
  </w:footnote>
  <w:footnote w:id="11">
    <w:p w14:paraId="758CC0E8" w14:textId="4F67E875" w:rsidR="008D72F0" w:rsidRDefault="008D72F0">
      <w:pPr>
        <w:pStyle w:val="FootnoteText"/>
      </w:pPr>
      <w:r>
        <w:rPr>
          <w:rStyle w:val="FootnoteReference"/>
        </w:rPr>
        <w:footnoteRef/>
      </w:r>
      <w:r>
        <w:t xml:space="preserve"> </w:t>
      </w:r>
      <w:r w:rsidRPr="00B5609E">
        <w:t>Spain’s supreme court rules govt broke the law when it sent child migrants back to Morocco</w:t>
      </w:r>
      <w:r>
        <w:t xml:space="preserve">, Africa </w:t>
      </w:r>
      <w:r w:rsidRPr="00B5609E">
        <w:t>news</w:t>
      </w:r>
      <w:r>
        <w:t xml:space="preserve">, link: </w:t>
      </w:r>
      <w:hyperlink r:id="rId11" w:history="1">
        <w:r w:rsidRPr="00B5609E">
          <w:rPr>
            <w:rStyle w:val="Hyperlink"/>
          </w:rPr>
          <w:t>https://tinyl.io/BTbm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1E0A" w14:textId="1F2541DD" w:rsidR="00B003E7" w:rsidRDefault="00B003E7" w:rsidP="00961206">
    <w:pPr>
      <w:pStyle w:val="a"/>
      <w:bidi w:val="0"/>
    </w:pPr>
    <w:r w:rsidRPr="004C074D">
      <w:rPr>
        <w:noProof/>
      </w:rPr>
      <w:drawing>
        <wp:inline distT="0" distB="0" distL="0" distR="0" wp14:anchorId="735C6E4F" wp14:editId="27D0DE37">
          <wp:extent cx="1088176" cy="113030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95223" cy="1137620"/>
                  </a:xfrm>
                  <a:prstGeom prst="rect">
                    <a:avLst/>
                  </a:prstGeom>
                  <a:noFill/>
                  <a:ln>
                    <a:noFill/>
                  </a:ln>
                </pic:spPr>
              </pic:pic>
            </a:graphicData>
          </a:graphic>
        </wp:inline>
      </w:drawing>
    </w:r>
    <w:r>
      <w:rPr>
        <w:noProof/>
        <w:sz w:val="24"/>
        <w:szCs w:val="24"/>
      </w:rPr>
      <w:t xml:space="preserve">   </w:t>
    </w:r>
    <w: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55F3C52"/>
    <w:multiLevelType w:val="hybridMultilevel"/>
    <w:tmpl w:val="B88E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36263"/>
    <w:multiLevelType w:val="hybridMultilevel"/>
    <w:tmpl w:val="1B329DD8"/>
    <w:lvl w:ilvl="0" w:tplc="B2C4AA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04A89"/>
    <w:multiLevelType w:val="hybridMultilevel"/>
    <w:tmpl w:val="6F9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C3A0F"/>
    <w:multiLevelType w:val="hybridMultilevel"/>
    <w:tmpl w:val="0F6AD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311F9C"/>
    <w:multiLevelType w:val="hybridMultilevel"/>
    <w:tmpl w:val="ABCA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905632"/>
    <w:multiLevelType w:val="hybridMultilevel"/>
    <w:tmpl w:val="0C06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C00264"/>
    <w:multiLevelType w:val="hybridMultilevel"/>
    <w:tmpl w:val="C7105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B91409"/>
    <w:multiLevelType w:val="hybridMultilevel"/>
    <w:tmpl w:val="A3347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8F3F54"/>
    <w:multiLevelType w:val="hybridMultilevel"/>
    <w:tmpl w:val="7014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423E3C"/>
    <w:multiLevelType w:val="hybridMultilevel"/>
    <w:tmpl w:val="8AC6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63CE13CF"/>
    <w:multiLevelType w:val="hybridMultilevel"/>
    <w:tmpl w:val="55EC9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DA3D1A"/>
    <w:multiLevelType w:val="hybridMultilevel"/>
    <w:tmpl w:val="221AACA6"/>
    <w:lvl w:ilvl="0" w:tplc="8548AF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A2199D"/>
    <w:multiLevelType w:val="hybridMultilevel"/>
    <w:tmpl w:val="6F8E2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0180805">
    <w:abstractNumId w:val="17"/>
  </w:num>
  <w:num w:numId="2" w16cid:durableId="1572697439">
    <w:abstractNumId w:val="15"/>
  </w:num>
  <w:num w:numId="3" w16cid:durableId="268585694">
    <w:abstractNumId w:val="12"/>
  </w:num>
  <w:num w:numId="4" w16cid:durableId="566843752">
    <w:abstractNumId w:val="11"/>
  </w:num>
  <w:num w:numId="5" w16cid:durableId="1506823079">
    <w:abstractNumId w:val="6"/>
  </w:num>
  <w:num w:numId="6" w16cid:durableId="165560937">
    <w:abstractNumId w:val="21"/>
  </w:num>
  <w:num w:numId="7" w16cid:durableId="1334379614">
    <w:abstractNumId w:val="10"/>
  </w:num>
  <w:num w:numId="8" w16cid:durableId="59791956">
    <w:abstractNumId w:val="22"/>
  </w:num>
  <w:num w:numId="9" w16cid:durableId="800079593">
    <w:abstractNumId w:val="20"/>
  </w:num>
  <w:num w:numId="10" w16cid:durableId="653795832">
    <w:abstractNumId w:val="0"/>
  </w:num>
  <w:num w:numId="11" w16cid:durableId="1581676689">
    <w:abstractNumId w:val="7"/>
  </w:num>
  <w:num w:numId="12" w16cid:durableId="1454709634">
    <w:abstractNumId w:val="5"/>
  </w:num>
  <w:num w:numId="13" w16cid:durableId="1933273148">
    <w:abstractNumId w:val="19"/>
  </w:num>
  <w:num w:numId="14" w16cid:durableId="1830250438">
    <w:abstractNumId w:val="13"/>
  </w:num>
  <w:num w:numId="15" w16cid:durableId="1215894269">
    <w:abstractNumId w:val="14"/>
  </w:num>
  <w:num w:numId="16" w16cid:durableId="156382728">
    <w:abstractNumId w:val="9"/>
  </w:num>
  <w:num w:numId="17" w16cid:durableId="629701485">
    <w:abstractNumId w:val="2"/>
  </w:num>
  <w:num w:numId="18" w16cid:durableId="1212841418">
    <w:abstractNumId w:val="16"/>
  </w:num>
  <w:num w:numId="19" w16cid:durableId="2046834106">
    <w:abstractNumId w:val="8"/>
  </w:num>
  <w:num w:numId="20" w16cid:durableId="278531752">
    <w:abstractNumId w:val="4"/>
  </w:num>
  <w:num w:numId="21" w16cid:durableId="1992363165">
    <w:abstractNumId w:val="18"/>
  </w:num>
  <w:num w:numId="22" w16cid:durableId="992415224">
    <w:abstractNumId w:val="1"/>
  </w:num>
  <w:num w:numId="23" w16cid:durableId="15086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ar-SA" w:vendorID="64" w:dllVersion="4096" w:nlCheck="1" w:checkStyle="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103D"/>
    <w:rsid w:val="00002B43"/>
    <w:rsid w:val="0000309C"/>
    <w:rsid w:val="000108F2"/>
    <w:rsid w:val="00013F1F"/>
    <w:rsid w:val="00015C5C"/>
    <w:rsid w:val="0002406E"/>
    <w:rsid w:val="0002639C"/>
    <w:rsid w:val="000269F3"/>
    <w:rsid w:val="000402AD"/>
    <w:rsid w:val="00041777"/>
    <w:rsid w:val="00041C4C"/>
    <w:rsid w:val="00050B50"/>
    <w:rsid w:val="00063327"/>
    <w:rsid w:val="000642C9"/>
    <w:rsid w:val="00071474"/>
    <w:rsid w:val="000730E0"/>
    <w:rsid w:val="00094F61"/>
    <w:rsid w:val="000978D5"/>
    <w:rsid w:val="000A2523"/>
    <w:rsid w:val="000A7F20"/>
    <w:rsid w:val="000B05F8"/>
    <w:rsid w:val="000B1924"/>
    <w:rsid w:val="000D634B"/>
    <w:rsid w:val="000E1BCD"/>
    <w:rsid w:val="000F4699"/>
    <w:rsid w:val="000F5ED0"/>
    <w:rsid w:val="00101815"/>
    <w:rsid w:val="0010218E"/>
    <w:rsid w:val="00106234"/>
    <w:rsid w:val="00107081"/>
    <w:rsid w:val="00107A6F"/>
    <w:rsid w:val="00112664"/>
    <w:rsid w:val="001326CF"/>
    <w:rsid w:val="001436B5"/>
    <w:rsid w:val="00144A1D"/>
    <w:rsid w:val="00145F87"/>
    <w:rsid w:val="001574EF"/>
    <w:rsid w:val="001623DB"/>
    <w:rsid w:val="00176D8A"/>
    <w:rsid w:val="00183C39"/>
    <w:rsid w:val="00184C87"/>
    <w:rsid w:val="001925DE"/>
    <w:rsid w:val="001A50DF"/>
    <w:rsid w:val="001A7FA2"/>
    <w:rsid w:val="001B3EBC"/>
    <w:rsid w:val="001B4DAB"/>
    <w:rsid w:val="001C11A7"/>
    <w:rsid w:val="001C1342"/>
    <w:rsid w:val="001C5F7D"/>
    <w:rsid w:val="001C64AB"/>
    <w:rsid w:val="001D29E3"/>
    <w:rsid w:val="001D6815"/>
    <w:rsid w:val="001F28D8"/>
    <w:rsid w:val="001F647E"/>
    <w:rsid w:val="002106B7"/>
    <w:rsid w:val="00217274"/>
    <w:rsid w:val="00221546"/>
    <w:rsid w:val="00230762"/>
    <w:rsid w:val="002367BC"/>
    <w:rsid w:val="002527B0"/>
    <w:rsid w:val="0025324E"/>
    <w:rsid w:val="002549BB"/>
    <w:rsid w:val="00273180"/>
    <w:rsid w:val="00274A60"/>
    <w:rsid w:val="002769A1"/>
    <w:rsid w:val="00285F88"/>
    <w:rsid w:val="002946A3"/>
    <w:rsid w:val="002B1304"/>
    <w:rsid w:val="002B50C8"/>
    <w:rsid w:val="002C5018"/>
    <w:rsid w:val="002C508E"/>
    <w:rsid w:val="002C63D8"/>
    <w:rsid w:val="002C65D4"/>
    <w:rsid w:val="002D1403"/>
    <w:rsid w:val="002E0F82"/>
    <w:rsid w:val="002E2E4A"/>
    <w:rsid w:val="002E3893"/>
    <w:rsid w:val="002E3FF3"/>
    <w:rsid w:val="002F0247"/>
    <w:rsid w:val="002F4D09"/>
    <w:rsid w:val="002F5524"/>
    <w:rsid w:val="003064CC"/>
    <w:rsid w:val="00306B5B"/>
    <w:rsid w:val="00314649"/>
    <w:rsid w:val="0032091D"/>
    <w:rsid w:val="00324B15"/>
    <w:rsid w:val="003342F7"/>
    <w:rsid w:val="00340F65"/>
    <w:rsid w:val="00351401"/>
    <w:rsid w:val="00354696"/>
    <w:rsid w:val="00362804"/>
    <w:rsid w:val="00370651"/>
    <w:rsid w:val="003866AB"/>
    <w:rsid w:val="00390585"/>
    <w:rsid w:val="003B03BD"/>
    <w:rsid w:val="003B2405"/>
    <w:rsid w:val="003B299B"/>
    <w:rsid w:val="003C5EAC"/>
    <w:rsid w:val="003C60C5"/>
    <w:rsid w:val="003E35C4"/>
    <w:rsid w:val="003E3C8F"/>
    <w:rsid w:val="003F09CF"/>
    <w:rsid w:val="003F3D81"/>
    <w:rsid w:val="003F665D"/>
    <w:rsid w:val="00404238"/>
    <w:rsid w:val="004239B2"/>
    <w:rsid w:val="00425DB8"/>
    <w:rsid w:val="004273EE"/>
    <w:rsid w:val="00432973"/>
    <w:rsid w:val="00436E3A"/>
    <w:rsid w:val="00437311"/>
    <w:rsid w:val="004374B8"/>
    <w:rsid w:val="00440038"/>
    <w:rsid w:val="00440E3B"/>
    <w:rsid w:val="00446614"/>
    <w:rsid w:val="004547EA"/>
    <w:rsid w:val="00455B7A"/>
    <w:rsid w:val="00455FDF"/>
    <w:rsid w:val="00465A4D"/>
    <w:rsid w:val="004727C7"/>
    <w:rsid w:val="004743F8"/>
    <w:rsid w:val="00475531"/>
    <w:rsid w:val="00480414"/>
    <w:rsid w:val="0048286A"/>
    <w:rsid w:val="00482C63"/>
    <w:rsid w:val="004902ED"/>
    <w:rsid w:val="004955C8"/>
    <w:rsid w:val="004A3747"/>
    <w:rsid w:val="004A532F"/>
    <w:rsid w:val="004B17BD"/>
    <w:rsid w:val="004B4B2E"/>
    <w:rsid w:val="004B76E1"/>
    <w:rsid w:val="004D3E99"/>
    <w:rsid w:val="004E33FF"/>
    <w:rsid w:val="004F1F40"/>
    <w:rsid w:val="004F3A29"/>
    <w:rsid w:val="0050126C"/>
    <w:rsid w:val="0050369D"/>
    <w:rsid w:val="00512DB7"/>
    <w:rsid w:val="00517683"/>
    <w:rsid w:val="0052732F"/>
    <w:rsid w:val="00527B86"/>
    <w:rsid w:val="005303EB"/>
    <w:rsid w:val="00530B8F"/>
    <w:rsid w:val="00537308"/>
    <w:rsid w:val="0054502C"/>
    <w:rsid w:val="00547E09"/>
    <w:rsid w:val="0055316D"/>
    <w:rsid w:val="005625A9"/>
    <w:rsid w:val="0056511B"/>
    <w:rsid w:val="00567D23"/>
    <w:rsid w:val="005709FF"/>
    <w:rsid w:val="005767DC"/>
    <w:rsid w:val="0058748C"/>
    <w:rsid w:val="00592EBC"/>
    <w:rsid w:val="005A1042"/>
    <w:rsid w:val="005A1554"/>
    <w:rsid w:val="005A3F75"/>
    <w:rsid w:val="005C60E0"/>
    <w:rsid w:val="005C6459"/>
    <w:rsid w:val="005D6553"/>
    <w:rsid w:val="005E081C"/>
    <w:rsid w:val="005F646D"/>
    <w:rsid w:val="005F7482"/>
    <w:rsid w:val="006042B5"/>
    <w:rsid w:val="006072B9"/>
    <w:rsid w:val="00616E75"/>
    <w:rsid w:val="0062180F"/>
    <w:rsid w:val="00621DAA"/>
    <w:rsid w:val="00625E73"/>
    <w:rsid w:val="0063737F"/>
    <w:rsid w:val="00663E3F"/>
    <w:rsid w:val="00665D42"/>
    <w:rsid w:val="00673789"/>
    <w:rsid w:val="00675487"/>
    <w:rsid w:val="006866C9"/>
    <w:rsid w:val="00694C5A"/>
    <w:rsid w:val="00697F3F"/>
    <w:rsid w:val="006A54D1"/>
    <w:rsid w:val="006A7DF1"/>
    <w:rsid w:val="006B57C3"/>
    <w:rsid w:val="006C58D1"/>
    <w:rsid w:val="006C5F85"/>
    <w:rsid w:val="006E67C2"/>
    <w:rsid w:val="006E6E1E"/>
    <w:rsid w:val="006F182C"/>
    <w:rsid w:val="006F5C54"/>
    <w:rsid w:val="00714094"/>
    <w:rsid w:val="00722FA1"/>
    <w:rsid w:val="007252BD"/>
    <w:rsid w:val="00733B24"/>
    <w:rsid w:val="0074195F"/>
    <w:rsid w:val="00742470"/>
    <w:rsid w:val="00743448"/>
    <w:rsid w:val="00753423"/>
    <w:rsid w:val="007566A4"/>
    <w:rsid w:val="00757AA7"/>
    <w:rsid w:val="0076180A"/>
    <w:rsid w:val="00762A06"/>
    <w:rsid w:val="007678ED"/>
    <w:rsid w:val="00775B7F"/>
    <w:rsid w:val="00781CA5"/>
    <w:rsid w:val="0078787A"/>
    <w:rsid w:val="0079338E"/>
    <w:rsid w:val="007B3A0F"/>
    <w:rsid w:val="007C0349"/>
    <w:rsid w:val="007C7D03"/>
    <w:rsid w:val="007D4BD4"/>
    <w:rsid w:val="007D724D"/>
    <w:rsid w:val="007E1249"/>
    <w:rsid w:val="007E19CB"/>
    <w:rsid w:val="00800762"/>
    <w:rsid w:val="00800B20"/>
    <w:rsid w:val="00802F41"/>
    <w:rsid w:val="00810AC5"/>
    <w:rsid w:val="00811DA8"/>
    <w:rsid w:val="00826795"/>
    <w:rsid w:val="00826E10"/>
    <w:rsid w:val="00830D64"/>
    <w:rsid w:val="00835A79"/>
    <w:rsid w:val="00835C89"/>
    <w:rsid w:val="008546C4"/>
    <w:rsid w:val="00874685"/>
    <w:rsid w:val="008779C6"/>
    <w:rsid w:val="008806F4"/>
    <w:rsid w:val="00880D5C"/>
    <w:rsid w:val="00891E11"/>
    <w:rsid w:val="00894600"/>
    <w:rsid w:val="008A14BA"/>
    <w:rsid w:val="008A5BB3"/>
    <w:rsid w:val="008B7DC4"/>
    <w:rsid w:val="008C4BC2"/>
    <w:rsid w:val="008D5C75"/>
    <w:rsid w:val="008D72F0"/>
    <w:rsid w:val="008D7A0A"/>
    <w:rsid w:val="008E6262"/>
    <w:rsid w:val="008F0854"/>
    <w:rsid w:val="008F16E2"/>
    <w:rsid w:val="008F25B7"/>
    <w:rsid w:val="008F3FE0"/>
    <w:rsid w:val="008F5EFA"/>
    <w:rsid w:val="009106B1"/>
    <w:rsid w:val="009209A8"/>
    <w:rsid w:val="0092137E"/>
    <w:rsid w:val="00922AFE"/>
    <w:rsid w:val="00931F1E"/>
    <w:rsid w:val="0095372F"/>
    <w:rsid w:val="00961206"/>
    <w:rsid w:val="00961850"/>
    <w:rsid w:val="00976923"/>
    <w:rsid w:val="009844BD"/>
    <w:rsid w:val="009907BE"/>
    <w:rsid w:val="00991419"/>
    <w:rsid w:val="00992754"/>
    <w:rsid w:val="009A0175"/>
    <w:rsid w:val="009A4DC0"/>
    <w:rsid w:val="009B0A8A"/>
    <w:rsid w:val="009B14E5"/>
    <w:rsid w:val="009B6E68"/>
    <w:rsid w:val="009E11AE"/>
    <w:rsid w:val="009E13F3"/>
    <w:rsid w:val="009E2194"/>
    <w:rsid w:val="009E4B4B"/>
    <w:rsid w:val="009E4D11"/>
    <w:rsid w:val="009F669B"/>
    <w:rsid w:val="00A01246"/>
    <w:rsid w:val="00A12226"/>
    <w:rsid w:val="00A2309E"/>
    <w:rsid w:val="00A25D13"/>
    <w:rsid w:val="00A36612"/>
    <w:rsid w:val="00A36A7F"/>
    <w:rsid w:val="00A46196"/>
    <w:rsid w:val="00A5241C"/>
    <w:rsid w:val="00A53382"/>
    <w:rsid w:val="00A6641C"/>
    <w:rsid w:val="00A711C1"/>
    <w:rsid w:val="00A7426B"/>
    <w:rsid w:val="00A7639C"/>
    <w:rsid w:val="00A76D1C"/>
    <w:rsid w:val="00A97F74"/>
    <w:rsid w:val="00AA1D01"/>
    <w:rsid w:val="00AB138E"/>
    <w:rsid w:val="00AC414B"/>
    <w:rsid w:val="00AC4416"/>
    <w:rsid w:val="00AC7A72"/>
    <w:rsid w:val="00AD4150"/>
    <w:rsid w:val="00AE0534"/>
    <w:rsid w:val="00AE1997"/>
    <w:rsid w:val="00AE20E2"/>
    <w:rsid w:val="00B003E7"/>
    <w:rsid w:val="00B026C1"/>
    <w:rsid w:val="00B1075D"/>
    <w:rsid w:val="00B1114F"/>
    <w:rsid w:val="00B25BAD"/>
    <w:rsid w:val="00B35444"/>
    <w:rsid w:val="00B478F5"/>
    <w:rsid w:val="00B57DD3"/>
    <w:rsid w:val="00B60CEB"/>
    <w:rsid w:val="00B63A83"/>
    <w:rsid w:val="00B6433C"/>
    <w:rsid w:val="00B90298"/>
    <w:rsid w:val="00BA1579"/>
    <w:rsid w:val="00BB1530"/>
    <w:rsid w:val="00BB7C18"/>
    <w:rsid w:val="00BC0EAF"/>
    <w:rsid w:val="00BD06ED"/>
    <w:rsid w:val="00BE110B"/>
    <w:rsid w:val="00BE3CA3"/>
    <w:rsid w:val="00BE5857"/>
    <w:rsid w:val="00C014FB"/>
    <w:rsid w:val="00C0287F"/>
    <w:rsid w:val="00C04A3F"/>
    <w:rsid w:val="00C05380"/>
    <w:rsid w:val="00C06B6E"/>
    <w:rsid w:val="00C079F0"/>
    <w:rsid w:val="00C20F2C"/>
    <w:rsid w:val="00C423EB"/>
    <w:rsid w:val="00C5150D"/>
    <w:rsid w:val="00C520BD"/>
    <w:rsid w:val="00C558D7"/>
    <w:rsid w:val="00C66D57"/>
    <w:rsid w:val="00C70D4E"/>
    <w:rsid w:val="00C711DA"/>
    <w:rsid w:val="00C769F0"/>
    <w:rsid w:val="00C91E97"/>
    <w:rsid w:val="00C92AD5"/>
    <w:rsid w:val="00C9356A"/>
    <w:rsid w:val="00CA17E2"/>
    <w:rsid w:val="00CA1C25"/>
    <w:rsid w:val="00CC2EE9"/>
    <w:rsid w:val="00CC3A75"/>
    <w:rsid w:val="00CC66BC"/>
    <w:rsid w:val="00CC76D7"/>
    <w:rsid w:val="00CD0C82"/>
    <w:rsid w:val="00CD341F"/>
    <w:rsid w:val="00CE0CCF"/>
    <w:rsid w:val="00CE36AD"/>
    <w:rsid w:val="00CE72A5"/>
    <w:rsid w:val="00CF60A1"/>
    <w:rsid w:val="00CF78E0"/>
    <w:rsid w:val="00D157B9"/>
    <w:rsid w:val="00D22885"/>
    <w:rsid w:val="00D259B8"/>
    <w:rsid w:val="00D3094A"/>
    <w:rsid w:val="00D33A6D"/>
    <w:rsid w:val="00D3460C"/>
    <w:rsid w:val="00D36472"/>
    <w:rsid w:val="00D4377F"/>
    <w:rsid w:val="00D51E1C"/>
    <w:rsid w:val="00D52D39"/>
    <w:rsid w:val="00D54C00"/>
    <w:rsid w:val="00D57A1D"/>
    <w:rsid w:val="00D60DB6"/>
    <w:rsid w:val="00D659D0"/>
    <w:rsid w:val="00D750C4"/>
    <w:rsid w:val="00D805FE"/>
    <w:rsid w:val="00D840E0"/>
    <w:rsid w:val="00D84E4D"/>
    <w:rsid w:val="00D856F0"/>
    <w:rsid w:val="00D869E9"/>
    <w:rsid w:val="00D86EB3"/>
    <w:rsid w:val="00D941D7"/>
    <w:rsid w:val="00DA1E25"/>
    <w:rsid w:val="00DA5A92"/>
    <w:rsid w:val="00DB0CAF"/>
    <w:rsid w:val="00DB2C5D"/>
    <w:rsid w:val="00DB4A0C"/>
    <w:rsid w:val="00DB60F4"/>
    <w:rsid w:val="00DB6C33"/>
    <w:rsid w:val="00DC3453"/>
    <w:rsid w:val="00DC50FD"/>
    <w:rsid w:val="00DD05DE"/>
    <w:rsid w:val="00DD0A85"/>
    <w:rsid w:val="00DD2C33"/>
    <w:rsid w:val="00DD5FAB"/>
    <w:rsid w:val="00DE52E3"/>
    <w:rsid w:val="00DE5F90"/>
    <w:rsid w:val="00DE79BA"/>
    <w:rsid w:val="00DF42F3"/>
    <w:rsid w:val="00E02FE7"/>
    <w:rsid w:val="00E07A5C"/>
    <w:rsid w:val="00E115DB"/>
    <w:rsid w:val="00E128B3"/>
    <w:rsid w:val="00E26840"/>
    <w:rsid w:val="00E27F6A"/>
    <w:rsid w:val="00E35060"/>
    <w:rsid w:val="00E45595"/>
    <w:rsid w:val="00E46063"/>
    <w:rsid w:val="00E46A3E"/>
    <w:rsid w:val="00E60471"/>
    <w:rsid w:val="00E615DA"/>
    <w:rsid w:val="00E66E37"/>
    <w:rsid w:val="00E75C02"/>
    <w:rsid w:val="00E77729"/>
    <w:rsid w:val="00E9252E"/>
    <w:rsid w:val="00E93E75"/>
    <w:rsid w:val="00ED0B27"/>
    <w:rsid w:val="00ED1C5B"/>
    <w:rsid w:val="00EE0869"/>
    <w:rsid w:val="00EE4A73"/>
    <w:rsid w:val="00EE556E"/>
    <w:rsid w:val="00EE59BD"/>
    <w:rsid w:val="00EF11AA"/>
    <w:rsid w:val="00EF6266"/>
    <w:rsid w:val="00F123E0"/>
    <w:rsid w:val="00F23993"/>
    <w:rsid w:val="00F25704"/>
    <w:rsid w:val="00F268F7"/>
    <w:rsid w:val="00F31A1A"/>
    <w:rsid w:val="00F37133"/>
    <w:rsid w:val="00F40D9B"/>
    <w:rsid w:val="00F45457"/>
    <w:rsid w:val="00F515CB"/>
    <w:rsid w:val="00F600DB"/>
    <w:rsid w:val="00F64F2E"/>
    <w:rsid w:val="00F66701"/>
    <w:rsid w:val="00F66869"/>
    <w:rsid w:val="00F80224"/>
    <w:rsid w:val="00F811AF"/>
    <w:rsid w:val="00F85392"/>
    <w:rsid w:val="00F97806"/>
    <w:rsid w:val="00FC0FAE"/>
    <w:rsid w:val="00FD1019"/>
    <w:rsid w:val="00FD2FA8"/>
    <w:rsid w:val="00FD7C38"/>
    <w:rsid w:val="00FF0474"/>
    <w:rsid w:val="00FF26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0EAB2F1-8E06-45F5-8372-5C4542C2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EndnoteText">
    <w:name w:val="endnote text"/>
    <w:basedOn w:val="Normal"/>
    <w:link w:val="EndnoteTextChar"/>
    <w:uiPriority w:val="99"/>
    <w:semiHidden/>
    <w:unhideWhenUsed/>
    <w:rsid w:val="00DD05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05DE"/>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D05DE"/>
    <w:rPr>
      <w:vertAlign w:val="superscript"/>
    </w:rPr>
  </w:style>
  <w:style w:type="paragraph" w:styleId="FootnoteText">
    <w:name w:val="footnote text"/>
    <w:aliases w:val="5_G"/>
    <w:basedOn w:val="Normal"/>
    <w:link w:val="FootnoteTextChar"/>
    <w:uiPriority w:val="99"/>
    <w:unhideWhenUsed/>
    <w:qFormat/>
    <w:rsid w:val="007D4BD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7D4BD4"/>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D4BD4"/>
    <w:rPr>
      <w:vertAlign w:val="superscript"/>
    </w:rPr>
  </w:style>
  <w:style w:type="paragraph" w:styleId="NoSpacing">
    <w:name w:val="No Spacing"/>
    <w:link w:val="NoSpacingChar"/>
    <w:uiPriority w:val="1"/>
    <w:qFormat/>
    <w:rsid w:val="00D941D7"/>
    <w:pPr>
      <w:bidi/>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941D7"/>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1C1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500843">
      <w:bodyDiv w:val="1"/>
      <w:marLeft w:val="0"/>
      <w:marRight w:val="0"/>
      <w:marTop w:val="0"/>
      <w:marBottom w:val="0"/>
      <w:divBdr>
        <w:top w:val="none" w:sz="0" w:space="0" w:color="auto"/>
        <w:left w:val="none" w:sz="0" w:space="0" w:color="auto"/>
        <w:bottom w:val="none" w:sz="0" w:space="0" w:color="auto"/>
        <w:right w:val="none" w:sz="0" w:space="0" w:color="auto"/>
      </w:divBdr>
    </w:div>
    <w:div w:id="79792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inyl.io/BTZK%20" TargetMode="External"/><Relationship Id="rId3" Type="http://schemas.openxmlformats.org/officeDocument/2006/relationships/hyperlink" Target="https://tinyl.io/BTcJ%20" TargetMode="External"/><Relationship Id="rId7" Type="http://schemas.openxmlformats.org/officeDocument/2006/relationships/hyperlink" Target="https://tinyl.io/BTYF%20" TargetMode="External"/><Relationship Id="rId2" Type="http://schemas.openxmlformats.org/officeDocument/2006/relationships/hyperlink" Target="https://tinyurl.com/ylswh3ha" TargetMode="External"/><Relationship Id="rId1" Type="http://schemas.openxmlformats.org/officeDocument/2006/relationships/hyperlink" Target="https://tinyl.io/BU1X%20" TargetMode="External"/><Relationship Id="rId6" Type="http://schemas.openxmlformats.org/officeDocument/2006/relationships/hyperlink" Target="https://tinyl.co/3KTS" TargetMode="External"/><Relationship Id="rId11" Type="http://schemas.openxmlformats.org/officeDocument/2006/relationships/hyperlink" Target="https://tinyl.io/BTbm%20" TargetMode="External"/><Relationship Id="rId5" Type="http://schemas.openxmlformats.org/officeDocument/2006/relationships/hyperlink" Target="https://tinyl.io/BTcY%20" TargetMode="External"/><Relationship Id="rId10" Type="http://schemas.openxmlformats.org/officeDocument/2006/relationships/hyperlink" Target="https://tinyl.io/BTaZ%20" TargetMode="External"/><Relationship Id="rId4" Type="http://schemas.openxmlformats.org/officeDocument/2006/relationships/hyperlink" Target="https://tinyl.io/BU1k%20" TargetMode="External"/><Relationship Id="rId9" Type="http://schemas.openxmlformats.org/officeDocument/2006/relationships/hyperlink" Target="https://tinyl.io/BTao%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CD5B3-3197-4142-8A9C-63FAB7283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Template>
  <TotalTime>3119</TotalTime>
  <Pages>5</Pages>
  <Words>1691</Words>
  <Characters>9643</Characters>
  <Application>Microsoft Office Word</Application>
  <DocSecurity>0</DocSecurity>
  <Lines>80</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dc:description/>
  <cp:lastModifiedBy>kenzy osama</cp:lastModifiedBy>
  <cp:revision>66</cp:revision>
  <cp:lastPrinted>2015-08-01T10:34:00Z</cp:lastPrinted>
  <dcterms:created xsi:type="dcterms:W3CDTF">2020-06-04T11:16:00Z</dcterms:created>
  <dcterms:modified xsi:type="dcterms:W3CDTF">2025-05-26T08:55:00Z</dcterms:modified>
</cp:coreProperties>
</file>