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DC349E" w14:textId="77777777" w:rsidR="00AB06C0" w:rsidRDefault="00AB06C0"/>
    <w:p w14:paraId="27ECA002" w14:textId="547B01B9" w:rsidR="00293BD5" w:rsidRDefault="00967C74" w:rsidP="00916C4E">
      <w:pPr>
        <w:autoSpaceDE w:val="0"/>
        <w:autoSpaceDN w:val="0"/>
        <w:adjustRightInd w:val="0"/>
        <w:spacing w:after="0" w:line="240" w:lineRule="auto"/>
        <w:jc w:val="both"/>
        <w:rPr>
          <w:rFonts w:ascii="Calibri" w:eastAsia="Calibri" w:hAnsi="Calibri" w:cs="Times New Roman"/>
          <w:b/>
          <w:bCs/>
          <w:sz w:val="24"/>
          <w:szCs w:val="24"/>
        </w:rPr>
      </w:pPr>
      <w:r>
        <w:rPr>
          <w:rFonts w:ascii="Calibri" w:eastAsia="Calibri" w:hAnsi="Calibri" w:cs="Times New Roman"/>
          <w:b/>
          <w:bCs/>
          <w:sz w:val="24"/>
          <w:szCs w:val="24"/>
        </w:rPr>
        <w:t>RESPUESTA DE ESPAÑA A LA LISTA DE PREGUNTAS</w:t>
      </w:r>
      <w:r w:rsidR="0061666C">
        <w:rPr>
          <w:rFonts w:ascii="Calibri" w:eastAsia="Calibri" w:hAnsi="Calibri" w:cs="Times New Roman"/>
          <w:b/>
          <w:bCs/>
          <w:sz w:val="24"/>
          <w:szCs w:val="24"/>
        </w:rPr>
        <w:t xml:space="preserve"> DEL COMITÉ</w:t>
      </w:r>
      <w:r>
        <w:rPr>
          <w:rFonts w:ascii="Calibri" w:eastAsia="Calibri" w:hAnsi="Calibri" w:cs="Times New Roman"/>
          <w:b/>
          <w:bCs/>
          <w:sz w:val="24"/>
          <w:szCs w:val="24"/>
        </w:rPr>
        <w:t xml:space="preserve"> CONTRA LA DESAPARICIÓN FORZADA PARA EL EXAMEN DE LA INFORM ACIÓN COMPLEMENTARIA PRESENTADA EN VIRTUD DEL ART. 29.4 DE LA CONVENCIÓN</w:t>
      </w:r>
      <w:r w:rsidR="00916C4E">
        <w:rPr>
          <w:rFonts w:ascii="Calibri" w:eastAsia="Calibri" w:hAnsi="Calibri" w:cs="Times New Roman"/>
          <w:b/>
          <w:bCs/>
          <w:sz w:val="24"/>
          <w:szCs w:val="24"/>
        </w:rPr>
        <w:t xml:space="preserve"> INTERNACIONAL PARA LA PROTECCIÓN DE TODAS LAS PERSONAS CONTRA LAS DESAPARICIONES FORZADAS</w:t>
      </w:r>
    </w:p>
    <w:p w14:paraId="0DFDEA81" w14:textId="611A179A" w:rsidR="00916C4E" w:rsidRDefault="00916C4E" w:rsidP="00916C4E">
      <w:pPr>
        <w:autoSpaceDE w:val="0"/>
        <w:autoSpaceDN w:val="0"/>
        <w:adjustRightInd w:val="0"/>
        <w:spacing w:after="0" w:line="240" w:lineRule="auto"/>
        <w:rPr>
          <w:rFonts w:ascii="Calibri" w:eastAsia="Calibri" w:hAnsi="Calibri" w:cs="Times New Roman"/>
          <w:b/>
          <w:bCs/>
          <w:sz w:val="24"/>
          <w:szCs w:val="24"/>
        </w:rPr>
      </w:pPr>
    </w:p>
    <w:p w14:paraId="41084663" w14:textId="75811CD4" w:rsidR="00916C4E" w:rsidRDefault="00916C4E" w:rsidP="00916C4E">
      <w:pPr>
        <w:autoSpaceDE w:val="0"/>
        <w:autoSpaceDN w:val="0"/>
        <w:adjustRightInd w:val="0"/>
        <w:spacing w:after="0" w:line="240" w:lineRule="auto"/>
        <w:rPr>
          <w:rFonts w:ascii="Calibri" w:eastAsia="Calibri" w:hAnsi="Calibri" w:cs="Times New Roman"/>
          <w:b/>
          <w:bCs/>
          <w:sz w:val="24"/>
          <w:szCs w:val="24"/>
        </w:rPr>
      </w:pPr>
    </w:p>
    <w:p w14:paraId="0EE88DF0" w14:textId="0A99DFD8" w:rsidR="00916C4E" w:rsidRDefault="00916C4E" w:rsidP="00916C4E">
      <w:pPr>
        <w:autoSpaceDE w:val="0"/>
        <w:autoSpaceDN w:val="0"/>
        <w:adjustRightInd w:val="0"/>
        <w:spacing w:after="0" w:line="240" w:lineRule="auto"/>
        <w:rPr>
          <w:rFonts w:ascii="Calibri" w:eastAsia="Calibri" w:hAnsi="Calibri" w:cs="Times New Roman"/>
          <w:b/>
          <w:bCs/>
          <w:sz w:val="24"/>
          <w:szCs w:val="24"/>
        </w:rPr>
      </w:pPr>
    </w:p>
    <w:p w14:paraId="3BC3472A" w14:textId="77777777" w:rsidR="00293BD5" w:rsidRPr="00293BD5" w:rsidRDefault="00293BD5" w:rsidP="00293BD5">
      <w:pPr>
        <w:jc w:val="both"/>
        <w:rPr>
          <w:rFonts w:ascii="Arial" w:eastAsia="Calibri" w:hAnsi="Arial" w:cs="Arial"/>
          <w:b/>
          <w:sz w:val="24"/>
          <w:szCs w:val="24"/>
        </w:rPr>
      </w:pPr>
      <w:r w:rsidRPr="00293BD5">
        <w:rPr>
          <w:rFonts w:ascii="Arial" w:eastAsia="Calibri" w:hAnsi="Arial" w:cs="Arial"/>
          <w:b/>
          <w:sz w:val="24"/>
          <w:szCs w:val="24"/>
        </w:rPr>
        <w:t>1. En relación con el artículo 167, párrafo 2, del Código Penal, sírvanse informar qué se entiende por “funcionario público o autoridad” en la legislación interna y precisar si cualquier agente del Estado quedaría comprendido en el concepto de “funcionario público o autoridad”. Toda vez que el delito previsto en el artículo 167, párrafo 2, (a) y (b), no establece una pena específica, sírvanse aclarar cómo se arriba a la determinación del monto de las penas a las que se hace referencia en el párrafo 10 de la información complementaria presentada por el Estado parte. Sírvanse también explicar los motivos por los cuales el tipo penal del artículo 167, párrafo 2, no se refiere explícitamente a la desaparición forzada y difiere de la definición contenida en el artículo 607 bis, párrafo 6, del mismo cuerpo normativo.</w:t>
      </w:r>
    </w:p>
    <w:p w14:paraId="4D8DF950" w14:textId="77777777" w:rsidR="00293BD5" w:rsidRPr="00293BD5" w:rsidRDefault="00293BD5" w:rsidP="00293BD5">
      <w:pPr>
        <w:numPr>
          <w:ilvl w:val="0"/>
          <w:numId w:val="4"/>
        </w:numPr>
        <w:spacing w:after="0" w:line="240" w:lineRule="auto"/>
        <w:contextualSpacing/>
        <w:jc w:val="both"/>
        <w:rPr>
          <w:rFonts w:ascii="Arial" w:eastAsia="Calibri" w:hAnsi="Arial" w:cs="Arial"/>
          <w:sz w:val="24"/>
          <w:szCs w:val="24"/>
        </w:rPr>
      </w:pPr>
      <w:r w:rsidRPr="00293BD5">
        <w:rPr>
          <w:rFonts w:ascii="Arial" w:eastAsia="Calibri" w:hAnsi="Arial" w:cs="Arial"/>
          <w:sz w:val="24"/>
          <w:szCs w:val="24"/>
        </w:rPr>
        <w:t xml:space="preserve">La definición técnico-jurídica de autoridad y funcionario público está establecida en el ordenamiento jurídico español, en concreto, en la legislación penal: </w:t>
      </w:r>
    </w:p>
    <w:p w14:paraId="5AA250D8" w14:textId="77777777" w:rsidR="00293BD5" w:rsidRPr="00293BD5" w:rsidRDefault="00293BD5" w:rsidP="00293BD5">
      <w:pPr>
        <w:ind w:left="720"/>
        <w:contextualSpacing/>
        <w:jc w:val="both"/>
        <w:rPr>
          <w:rFonts w:ascii="Arial" w:eastAsia="Calibri" w:hAnsi="Arial" w:cs="Arial"/>
          <w:sz w:val="24"/>
          <w:szCs w:val="24"/>
        </w:rPr>
      </w:pPr>
    </w:p>
    <w:p w14:paraId="2004660E" w14:textId="77777777" w:rsidR="00293BD5" w:rsidRPr="00293BD5" w:rsidRDefault="00293BD5" w:rsidP="00293BD5">
      <w:pPr>
        <w:numPr>
          <w:ilvl w:val="0"/>
          <w:numId w:val="6"/>
        </w:numPr>
        <w:spacing w:after="0" w:line="240" w:lineRule="auto"/>
        <w:ind w:left="1068"/>
        <w:contextualSpacing/>
        <w:jc w:val="both"/>
        <w:rPr>
          <w:rFonts w:ascii="Arial" w:eastAsia="Calibri" w:hAnsi="Arial" w:cs="Arial"/>
          <w:sz w:val="24"/>
          <w:szCs w:val="24"/>
        </w:rPr>
      </w:pPr>
      <w:r w:rsidRPr="00293BD5">
        <w:rPr>
          <w:rFonts w:ascii="Arial" w:eastAsia="Calibri" w:hAnsi="Arial" w:cs="Arial"/>
          <w:sz w:val="24"/>
          <w:szCs w:val="24"/>
        </w:rPr>
        <w:t xml:space="preserve">en el </w:t>
      </w:r>
      <w:hyperlink r:id="rId7" w:anchor="a24" w:history="1">
        <w:r w:rsidRPr="00293BD5">
          <w:rPr>
            <w:rFonts w:ascii="Arial" w:eastAsia="Calibri" w:hAnsi="Arial" w:cs="Arial"/>
            <w:color w:val="0563C1"/>
            <w:sz w:val="24"/>
            <w:szCs w:val="24"/>
            <w:u w:val="single"/>
          </w:rPr>
          <w:t>art. 24.1 Código Penal</w:t>
        </w:r>
      </w:hyperlink>
      <w:r w:rsidRPr="00293BD5">
        <w:rPr>
          <w:rFonts w:ascii="Arial" w:eastAsia="Calibri" w:hAnsi="Arial" w:cs="Arial"/>
          <w:sz w:val="24"/>
          <w:szCs w:val="24"/>
        </w:rPr>
        <w:t xml:space="preserve"> se establece que, a los efectos penales se reputará autoridad “al que por sí solo o como miembro de alguna corporación, tribunal u órgano colegiado tenga mando o ejerza jurisdicción propia. En todo caso, tendrán la consideración de autoridad los miembros del Congreso de los Diputados, del Senado, de las Asambleas Legislativas de las Comunidades Autónomas y del Parlamento Europeo. Tendrán también la consideración de autoridad los funcionarios del Ministerio Fiscal y los Fiscales de la Fiscalía Europea”;</w:t>
      </w:r>
    </w:p>
    <w:p w14:paraId="63CBFD07" w14:textId="77777777" w:rsidR="00293BD5" w:rsidRPr="00293BD5" w:rsidRDefault="00293BD5" w:rsidP="00293BD5">
      <w:pPr>
        <w:ind w:left="1416"/>
        <w:contextualSpacing/>
        <w:jc w:val="both"/>
        <w:rPr>
          <w:rFonts w:ascii="Arial" w:eastAsia="Calibri" w:hAnsi="Arial" w:cs="Arial"/>
          <w:sz w:val="24"/>
          <w:szCs w:val="24"/>
        </w:rPr>
      </w:pPr>
    </w:p>
    <w:p w14:paraId="23B6DC7F" w14:textId="77777777" w:rsidR="00293BD5" w:rsidRPr="00293BD5" w:rsidRDefault="00293BD5" w:rsidP="00293BD5">
      <w:pPr>
        <w:numPr>
          <w:ilvl w:val="0"/>
          <w:numId w:val="6"/>
        </w:numPr>
        <w:spacing w:after="0" w:line="240" w:lineRule="auto"/>
        <w:ind w:left="1068"/>
        <w:contextualSpacing/>
        <w:jc w:val="both"/>
        <w:rPr>
          <w:rFonts w:ascii="Arial" w:eastAsia="Calibri" w:hAnsi="Arial" w:cs="Arial"/>
          <w:sz w:val="24"/>
          <w:szCs w:val="24"/>
        </w:rPr>
      </w:pPr>
      <w:r w:rsidRPr="00293BD5">
        <w:rPr>
          <w:rFonts w:ascii="Arial" w:eastAsia="Calibri" w:hAnsi="Arial" w:cs="Arial"/>
          <w:sz w:val="24"/>
          <w:szCs w:val="24"/>
        </w:rPr>
        <w:t>por su parte, se considera como funcionario público “todo el que por disposición inmediata de la Ley o por elección o por nombramiento de autoridad competente participe en el ejercicio de funciones públicas.” (</w:t>
      </w:r>
      <w:hyperlink r:id="rId8" w:anchor="a24" w:history="1">
        <w:r w:rsidRPr="00293BD5">
          <w:rPr>
            <w:rFonts w:ascii="Arial" w:eastAsia="Calibri" w:hAnsi="Arial" w:cs="Arial"/>
            <w:color w:val="0563C1"/>
            <w:sz w:val="24"/>
            <w:szCs w:val="24"/>
            <w:u w:val="single"/>
          </w:rPr>
          <w:t>art. 24.2 Código Penal</w:t>
        </w:r>
      </w:hyperlink>
      <w:r w:rsidRPr="00293BD5">
        <w:rPr>
          <w:rFonts w:ascii="Arial" w:eastAsia="Calibri" w:hAnsi="Arial" w:cs="Arial"/>
          <w:sz w:val="24"/>
          <w:szCs w:val="24"/>
        </w:rPr>
        <w:t>).</w:t>
      </w:r>
    </w:p>
    <w:p w14:paraId="3935BDA4" w14:textId="77777777" w:rsidR="00293BD5" w:rsidRPr="00293BD5" w:rsidRDefault="00293BD5" w:rsidP="00293BD5">
      <w:pPr>
        <w:ind w:left="1068"/>
        <w:contextualSpacing/>
        <w:jc w:val="both"/>
        <w:rPr>
          <w:rFonts w:ascii="Arial" w:eastAsia="Calibri" w:hAnsi="Arial" w:cs="Arial"/>
          <w:sz w:val="24"/>
          <w:szCs w:val="24"/>
        </w:rPr>
      </w:pPr>
    </w:p>
    <w:p w14:paraId="5DB91DAF" w14:textId="77777777" w:rsidR="00293BD5" w:rsidRDefault="00293BD5" w:rsidP="00293BD5">
      <w:pPr>
        <w:numPr>
          <w:ilvl w:val="0"/>
          <w:numId w:val="5"/>
        </w:numPr>
        <w:spacing w:after="0" w:line="240" w:lineRule="auto"/>
        <w:contextualSpacing/>
        <w:jc w:val="both"/>
        <w:rPr>
          <w:rFonts w:ascii="Arial" w:eastAsia="Calibri" w:hAnsi="Arial" w:cs="Arial"/>
          <w:sz w:val="24"/>
          <w:szCs w:val="24"/>
        </w:rPr>
      </w:pPr>
      <w:r w:rsidRPr="00293BD5">
        <w:rPr>
          <w:rFonts w:ascii="Arial" w:eastAsia="Calibri" w:hAnsi="Arial" w:cs="Arial"/>
          <w:sz w:val="24"/>
          <w:szCs w:val="24"/>
        </w:rPr>
        <w:t xml:space="preserve">Respecto del monto de la pena </w:t>
      </w:r>
      <w:r>
        <w:rPr>
          <w:rFonts w:ascii="Arial" w:eastAsia="Calibri" w:hAnsi="Arial" w:cs="Arial"/>
          <w:sz w:val="24"/>
          <w:szCs w:val="24"/>
        </w:rPr>
        <w:t xml:space="preserve">al </w:t>
      </w:r>
      <w:r w:rsidRPr="00293BD5">
        <w:rPr>
          <w:rFonts w:ascii="Arial" w:eastAsia="Calibri" w:hAnsi="Arial" w:cs="Arial"/>
          <w:sz w:val="24"/>
          <w:szCs w:val="24"/>
        </w:rPr>
        <w:t xml:space="preserve">que se hace referencia en el párrafo 10 de la Información complementaria y su cálculo: </w:t>
      </w:r>
    </w:p>
    <w:p w14:paraId="21B4AC00" w14:textId="77777777" w:rsidR="00293BD5" w:rsidRPr="00293BD5" w:rsidRDefault="00293BD5" w:rsidP="00293BD5">
      <w:pPr>
        <w:spacing w:after="0" w:line="240" w:lineRule="auto"/>
        <w:ind w:left="720"/>
        <w:contextualSpacing/>
        <w:jc w:val="both"/>
        <w:rPr>
          <w:rFonts w:ascii="Arial" w:eastAsia="Calibri" w:hAnsi="Arial" w:cs="Arial"/>
          <w:sz w:val="24"/>
          <w:szCs w:val="24"/>
        </w:rPr>
      </w:pPr>
    </w:p>
    <w:p w14:paraId="2B374548" w14:textId="77777777" w:rsidR="00293BD5" w:rsidRPr="00293BD5" w:rsidRDefault="00293BD5" w:rsidP="00293BD5">
      <w:pPr>
        <w:numPr>
          <w:ilvl w:val="1"/>
          <w:numId w:val="6"/>
        </w:numPr>
        <w:spacing w:after="0" w:line="240" w:lineRule="auto"/>
        <w:contextualSpacing/>
        <w:jc w:val="both"/>
        <w:rPr>
          <w:rFonts w:ascii="Arial" w:eastAsia="Calibri" w:hAnsi="Arial" w:cs="Arial"/>
          <w:sz w:val="24"/>
          <w:szCs w:val="24"/>
        </w:rPr>
      </w:pPr>
      <w:r w:rsidRPr="00293BD5">
        <w:rPr>
          <w:rFonts w:ascii="Arial" w:eastAsia="Calibri" w:hAnsi="Arial" w:cs="Arial"/>
          <w:sz w:val="24"/>
          <w:szCs w:val="24"/>
        </w:rPr>
        <w:t xml:space="preserve">La tipificación del ocultamiento del paradero de la persona desaparecida no dando razón de su suerte se encuentra en el </w:t>
      </w:r>
      <w:hyperlink r:id="rId9" w:anchor="a166" w:history="1">
        <w:r w:rsidRPr="00293BD5">
          <w:rPr>
            <w:rFonts w:ascii="Arial" w:eastAsia="Calibri" w:hAnsi="Arial" w:cs="Arial"/>
            <w:color w:val="0563C1"/>
            <w:sz w:val="24"/>
            <w:szCs w:val="24"/>
            <w:u w:val="single"/>
          </w:rPr>
          <w:t>art. 166.1 Código Penal</w:t>
        </w:r>
      </w:hyperlink>
      <w:r w:rsidRPr="00293BD5">
        <w:rPr>
          <w:rFonts w:ascii="Arial" w:eastAsia="Calibri" w:hAnsi="Arial" w:cs="Arial"/>
          <w:sz w:val="24"/>
          <w:szCs w:val="24"/>
        </w:rPr>
        <w:t xml:space="preserve">, estableciendo una pena de prisión: </w:t>
      </w:r>
    </w:p>
    <w:p w14:paraId="0269A75D" w14:textId="77777777" w:rsidR="00293BD5" w:rsidRPr="00293BD5" w:rsidRDefault="00293BD5" w:rsidP="00293BD5">
      <w:pPr>
        <w:numPr>
          <w:ilvl w:val="2"/>
          <w:numId w:val="6"/>
        </w:numPr>
        <w:spacing w:after="0" w:line="240" w:lineRule="auto"/>
        <w:contextualSpacing/>
        <w:jc w:val="both"/>
        <w:rPr>
          <w:rFonts w:ascii="Arial" w:eastAsia="Calibri" w:hAnsi="Arial" w:cs="Arial"/>
          <w:sz w:val="24"/>
          <w:szCs w:val="24"/>
        </w:rPr>
      </w:pPr>
      <w:r w:rsidRPr="00293BD5">
        <w:rPr>
          <w:rFonts w:ascii="Arial" w:eastAsia="Calibri" w:hAnsi="Arial" w:cs="Arial"/>
          <w:sz w:val="24"/>
          <w:szCs w:val="24"/>
        </w:rPr>
        <w:t>De diez a quince años en caso de detención ilegal;</w:t>
      </w:r>
    </w:p>
    <w:p w14:paraId="2A4643D9" w14:textId="77777777" w:rsidR="00293BD5" w:rsidRPr="00293BD5" w:rsidRDefault="00293BD5" w:rsidP="00293BD5">
      <w:pPr>
        <w:numPr>
          <w:ilvl w:val="2"/>
          <w:numId w:val="6"/>
        </w:numPr>
        <w:spacing w:after="0" w:line="240" w:lineRule="auto"/>
        <w:contextualSpacing/>
        <w:jc w:val="both"/>
        <w:rPr>
          <w:rFonts w:ascii="Arial" w:eastAsia="Calibri" w:hAnsi="Arial" w:cs="Arial"/>
          <w:sz w:val="24"/>
          <w:szCs w:val="24"/>
        </w:rPr>
      </w:pPr>
      <w:r w:rsidRPr="00293BD5">
        <w:rPr>
          <w:rFonts w:ascii="Arial" w:eastAsia="Calibri" w:hAnsi="Arial" w:cs="Arial"/>
          <w:sz w:val="24"/>
          <w:szCs w:val="24"/>
        </w:rPr>
        <w:t>De quince a veinte años en caso de secuestro;</w:t>
      </w:r>
    </w:p>
    <w:p w14:paraId="64A5A3FD" w14:textId="77777777" w:rsidR="00293BD5" w:rsidRPr="00293BD5" w:rsidRDefault="00293BD5" w:rsidP="00293BD5">
      <w:pPr>
        <w:numPr>
          <w:ilvl w:val="2"/>
          <w:numId w:val="6"/>
        </w:numPr>
        <w:spacing w:after="0" w:line="240" w:lineRule="auto"/>
        <w:contextualSpacing/>
        <w:jc w:val="both"/>
        <w:rPr>
          <w:rFonts w:ascii="Arial" w:eastAsia="Calibri" w:hAnsi="Arial" w:cs="Arial"/>
          <w:sz w:val="24"/>
          <w:szCs w:val="24"/>
        </w:rPr>
      </w:pPr>
      <w:r w:rsidRPr="00293BD5">
        <w:rPr>
          <w:rFonts w:ascii="Arial" w:eastAsia="Calibri" w:hAnsi="Arial" w:cs="Arial"/>
          <w:sz w:val="24"/>
          <w:szCs w:val="24"/>
        </w:rPr>
        <w:lastRenderedPageBreak/>
        <w:t xml:space="preserve">En caso de que esos comportamientos fueran realizados por autoridad o funcionario público, dichas penas han de aumentarse “en su mitad superior, pudiéndose llegar hasta la superior en grado”, como señala el </w:t>
      </w:r>
      <w:hyperlink r:id="rId10" w:anchor="a167" w:history="1">
        <w:r w:rsidRPr="00293BD5">
          <w:rPr>
            <w:rFonts w:ascii="Arial" w:eastAsia="Calibri" w:hAnsi="Arial" w:cs="Arial"/>
            <w:color w:val="0563C1"/>
            <w:sz w:val="24"/>
            <w:szCs w:val="24"/>
            <w:u w:val="single"/>
          </w:rPr>
          <w:t>art. 167.1 Código Penal</w:t>
        </w:r>
      </w:hyperlink>
      <w:r w:rsidRPr="00293BD5">
        <w:rPr>
          <w:rFonts w:ascii="Arial" w:eastAsia="Calibri" w:hAnsi="Arial" w:cs="Arial"/>
          <w:sz w:val="24"/>
          <w:szCs w:val="24"/>
        </w:rPr>
        <w:t>;</w:t>
      </w:r>
    </w:p>
    <w:p w14:paraId="41910EAE" w14:textId="77777777" w:rsidR="00293BD5" w:rsidRDefault="00293BD5" w:rsidP="00293BD5">
      <w:pPr>
        <w:numPr>
          <w:ilvl w:val="2"/>
          <w:numId w:val="6"/>
        </w:numPr>
        <w:spacing w:after="0" w:line="240" w:lineRule="auto"/>
        <w:contextualSpacing/>
        <w:jc w:val="both"/>
        <w:rPr>
          <w:rFonts w:ascii="Arial" w:eastAsia="Calibri" w:hAnsi="Arial" w:cs="Arial"/>
          <w:sz w:val="24"/>
          <w:szCs w:val="24"/>
        </w:rPr>
      </w:pPr>
      <w:r w:rsidRPr="00293BD5">
        <w:rPr>
          <w:rFonts w:ascii="Arial" w:eastAsia="Calibri" w:hAnsi="Arial" w:cs="Arial"/>
          <w:sz w:val="24"/>
          <w:szCs w:val="24"/>
        </w:rPr>
        <w:t xml:space="preserve">En caso de que el culpable diera liberad al encerrado o detenido dentro de los tres primeros días de detención, sin haber logrado el objeto que se había propuesto, se impondrá la pena inferior en grado, conforme el </w:t>
      </w:r>
      <w:hyperlink r:id="rId11" w:anchor="a163" w:history="1">
        <w:r w:rsidRPr="00293BD5">
          <w:rPr>
            <w:rFonts w:ascii="Arial" w:eastAsia="Calibri" w:hAnsi="Arial" w:cs="Arial"/>
            <w:color w:val="0563C1"/>
            <w:sz w:val="24"/>
            <w:szCs w:val="24"/>
            <w:u w:val="single"/>
          </w:rPr>
          <w:t>art. 163.2 Código Penal</w:t>
        </w:r>
      </w:hyperlink>
      <w:r w:rsidRPr="00293BD5">
        <w:rPr>
          <w:rFonts w:ascii="Arial" w:eastAsia="Calibri" w:hAnsi="Arial" w:cs="Arial"/>
          <w:sz w:val="24"/>
          <w:szCs w:val="24"/>
        </w:rPr>
        <w:t>;</w:t>
      </w:r>
    </w:p>
    <w:p w14:paraId="74ED0705" w14:textId="77777777" w:rsidR="00293BD5" w:rsidRPr="00293BD5" w:rsidRDefault="00293BD5" w:rsidP="00293BD5">
      <w:pPr>
        <w:spacing w:after="0" w:line="240" w:lineRule="auto"/>
        <w:ind w:left="2160"/>
        <w:contextualSpacing/>
        <w:jc w:val="both"/>
        <w:rPr>
          <w:rFonts w:ascii="Arial" w:eastAsia="Calibri" w:hAnsi="Arial" w:cs="Arial"/>
          <w:sz w:val="24"/>
          <w:szCs w:val="24"/>
        </w:rPr>
      </w:pPr>
    </w:p>
    <w:p w14:paraId="4433348A" w14:textId="77777777" w:rsidR="00293BD5" w:rsidRDefault="00293BD5" w:rsidP="00293BD5">
      <w:pPr>
        <w:numPr>
          <w:ilvl w:val="1"/>
          <w:numId w:val="6"/>
        </w:numPr>
        <w:spacing w:after="0" w:line="240" w:lineRule="auto"/>
        <w:contextualSpacing/>
        <w:jc w:val="both"/>
        <w:rPr>
          <w:rFonts w:ascii="Arial" w:eastAsia="Calibri" w:hAnsi="Arial" w:cs="Arial"/>
          <w:sz w:val="24"/>
          <w:szCs w:val="24"/>
        </w:rPr>
      </w:pPr>
      <w:r w:rsidRPr="00293BD5">
        <w:rPr>
          <w:rFonts w:ascii="Arial" w:eastAsia="Calibri" w:hAnsi="Arial" w:cs="Arial"/>
          <w:sz w:val="24"/>
          <w:szCs w:val="24"/>
        </w:rPr>
        <w:t>La tipificación de los comporta</w:t>
      </w:r>
      <w:r>
        <w:rPr>
          <w:rFonts w:ascii="Arial" w:eastAsia="Calibri" w:hAnsi="Arial" w:cs="Arial"/>
          <w:sz w:val="24"/>
          <w:szCs w:val="24"/>
        </w:rPr>
        <w:t>mientos anteriores, si además</w:t>
      </w:r>
      <w:r w:rsidRPr="00293BD5">
        <w:rPr>
          <w:rFonts w:ascii="Arial" w:eastAsia="Calibri" w:hAnsi="Arial" w:cs="Arial"/>
          <w:sz w:val="24"/>
          <w:szCs w:val="24"/>
        </w:rPr>
        <w:t xml:space="preserve"> para conseguir la liberación se hubiese impuesto alguna condición, como el pago de una cantidad, se encuentra en el </w:t>
      </w:r>
      <w:hyperlink r:id="rId12" w:anchor="a164" w:history="1">
        <w:r w:rsidRPr="00293BD5">
          <w:rPr>
            <w:rFonts w:ascii="Arial" w:eastAsia="Calibri" w:hAnsi="Arial" w:cs="Arial"/>
            <w:color w:val="0563C1"/>
            <w:sz w:val="24"/>
            <w:szCs w:val="24"/>
            <w:u w:val="single"/>
          </w:rPr>
          <w:t>art. 164 Código Penal</w:t>
        </w:r>
      </w:hyperlink>
      <w:r w:rsidRPr="00293BD5">
        <w:rPr>
          <w:rFonts w:ascii="Arial" w:eastAsia="Calibri" w:hAnsi="Arial" w:cs="Arial"/>
          <w:sz w:val="24"/>
          <w:szCs w:val="24"/>
        </w:rPr>
        <w:t>;</w:t>
      </w:r>
    </w:p>
    <w:p w14:paraId="7B73775C" w14:textId="77777777" w:rsidR="00293BD5" w:rsidRPr="00293BD5" w:rsidRDefault="00293BD5" w:rsidP="00293BD5">
      <w:pPr>
        <w:spacing w:after="0" w:line="240" w:lineRule="auto"/>
        <w:ind w:left="1440"/>
        <w:contextualSpacing/>
        <w:jc w:val="both"/>
        <w:rPr>
          <w:rFonts w:ascii="Arial" w:eastAsia="Calibri" w:hAnsi="Arial" w:cs="Arial"/>
          <w:sz w:val="24"/>
          <w:szCs w:val="24"/>
        </w:rPr>
      </w:pPr>
    </w:p>
    <w:p w14:paraId="17B6ED79" w14:textId="77777777" w:rsidR="00293BD5" w:rsidRPr="00293BD5" w:rsidRDefault="00293BD5" w:rsidP="00293BD5">
      <w:pPr>
        <w:numPr>
          <w:ilvl w:val="1"/>
          <w:numId w:val="6"/>
        </w:numPr>
        <w:spacing w:after="0" w:line="240" w:lineRule="auto"/>
        <w:contextualSpacing/>
        <w:jc w:val="both"/>
        <w:rPr>
          <w:rFonts w:ascii="Arial" w:eastAsia="Calibri" w:hAnsi="Arial" w:cs="Arial"/>
          <w:sz w:val="24"/>
          <w:szCs w:val="24"/>
        </w:rPr>
      </w:pPr>
      <w:r w:rsidRPr="00293BD5">
        <w:rPr>
          <w:rFonts w:ascii="Arial" w:eastAsia="Calibri" w:hAnsi="Arial" w:cs="Arial"/>
          <w:sz w:val="24"/>
          <w:szCs w:val="24"/>
        </w:rPr>
        <w:t xml:space="preserve">Teniendo en cuenta todas estas circunstancias, se llega a la horquilla de penas señaladas en el párrafo 10 de la Información complementaria. </w:t>
      </w:r>
    </w:p>
    <w:p w14:paraId="5FC107E8" w14:textId="77777777" w:rsidR="00293BD5" w:rsidRPr="00293BD5" w:rsidRDefault="00293BD5" w:rsidP="00293BD5">
      <w:pPr>
        <w:contextualSpacing/>
        <w:rPr>
          <w:rFonts w:ascii="Arial" w:eastAsia="Calibri" w:hAnsi="Arial" w:cs="Arial"/>
          <w:sz w:val="24"/>
          <w:szCs w:val="24"/>
        </w:rPr>
      </w:pPr>
    </w:p>
    <w:p w14:paraId="0B593E07" w14:textId="77777777" w:rsidR="00293BD5" w:rsidRPr="00293BD5" w:rsidRDefault="00293BD5" w:rsidP="00293BD5">
      <w:pPr>
        <w:numPr>
          <w:ilvl w:val="0"/>
          <w:numId w:val="5"/>
        </w:numPr>
        <w:spacing w:after="0" w:line="240" w:lineRule="auto"/>
        <w:contextualSpacing/>
        <w:jc w:val="both"/>
        <w:rPr>
          <w:rFonts w:ascii="Arial" w:eastAsia="Calibri" w:hAnsi="Arial" w:cs="Arial"/>
          <w:sz w:val="24"/>
          <w:szCs w:val="24"/>
        </w:rPr>
      </w:pPr>
      <w:r w:rsidRPr="00293BD5">
        <w:rPr>
          <w:rFonts w:ascii="Arial" w:eastAsia="Calibri" w:hAnsi="Arial" w:cs="Arial"/>
          <w:sz w:val="24"/>
          <w:szCs w:val="24"/>
        </w:rPr>
        <w:t xml:space="preserve">La diferencia principal entre los tipos penales recogidos en el </w:t>
      </w:r>
      <w:hyperlink r:id="rId13" w:anchor="a167" w:history="1">
        <w:r w:rsidRPr="00293BD5">
          <w:rPr>
            <w:rFonts w:ascii="Arial" w:eastAsia="Calibri" w:hAnsi="Arial" w:cs="Arial"/>
            <w:color w:val="0563C1"/>
            <w:sz w:val="24"/>
            <w:szCs w:val="24"/>
            <w:u w:val="single"/>
          </w:rPr>
          <w:t xml:space="preserve">art. 167.2 Código Penal </w:t>
        </w:r>
      </w:hyperlink>
      <w:r w:rsidRPr="00293BD5">
        <w:rPr>
          <w:rFonts w:ascii="Arial" w:eastAsia="Calibri" w:hAnsi="Arial" w:cs="Arial"/>
          <w:sz w:val="24"/>
          <w:szCs w:val="24"/>
        </w:rPr>
        <w:t xml:space="preserve">y </w:t>
      </w:r>
      <w:hyperlink r:id="rId14" w:anchor="a607bis" w:history="1">
        <w:r w:rsidRPr="00293BD5">
          <w:rPr>
            <w:rFonts w:ascii="Arial" w:eastAsia="Calibri" w:hAnsi="Arial" w:cs="Arial"/>
            <w:color w:val="0563C1"/>
            <w:sz w:val="24"/>
            <w:szCs w:val="24"/>
            <w:u w:val="single"/>
          </w:rPr>
          <w:t>art. 607 bis, párrafo 6 del Código Penal</w:t>
        </w:r>
      </w:hyperlink>
      <w:r w:rsidRPr="00293BD5">
        <w:rPr>
          <w:rFonts w:ascii="Arial" w:eastAsia="Calibri" w:hAnsi="Arial" w:cs="Arial"/>
          <w:sz w:val="24"/>
          <w:szCs w:val="24"/>
        </w:rPr>
        <w:t>, es que este último se considera un delito de lesa humanidad, caracterizado por la comisión de los hechos tipificados “como parte de un ataque generalizado o sistemático contra la población civil o contra parte de ella” (</w:t>
      </w:r>
      <w:hyperlink r:id="rId15" w:anchor="a607bis" w:history="1">
        <w:r w:rsidRPr="00293BD5">
          <w:rPr>
            <w:rFonts w:ascii="Arial" w:eastAsia="Calibri" w:hAnsi="Arial" w:cs="Arial"/>
            <w:color w:val="0563C1"/>
            <w:sz w:val="24"/>
            <w:szCs w:val="24"/>
            <w:u w:val="single"/>
          </w:rPr>
          <w:t>art. 607 bis Código Penal</w:t>
        </w:r>
      </w:hyperlink>
      <w:r w:rsidRPr="00293BD5">
        <w:rPr>
          <w:rFonts w:ascii="Arial" w:eastAsia="Calibri" w:hAnsi="Arial" w:cs="Arial"/>
          <w:sz w:val="24"/>
          <w:szCs w:val="24"/>
        </w:rPr>
        <w:t xml:space="preserve">). </w:t>
      </w:r>
    </w:p>
    <w:p w14:paraId="79AD57D9" w14:textId="77777777" w:rsidR="00293BD5" w:rsidRDefault="00293BD5" w:rsidP="00E268E4">
      <w:pPr>
        <w:jc w:val="both"/>
        <w:rPr>
          <w:rFonts w:ascii="Calibri" w:eastAsia="Calibri" w:hAnsi="Calibri" w:cs="Times New Roman"/>
          <w:b/>
          <w:bCs/>
          <w:sz w:val="24"/>
          <w:szCs w:val="24"/>
        </w:rPr>
      </w:pPr>
    </w:p>
    <w:p w14:paraId="0A1020B6" w14:textId="77777777" w:rsidR="001F49A2" w:rsidRDefault="001F49A2" w:rsidP="00E268E4">
      <w:pPr>
        <w:jc w:val="both"/>
        <w:rPr>
          <w:rFonts w:ascii="Calibri" w:eastAsia="Calibri" w:hAnsi="Calibri" w:cs="Times New Roman"/>
          <w:b/>
          <w:bCs/>
          <w:sz w:val="24"/>
          <w:szCs w:val="24"/>
        </w:rPr>
      </w:pPr>
    </w:p>
    <w:p w14:paraId="27C3A9C7" w14:textId="77777777" w:rsidR="001F49A2" w:rsidRPr="001F49A2" w:rsidRDefault="001F49A2" w:rsidP="001F49A2">
      <w:pPr>
        <w:jc w:val="both"/>
        <w:rPr>
          <w:rFonts w:ascii="Arial" w:eastAsia="Calibri" w:hAnsi="Arial" w:cs="Arial"/>
          <w:b/>
          <w:bCs/>
          <w:sz w:val="24"/>
          <w:szCs w:val="24"/>
        </w:rPr>
      </w:pPr>
      <w:r w:rsidRPr="001F49A2">
        <w:rPr>
          <w:rFonts w:ascii="Arial" w:eastAsia="Calibri" w:hAnsi="Arial" w:cs="Arial"/>
          <w:b/>
          <w:bCs/>
          <w:sz w:val="24"/>
          <w:szCs w:val="24"/>
        </w:rPr>
        <w:t>2. A la luz de lo expresado en los párrafos 29 a 31 de la información complementaria presentada por el Estado parte, sírvanse: (a) precisar si la jurisdicción militar puede resultar competente para investigar y sancionar casos aislados de desaparición forzada y, de ser el caso, en qué supuestos; e (b) indicar si la jurisdicción militar es siempre competente en relación con el delito tipificado en el artículo 607 bis del Código Penal o si este delito puede ser también investigado en la jurisdicción ordinaria, y en qué supuestos.</w:t>
      </w:r>
    </w:p>
    <w:p w14:paraId="185511F5" w14:textId="77777777" w:rsidR="001F49A2" w:rsidRPr="001F49A2" w:rsidRDefault="001F49A2" w:rsidP="001F49A2">
      <w:pPr>
        <w:jc w:val="both"/>
        <w:rPr>
          <w:rFonts w:ascii="Arial" w:eastAsia="Calibri" w:hAnsi="Arial" w:cs="Arial"/>
          <w:bCs/>
          <w:sz w:val="24"/>
          <w:szCs w:val="24"/>
        </w:rPr>
      </w:pPr>
      <w:r w:rsidRPr="001F49A2">
        <w:rPr>
          <w:rFonts w:ascii="Arial" w:eastAsia="Calibri" w:hAnsi="Arial" w:cs="Arial"/>
          <w:bCs/>
          <w:sz w:val="24"/>
          <w:szCs w:val="24"/>
        </w:rPr>
        <w:t>El apartado 2, inciso 6º del artículo 607 bis del Código Pe</w:t>
      </w:r>
      <w:r>
        <w:rPr>
          <w:rFonts w:ascii="Arial" w:eastAsia="Calibri" w:hAnsi="Arial" w:cs="Arial"/>
          <w:bCs/>
          <w:sz w:val="24"/>
          <w:szCs w:val="24"/>
        </w:rPr>
        <w:t>nal (en adelante CP)</w:t>
      </w:r>
      <w:r w:rsidRPr="001F49A2">
        <w:rPr>
          <w:rFonts w:ascii="Arial" w:eastAsia="Calibri" w:hAnsi="Arial" w:cs="Arial"/>
          <w:bCs/>
          <w:sz w:val="24"/>
          <w:szCs w:val="24"/>
        </w:rPr>
        <w:t xml:space="preserve"> castiga con la pena de prisión de doce a quince años, como crimen de lesa humanidad, la desaparición forzada de personas, siempre que se cometa como parte de un ataque generalizado o sistemático contra la población ci</w:t>
      </w:r>
      <w:r>
        <w:rPr>
          <w:rFonts w:ascii="Arial" w:eastAsia="Calibri" w:hAnsi="Arial" w:cs="Arial"/>
          <w:bCs/>
          <w:sz w:val="24"/>
          <w:szCs w:val="24"/>
        </w:rPr>
        <w:t>vil o contra una parte de ella.</w:t>
      </w:r>
    </w:p>
    <w:p w14:paraId="129EB59B" w14:textId="77777777" w:rsidR="001F49A2" w:rsidRPr="001F49A2" w:rsidRDefault="001F49A2" w:rsidP="001F49A2">
      <w:pPr>
        <w:jc w:val="both"/>
        <w:rPr>
          <w:rFonts w:ascii="Arial" w:eastAsia="Calibri" w:hAnsi="Arial" w:cs="Arial"/>
          <w:bCs/>
          <w:sz w:val="24"/>
          <w:szCs w:val="24"/>
        </w:rPr>
      </w:pPr>
      <w:r w:rsidRPr="001F49A2">
        <w:rPr>
          <w:rFonts w:ascii="Arial" w:eastAsia="Calibri" w:hAnsi="Arial" w:cs="Arial"/>
          <w:bCs/>
          <w:sz w:val="24"/>
          <w:szCs w:val="24"/>
        </w:rPr>
        <w:t>Dicho precepto</w:t>
      </w:r>
      <w:r w:rsidR="00BF3CE6">
        <w:rPr>
          <w:rFonts w:ascii="Arial" w:eastAsia="Calibri" w:hAnsi="Arial" w:cs="Arial"/>
          <w:bCs/>
          <w:sz w:val="24"/>
          <w:szCs w:val="24"/>
        </w:rPr>
        <w:t xml:space="preserve"> está incluido en el Capítulo II </w:t>
      </w:r>
      <w:r w:rsidRPr="001F49A2">
        <w:rPr>
          <w:rFonts w:ascii="Arial" w:eastAsia="Calibri" w:hAnsi="Arial" w:cs="Arial"/>
          <w:bCs/>
          <w:sz w:val="24"/>
          <w:szCs w:val="24"/>
        </w:rPr>
        <w:t>bis (De los delitos de lesa humanidad), del Título XXIV (Delitos contra la Comunidad internacional) del Libro ll del Código Penal.</w:t>
      </w:r>
    </w:p>
    <w:p w14:paraId="6DA9A75D" w14:textId="77777777" w:rsidR="001F49A2" w:rsidRPr="001F49A2" w:rsidRDefault="001F49A2" w:rsidP="001F49A2">
      <w:pPr>
        <w:jc w:val="both"/>
        <w:rPr>
          <w:rFonts w:ascii="Arial" w:eastAsia="Calibri" w:hAnsi="Arial" w:cs="Arial"/>
          <w:bCs/>
          <w:sz w:val="24"/>
          <w:szCs w:val="24"/>
        </w:rPr>
      </w:pPr>
      <w:r w:rsidRPr="001F49A2">
        <w:rPr>
          <w:rFonts w:ascii="Arial" w:eastAsia="Calibri" w:hAnsi="Arial" w:cs="Arial"/>
          <w:bCs/>
          <w:sz w:val="24"/>
          <w:szCs w:val="24"/>
        </w:rPr>
        <w:t xml:space="preserve">El articulo 1 .1 del Código Penal Militar (en adelante CPM), aprobado por Ley Orgánica 14/2015, de 14 de octubre, establece que las disposiciones del mismo </w:t>
      </w:r>
      <w:r w:rsidRPr="001F49A2">
        <w:rPr>
          <w:rFonts w:ascii="Arial" w:eastAsia="Calibri" w:hAnsi="Arial" w:cs="Arial"/>
          <w:bCs/>
          <w:sz w:val="24"/>
          <w:szCs w:val="24"/>
        </w:rPr>
        <w:lastRenderedPageBreak/>
        <w:t>serán de aplicación a las infracciones que constituyan d</w:t>
      </w:r>
      <w:r>
        <w:rPr>
          <w:rFonts w:ascii="Arial" w:eastAsia="Calibri" w:hAnsi="Arial" w:cs="Arial"/>
          <w:bCs/>
          <w:sz w:val="24"/>
          <w:szCs w:val="24"/>
        </w:rPr>
        <w:t>elitos militares, y el artículo 9.1 CPM establece que “</w:t>
      </w:r>
      <w:r w:rsidRPr="001F49A2">
        <w:rPr>
          <w:rFonts w:ascii="Arial" w:eastAsia="Calibri" w:hAnsi="Arial" w:cs="Arial"/>
          <w:bCs/>
          <w:sz w:val="24"/>
          <w:szCs w:val="24"/>
        </w:rPr>
        <w:t>Son delitos militares las acciones u omisiones dolosas o imprudentes previstas en el Libro Segundo de este Código". Dado que el delito de lesa humanidad, en su modalidad de desaparición forzada de personas, no es un tipo delictivo contemplado en el Código penal castrense, se trata, en consecuencia, de un delito "no militar" cuyo conocimiento corresponde a la jurisdicción ordinaria, y no a la jurisdicción militar.</w:t>
      </w:r>
    </w:p>
    <w:p w14:paraId="2086937F" w14:textId="77777777" w:rsidR="001F49A2" w:rsidRPr="001F49A2" w:rsidRDefault="001F49A2" w:rsidP="001F49A2">
      <w:pPr>
        <w:jc w:val="both"/>
        <w:rPr>
          <w:rFonts w:ascii="Arial" w:eastAsia="Calibri" w:hAnsi="Arial" w:cs="Arial"/>
          <w:bCs/>
          <w:sz w:val="24"/>
          <w:szCs w:val="24"/>
        </w:rPr>
      </w:pPr>
      <w:r w:rsidRPr="001F49A2">
        <w:rPr>
          <w:rFonts w:ascii="Arial" w:eastAsia="Calibri" w:hAnsi="Arial" w:cs="Arial"/>
          <w:bCs/>
          <w:sz w:val="24"/>
          <w:szCs w:val="24"/>
        </w:rPr>
        <w:t>Por su parte, el artículo 9.2.a) CPM establece que asimismo son "delitos militares'', cualesquiera otras acciones u omisiones cometidas por un militar y tipif</w:t>
      </w:r>
      <w:r w:rsidR="00BF3CE6">
        <w:rPr>
          <w:rFonts w:ascii="Arial" w:eastAsia="Calibri" w:hAnsi="Arial" w:cs="Arial"/>
          <w:bCs/>
          <w:sz w:val="24"/>
          <w:szCs w:val="24"/>
        </w:rPr>
        <w:t>icadas en el Código Penal como:</w:t>
      </w:r>
    </w:p>
    <w:p w14:paraId="65D53A96" w14:textId="77777777" w:rsidR="001F49A2" w:rsidRPr="001F49A2" w:rsidRDefault="001F49A2" w:rsidP="001F49A2">
      <w:pPr>
        <w:jc w:val="both"/>
        <w:rPr>
          <w:rFonts w:ascii="Arial" w:eastAsia="Calibri" w:hAnsi="Arial" w:cs="Arial"/>
          <w:bCs/>
          <w:sz w:val="24"/>
          <w:szCs w:val="24"/>
        </w:rPr>
      </w:pPr>
      <w:r w:rsidRPr="001F49A2">
        <w:rPr>
          <w:rFonts w:ascii="Arial" w:eastAsia="Calibri" w:hAnsi="Arial" w:cs="Arial"/>
          <w:bCs/>
          <w:sz w:val="24"/>
          <w:szCs w:val="24"/>
        </w:rPr>
        <w:t>"a) delitos de traición y delitos contra las personas y bienes protegidos en caso de conflicto armado, incluidas las disposiciones comunes, siempre que se perpetraren con abuso d</w:t>
      </w:r>
      <w:r w:rsidR="00BF3CE6">
        <w:rPr>
          <w:rFonts w:ascii="Arial" w:eastAsia="Calibri" w:hAnsi="Arial" w:cs="Arial"/>
          <w:bCs/>
          <w:sz w:val="24"/>
          <w:szCs w:val="24"/>
        </w:rPr>
        <w:t xml:space="preserve">e facultades o </w:t>
      </w:r>
      <w:r w:rsidRPr="001F49A2">
        <w:rPr>
          <w:rFonts w:ascii="Arial" w:eastAsia="Calibri" w:hAnsi="Arial" w:cs="Arial"/>
          <w:bCs/>
          <w:sz w:val="24"/>
          <w:szCs w:val="24"/>
        </w:rPr>
        <w:t xml:space="preserve">infracción de los deberes establecidos en la Ley Orgánica 9/2011, de 27 de julio, de derechos y deberes de los miembros de las Fuerzas </w:t>
      </w:r>
      <w:r w:rsidR="00BF3CE6">
        <w:rPr>
          <w:rFonts w:ascii="Arial" w:eastAsia="Calibri" w:hAnsi="Arial" w:cs="Arial"/>
          <w:bCs/>
          <w:sz w:val="24"/>
          <w:szCs w:val="24"/>
        </w:rPr>
        <w:t>Armadas o en la Ley Orgánica 11/</w:t>
      </w:r>
      <w:r w:rsidRPr="001F49A2">
        <w:rPr>
          <w:rFonts w:ascii="Arial" w:eastAsia="Calibri" w:hAnsi="Arial" w:cs="Arial"/>
          <w:bCs/>
          <w:sz w:val="24"/>
          <w:szCs w:val="24"/>
        </w:rPr>
        <w:t>2007, de 22 de octubre, reguladora de los derechos y deberes de los miembros de la Guardia Civil'.</w:t>
      </w:r>
    </w:p>
    <w:p w14:paraId="40358953" w14:textId="77777777" w:rsidR="001F49A2" w:rsidRPr="001F49A2" w:rsidRDefault="001F49A2" w:rsidP="001F49A2">
      <w:pPr>
        <w:jc w:val="both"/>
        <w:rPr>
          <w:rFonts w:ascii="Arial" w:eastAsia="Calibri" w:hAnsi="Arial" w:cs="Arial"/>
          <w:bCs/>
          <w:sz w:val="24"/>
          <w:szCs w:val="24"/>
        </w:rPr>
      </w:pPr>
      <w:r w:rsidRPr="001F49A2">
        <w:rPr>
          <w:rFonts w:ascii="Arial" w:eastAsia="Calibri" w:hAnsi="Arial" w:cs="Arial"/>
          <w:bCs/>
          <w:sz w:val="24"/>
          <w:szCs w:val="24"/>
        </w:rPr>
        <w:t>Esta remisión afecta única y exclusivamente, a los delitos tipificados en el Capítulo lll (que tiene por rúbrica "De los delitos contra las personas y bienes protegidos en caso de conflicto armado") del Título XXIV (Delitos contra la Comunidad internacional) del Libro ll del Código Penal. Pero no afecta al delito de lesa humanidad del artículo 607 bis CP, que se encuentra regulado, no en el Capítulo lll, sino en el Capítulo ll bis del citado Título. En consecuencia, tampoco se altera por esta vía el criterio general de sujeción a la jurisdicción ordinari</w:t>
      </w:r>
      <w:r>
        <w:rPr>
          <w:rFonts w:ascii="Arial" w:eastAsia="Calibri" w:hAnsi="Arial" w:cs="Arial"/>
          <w:bCs/>
          <w:sz w:val="24"/>
          <w:szCs w:val="24"/>
        </w:rPr>
        <w:t>a del delito de lesa humanidad.</w:t>
      </w:r>
    </w:p>
    <w:p w14:paraId="60E20027" w14:textId="77777777" w:rsidR="001F49A2" w:rsidRPr="001F49A2" w:rsidRDefault="001F49A2" w:rsidP="001F49A2">
      <w:pPr>
        <w:jc w:val="both"/>
        <w:rPr>
          <w:rFonts w:ascii="Arial" w:eastAsia="Calibri" w:hAnsi="Arial" w:cs="Arial"/>
          <w:bCs/>
          <w:sz w:val="24"/>
          <w:szCs w:val="24"/>
        </w:rPr>
      </w:pPr>
      <w:r w:rsidRPr="001F49A2">
        <w:rPr>
          <w:rFonts w:ascii="Arial" w:eastAsia="Calibri" w:hAnsi="Arial" w:cs="Arial"/>
          <w:bCs/>
          <w:sz w:val="24"/>
          <w:szCs w:val="24"/>
        </w:rPr>
        <w:t xml:space="preserve">En todo caso, la conducta típica de la desaparición forzada de personas, tal y como se </w:t>
      </w:r>
      <w:r w:rsidR="0010367E">
        <w:rPr>
          <w:rFonts w:ascii="Arial" w:eastAsia="Calibri" w:hAnsi="Arial" w:cs="Arial"/>
          <w:bCs/>
          <w:sz w:val="24"/>
          <w:szCs w:val="24"/>
        </w:rPr>
        <w:t>define en el artículo 607 bis.2.</w:t>
      </w:r>
      <w:r w:rsidRPr="001F49A2">
        <w:rPr>
          <w:rFonts w:ascii="Arial" w:eastAsia="Calibri" w:hAnsi="Arial" w:cs="Arial"/>
          <w:bCs/>
          <w:sz w:val="24"/>
          <w:szCs w:val="24"/>
        </w:rPr>
        <w:t xml:space="preserve">6º CP, puede ser cometida fuera del contexto de un ataque generalizado o sistemático contra la población civil, en cuyo caso faltaría un elemento esencial del tipo del delito de lesa humanidad. En tal caso, y siempre que los actos se cometan en el curso de un conflicto armado, podrían ser constitutivos de un delito contra las personas y bienes protegidos en caso de conflicto armado del Capítulo lll del Código Penal. En tal supuesto, y siempre que se cumplan </w:t>
      </w:r>
      <w:r w:rsidR="00E71596">
        <w:rPr>
          <w:rFonts w:ascii="Arial" w:eastAsia="Calibri" w:hAnsi="Arial" w:cs="Arial"/>
          <w:bCs/>
          <w:sz w:val="24"/>
          <w:szCs w:val="24"/>
        </w:rPr>
        <w:t xml:space="preserve">los requisitos del artículo 9.2 </w:t>
      </w:r>
      <w:r w:rsidRPr="001F49A2">
        <w:rPr>
          <w:rFonts w:ascii="Arial" w:eastAsia="Calibri" w:hAnsi="Arial" w:cs="Arial"/>
          <w:bCs/>
          <w:sz w:val="24"/>
          <w:szCs w:val="24"/>
        </w:rPr>
        <w:t>a) CPM (que el presunto autor sea militar, y que -además- haya sido perpetrado con abuso de facultades o infracción de los deberes establecidos en la Ley Orgánica de derechos y deberes de los miembros de las Fuerzas Armadas o en la Ley Orgánica reguladora de los derechos y deberes de los miembros de la Guardia Civil), estaríamos ante un delito militar, con arreglo a lo dis</w:t>
      </w:r>
      <w:r w:rsidR="001E65FF">
        <w:rPr>
          <w:rFonts w:ascii="Arial" w:eastAsia="Calibri" w:hAnsi="Arial" w:cs="Arial"/>
          <w:bCs/>
          <w:sz w:val="24"/>
          <w:szCs w:val="24"/>
        </w:rPr>
        <w:t>puesto en el referido precepto.</w:t>
      </w:r>
    </w:p>
    <w:p w14:paraId="592CD18D" w14:textId="77777777" w:rsidR="001F49A2" w:rsidRPr="0010367E" w:rsidRDefault="0010367E" w:rsidP="0010367E">
      <w:pPr>
        <w:jc w:val="both"/>
        <w:rPr>
          <w:rFonts w:ascii="Arial" w:eastAsia="Calibri" w:hAnsi="Arial" w:cs="Arial"/>
          <w:bCs/>
          <w:sz w:val="24"/>
          <w:szCs w:val="24"/>
        </w:rPr>
      </w:pPr>
      <w:r>
        <w:rPr>
          <w:rFonts w:ascii="Arial" w:eastAsia="Calibri" w:hAnsi="Arial" w:cs="Arial"/>
          <w:bCs/>
          <w:sz w:val="24"/>
          <w:szCs w:val="24"/>
        </w:rPr>
        <w:t>De lo anterior resulta que l</w:t>
      </w:r>
      <w:r w:rsidR="001F49A2" w:rsidRPr="0010367E">
        <w:rPr>
          <w:rFonts w:ascii="Arial" w:eastAsia="Calibri" w:hAnsi="Arial" w:cs="Arial"/>
          <w:bCs/>
          <w:sz w:val="24"/>
          <w:szCs w:val="24"/>
        </w:rPr>
        <w:t>a competencia para la investi</w:t>
      </w:r>
      <w:r w:rsidRPr="0010367E">
        <w:rPr>
          <w:rFonts w:ascii="Arial" w:eastAsia="Calibri" w:hAnsi="Arial" w:cs="Arial"/>
          <w:bCs/>
          <w:sz w:val="24"/>
          <w:szCs w:val="24"/>
        </w:rPr>
        <w:t>gación y sanción del delito de d</w:t>
      </w:r>
      <w:r w:rsidR="001F49A2" w:rsidRPr="0010367E">
        <w:rPr>
          <w:rFonts w:ascii="Arial" w:eastAsia="Calibri" w:hAnsi="Arial" w:cs="Arial"/>
          <w:bCs/>
          <w:sz w:val="24"/>
          <w:szCs w:val="24"/>
        </w:rPr>
        <w:t>esaparición forzada corresponde, con carácter general, a la jurisdicción ordinaria.</w:t>
      </w:r>
    </w:p>
    <w:p w14:paraId="276FF1F4" w14:textId="77777777" w:rsidR="001F49A2" w:rsidRPr="001F49A2" w:rsidRDefault="001F49A2" w:rsidP="001F49A2">
      <w:pPr>
        <w:jc w:val="both"/>
        <w:rPr>
          <w:rFonts w:ascii="Arial" w:eastAsia="Calibri" w:hAnsi="Arial" w:cs="Arial"/>
          <w:bCs/>
          <w:sz w:val="24"/>
          <w:szCs w:val="24"/>
        </w:rPr>
      </w:pPr>
      <w:r w:rsidRPr="001F49A2">
        <w:rPr>
          <w:rFonts w:ascii="Arial" w:eastAsia="Calibri" w:hAnsi="Arial" w:cs="Arial"/>
          <w:bCs/>
          <w:sz w:val="24"/>
          <w:szCs w:val="24"/>
        </w:rPr>
        <w:t xml:space="preserve">No obstante, la desaparición forzada cometida fuera de un ataque generalizado o sistemático contra la población civil (o contra una parte de ella), no constituirá </w:t>
      </w:r>
      <w:r w:rsidRPr="001F49A2">
        <w:rPr>
          <w:rFonts w:ascii="Arial" w:eastAsia="Calibri" w:hAnsi="Arial" w:cs="Arial"/>
          <w:bCs/>
          <w:sz w:val="24"/>
          <w:szCs w:val="24"/>
        </w:rPr>
        <w:lastRenderedPageBreak/>
        <w:t>el delito previsto en el artículo 607 bis del Código Penal. En tal supuesto, podría afirmarse la competencia de la jurisdicción militar, siempre que concurran los sigui</w:t>
      </w:r>
      <w:r w:rsidR="0010367E">
        <w:rPr>
          <w:rFonts w:ascii="Arial" w:eastAsia="Calibri" w:hAnsi="Arial" w:cs="Arial"/>
          <w:bCs/>
          <w:sz w:val="24"/>
          <w:szCs w:val="24"/>
        </w:rPr>
        <w:t>entes requisitos:</w:t>
      </w:r>
    </w:p>
    <w:p w14:paraId="0CA1EE6B" w14:textId="77777777" w:rsidR="001F49A2" w:rsidRPr="001F49A2" w:rsidRDefault="001F49A2" w:rsidP="001F49A2">
      <w:pPr>
        <w:jc w:val="both"/>
        <w:rPr>
          <w:rFonts w:ascii="Arial" w:eastAsia="Calibri" w:hAnsi="Arial" w:cs="Arial"/>
          <w:bCs/>
          <w:sz w:val="24"/>
          <w:szCs w:val="24"/>
        </w:rPr>
      </w:pPr>
      <w:r w:rsidRPr="001F49A2">
        <w:rPr>
          <w:rFonts w:ascii="Arial" w:eastAsia="Calibri" w:hAnsi="Arial" w:cs="Arial"/>
          <w:bCs/>
          <w:sz w:val="24"/>
          <w:szCs w:val="24"/>
        </w:rPr>
        <w:t>. Que la desaparición se produzca durante el des</w:t>
      </w:r>
      <w:r w:rsidR="0010367E">
        <w:rPr>
          <w:rFonts w:ascii="Arial" w:eastAsia="Calibri" w:hAnsi="Arial" w:cs="Arial"/>
          <w:bCs/>
          <w:sz w:val="24"/>
          <w:szCs w:val="24"/>
        </w:rPr>
        <w:t>arrollo de un conflicto armado.</w:t>
      </w:r>
    </w:p>
    <w:p w14:paraId="3B442B01" w14:textId="77777777" w:rsidR="001F49A2" w:rsidRPr="001F49A2" w:rsidRDefault="001F49A2" w:rsidP="001F49A2">
      <w:pPr>
        <w:jc w:val="both"/>
        <w:rPr>
          <w:rFonts w:ascii="Arial" w:eastAsia="Calibri" w:hAnsi="Arial" w:cs="Arial"/>
          <w:bCs/>
          <w:sz w:val="24"/>
          <w:szCs w:val="24"/>
        </w:rPr>
      </w:pPr>
      <w:r w:rsidRPr="001F49A2">
        <w:rPr>
          <w:rFonts w:ascii="Arial" w:eastAsia="Calibri" w:hAnsi="Arial" w:cs="Arial"/>
          <w:bCs/>
          <w:sz w:val="24"/>
          <w:szCs w:val="24"/>
        </w:rPr>
        <w:t>. Que la desaparición se refiera a personas prote</w:t>
      </w:r>
      <w:r w:rsidR="0010367E">
        <w:rPr>
          <w:rFonts w:ascii="Arial" w:eastAsia="Calibri" w:hAnsi="Arial" w:cs="Arial"/>
          <w:bCs/>
          <w:sz w:val="24"/>
          <w:szCs w:val="24"/>
        </w:rPr>
        <w:t>gidas, conforme al art. 608 CP.</w:t>
      </w:r>
    </w:p>
    <w:p w14:paraId="41329EAE" w14:textId="77777777" w:rsidR="001F49A2" w:rsidRPr="001F49A2" w:rsidRDefault="001F49A2" w:rsidP="001F49A2">
      <w:pPr>
        <w:jc w:val="both"/>
        <w:rPr>
          <w:rFonts w:ascii="Arial" w:eastAsia="Calibri" w:hAnsi="Arial" w:cs="Arial"/>
          <w:bCs/>
          <w:sz w:val="24"/>
          <w:szCs w:val="24"/>
        </w:rPr>
      </w:pPr>
      <w:r w:rsidRPr="001F49A2">
        <w:rPr>
          <w:rFonts w:ascii="Arial" w:eastAsia="Calibri" w:hAnsi="Arial" w:cs="Arial"/>
          <w:bCs/>
          <w:sz w:val="24"/>
          <w:szCs w:val="24"/>
        </w:rPr>
        <w:t xml:space="preserve">. </w:t>
      </w:r>
      <w:r w:rsidR="0010367E">
        <w:rPr>
          <w:rFonts w:ascii="Arial" w:eastAsia="Calibri" w:hAnsi="Arial" w:cs="Arial"/>
          <w:bCs/>
          <w:sz w:val="24"/>
          <w:szCs w:val="24"/>
        </w:rPr>
        <w:t>Que el responsable sea militar.</w:t>
      </w:r>
    </w:p>
    <w:p w14:paraId="4DFE4078" w14:textId="77777777" w:rsidR="001F49A2" w:rsidRPr="001F49A2" w:rsidRDefault="001F49A2" w:rsidP="001F49A2">
      <w:pPr>
        <w:jc w:val="both"/>
        <w:rPr>
          <w:rFonts w:ascii="Arial" w:eastAsia="Calibri" w:hAnsi="Arial" w:cs="Arial"/>
          <w:bCs/>
          <w:sz w:val="24"/>
          <w:szCs w:val="24"/>
        </w:rPr>
      </w:pPr>
      <w:r w:rsidRPr="001F49A2">
        <w:rPr>
          <w:rFonts w:ascii="Arial" w:eastAsia="Calibri" w:hAnsi="Arial" w:cs="Arial"/>
          <w:bCs/>
          <w:sz w:val="24"/>
          <w:szCs w:val="24"/>
        </w:rPr>
        <w:t>. Que el responsable haya perpetrado el hecho con abuso de facultades o infracción de los deberes establecidos en la Ley Orgánica 912011, de 27 de julio, de derechos y deberes de los miembros de las Fuerzas Armadas en la Ley Orgánica 1112007, de 22 de octubre, reguladora de los derechos y deberes de los miembros de la Guardia Civil</w:t>
      </w:r>
    </w:p>
    <w:p w14:paraId="2DFC0B78" w14:textId="77777777" w:rsidR="001F49A2" w:rsidRPr="0010367E" w:rsidRDefault="0010367E" w:rsidP="00E268E4">
      <w:pPr>
        <w:jc w:val="both"/>
        <w:rPr>
          <w:rFonts w:ascii="Arial" w:eastAsia="Calibri" w:hAnsi="Arial" w:cs="Arial"/>
          <w:bCs/>
          <w:sz w:val="24"/>
          <w:szCs w:val="24"/>
        </w:rPr>
      </w:pPr>
      <w:r>
        <w:rPr>
          <w:rFonts w:ascii="Arial" w:eastAsia="Calibri" w:hAnsi="Arial" w:cs="Arial"/>
          <w:bCs/>
          <w:sz w:val="24"/>
          <w:szCs w:val="24"/>
        </w:rPr>
        <w:t>Con respecto a la cuestión planteada en el apartado (b), tal y c</w:t>
      </w:r>
      <w:r w:rsidR="001F49A2" w:rsidRPr="001F49A2">
        <w:rPr>
          <w:rFonts w:ascii="Arial" w:eastAsia="Calibri" w:hAnsi="Arial" w:cs="Arial"/>
          <w:bCs/>
          <w:sz w:val="24"/>
          <w:szCs w:val="24"/>
        </w:rPr>
        <w:t xml:space="preserve">omo se ha </w:t>
      </w:r>
      <w:r>
        <w:rPr>
          <w:rFonts w:ascii="Arial" w:eastAsia="Calibri" w:hAnsi="Arial" w:cs="Arial"/>
          <w:bCs/>
          <w:sz w:val="24"/>
          <w:szCs w:val="24"/>
        </w:rPr>
        <w:t>indicado</w:t>
      </w:r>
      <w:r w:rsidR="001F49A2" w:rsidRPr="001F49A2">
        <w:rPr>
          <w:rFonts w:ascii="Arial" w:eastAsia="Calibri" w:hAnsi="Arial" w:cs="Arial"/>
          <w:bCs/>
          <w:sz w:val="24"/>
          <w:szCs w:val="24"/>
        </w:rPr>
        <w:t>, la jurisdicción ordinaria resulta siempre la competente para investigar y enjuiciar, con carácter general, el delito tipificado en el artículo 607 bis CP.</w:t>
      </w:r>
    </w:p>
    <w:p w14:paraId="3950C632" w14:textId="77777777" w:rsidR="001F49A2" w:rsidRDefault="001F49A2" w:rsidP="00E268E4">
      <w:pPr>
        <w:jc w:val="both"/>
        <w:rPr>
          <w:rFonts w:ascii="Calibri" w:eastAsia="Calibri" w:hAnsi="Calibri" w:cs="Times New Roman"/>
          <w:b/>
          <w:bCs/>
          <w:sz w:val="24"/>
          <w:szCs w:val="24"/>
        </w:rPr>
      </w:pPr>
    </w:p>
    <w:p w14:paraId="6AD05091" w14:textId="77777777" w:rsidR="0061666C" w:rsidRPr="00DD7064" w:rsidRDefault="0061666C" w:rsidP="00E268E4">
      <w:pPr>
        <w:jc w:val="both"/>
        <w:rPr>
          <w:rFonts w:ascii="Arial" w:eastAsia="Calibri" w:hAnsi="Arial" w:cs="Arial"/>
          <w:b/>
          <w:bCs/>
          <w:sz w:val="24"/>
          <w:szCs w:val="24"/>
        </w:rPr>
      </w:pPr>
    </w:p>
    <w:p w14:paraId="54AFB3CD" w14:textId="77777777" w:rsidR="00E268E4" w:rsidRDefault="00E268E4" w:rsidP="00E268E4">
      <w:pPr>
        <w:jc w:val="both"/>
        <w:rPr>
          <w:rFonts w:ascii="Arial" w:eastAsia="Calibri" w:hAnsi="Arial" w:cs="Arial"/>
          <w:b/>
          <w:bCs/>
          <w:sz w:val="24"/>
          <w:szCs w:val="24"/>
        </w:rPr>
      </w:pPr>
      <w:r w:rsidRPr="00E268E4">
        <w:rPr>
          <w:rFonts w:ascii="Arial" w:eastAsia="Calibri" w:hAnsi="Arial" w:cs="Arial"/>
          <w:b/>
          <w:bCs/>
          <w:sz w:val="24"/>
          <w:szCs w:val="24"/>
        </w:rPr>
        <w:t>3. Sírvanse explicar de qué manera el concepto de víctima contenido en el artículo 2 del Estatuto de la víctima del delito incluye, además de las personas a las que se hace referencia en ese artículo, a “toda persona física que haya sufrido un perjuicio directo como consecuencia de una desaparición forzada”.</w:t>
      </w:r>
    </w:p>
    <w:p w14:paraId="73919351" w14:textId="77777777" w:rsidR="009F0FCB" w:rsidRPr="009F0FCB" w:rsidRDefault="009F0FCB" w:rsidP="009F0FCB">
      <w:pPr>
        <w:jc w:val="both"/>
        <w:rPr>
          <w:rFonts w:ascii="Arial" w:eastAsia="Calibri" w:hAnsi="Arial" w:cs="Arial"/>
          <w:sz w:val="24"/>
          <w:szCs w:val="24"/>
        </w:rPr>
      </w:pPr>
      <w:r w:rsidRPr="009F0FCB">
        <w:rPr>
          <w:rFonts w:ascii="Arial" w:eastAsia="Calibri" w:hAnsi="Arial" w:cs="Arial"/>
          <w:sz w:val="24"/>
          <w:szCs w:val="24"/>
        </w:rPr>
        <w:t xml:space="preserve">Por definición, ser objeto de desaparición forzada entra dentro de la definición de víctima, conforme al </w:t>
      </w:r>
      <w:hyperlink r:id="rId16" w:anchor="a2" w:history="1">
        <w:r w:rsidRPr="009F0FCB">
          <w:rPr>
            <w:rFonts w:ascii="Arial" w:eastAsia="Calibri" w:hAnsi="Arial" w:cs="Arial"/>
            <w:color w:val="0563C1"/>
            <w:sz w:val="24"/>
            <w:szCs w:val="24"/>
            <w:u w:val="single"/>
          </w:rPr>
          <w:t>art. 2.a) de Ley 4/2015, de 27 de abril, del Estatuto de la víctima del delito</w:t>
        </w:r>
      </w:hyperlink>
      <w:r w:rsidRPr="009F0FCB">
        <w:rPr>
          <w:rFonts w:ascii="Arial" w:eastAsia="Calibri" w:hAnsi="Arial" w:cs="Arial"/>
          <w:sz w:val="24"/>
          <w:szCs w:val="24"/>
        </w:rPr>
        <w:t xml:space="preserve">: </w:t>
      </w:r>
    </w:p>
    <w:p w14:paraId="32CD6E15" w14:textId="77777777" w:rsidR="009F0FCB" w:rsidRPr="009F0FCB" w:rsidRDefault="009F0FCB" w:rsidP="009F0FCB">
      <w:pPr>
        <w:jc w:val="both"/>
        <w:rPr>
          <w:rFonts w:ascii="Arial" w:eastAsia="Calibri" w:hAnsi="Arial" w:cs="Arial"/>
          <w:sz w:val="24"/>
          <w:szCs w:val="24"/>
        </w:rPr>
      </w:pPr>
      <w:r w:rsidRPr="009F0FCB">
        <w:rPr>
          <w:rFonts w:ascii="Arial" w:eastAsia="Calibri" w:hAnsi="Arial" w:cs="Arial"/>
          <w:sz w:val="24"/>
          <w:szCs w:val="24"/>
        </w:rPr>
        <w:t>"Las disposiciones de esta Ley serán aplicables: a) Como víctima directa, a toda persona física que haya sufrido un daño o perjuicio sobre su propia persona o patrimonio, en especial lesiones físicas o psíquicas, daños emocionales o perjuicios económicos directamente causados por la comisión de un delito."</w:t>
      </w:r>
    </w:p>
    <w:p w14:paraId="0E04E596" w14:textId="77777777" w:rsidR="009F0FCB" w:rsidRDefault="009F0FCB" w:rsidP="009F0FCB">
      <w:pPr>
        <w:jc w:val="both"/>
        <w:rPr>
          <w:rFonts w:ascii="Arial" w:eastAsia="Calibri" w:hAnsi="Arial" w:cs="Arial"/>
          <w:sz w:val="24"/>
          <w:szCs w:val="24"/>
        </w:rPr>
      </w:pPr>
      <w:r w:rsidRPr="009F0FCB">
        <w:rPr>
          <w:rFonts w:ascii="Arial" w:eastAsia="Calibri" w:hAnsi="Arial" w:cs="Arial"/>
          <w:sz w:val="24"/>
          <w:szCs w:val="24"/>
        </w:rPr>
        <w:t>Por tanto, como toda persona que haya sido objeto de una desaparición forzada habrá sufrido algún daño o perjuicio sobre su propia persona o patrimonio, lesiones físicas, emocionales, perjuicios económicos, etc., podrá ser considerada como una víctima conforme a la definición del art. 2.a) del Estatuto de la víctima del delito.</w:t>
      </w:r>
    </w:p>
    <w:p w14:paraId="6CE869AE" w14:textId="77777777" w:rsidR="00E40F02" w:rsidRDefault="00E40F02" w:rsidP="009F0FCB">
      <w:pPr>
        <w:jc w:val="both"/>
        <w:rPr>
          <w:rFonts w:ascii="Arial" w:eastAsia="Calibri" w:hAnsi="Arial" w:cs="Arial"/>
          <w:sz w:val="24"/>
          <w:szCs w:val="24"/>
        </w:rPr>
      </w:pPr>
    </w:p>
    <w:p w14:paraId="2B2B2F46" w14:textId="77777777" w:rsidR="00E40F02" w:rsidRDefault="00E40F02" w:rsidP="009F0FCB">
      <w:pPr>
        <w:jc w:val="both"/>
        <w:rPr>
          <w:rFonts w:ascii="Arial" w:eastAsia="Calibri" w:hAnsi="Arial" w:cs="Arial"/>
          <w:sz w:val="24"/>
          <w:szCs w:val="24"/>
        </w:rPr>
      </w:pPr>
    </w:p>
    <w:p w14:paraId="32C15C09" w14:textId="77777777" w:rsidR="00E40F02" w:rsidRPr="00E40F02" w:rsidRDefault="00E40F02" w:rsidP="00E40F02">
      <w:pPr>
        <w:jc w:val="both"/>
        <w:rPr>
          <w:rFonts w:ascii="Arial" w:eastAsia="Calibri" w:hAnsi="Arial" w:cs="Arial"/>
          <w:b/>
          <w:sz w:val="24"/>
          <w:szCs w:val="24"/>
        </w:rPr>
      </w:pPr>
      <w:r w:rsidRPr="00E40F02">
        <w:rPr>
          <w:rFonts w:ascii="Arial" w:eastAsia="Calibri" w:hAnsi="Arial" w:cs="Arial"/>
          <w:b/>
          <w:sz w:val="24"/>
          <w:szCs w:val="24"/>
        </w:rPr>
        <w:t xml:space="preserve">4. Sírvanse indicar qué medidas se han adoptado para aplicar la recomendación del Comité de ampliar las modalidades de reparación de modo de que se ajusten plenamente a lo establecido en el artículo 24, párrafo 5, de la Convención y otros estándares internacionales en la </w:t>
      </w:r>
      <w:r w:rsidRPr="00E40F02">
        <w:rPr>
          <w:rFonts w:ascii="Arial" w:eastAsia="Calibri" w:hAnsi="Arial" w:cs="Arial"/>
          <w:b/>
          <w:sz w:val="24"/>
          <w:szCs w:val="24"/>
        </w:rPr>
        <w:lastRenderedPageBreak/>
        <w:t>materia. Asimismo</w:t>
      </w:r>
      <w:r w:rsidRPr="00295584">
        <w:rPr>
          <w:rFonts w:ascii="Arial" w:eastAsia="Calibri" w:hAnsi="Arial" w:cs="Arial"/>
          <w:b/>
          <w:sz w:val="24"/>
          <w:szCs w:val="24"/>
        </w:rPr>
        <w:t>, sírvanse precisar si se han adoptado medidas para garantizar que todas las víctimas de desaparición forzada puedan recibir indemnización y reparación aun cuando no se hubiese iniciado un proceso penal.</w:t>
      </w:r>
    </w:p>
    <w:p w14:paraId="3EF48350" w14:textId="77777777" w:rsidR="00E40F02" w:rsidRPr="00E40F02" w:rsidRDefault="00E40F02" w:rsidP="00E40F02">
      <w:pPr>
        <w:spacing w:after="0" w:line="240" w:lineRule="auto"/>
        <w:jc w:val="both"/>
        <w:rPr>
          <w:rFonts w:ascii="Arial" w:eastAsia="Calibri" w:hAnsi="Arial" w:cs="Arial"/>
          <w:sz w:val="24"/>
          <w:szCs w:val="24"/>
        </w:rPr>
      </w:pPr>
      <w:r w:rsidRPr="00E40F02">
        <w:rPr>
          <w:rFonts w:ascii="Arial" w:eastAsia="Calibri" w:hAnsi="Arial" w:cs="Arial"/>
          <w:sz w:val="24"/>
          <w:szCs w:val="24"/>
        </w:rPr>
        <w:t xml:space="preserve">Ante posibles eventuales desapariciones forzadas, los derechos que asistirán a las víctimas son los que reconoce la </w:t>
      </w:r>
      <w:hyperlink r:id="rId17" w:history="1">
        <w:r w:rsidRPr="00E40F02">
          <w:rPr>
            <w:rFonts w:ascii="Arial" w:eastAsia="Calibri" w:hAnsi="Arial" w:cs="Arial"/>
            <w:color w:val="0563C1"/>
            <w:sz w:val="24"/>
            <w:szCs w:val="24"/>
            <w:u w:val="single"/>
          </w:rPr>
          <w:t>Ley 4/2015, de 27 de abril, del Estatuto de la Víctima del Delito</w:t>
        </w:r>
      </w:hyperlink>
      <w:r w:rsidRPr="00E40F02">
        <w:rPr>
          <w:rFonts w:ascii="Arial" w:eastAsia="Calibri" w:hAnsi="Arial" w:cs="Arial"/>
          <w:sz w:val="24"/>
          <w:szCs w:val="24"/>
        </w:rPr>
        <w:t xml:space="preserve">. </w:t>
      </w:r>
    </w:p>
    <w:p w14:paraId="455E56D3" w14:textId="77777777" w:rsidR="00E40F02" w:rsidRPr="00E40F02" w:rsidRDefault="00E40F02" w:rsidP="00E40F02">
      <w:pPr>
        <w:spacing w:after="0" w:line="240" w:lineRule="auto"/>
        <w:jc w:val="both"/>
        <w:rPr>
          <w:rFonts w:ascii="Arial" w:eastAsia="Calibri" w:hAnsi="Arial" w:cs="Arial"/>
          <w:sz w:val="24"/>
          <w:szCs w:val="24"/>
        </w:rPr>
      </w:pPr>
    </w:p>
    <w:p w14:paraId="4F35B06C" w14:textId="77777777" w:rsidR="00E40F02" w:rsidRPr="00E40F02" w:rsidRDefault="00E40F02" w:rsidP="00E40F02">
      <w:pPr>
        <w:spacing w:after="0" w:line="240" w:lineRule="auto"/>
        <w:jc w:val="both"/>
        <w:rPr>
          <w:rFonts w:ascii="Arial" w:eastAsia="Calibri" w:hAnsi="Arial" w:cs="Arial"/>
          <w:sz w:val="24"/>
          <w:szCs w:val="24"/>
        </w:rPr>
      </w:pPr>
      <w:r w:rsidRPr="00E40F02">
        <w:rPr>
          <w:rFonts w:ascii="Arial" w:eastAsia="Calibri" w:hAnsi="Arial" w:cs="Arial"/>
          <w:sz w:val="24"/>
          <w:szCs w:val="24"/>
        </w:rPr>
        <w:t>Entre estos der</w:t>
      </w:r>
      <w:r>
        <w:rPr>
          <w:rFonts w:ascii="Arial" w:eastAsia="Calibri" w:hAnsi="Arial" w:cs="Arial"/>
          <w:sz w:val="24"/>
          <w:szCs w:val="24"/>
        </w:rPr>
        <w:t>echos puede citarse el derecho de</w:t>
      </w:r>
      <w:r w:rsidRPr="00E40F02">
        <w:rPr>
          <w:rFonts w:ascii="Arial" w:eastAsia="Calibri" w:hAnsi="Arial" w:cs="Arial"/>
          <w:sz w:val="24"/>
          <w:szCs w:val="24"/>
        </w:rPr>
        <w:t xml:space="preserve"> la víctima a entender y ser entendida (art. 4), al derecho a la información desde el primer contacto con las autoridades competentes (art. 5), el derecho de acceso a los servicios de asistencia y apoyo (art. 9), el derecho a la participación activa en el proceso penal (art. 11), el derecho a que se evite el contacto entre víctima e infractor (art. 20), derecho a la protección a la intimidad (art. 22). Además, las medidas de protección que se adopten habrán de ajustarse a las características y necesidades propias d</w:t>
      </w:r>
      <w:r>
        <w:rPr>
          <w:rFonts w:ascii="Arial" w:eastAsia="Calibri" w:hAnsi="Arial" w:cs="Arial"/>
          <w:sz w:val="24"/>
          <w:szCs w:val="24"/>
        </w:rPr>
        <w:t xml:space="preserve">e cada víctima, para lo cual </w:t>
      </w:r>
      <w:r w:rsidRPr="00E40F02">
        <w:rPr>
          <w:rFonts w:ascii="Arial" w:eastAsia="Calibri" w:hAnsi="Arial" w:cs="Arial"/>
          <w:sz w:val="24"/>
          <w:szCs w:val="24"/>
        </w:rPr>
        <w:t xml:space="preserve">se llevará a cabo una evaluación individual de éstas, que tendrá especialmente en consideración “si existe una relación de dependencia entre la víctima y el supuesto autor del delito” o “si se trata de víctimas menores de edad o de víctimas necesitadas de especial protección o en las que concurran factores de especial vulnerabilidad” (art. 23). Además se establece determinadas medidas tendentes a evitar la victimización secundaria en el proceso penal (arts. 21 y 25), entre ellas, las de recibirles declaración el menor número de veces posible, sin dilaciones y, en su caso, en dependencias adaptadas y por profesionales especializados, derecho a estar acompañadas, o las tendentes a impedir el contacto visual con el agresor durante el juicio, o a evitar la formulación de preguntas relativas a su vida privada, entre otras, así como la posibilidad de que se acojan a las disposiciones de la ley de protección de testigos. </w:t>
      </w:r>
    </w:p>
    <w:p w14:paraId="59BDFBEB" w14:textId="77777777" w:rsidR="00E40F02" w:rsidRPr="00E40F02" w:rsidRDefault="00E40F02" w:rsidP="00E40F02">
      <w:pPr>
        <w:spacing w:after="0" w:line="240" w:lineRule="auto"/>
        <w:jc w:val="both"/>
        <w:rPr>
          <w:rFonts w:ascii="Arial" w:eastAsia="Calibri" w:hAnsi="Arial" w:cs="Arial"/>
          <w:sz w:val="24"/>
          <w:szCs w:val="24"/>
        </w:rPr>
      </w:pPr>
    </w:p>
    <w:p w14:paraId="68765AA8" w14:textId="77777777" w:rsidR="00E40F02" w:rsidRPr="00E40F02" w:rsidRDefault="00E40F02" w:rsidP="00E40F02">
      <w:pPr>
        <w:spacing w:after="0" w:line="240" w:lineRule="auto"/>
        <w:jc w:val="both"/>
        <w:rPr>
          <w:rFonts w:ascii="Arial" w:eastAsia="Calibri" w:hAnsi="Arial" w:cs="Arial"/>
          <w:sz w:val="24"/>
          <w:szCs w:val="24"/>
        </w:rPr>
      </w:pPr>
      <w:r w:rsidRPr="00E40F02">
        <w:rPr>
          <w:rFonts w:ascii="Arial" w:eastAsia="Calibri" w:hAnsi="Arial" w:cs="Arial"/>
          <w:sz w:val="24"/>
          <w:szCs w:val="24"/>
        </w:rPr>
        <w:t xml:space="preserve">Por último, la ley prevé la organización de las Oficinas de Asistencia a las Víctimas (OAV, art. 27), como servicio público que presta una asistencia y atención integral a las víctimas, a cuyos servicios se puede acceder de manera gratuita, confidencial, con independencia de que se interponga previamente una denuncia. Están integradas por gestores procesales y administrativos, psicólogos y, en algunas de ellas, por personal de la Administración de Justicia para funciones de apoyo administrativo. La asistencia que prestan las Oficinas de Asistencia a las Víctimas consiste, entre otras medidas, en elaborar planes de asistencia individualizados para la atención a víctimas, facilitar información general sobre sus derechos y, en particular, sobre la posibilidad de acceder a un sistema público de indemnización, así como sobre los servicios especializados disponibles que puedan prestar asistencia a la víctima, a la vista de sus circunstancias personales y la naturaleza del delito de que pueda haber sido objeto, asesoramiento sobre los derechos económicos relacionados con el proceso, en particular, el procedimiento para reclamar la indemnización de los daños y perjuicios sufridos y el derecho a acceder a la justicia gratuita, prestar apoyo emocional a la víctima y asistencia terapéutica, asesoramiento sobre el riesgo y la forma de prevenir la victimización secundaria o reiterada, o la intimidación o represalias y coordinar a los diferentes órganos, instituciones y </w:t>
      </w:r>
      <w:r w:rsidRPr="00E40F02">
        <w:rPr>
          <w:rFonts w:ascii="Arial" w:eastAsia="Calibri" w:hAnsi="Arial" w:cs="Arial"/>
          <w:sz w:val="24"/>
          <w:szCs w:val="24"/>
        </w:rPr>
        <w:lastRenderedPageBreak/>
        <w:t>entidades competentes para la prestación de servicios de apoyo a la víctima, así como con jueces, tribunales y el Ministerio Fiscal.</w:t>
      </w:r>
    </w:p>
    <w:p w14:paraId="1F80DBA4" w14:textId="77777777" w:rsidR="009F0FCB" w:rsidRPr="00E40F02" w:rsidRDefault="009F0FCB" w:rsidP="00E268E4">
      <w:pPr>
        <w:jc w:val="both"/>
        <w:rPr>
          <w:rFonts w:ascii="Arial" w:eastAsia="Calibri" w:hAnsi="Arial" w:cs="Arial"/>
          <w:b/>
          <w:bCs/>
          <w:sz w:val="24"/>
          <w:szCs w:val="24"/>
        </w:rPr>
      </w:pPr>
    </w:p>
    <w:p w14:paraId="2D76D8AE" w14:textId="77777777" w:rsidR="00E268E4" w:rsidRPr="00E268E4" w:rsidRDefault="00E268E4" w:rsidP="00E268E4">
      <w:pPr>
        <w:jc w:val="both"/>
        <w:rPr>
          <w:rFonts w:ascii="Arial" w:eastAsia="Calibri" w:hAnsi="Arial" w:cs="Arial"/>
          <w:sz w:val="24"/>
          <w:szCs w:val="24"/>
        </w:rPr>
      </w:pPr>
    </w:p>
    <w:p w14:paraId="4363443B" w14:textId="77777777" w:rsidR="00AC3310" w:rsidRPr="00DD7064" w:rsidRDefault="00E268E4" w:rsidP="00E268E4">
      <w:pPr>
        <w:jc w:val="both"/>
        <w:rPr>
          <w:rFonts w:ascii="Arial" w:eastAsia="Calibri" w:hAnsi="Arial" w:cs="Arial"/>
          <w:b/>
          <w:bCs/>
          <w:sz w:val="24"/>
          <w:szCs w:val="24"/>
        </w:rPr>
      </w:pPr>
      <w:r w:rsidRPr="00E268E4">
        <w:rPr>
          <w:rFonts w:ascii="Arial" w:eastAsia="Calibri" w:hAnsi="Arial" w:cs="Arial"/>
          <w:b/>
          <w:bCs/>
          <w:sz w:val="24"/>
          <w:szCs w:val="24"/>
        </w:rPr>
        <w:t xml:space="preserve">5. Sírvanse precisar si se han adoptado medidas a fin de contemplar el derecho a la verdad de manera expresa en la legislación interna. Sírvanse informar acerca de los avances en la creación de una Comisión de la Verdad en seguimiento a lo anunciado por la entonces Ministra de Justicia ante el Congreso de los Diputados el 10 de julio de 2018. </w:t>
      </w:r>
    </w:p>
    <w:p w14:paraId="523D6E0A" w14:textId="77777777" w:rsidR="00E268E4" w:rsidRPr="00E268E4" w:rsidRDefault="00AC3310" w:rsidP="00E268E4">
      <w:pPr>
        <w:jc w:val="both"/>
        <w:rPr>
          <w:rFonts w:ascii="Arial" w:eastAsia="Calibri" w:hAnsi="Arial" w:cs="Arial"/>
          <w:b/>
          <w:bCs/>
          <w:sz w:val="24"/>
          <w:szCs w:val="24"/>
        </w:rPr>
      </w:pPr>
      <w:r w:rsidRPr="00DD7064">
        <w:rPr>
          <w:rFonts w:ascii="Arial" w:eastAsia="Calibri" w:hAnsi="Arial" w:cs="Arial"/>
          <w:sz w:val="24"/>
          <w:szCs w:val="24"/>
        </w:rPr>
        <w:t>Se está tramitando en estos momentos un anteproyecto de Ley de Memori</w:t>
      </w:r>
      <w:r w:rsidR="00BE7CDB" w:rsidRPr="00DD7064">
        <w:rPr>
          <w:rFonts w:ascii="Arial" w:eastAsia="Calibri" w:hAnsi="Arial" w:cs="Arial"/>
          <w:sz w:val="24"/>
          <w:szCs w:val="24"/>
        </w:rPr>
        <w:t>a Democrática, que</w:t>
      </w:r>
      <w:r w:rsidRPr="00DD7064">
        <w:rPr>
          <w:rFonts w:ascii="Arial" w:eastAsia="Calibri" w:hAnsi="Arial" w:cs="Arial"/>
          <w:sz w:val="24"/>
          <w:szCs w:val="24"/>
        </w:rPr>
        <w:t xml:space="preserve"> recoge y centra su </w:t>
      </w:r>
      <w:r w:rsidR="00E268E4" w:rsidRPr="00E268E4">
        <w:rPr>
          <w:rFonts w:ascii="Arial" w:eastAsia="Calibri" w:hAnsi="Arial" w:cs="Arial"/>
          <w:sz w:val="24"/>
          <w:szCs w:val="24"/>
        </w:rPr>
        <w:t>contenido en torno al derecho a la verdad. El derecho a la verdad se configura como un derecho de las víctimas en el artículo 14, entend</w:t>
      </w:r>
      <w:r w:rsidRPr="00DD7064">
        <w:rPr>
          <w:rFonts w:ascii="Arial" w:eastAsia="Calibri" w:hAnsi="Arial" w:cs="Arial"/>
          <w:sz w:val="24"/>
          <w:szCs w:val="24"/>
        </w:rPr>
        <w:t xml:space="preserve">ido como el derecho que tienen </w:t>
      </w:r>
      <w:r w:rsidR="00E268E4" w:rsidRPr="00E268E4">
        <w:rPr>
          <w:rFonts w:ascii="Arial" w:eastAsia="Calibri" w:hAnsi="Arial" w:cs="Arial"/>
          <w:sz w:val="24"/>
          <w:szCs w:val="24"/>
        </w:rPr>
        <w:t xml:space="preserve">las víctimas, sus familiares y la sociedad en general a verificar los hechos y a la revelación pública y completa de los motivos y circunstancias en que se cometieron las violaciones </w:t>
      </w:r>
      <w:r w:rsidRPr="00DD7064">
        <w:rPr>
          <w:rFonts w:ascii="Arial" w:eastAsia="Calibri" w:hAnsi="Arial" w:cs="Arial"/>
          <w:sz w:val="24"/>
          <w:szCs w:val="24"/>
        </w:rPr>
        <w:t xml:space="preserve">del </w:t>
      </w:r>
      <w:r w:rsidR="00E268E4" w:rsidRPr="00E268E4">
        <w:rPr>
          <w:rFonts w:ascii="Arial" w:eastAsia="Calibri" w:hAnsi="Arial" w:cs="Arial"/>
          <w:sz w:val="24"/>
          <w:szCs w:val="24"/>
        </w:rPr>
        <w:t>Derecho Internacional Humanitario o de los Derechos Humanos ocurridas en la Guerra y la Dictadura franquista. Este derecho se regula en torno a dos ejes muy concretos:  el proceso de búsqueda de personas</w:t>
      </w:r>
      <w:r w:rsidRPr="00DD7064">
        <w:rPr>
          <w:rFonts w:ascii="Arial" w:eastAsia="Calibri" w:hAnsi="Arial" w:cs="Arial"/>
          <w:sz w:val="24"/>
          <w:szCs w:val="24"/>
        </w:rPr>
        <w:t xml:space="preserve"> desaparecidas y el acceso los archivos y d</w:t>
      </w:r>
      <w:r w:rsidR="00E268E4" w:rsidRPr="00E268E4">
        <w:rPr>
          <w:rFonts w:ascii="Arial" w:eastAsia="Calibri" w:hAnsi="Arial" w:cs="Arial"/>
          <w:sz w:val="24"/>
          <w:szCs w:val="24"/>
        </w:rPr>
        <w:t>ocumentos de Memoria Democrática.</w:t>
      </w:r>
    </w:p>
    <w:p w14:paraId="19B350F9"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En cuanto a la creación de una Comisión de la Verdad, el proyecto de Ley elaborado por el Gobierno asume las</w:t>
      </w:r>
      <w:r w:rsidR="00AC3310" w:rsidRPr="00DD7064">
        <w:rPr>
          <w:rFonts w:ascii="Arial" w:eastAsia="Calibri" w:hAnsi="Arial" w:cs="Arial"/>
          <w:sz w:val="24"/>
          <w:szCs w:val="24"/>
        </w:rPr>
        <w:t xml:space="preserve"> recomendaciones del Relator</w:t>
      </w:r>
      <w:r w:rsidRPr="00E268E4">
        <w:rPr>
          <w:rFonts w:ascii="Arial" w:eastAsia="Calibri" w:hAnsi="Arial" w:cs="Arial"/>
          <w:sz w:val="24"/>
          <w:szCs w:val="24"/>
        </w:rPr>
        <w:t xml:space="preserve"> Pablo de Greiff formuladas en su informe tras la visita a España en 2014. </w:t>
      </w:r>
    </w:p>
    <w:p w14:paraId="0F36240C" w14:textId="150E87B6" w:rsidR="00E268E4" w:rsidRDefault="00E268E4" w:rsidP="00E268E4">
      <w:pPr>
        <w:jc w:val="both"/>
        <w:rPr>
          <w:rFonts w:ascii="Arial" w:eastAsia="Calibri" w:hAnsi="Arial" w:cs="Arial"/>
          <w:sz w:val="24"/>
          <w:szCs w:val="24"/>
        </w:rPr>
      </w:pPr>
      <w:r w:rsidRPr="00E268E4">
        <w:rPr>
          <w:rFonts w:ascii="Arial" w:eastAsia="Calibri" w:hAnsi="Arial" w:cs="Arial"/>
          <w:sz w:val="24"/>
          <w:szCs w:val="24"/>
        </w:rPr>
        <w:t>De esta manera, y como garantía del derecho de las víctimas a la verdad, el órgano de asesoram</w:t>
      </w:r>
      <w:r w:rsidR="00AC3310" w:rsidRPr="00DD7064">
        <w:rPr>
          <w:rFonts w:ascii="Arial" w:eastAsia="Calibri" w:hAnsi="Arial" w:cs="Arial"/>
          <w:sz w:val="24"/>
          <w:szCs w:val="24"/>
        </w:rPr>
        <w:t>iento y participación ciudadana</w:t>
      </w:r>
      <w:r w:rsidRPr="00E268E4">
        <w:rPr>
          <w:rFonts w:ascii="Arial" w:eastAsia="Calibri" w:hAnsi="Arial" w:cs="Arial"/>
          <w:sz w:val="24"/>
          <w:szCs w:val="24"/>
        </w:rPr>
        <w:t xml:space="preserve"> puede acordar la creación de un grupo de trabajo en relación con la verdad, que queda caracterizado de la siguiente manera de acuerdo con el tenor literal del precepto propuesto por el Gobierno: (art. 58.5) “…un grupo de trabajo que elabore un informe para sistematizar la información existente sobre las violaciones de derechos humanos durante la Guerra y la Dictadura, con el objeto de superar la fragmentación y dispersión de información y esfuerzos. Igualmente, podrá proponer un plan ordenado de investigaciones, así como la promoción de metodologías y protocolos de actuación en este ámbito.  Reglamentariamente se establecerán las condiciones para que el Consejo pueda contar con un mecanismo formal de validación, presentación formal y difusión de las conclusiones de sus informes, asegurando la participación y el reconocimiento oficial de las víctimas y sus familiares.”</w:t>
      </w:r>
    </w:p>
    <w:p w14:paraId="69791560" w14:textId="6535EFEB" w:rsidR="00956FFF" w:rsidRDefault="00956FFF" w:rsidP="00E268E4">
      <w:pPr>
        <w:jc w:val="both"/>
        <w:rPr>
          <w:rFonts w:ascii="Arial" w:eastAsia="Calibri" w:hAnsi="Arial" w:cs="Arial"/>
          <w:sz w:val="24"/>
          <w:szCs w:val="24"/>
        </w:rPr>
      </w:pPr>
    </w:p>
    <w:p w14:paraId="614207B9" w14:textId="3D2F3FFD" w:rsidR="00956FFF" w:rsidRDefault="00956FFF" w:rsidP="00E268E4">
      <w:pPr>
        <w:jc w:val="both"/>
        <w:rPr>
          <w:rFonts w:ascii="Arial" w:eastAsia="Calibri" w:hAnsi="Arial" w:cs="Arial"/>
          <w:sz w:val="24"/>
          <w:szCs w:val="24"/>
        </w:rPr>
      </w:pPr>
    </w:p>
    <w:p w14:paraId="728F60C3" w14:textId="77777777" w:rsidR="00956FFF" w:rsidRPr="00956FFF" w:rsidRDefault="00956FFF" w:rsidP="00956FFF">
      <w:pPr>
        <w:jc w:val="both"/>
        <w:rPr>
          <w:rFonts w:ascii="Arial" w:eastAsia="Calibri" w:hAnsi="Arial" w:cs="Arial"/>
          <w:b/>
          <w:sz w:val="24"/>
          <w:szCs w:val="24"/>
        </w:rPr>
      </w:pPr>
      <w:r w:rsidRPr="00956FFF">
        <w:rPr>
          <w:rFonts w:ascii="Arial" w:eastAsia="Calibri" w:hAnsi="Arial" w:cs="Arial"/>
          <w:b/>
          <w:sz w:val="24"/>
          <w:szCs w:val="24"/>
        </w:rPr>
        <w:t xml:space="preserve">6. Sírvanse indicar qué medidas se adoptaron para incorporar como delitos específicos las conductas descritas en el artículo 25, párrafo 1, de la Convención. Teniendo en cuenta lo referido en los párrafos 88 y 89 de la información complementaria presentada por el Estado parte, sírvanse </w:t>
      </w:r>
      <w:r w:rsidRPr="00956FFF">
        <w:rPr>
          <w:rFonts w:ascii="Arial" w:eastAsia="Calibri" w:hAnsi="Arial" w:cs="Arial"/>
          <w:b/>
          <w:sz w:val="24"/>
          <w:szCs w:val="24"/>
        </w:rPr>
        <w:lastRenderedPageBreak/>
        <w:t>proporcionar información acerca del estado actual de la proposición de ley sobre bebés robados en el Estado español (122/39) presentada en marzo de 2020; indicar qué medidas se han adoptado para garantizar que sus disposiciones sean plenamente compatibles con los derechos y obligaciones dimanantes de la Convención, incluyendo los derechos a la verdad, a la justicia y a la reparación; e informar cuándo se prevé que la misma podrá ser adoptada. En relación con el párrafo 89 de la información complementaria presentada por el Estado parte, sírvanse informar acerca de los avances para crear un Banco Nacional de ADN que integre muestras genéticas de todos los casos denunciados.</w:t>
      </w:r>
    </w:p>
    <w:p w14:paraId="01801DB1" w14:textId="77777777" w:rsidR="00956FFF" w:rsidRPr="00956FFF" w:rsidRDefault="00956FFF" w:rsidP="00956FFF">
      <w:pPr>
        <w:jc w:val="both"/>
        <w:rPr>
          <w:rFonts w:ascii="Arial" w:eastAsia="Calibri" w:hAnsi="Arial" w:cs="Arial"/>
          <w:sz w:val="24"/>
          <w:szCs w:val="24"/>
        </w:rPr>
      </w:pPr>
      <w:r w:rsidRPr="00956FFF">
        <w:rPr>
          <w:rFonts w:ascii="Arial" w:eastAsia="Calibri" w:hAnsi="Arial" w:cs="Arial"/>
          <w:sz w:val="24"/>
          <w:szCs w:val="24"/>
        </w:rPr>
        <w:t>No se han adoptado nuevas medidas pues se considera que estos hechos ya están tipificados en el Código Penal, como es principalmente el delito de detención ilegal (</w:t>
      </w:r>
      <w:hyperlink r:id="rId18" w:anchor="a163" w:history="1">
        <w:r w:rsidRPr="00956FFF">
          <w:rPr>
            <w:rFonts w:ascii="Arial" w:eastAsia="Calibri" w:hAnsi="Arial" w:cs="Arial"/>
            <w:color w:val="0563C1"/>
            <w:sz w:val="24"/>
            <w:szCs w:val="24"/>
            <w:u w:val="single"/>
          </w:rPr>
          <w:t>arts. 163 y siguientes del Código Penal</w:t>
        </w:r>
      </w:hyperlink>
      <w:r w:rsidRPr="00956FFF">
        <w:rPr>
          <w:rFonts w:ascii="Arial" w:eastAsia="Calibri" w:hAnsi="Arial" w:cs="Arial"/>
          <w:sz w:val="24"/>
          <w:szCs w:val="24"/>
        </w:rPr>
        <w:t>), pero también los delitos de suposición de parto y de alteración de la paternidad, estado o condición de menor (</w:t>
      </w:r>
      <w:hyperlink r:id="rId19" w:anchor="a220" w:history="1">
        <w:r w:rsidRPr="00956FFF">
          <w:rPr>
            <w:rFonts w:ascii="Arial" w:eastAsia="Calibri" w:hAnsi="Arial" w:cs="Arial"/>
            <w:color w:val="0563C1"/>
            <w:sz w:val="24"/>
            <w:szCs w:val="24"/>
            <w:u w:val="single"/>
          </w:rPr>
          <w:t>artículos 220-222 Código Penal</w:t>
        </w:r>
      </w:hyperlink>
      <w:r w:rsidRPr="00956FFF">
        <w:rPr>
          <w:rFonts w:ascii="Arial" w:eastAsia="Calibri" w:hAnsi="Arial" w:cs="Arial"/>
          <w:sz w:val="24"/>
          <w:szCs w:val="24"/>
        </w:rPr>
        <w:t>), de sustracción de menores (</w:t>
      </w:r>
      <w:hyperlink r:id="rId20" w:anchor="a225bis" w:history="1">
        <w:r w:rsidRPr="00956FFF">
          <w:rPr>
            <w:rFonts w:ascii="Arial" w:eastAsia="Calibri" w:hAnsi="Arial" w:cs="Arial"/>
            <w:color w:val="0563C1"/>
            <w:sz w:val="24"/>
            <w:szCs w:val="24"/>
            <w:u w:val="single"/>
          </w:rPr>
          <w:t>arts. 225 bis Código Penal</w:t>
        </w:r>
      </w:hyperlink>
      <w:r w:rsidRPr="00956FFF">
        <w:rPr>
          <w:rFonts w:ascii="Arial" w:eastAsia="Calibri" w:hAnsi="Arial" w:cs="Arial"/>
          <w:sz w:val="24"/>
          <w:szCs w:val="24"/>
        </w:rPr>
        <w:t>), de falsedad documental (</w:t>
      </w:r>
      <w:hyperlink r:id="rId21" w:anchor="a390" w:history="1">
        <w:r w:rsidRPr="00956FFF">
          <w:rPr>
            <w:rFonts w:ascii="Arial" w:eastAsia="Calibri" w:hAnsi="Arial" w:cs="Arial"/>
            <w:color w:val="0563C1"/>
            <w:sz w:val="24"/>
            <w:szCs w:val="24"/>
            <w:u w:val="single"/>
          </w:rPr>
          <w:t>arts. 390 y siguientes Código Pena</w:t>
        </w:r>
      </w:hyperlink>
      <w:r w:rsidRPr="00956FFF">
        <w:rPr>
          <w:rFonts w:ascii="Arial" w:eastAsia="Calibri" w:hAnsi="Arial" w:cs="Arial"/>
          <w:sz w:val="24"/>
          <w:szCs w:val="24"/>
        </w:rPr>
        <w:t xml:space="preserve">l) y sus actualizaciones llevadas a cabo por la </w:t>
      </w:r>
      <w:hyperlink r:id="rId22" w:anchor="df-6" w:history="1">
        <w:r w:rsidRPr="00956FFF">
          <w:rPr>
            <w:rFonts w:ascii="Arial" w:eastAsia="Calibri" w:hAnsi="Arial" w:cs="Arial"/>
            <w:color w:val="0563C1"/>
            <w:sz w:val="24"/>
            <w:szCs w:val="24"/>
            <w:u w:val="single"/>
          </w:rPr>
          <w:t>Ley Orgánica 8/2021, de 4 de junio, de protección integral a la infancia y la adolescencia frente a la violencia.</w:t>
        </w:r>
      </w:hyperlink>
    </w:p>
    <w:p w14:paraId="2AFFC4BA" w14:textId="77777777" w:rsidR="00956FFF" w:rsidRPr="00956FFF" w:rsidRDefault="00956FFF" w:rsidP="00956FFF">
      <w:pPr>
        <w:jc w:val="both"/>
        <w:rPr>
          <w:rFonts w:ascii="Arial" w:eastAsia="Calibri" w:hAnsi="Arial" w:cs="Arial"/>
          <w:sz w:val="24"/>
          <w:szCs w:val="24"/>
        </w:rPr>
      </w:pPr>
      <w:r w:rsidRPr="00956FFF">
        <w:rPr>
          <w:rFonts w:ascii="Arial" w:eastAsia="Calibri" w:hAnsi="Arial" w:cs="Arial"/>
          <w:sz w:val="24"/>
          <w:szCs w:val="24"/>
        </w:rPr>
        <w:t>La proposición de ley sobre bebés robados en el Estado español (122/39) presentada en marzo de 2020 fue tomada en consideración el 14 de julio de 2020 y trasladada a la Comisión de Justicia del Congreso de los Diputados donde está en plazo de presentación de enmiendas.</w:t>
      </w:r>
    </w:p>
    <w:p w14:paraId="14E564D8" w14:textId="3B98F121" w:rsidR="008E4F80" w:rsidRPr="008E4F80" w:rsidRDefault="008E4F80" w:rsidP="008E4F80">
      <w:pPr>
        <w:spacing w:after="0" w:line="240" w:lineRule="auto"/>
        <w:jc w:val="both"/>
        <w:rPr>
          <w:rFonts w:ascii="Arial" w:eastAsia="Calibri" w:hAnsi="Arial" w:cs="Arial"/>
          <w:sz w:val="24"/>
          <w:szCs w:val="24"/>
        </w:rPr>
      </w:pPr>
      <w:r w:rsidRPr="008E4F80">
        <w:rPr>
          <w:rFonts w:ascii="Arial" w:eastAsia="Calibri" w:hAnsi="Arial" w:cs="Arial"/>
          <w:sz w:val="24"/>
          <w:szCs w:val="24"/>
        </w:rPr>
        <w:t>El Anteproyecto de Ley d</w:t>
      </w:r>
      <w:r>
        <w:rPr>
          <w:rFonts w:ascii="Arial" w:eastAsia="Calibri" w:hAnsi="Arial" w:cs="Arial"/>
          <w:sz w:val="24"/>
          <w:szCs w:val="24"/>
        </w:rPr>
        <w:t xml:space="preserve">e Memoria Democrática incluye la previsión de </w:t>
      </w:r>
      <w:r w:rsidRPr="008E4F80">
        <w:rPr>
          <w:rFonts w:ascii="Arial" w:eastAsia="Calibri" w:hAnsi="Arial" w:cs="Arial"/>
          <w:sz w:val="24"/>
          <w:szCs w:val="24"/>
        </w:rPr>
        <w:t>la creación de un Banco Estatal de ADN de víctimas del franquismo y la Dictadura, cuya gestión y Dirección corresponderá al Ministerio de Justicia a través de Instituto de Toxicología y Ciencias Forenses.</w:t>
      </w:r>
      <w:r>
        <w:rPr>
          <w:rFonts w:ascii="Arial" w:eastAsia="Calibri" w:hAnsi="Arial" w:cs="Arial"/>
          <w:sz w:val="24"/>
          <w:szCs w:val="24"/>
        </w:rPr>
        <w:t xml:space="preserve"> </w:t>
      </w:r>
      <w:r w:rsidRPr="008E4F80">
        <w:rPr>
          <w:rFonts w:ascii="Arial" w:eastAsia="Calibri" w:hAnsi="Arial" w:cs="Arial"/>
          <w:sz w:val="24"/>
          <w:szCs w:val="24"/>
          <w:lang w:eastAsia="zh-CN"/>
        </w:rPr>
        <w:t>Se han iniciado las gestiones para</w:t>
      </w:r>
      <w:r>
        <w:rPr>
          <w:rFonts w:ascii="Arial" w:eastAsia="Calibri" w:hAnsi="Arial" w:cs="Arial"/>
          <w:sz w:val="24"/>
          <w:szCs w:val="24"/>
          <w:lang w:eastAsia="zh-CN"/>
        </w:rPr>
        <w:t xml:space="preserve"> su establecimiento. </w:t>
      </w:r>
      <w:r w:rsidRPr="008E4F80">
        <w:rPr>
          <w:rFonts w:ascii="Arial" w:eastAsia="Calibri" w:hAnsi="Arial" w:cs="Arial"/>
          <w:sz w:val="24"/>
          <w:szCs w:val="24"/>
          <w:lang w:eastAsia="zh-CN"/>
        </w:rPr>
        <w:t xml:space="preserve">Para ello la Secretaría de Estado de Memoria Democrática junto con la Dirección del Instituto Nacional de Toxicología y Ciencias Forenses ha considerado oportuno probar y en su caso  adquirir el  programa “Bonaparte DVI” (Sistema Bonaparte </w:t>
      </w:r>
      <w:hyperlink r:id="rId23" w:history="1">
        <w:r w:rsidRPr="008E4F80">
          <w:rPr>
            <w:rFonts w:ascii="Arial" w:eastAsia="Calibri" w:hAnsi="Arial" w:cs="Arial"/>
            <w:color w:val="0563C1"/>
            <w:sz w:val="24"/>
            <w:szCs w:val="24"/>
            <w:u w:val="single"/>
            <w:lang w:eastAsia="zh-CN"/>
          </w:rPr>
          <w:t>https://www.bonaparte-dvi.com/es/</w:t>
        </w:r>
      </w:hyperlink>
      <w:r w:rsidRPr="008E4F80">
        <w:rPr>
          <w:rFonts w:ascii="Arial" w:eastAsia="Calibri" w:hAnsi="Arial" w:cs="Arial"/>
          <w:sz w:val="24"/>
          <w:szCs w:val="24"/>
          <w:lang w:eastAsia="zh-CN"/>
        </w:rPr>
        <w:t>).</w:t>
      </w:r>
      <w:r>
        <w:rPr>
          <w:rFonts w:ascii="Arial" w:eastAsia="Calibri" w:hAnsi="Arial" w:cs="Arial"/>
          <w:sz w:val="24"/>
          <w:szCs w:val="24"/>
        </w:rPr>
        <w:t xml:space="preserve"> </w:t>
      </w:r>
      <w:r w:rsidRPr="008E4F80">
        <w:rPr>
          <w:rFonts w:ascii="Arial" w:eastAsia="Calibri" w:hAnsi="Arial" w:cs="Arial"/>
          <w:sz w:val="24"/>
          <w:szCs w:val="24"/>
          <w:lang w:eastAsia="zh-CN"/>
        </w:rPr>
        <w:t xml:space="preserve">Con este programa y el desarrollo de una Base de Datos Estatal de ADN se podrá coordinar a nivel nacional las distintas iniciativas desarrolladas por las distintas Comunidades Autónomas de forma que exista un repositorio de perfiles de ADN común ya que es imprescindible utilizar de sistemas informáticos para el desarrollo de una base de datos búsquedas de perfiles de ADN validados en el campo forense y que al menos garanticen: </w:t>
      </w:r>
    </w:p>
    <w:p w14:paraId="3F5A7B4D" w14:textId="77777777" w:rsidR="008E4F80" w:rsidRPr="008E4F80" w:rsidRDefault="008E4F80" w:rsidP="008E4F80">
      <w:pPr>
        <w:spacing w:after="0" w:line="240" w:lineRule="auto"/>
        <w:jc w:val="both"/>
        <w:rPr>
          <w:rFonts w:ascii="Arial" w:eastAsia="Calibri" w:hAnsi="Arial" w:cs="Arial"/>
          <w:sz w:val="24"/>
          <w:szCs w:val="24"/>
          <w:lang w:eastAsia="zh-CN"/>
        </w:rPr>
      </w:pPr>
    </w:p>
    <w:p w14:paraId="0D3901BB" w14:textId="77777777" w:rsidR="008E4F80" w:rsidRPr="008E4F80" w:rsidRDefault="008E4F80" w:rsidP="008E4F80">
      <w:pPr>
        <w:spacing w:after="0" w:line="240" w:lineRule="auto"/>
        <w:ind w:firstLine="708"/>
        <w:jc w:val="both"/>
        <w:rPr>
          <w:rFonts w:ascii="Arial" w:eastAsia="Calibri" w:hAnsi="Arial" w:cs="Arial"/>
          <w:sz w:val="24"/>
          <w:szCs w:val="24"/>
          <w:lang w:eastAsia="zh-CN"/>
        </w:rPr>
      </w:pPr>
      <w:r w:rsidRPr="008E4F80">
        <w:rPr>
          <w:rFonts w:ascii="Arial" w:eastAsia="Calibri" w:hAnsi="Arial" w:cs="Arial"/>
          <w:sz w:val="24"/>
          <w:szCs w:val="24"/>
          <w:lang w:eastAsia="zh-CN"/>
        </w:rPr>
        <w:t>· Intercambio seguro en red con diversos nodos autonómicos y un nodo estatal.</w:t>
      </w:r>
    </w:p>
    <w:p w14:paraId="5F0424B8" w14:textId="77777777" w:rsidR="008E4F80" w:rsidRPr="008E4F80" w:rsidRDefault="008E4F80" w:rsidP="008E4F80">
      <w:pPr>
        <w:spacing w:after="0" w:line="240" w:lineRule="auto"/>
        <w:ind w:firstLine="708"/>
        <w:jc w:val="both"/>
        <w:rPr>
          <w:rFonts w:ascii="Arial" w:eastAsia="Calibri" w:hAnsi="Arial" w:cs="Arial"/>
          <w:sz w:val="24"/>
          <w:szCs w:val="24"/>
          <w:lang w:eastAsia="zh-CN"/>
        </w:rPr>
      </w:pPr>
      <w:r w:rsidRPr="008E4F80">
        <w:rPr>
          <w:rFonts w:ascii="Arial" w:eastAsia="Calibri" w:hAnsi="Arial" w:cs="Arial"/>
          <w:sz w:val="24"/>
          <w:szCs w:val="24"/>
          <w:lang w:eastAsia="zh-CN"/>
        </w:rPr>
        <w:t xml:space="preserve">· Búsquedas de perfiles de ADN mediante algoritmos de identidad. </w:t>
      </w:r>
    </w:p>
    <w:p w14:paraId="3D01931E" w14:textId="77777777" w:rsidR="008E4F80" w:rsidRPr="008E4F80" w:rsidRDefault="008E4F80" w:rsidP="008E4F80">
      <w:pPr>
        <w:spacing w:after="0" w:line="240" w:lineRule="auto"/>
        <w:ind w:firstLine="708"/>
        <w:jc w:val="both"/>
        <w:rPr>
          <w:rFonts w:ascii="Arial" w:eastAsia="Calibri" w:hAnsi="Arial" w:cs="Arial"/>
          <w:sz w:val="24"/>
          <w:szCs w:val="24"/>
          <w:lang w:eastAsia="zh-CN"/>
        </w:rPr>
      </w:pPr>
      <w:r w:rsidRPr="008E4F80">
        <w:rPr>
          <w:rFonts w:ascii="Arial" w:eastAsia="Calibri" w:hAnsi="Arial" w:cs="Arial"/>
          <w:sz w:val="24"/>
          <w:szCs w:val="24"/>
          <w:lang w:eastAsia="zh-CN"/>
        </w:rPr>
        <w:t xml:space="preserve">· Búsquedas por árbol familiar y distintos tipos de herencia (STR, Y-STR y ADN mitocondrial). </w:t>
      </w:r>
    </w:p>
    <w:p w14:paraId="0075AB70" w14:textId="77777777" w:rsidR="008E4F80" w:rsidRPr="008E4F80" w:rsidRDefault="008E4F80" w:rsidP="008E4F80">
      <w:pPr>
        <w:spacing w:after="0" w:line="240" w:lineRule="auto"/>
        <w:ind w:firstLine="708"/>
        <w:jc w:val="both"/>
        <w:rPr>
          <w:rFonts w:ascii="Arial" w:eastAsia="Calibri" w:hAnsi="Arial" w:cs="Arial"/>
          <w:sz w:val="24"/>
          <w:szCs w:val="24"/>
          <w:lang w:eastAsia="zh-CN"/>
        </w:rPr>
      </w:pPr>
      <w:r w:rsidRPr="008E4F80">
        <w:rPr>
          <w:rFonts w:ascii="Arial" w:eastAsia="Calibri" w:hAnsi="Arial" w:cs="Arial"/>
          <w:sz w:val="24"/>
          <w:szCs w:val="24"/>
          <w:lang w:eastAsia="zh-CN"/>
        </w:rPr>
        <w:t xml:space="preserve">· Sistema simultaneo de análisis estadístico de coincidencias y compatibilidades. </w:t>
      </w:r>
    </w:p>
    <w:p w14:paraId="58B6A972" w14:textId="4AB75B79" w:rsidR="00956FFF" w:rsidRPr="00E268E4" w:rsidRDefault="008E4F80" w:rsidP="008E4F80">
      <w:pPr>
        <w:spacing w:after="0" w:line="240" w:lineRule="auto"/>
        <w:ind w:firstLine="708"/>
        <w:jc w:val="both"/>
        <w:rPr>
          <w:rFonts w:ascii="Arial" w:eastAsia="Calibri" w:hAnsi="Arial" w:cs="Arial"/>
          <w:sz w:val="24"/>
          <w:szCs w:val="24"/>
          <w:lang w:eastAsia="zh-CN"/>
        </w:rPr>
      </w:pPr>
      <w:r w:rsidRPr="008E4F80">
        <w:rPr>
          <w:rFonts w:ascii="Arial" w:eastAsia="Calibri" w:hAnsi="Arial" w:cs="Arial"/>
          <w:sz w:val="24"/>
          <w:szCs w:val="24"/>
          <w:lang w:eastAsia="zh-CN"/>
        </w:rPr>
        <w:t>· Sistema de gestión y documentación de coincidencias y compatibilidades.</w:t>
      </w:r>
    </w:p>
    <w:p w14:paraId="2B118DB1" w14:textId="77777777" w:rsidR="00E268E4" w:rsidRDefault="00E268E4" w:rsidP="00E268E4">
      <w:pPr>
        <w:jc w:val="both"/>
        <w:rPr>
          <w:rFonts w:ascii="Arial" w:eastAsia="Calibri" w:hAnsi="Arial" w:cs="Arial"/>
          <w:sz w:val="24"/>
          <w:szCs w:val="24"/>
        </w:rPr>
      </w:pPr>
    </w:p>
    <w:p w14:paraId="5B759504" w14:textId="77777777" w:rsidR="00DD7064" w:rsidRPr="00E268E4" w:rsidRDefault="00DD7064" w:rsidP="00E268E4">
      <w:pPr>
        <w:jc w:val="both"/>
        <w:rPr>
          <w:rFonts w:ascii="Arial" w:eastAsia="Calibri" w:hAnsi="Arial" w:cs="Arial"/>
          <w:sz w:val="24"/>
          <w:szCs w:val="24"/>
        </w:rPr>
      </w:pPr>
    </w:p>
    <w:p w14:paraId="48E2B2DD" w14:textId="77777777" w:rsidR="00E268E4" w:rsidRPr="00E268E4" w:rsidRDefault="00E268E4" w:rsidP="00E268E4">
      <w:pPr>
        <w:jc w:val="both"/>
        <w:rPr>
          <w:rFonts w:ascii="Arial" w:eastAsia="Calibri" w:hAnsi="Arial" w:cs="Arial"/>
          <w:b/>
          <w:bCs/>
          <w:sz w:val="24"/>
          <w:szCs w:val="24"/>
        </w:rPr>
      </w:pPr>
      <w:r w:rsidRPr="00E268E4">
        <w:rPr>
          <w:rFonts w:ascii="Arial" w:eastAsia="Calibri" w:hAnsi="Arial" w:cs="Arial"/>
          <w:b/>
          <w:bCs/>
          <w:sz w:val="24"/>
          <w:szCs w:val="24"/>
        </w:rPr>
        <w:t xml:space="preserve">7. Sírvanse proporcionar información acerca del contenido del Anteproyecto de Ley de Memoria Democrática aprobado por el Consejo de Ministros en septiembre del 2020 y comentar acerca de la compatibilidad de sus disposiciones con la Convención, incluyendo en relación con los derechos a la justicia, a la verdad, y a la reparación. </w:t>
      </w:r>
      <w:r w:rsidR="00D652F7" w:rsidRPr="00DD7064">
        <w:rPr>
          <w:rFonts w:ascii="Arial" w:eastAsia="Calibri" w:hAnsi="Arial" w:cs="Arial"/>
          <w:b/>
          <w:bCs/>
          <w:sz w:val="24"/>
          <w:szCs w:val="24"/>
        </w:rPr>
        <w:t xml:space="preserve">Sírvanse también informar sobre la participación de las víctimas de desaparición forzada, las organizaciones de la sociedad civil y la Institución Nacional de Derechos Humanos en las distintas etapas del proceso encaminado a la adopción de la ley. </w:t>
      </w:r>
      <w:r w:rsidR="00DD7064" w:rsidRPr="00DD7064">
        <w:rPr>
          <w:rFonts w:ascii="Arial" w:eastAsia="Calibri" w:hAnsi="Arial" w:cs="Arial"/>
          <w:b/>
          <w:bCs/>
          <w:sz w:val="24"/>
          <w:szCs w:val="24"/>
        </w:rPr>
        <w:t>Sírvanse además indicar el estado actual del Anteproyecto y cuándo se prevé que podrá ser adoptado como ley</w:t>
      </w:r>
      <w:r w:rsidR="00DD7064">
        <w:rPr>
          <w:rFonts w:ascii="Arial" w:eastAsia="Calibri" w:hAnsi="Arial" w:cs="Arial"/>
          <w:b/>
          <w:bCs/>
          <w:sz w:val="24"/>
          <w:szCs w:val="24"/>
        </w:rPr>
        <w:t>.</w:t>
      </w:r>
    </w:p>
    <w:p w14:paraId="3BF49E27"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Como ya se ha señalado, tras el acuerdo del Consejo de Ministros de 15 de septiembre de 2020, </w:t>
      </w:r>
      <w:bookmarkStart w:id="0" w:name="_Hlk75448502"/>
      <w:r w:rsidRPr="00E268E4">
        <w:rPr>
          <w:rFonts w:ascii="Arial" w:eastAsia="Calibri" w:hAnsi="Arial" w:cs="Arial"/>
          <w:sz w:val="24"/>
          <w:szCs w:val="24"/>
        </w:rPr>
        <w:t>se está tramitando en estos momentos un anteproyecto de Ley de Memoria Democrática, articulada, precisamente, en torno a los principios de verdad, justicia, reparación y garantías de no repetición</w:t>
      </w:r>
      <w:bookmarkEnd w:id="0"/>
      <w:r w:rsidRPr="00E268E4">
        <w:rPr>
          <w:rFonts w:ascii="Arial" w:eastAsia="Calibri" w:hAnsi="Arial" w:cs="Arial"/>
          <w:sz w:val="24"/>
          <w:szCs w:val="24"/>
        </w:rPr>
        <w:t xml:space="preserve">, que supone una reforma integral de la Ley 52/2007 de Memoria </w:t>
      </w:r>
      <w:r w:rsidR="00BB49E5" w:rsidRPr="00DD7064">
        <w:rPr>
          <w:rFonts w:ascii="Arial" w:eastAsia="Calibri" w:hAnsi="Arial" w:cs="Arial"/>
          <w:sz w:val="24"/>
          <w:szCs w:val="24"/>
        </w:rPr>
        <w:t>Histórica, y que contempla</w:t>
      </w:r>
      <w:r w:rsidRPr="00E268E4">
        <w:rPr>
          <w:rFonts w:ascii="Arial" w:eastAsia="Calibri" w:hAnsi="Arial" w:cs="Arial"/>
          <w:sz w:val="24"/>
          <w:szCs w:val="24"/>
        </w:rPr>
        <w:t xml:space="preserve"> las propuestas de los informes realizados por el</w:t>
      </w:r>
      <w:r w:rsidR="00BB49E5" w:rsidRPr="00DD7064">
        <w:rPr>
          <w:rFonts w:ascii="Arial" w:eastAsia="Calibri" w:hAnsi="Arial" w:cs="Arial"/>
          <w:sz w:val="24"/>
          <w:szCs w:val="24"/>
        </w:rPr>
        <w:t xml:space="preserve"> Grupo de Expertos sobre Desapariciones Forzadas</w:t>
      </w:r>
      <w:r w:rsidR="00CE122D" w:rsidRPr="00DD7064">
        <w:rPr>
          <w:rFonts w:ascii="Arial" w:eastAsia="Calibri" w:hAnsi="Arial" w:cs="Arial"/>
          <w:sz w:val="24"/>
          <w:szCs w:val="24"/>
        </w:rPr>
        <w:t xml:space="preserve"> (informe de julio de 2014 e informe de seguimiento de 2017)</w:t>
      </w:r>
      <w:r w:rsidRPr="00E268E4">
        <w:rPr>
          <w:rFonts w:ascii="Arial" w:eastAsia="Calibri" w:hAnsi="Arial" w:cs="Arial"/>
          <w:sz w:val="24"/>
          <w:szCs w:val="24"/>
        </w:rPr>
        <w:t xml:space="preserve"> y el informe de 2014</w:t>
      </w:r>
      <w:r w:rsidR="00BB49E5" w:rsidRPr="00DD7064">
        <w:rPr>
          <w:rFonts w:ascii="Arial" w:eastAsia="Calibri" w:hAnsi="Arial" w:cs="Arial"/>
          <w:sz w:val="24"/>
          <w:szCs w:val="24"/>
        </w:rPr>
        <w:t xml:space="preserve"> del Relator Especial sobre</w:t>
      </w:r>
      <w:r w:rsidR="00CE122D" w:rsidRPr="00DD7064">
        <w:rPr>
          <w:rFonts w:ascii="Arial" w:eastAsia="Calibri" w:hAnsi="Arial" w:cs="Arial"/>
          <w:sz w:val="24"/>
          <w:szCs w:val="24"/>
        </w:rPr>
        <w:t xml:space="preserve"> la promoción de la</w:t>
      </w:r>
      <w:r w:rsidR="00BB49E5" w:rsidRPr="00DD7064">
        <w:rPr>
          <w:rFonts w:ascii="Arial" w:eastAsia="Calibri" w:hAnsi="Arial" w:cs="Arial"/>
          <w:sz w:val="24"/>
          <w:szCs w:val="24"/>
        </w:rPr>
        <w:t xml:space="preserve"> verdad, </w:t>
      </w:r>
      <w:r w:rsidR="00CE122D" w:rsidRPr="00DD7064">
        <w:rPr>
          <w:rFonts w:ascii="Arial" w:eastAsia="Calibri" w:hAnsi="Arial" w:cs="Arial"/>
          <w:sz w:val="24"/>
          <w:szCs w:val="24"/>
        </w:rPr>
        <w:t xml:space="preserve">la </w:t>
      </w:r>
      <w:r w:rsidR="00BB49E5" w:rsidRPr="00DD7064">
        <w:rPr>
          <w:rFonts w:ascii="Arial" w:eastAsia="Calibri" w:hAnsi="Arial" w:cs="Arial"/>
          <w:sz w:val="24"/>
          <w:szCs w:val="24"/>
        </w:rPr>
        <w:t xml:space="preserve">justicia, </w:t>
      </w:r>
      <w:r w:rsidR="00CE122D" w:rsidRPr="00DD7064">
        <w:rPr>
          <w:rFonts w:ascii="Arial" w:eastAsia="Calibri" w:hAnsi="Arial" w:cs="Arial"/>
          <w:sz w:val="24"/>
          <w:szCs w:val="24"/>
        </w:rPr>
        <w:t xml:space="preserve">la </w:t>
      </w:r>
      <w:r w:rsidR="00BB49E5" w:rsidRPr="00DD7064">
        <w:rPr>
          <w:rFonts w:ascii="Arial" w:eastAsia="Calibri" w:hAnsi="Arial" w:cs="Arial"/>
          <w:sz w:val="24"/>
          <w:szCs w:val="24"/>
        </w:rPr>
        <w:t>reparación y</w:t>
      </w:r>
      <w:r w:rsidR="00CE122D" w:rsidRPr="00DD7064">
        <w:rPr>
          <w:rFonts w:ascii="Arial" w:eastAsia="Calibri" w:hAnsi="Arial" w:cs="Arial"/>
          <w:sz w:val="24"/>
          <w:szCs w:val="24"/>
        </w:rPr>
        <w:t xml:space="preserve"> las</w:t>
      </w:r>
      <w:r w:rsidR="00BB49E5" w:rsidRPr="00DD7064">
        <w:rPr>
          <w:rFonts w:ascii="Arial" w:eastAsia="Calibri" w:hAnsi="Arial" w:cs="Arial"/>
          <w:sz w:val="24"/>
          <w:szCs w:val="24"/>
        </w:rPr>
        <w:t xml:space="preserve"> garantías de no repetición, </w:t>
      </w:r>
      <w:r w:rsidRPr="00E268E4">
        <w:rPr>
          <w:rFonts w:ascii="Arial" w:eastAsia="Calibri" w:hAnsi="Arial" w:cs="Arial"/>
          <w:sz w:val="24"/>
          <w:szCs w:val="24"/>
        </w:rPr>
        <w:t>mencionados explícitamente como referentes del anteproyecto en su Exposición de Motivos .</w:t>
      </w:r>
    </w:p>
    <w:p w14:paraId="32641E27" w14:textId="77777777" w:rsidR="00E268E4" w:rsidRPr="00E268E4" w:rsidRDefault="00E268E4" w:rsidP="00E268E4">
      <w:pPr>
        <w:spacing w:before="150" w:after="225" w:line="300" w:lineRule="atLeast"/>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En cuanto a las desapariciones producidas durante la Guerra Civ</w:t>
      </w:r>
      <w:r w:rsidR="000D58D2" w:rsidRPr="00DD7064">
        <w:rPr>
          <w:rFonts w:ascii="Arial" w:eastAsia="Calibri" w:hAnsi="Arial" w:cs="Arial"/>
          <w:color w:val="2A2A2A"/>
          <w:sz w:val="24"/>
          <w:szCs w:val="24"/>
          <w:lang w:eastAsia="es-ES"/>
        </w:rPr>
        <w:t>il y la Dictadura</w:t>
      </w:r>
      <w:r w:rsidRPr="00E268E4">
        <w:rPr>
          <w:rFonts w:ascii="Arial" w:eastAsia="Calibri" w:hAnsi="Arial" w:cs="Arial"/>
          <w:color w:val="2A2A2A"/>
          <w:sz w:val="24"/>
          <w:szCs w:val="24"/>
          <w:lang w:eastAsia="es-ES"/>
        </w:rPr>
        <w:t>, el modelo de búsqueda, localización e identificación se ha revisado tanto en el diseño de la nueva ley como en los amplios procesos de participación descritos a continuación</w:t>
      </w:r>
      <w:r w:rsidR="000D58D2" w:rsidRPr="00DD7064">
        <w:rPr>
          <w:rFonts w:ascii="Arial" w:eastAsia="Calibri" w:hAnsi="Arial" w:cs="Arial"/>
          <w:color w:val="2A2A2A"/>
          <w:sz w:val="24"/>
          <w:szCs w:val="24"/>
          <w:lang w:eastAsia="es-ES"/>
        </w:rPr>
        <w:t>. F</w:t>
      </w:r>
      <w:r w:rsidRPr="00E268E4">
        <w:rPr>
          <w:rFonts w:ascii="Arial" w:eastAsia="Calibri" w:hAnsi="Arial" w:cs="Arial"/>
          <w:color w:val="2A2A2A"/>
          <w:sz w:val="24"/>
          <w:szCs w:val="24"/>
          <w:lang w:eastAsia="es-ES"/>
        </w:rPr>
        <w:t>rente al modelo vigente, el anteproyecto de ley contempla de manera que no deja lugar a dudas la responsabilidad del Estado en el liderazgo, planificación y ejecución de las exhumaciones a través de mecanismos de colaboración de todos los niveles administrativos de un Estado descentralizado como es España (Comunidades Autónomas, Diputaciones Provinciales o Cabildos, Ayuntamientos), además de, por supuesto, contar con la iniciativa y participación de las asociaciones de víctimas, familiares y entidades memorialistas.</w:t>
      </w:r>
    </w:p>
    <w:p w14:paraId="45E58BCB" w14:textId="77777777" w:rsidR="00E268E4" w:rsidRPr="00E268E4" w:rsidRDefault="00E268E4" w:rsidP="00E268E4">
      <w:pPr>
        <w:spacing w:before="150" w:after="225" w:line="300" w:lineRule="atLeast"/>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A estos efectos, se encargó a los e</w:t>
      </w:r>
      <w:r w:rsidR="000D58D2" w:rsidRPr="00DD7064">
        <w:rPr>
          <w:rFonts w:ascii="Arial" w:eastAsia="Calibri" w:hAnsi="Arial" w:cs="Arial"/>
          <w:color w:val="2A2A2A"/>
          <w:sz w:val="24"/>
          <w:szCs w:val="24"/>
          <w:lang w:eastAsia="es-ES"/>
        </w:rPr>
        <w:t xml:space="preserve">xpertos más reputados del país </w:t>
      </w:r>
      <w:r w:rsidRPr="00E268E4">
        <w:rPr>
          <w:rFonts w:ascii="Arial" w:eastAsia="Calibri" w:hAnsi="Arial" w:cs="Arial"/>
          <w:color w:val="2A2A2A"/>
          <w:sz w:val="24"/>
          <w:szCs w:val="24"/>
          <w:lang w:eastAsia="es-ES"/>
        </w:rPr>
        <w:t>un informe sobre el estado de la cuestión y recomendaciones para el futuro</w:t>
      </w:r>
      <w:r w:rsidR="000D58D2" w:rsidRPr="00DD7064">
        <w:rPr>
          <w:rFonts w:ascii="Arial" w:eastAsia="Calibri" w:hAnsi="Arial" w:cs="Arial"/>
          <w:color w:val="2A2A2A"/>
          <w:sz w:val="24"/>
          <w:szCs w:val="24"/>
          <w:lang w:eastAsia="es-ES"/>
        </w:rPr>
        <w:t>,</w:t>
      </w:r>
      <w:r w:rsidRPr="00E268E4">
        <w:rPr>
          <w:rFonts w:ascii="Arial" w:eastAsia="Calibri" w:hAnsi="Arial" w:cs="Arial"/>
          <w:color w:val="2A2A2A"/>
          <w:sz w:val="24"/>
          <w:szCs w:val="24"/>
          <w:lang w:eastAsia="es-ES"/>
        </w:rPr>
        <w:t xml:space="preserve"> finalmente publicado durante 2020 y accesible en:</w:t>
      </w:r>
    </w:p>
    <w:p w14:paraId="1230CB7B" w14:textId="77777777" w:rsidR="00E268E4" w:rsidRPr="00E268E4" w:rsidRDefault="007C16C4" w:rsidP="00E268E4">
      <w:pPr>
        <w:spacing w:before="150" w:after="225" w:line="300" w:lineRule="atLeast"/>
        <w:jc w:val="both"/>
        <w:rPr>
          <w:rFonts w:ascii="Arial" w:eastAsia="Calibri" w:hAnsi="Arial" w:cs="Arial"/>
          <w:color w:val="2A2A2A"/>
          <w:sz w:val="24"/>
          <w:szCs w:val="24"/>
          <w:lang w:eastAsia="es-ES"/>
        </w:rPr>
      </w:pPr>
      <w:hyperlink r:id="rId24" w:history="1">
        <w:r w:rsidR="00E268E4" w:rsidRPr="00DD7064">
          <w:rPr>
            <w:rFonts w:ascii="Arial" w:eastAsia="Calibri" w:hAnsi="Arial" w:cs="Arial"/>
            <w:color w:val="0000FF"/>
            <w:sz w:val="24"/>
            <w:szCs w:val="24"/>
            <w:u w:val="single"/>
            <w:lang w:eastAsia="es-ES"/>
          </w:rPr>
          <w:t>https://www.mpr.gob.es/servicios/publicaciones/Documents/Exhumaciones_Guerra_Civil_accesible_BAJA.pdf</w:t>
        </w:r>
      </w:hyperlink>
      <w:r w:rsidR="00E268E4" w:rsidRPr="00E268E4">
        <w:rPr>
          <w:rFonts w:ascii="Arial" w:eastAsia="Calibri" w:hAnsi="Arial" w:cs="Arial"/>
          <w:color w:val="2A2A2A"/>
          <w:sz w:val="24"/>
          <w:szCs w:val="24"/>
          <w:lang w:eastAsia="es-ES"/>
        </w:rPr>
        <w:t xml:space="preserve">    </w:t>
      </w:r>
    </w:p>
    <w:p w14:paraId="74FAF443" w14:textId="77777777" w:rsidR="00E268E4" w:rsidRPr="00E268E4" w:rsidRDefault="00E268E4" w:rsidP="00E268E4">
      <w:pPr>
        <w:spacing w:before="150" w:after="225" w:line="300" w:lineRule="atLeast"/>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En cuanto a los recursos, durante el año 2020 se ha puesto en marcha un plan de choque de carácter transitorio dotado con un total de 1.260.000 de euros, de los que el 70% se gestionan directamente por entidades locales.</w:t>
      </w:r>
      <w:r w:rsidR="000D58D2" w:rsidRPr="00DD7064">
        <w:rPr>
          <w:rFonts w:ascii="Arial" w:eastAsia="Calibri" w:hAnsi="Arial" w:cs="Arial"/>
          <w:color w:val="2A2A2A"/>
          <w:sz w:val="24"/>
          <w:szCs w:val="24"/>
          <w:lang w:eastAsia="es-ES"/>
        </w:rPr>
        <w:t xml:space="preserve"> E</w:t>
      </w:r>
      <w:r w:rsidRPr="00E268E4">
        <w:rPr>
          <w:rFonts w:ascii="Arial" w:eastAsia="Calibri" w:hAnsi="Arial" w:cs="Arial"/>
          <w:color w:val="2A2A2A"/>
          <w:sz w:val="24"/>
          <w:szCs w:val="24"/>
          <w:lang w:eastAsia="es-ES"/>
        </w:rPr>
        <w:t xml:space="preserve">n el presupuesto general del Estado para el año 2021, se destina un 60% del </w:t>
      </w:r>
      <w:r w:rsidRPr="00E268E4">
        <w:rPr>
          <w:rFonts w:ascii="Arial" w:eastAsia="Calibri" w:hAnsi="Arial" w:cs="Arial"/>
          <w:color w:val="2A2A2A"/>
          <w:sz w:val="24"/>
          <w:szCs w:val="24"/>
          <w:lang w:eastAsia="es-ES"/>
        </w:rPr>
        <w:lastRenderedPageBreak/>
        <w:t>presupuesto</w:t>
      </w:r>
      <w:r w:rsidR="000D58D2" w:rsidRPr="00DD7064">
        <w:rPr>
          <w:rFonts w:ascii="Arial" w:eastAsia="Calibri" w:hAnsi="Arial" w:cs="Arial"/>
          <w:color w:val="2A2A2A"/>
          <w:sz w:val="24"/>
          <w:szCs w:val="24"/>
          <w:lang w:eastAsia="es-ES"/>
        </w:rPr>
        <w:t xml:space="preserve"> para este fin a</w:t>
      </w:r>
      <w:r w:rsidRPr="00E268E4">
        <w:rPr>
          <w:rFonts w:ascii="Arial" w:eastAsia="Calibri" w:hAnsi="Arial" w:cs="Arial"/>
          <w:color w:val="2A2A2A"/>
          <w:sz w:val="24"/>
          <w:szCs w:val="24"/>
          <w:lang w:eastAsia="es-ES"/>
        </w:rPr>
        <w:t xml:space="preserve"> partidas vinculadas con las exhumaciones, con una ejecución del 100% asignada a las distintas administraciones públicas</w:t>
      </w:r>
    </w:p>
    <w:p w14:paraId="5A79B296" w14:textId="77777777" w:rsidR="00E268E4" w:rsidRPr="00E268E4" w:rsidRDefault="000D58D2" w:rsidP="00E268E4">
      <w:pPr>
        <w:spacing w:before="150" w:after="225" w:line="300" w:lineRule="atLeast"/>
        <w:jc w:val="both"/>
        <w:rPr>
          <w:rFonts w:ascii="Arial" w:eastAsia="Calibri" w:hAnsi="Arial" w:cs="Arial"/>
          <w:color w:val="2A2A2A"/>
          <w:sz w:val="24"/>
          <w:szCs w:val="24"/>
          <w:lang w:eastAsia="es-ES"/>
        </w:rPr>
      </w:pPr>
      <w:r w:rsidRPr="00DD7064">
        <w:rPr>
          <w:rFonts w:ascii="Arial" w:eastAsia="Calibri" w:hAnsi="Arial" w:cs="Arial"/>
          <w:color w:val="2A2A2A"/>
          <w:sz w:val="24"/>
          <w:szCs w:val="24"/>
          <w:lang w:eastAsia="es-ES"/>
        </w:rPr>
        <w:t>E</w:t>
      </w:r>
      <w:r w:rsidR="00E268E4" w:rsidRPr="00E268E4">
        <w:rPr>
          <w:rFonts w:ascii="Arial" w:eastAsia="Calibri" w:hAnsi="Arial" w:cs="Arial"/>
          <w:color w:val="2A2A2A"/>
          <w:sz w:val="24"/>
          <w:szCs w:val="24"/>
          <w:lang w:eastAsia="es-ES"/>
        </w:rPr>
        <w:t>l anteproyecto de Ley crea una Fiscalía de Sala de Memoria Democrática y Derechos Humanos, a la que se atribuirán expresamente funciones de impulso de los procesos de búsqueda de las víctimas de los hechos investigados, en coordinación con los órganos de las distintas administraciones con competencias sobre esta materia, para lograr su debida identificación y localizaci</w:t>
      </w:r>
      <w:r w:rsidRPr="00DD7064">
        <w:rPr>
          <w:rFonts w:ascii="Arial" w:eastAsia="Calibri" w:hAnsi="Arial" w:cs="Arial"/>
          <w:color w:val="2A2A2A"/>
          <w:sz w:val="24"/>
          <w:szCs w:val="24"/>
          <w:lang w:eastAsia="es-ES"/>
        </w:rPr>
        <w:t>ón</w:t>
      </w:r>
      <w:r w:rsidR="00E268E4" w:rsidRPr="00E268E4">
        <w:rPr>
          <w:rFonts w:ascii="Arial" w:eastAsia="Calibri" w:hAnsi="Arial" w:cs="Arial"/>
          <w:color w:val="2A2A2A"/>
          <w:sz w:val="24"/>
          <w:szCs w:val="24"/>
          <w:lang w:eastAsia="es-ES"/>
        </w:rPr>
        <w:t>.</w:t>
      </w:r>
    </w:p>
    <w:p w14:paraId="09C51543" w14:textId="77777777" w:rsidR="00E268E4" w:rsidRPr="00E268E4" w:rsidRDefault="00E268E4" w:rsidP="00E268E4">
      <w:pPr>
        <w:spacing w:before="150" w:after="225" w:line="300" w:lineRule="atLeast"/>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Específicamente, se prevé que la Administración General del Estado pondrá en conocimiento del Ministerio Fiscal la existencia de indicios de comisión de delitos que se aprecien con ocasión de las localizaciones e identi</w:t>
      </w:r>
      <w:r w:rsidR="000D58D2" w:rsidRPr="00DD7064">
        <w:rPr>
          <w:rFonts w:ascii="Arial" w:eastAsia="Calibri" w:hAnsi="Arial" w:cs="Arial"/>
          <w:color w:val="2A2A2A"/>
          <w:sz w:val="24"/>
          <w:szCs w:val="24"/>
          <w:lang w:eastAsia="es-ES"/>
        </w:rPr>
        <w:t>ficaciones a que se refiere la L</w:t>
      </w:r>
      <w:r w:rsidRPr="00E268E4">
        <w:rPr>
          <w:rFonts w:ascii="Arial" w:eastAsia="Calibri" w:hAnsi="Arial" w:cs="Arial"/>
          <w:color w:val="2A2A2A"/>
          <w:sz w:val="24"/>
          <w:szCs w:val="24"/>
          <w:lang w:eastAsia="es-ES"/>
        </w:rPr>
        <w:t>ey. En todo caso, se dispone que los hallazgos de restos se pondrán inmediatamente en conocimiento del Ministerio Fiscal y las autoridades administrativas y judiciales competentes</w:t>
      </w:r>
      <w:r w:rsidR="000D58D2" w:rsidRPr="00DD7064">
        <w:rPr>
          <w:rFonts w:ascii="Arial" w:eastAsia="Calibri" w:hAnsi="Arial" w:cs="Arial"/>
          <w:color w:val="2A2A2A"/>
          <w:sz w:val="24"/>
          <w:szCs w:val="24"/>
          <w:lang w:eastAsia="es-ES"/>
        </w:rPr>
        <w:t>,</w:t>
      </w:r>
      <w:r w:rsidRPr="00E268E4">
        <w:rPr>
          <w:rFonts w:ascii="Arial" w:eastAsia="Calibri" w:hAnsi="Arial" w:cs="Arial"/>
          <w:color w:val="2A2A2A"/>
          <w:sz w:val="24"/>
          <w:szCs w:val="24"/>
          <w:lang w:eastAsia="es-ES"/>
        </w:rPr>
        <w:t xml:space="preserve"> y que el Ministerio Fiscal promoverá la inscripción de fallecimiento con arreglo a lo establecido en la legislación aplicable en materia de Registro Civil. En el caso de que por azar se descubran restos que puedan corresponder a las personas desaparecidas durante la Guerra y la Dictadura, se establece el deber de comunicarlo de forma inmediata bien a la autoridad administrativa, a las Fuerzas y Cuerpos de Seguridad, al Ministerio Fiscal o al Juzgado.</w:t>
      </w:r>
    </w:p>
    <w:p w14:paraId="68CD6CFA" w14:textId="77777777" w:rsidR="00E268E4" w:rsidRPr="00E268E4" w:rsidRDefault="002F7AA2" w:rsidP="00E268E4">
      <w:pPr>
        <w:widowControl w:val="0"/>
        <w:autoSpaceDE w:val="0"/>
        <w:autoSpaceDN w:val="0"/>
        <w:spacing w:after="0" w:line="240" w:lineRule="auto"/>
        <w:jc w:val="both"/>
        <w:rPr>
          <w:rFonts w:ascii="Arial" w:eastAsia="Calibri" w:hAnsi="Arial" w:cs="Arial"/>
          <w:sz w:val="24"/>
          <w:szCs w:val="24"/>
        </w:rPr>
      </w:pPr>
      <w:r w:rsidRPr="00DD7064">
        <w:rPr>
          <w:rFonts w:ascii="Arial" w:eastAsia="Calibri" w:hAnsi="Arial" w:cs="Arial"/>
          <w:sz w:val="24"/>
          <w:szCs w:val="24"/>
        </w:rPr>
        <w:t>En cuanto al proceso encaminado a la adopción de la Ley y, en particular, la participación en el mismo de víctimas, organizaciones de la sociedad civil y la Institución Nacional de Derechos Humanos, cabe comenzar señalando que el</w:t>
      </w:r>
      <w:r w:rsidR="00E268E4" w:rsidRPr="00E268E4">
        <w:rPr>
          <w:rFonts w:ascii="Arial" w:eastAsia="Calibri" w:hAnsi="Arial" w:cs="Arial"/>
          <w:sz w:val="24"/>
          <w:szCs w:val="24"/>
        </w:rPr>
        <w:t xml:space="preserve"> proceso para la revisión de la ley vigente de 2007</w:t>
      </w:r>
      <w:r w:rsidR="00D652F7" w:rsidRPr="00DD7064">
        <w:rPr>
          <w:rFonts w:ascii="Arial" w:eastAsia="Calibri" w:hAnsi="Arial" w:cs="Arial"/>
          <w:sz w:val="24"/>
          <w:szCs w:val="24"/>
        </w:rPr>
        <w:t xml:space="preserve"> se puso en marcha en junio de 2020 con</w:t>
      </w:r>
      <w:r w:rsidR="00E268E4" w:rsidRPr="00E268E4">
        <w:rPr>
          <w:rFonts w:ascii="Arial" w:eastAsia="Calibri" w:hAnsi="Arial" w:cs="Arial"/>
          <w:sz w:val="24"/>
          <w:szCs w:val="24"/>
        </w:rPr>
        <w:t xml:space="preserve"> un trámite de valoración y evaluación de la ley anterior</w:t>
      </w:r>
      <w:r w:rsidR="00D652F7" w:rsidRPr="00DD7064">
        <w:rPr>
          <w:rFonts w:ascii="Arial" w:eastAsia="Calibri" w:hAnsi="Arial" w:cs="Arial"/>
          <w:sz w:val="24"/>
          <w:szCs w:val="24"/>
        </w:rPr>
        <w:t>, que incluía</w:t>
      </w:r>
      <w:r w:rsidR="00E268E4" w:rsidRPr="00E268E4">
        <w:rPr>
          <w:rFonts w:ascii="Arial" w:eastAsia="Calibri" w:hAnsi="Arial" w:cs="Arial"/>
          <w:sz w:val="24"/>
          <w:szCs w:val="24"/>
        </w:rPr>
        <w:t xml:space="preserve"> un proceso de consulta pública previa a través de la página web del Ministerio de Presidencia, Relaciones con las Cortes y Memoria Democrática, al que se puede</w:t>
      </w:r>
    </w:p>
    <w:p w14:paraId="2BDA9128" w14:textId="77777777" w:rsidR="00E268E4" w:rsidRPr="00E268E4" w:rsidRDefault="00E268E4" w:rsidP="00E268E4">
      <w:pPr>
        <w:widowControl w:val="0"/>
        <w:autoSpaceDE w:val="0"/>
        <w:autoSpaceDN w:val="0"/>
        <w:spacing w:after="0" w:line="240" w:lineRule="auto"/>
        <w:jc w:val="both"/>
        <w:rPr>
          <w:rFonts w:ascii="Arial" w:eastAsia="Calibri" w:hAnsi="Arial" w:cs="Arial"/>
          <w:sz w:val="24"/>
          <w:szCs w:val="24"/>
        </w:rPr>
      </w:pPr>
      <w:r w:rsidRPr="00E268E4">
        <w:rPr>
          <w:rFonts w:ascii="Arial" w:eastAsia="Calibri" w:hAnsi="Arial" w:cs="Arial"/>
          <w:sz w:val="24"/>
          <w:szCs w:val="24"/>
        </w:rPr>
        <w:t xml:space="preserve"> acceder en la dirección web: </w:t>
      </w:r>
      <w:hyperlink r:id="rId25" w:history="1">
        <w:r w:rsidRPr="00DD7064">
          <w:rPr>
            <w:rFonts w:ascii="Arial" w:eastAsia="Calibri" w:hAnsi="Arial" w:cs="Arial"/>
            <w:color w:val="0000FF"/>
            <w:sz w:val="24"/>
            <w:szCs w:val="24"/>
            <w:u w:val="single"/>
          </w:rPr>
          <w:t>https://www.mpr.gob.es/servicios/participacion/consultaprevia/Paginas/2020/LeyMemoriaDemocratica.aspx</w:t>
        </w:r>
      </w:hyperlink>
      <w:r w:rsidRPr="00E268E4">
        <w:rPr>
          <w:rFonts w:ascii="Arial" w:eastAsia="Calibri" w:hAnsi="Arial" w:cs="Arial"/>
          <w:sz w:val="24"/>
          <w:szCs w:val="24"/>
        </w:rPr>
        <w:t xml:space="preserve"> .</w:t>
      </w:r>
    </w:p>
    <w:p w14:paraId="7AFF794E" w14:textId="77777777" w:rsidR="00E268E4" w:rsidRPr="00E268E4" w:rsidRDefault="00E268E4" w:rsidP="00E268E4">
      <w:pPr>
        <w:spacing w:before="300" w:after="225"/>
        <w:jc w:val="both"/>
        <w:outlineLvl w:val="1"/>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S</w:t>
      </w:r>
      <w:r w:rsidR="00D652F7" w:rsidRPr="00DD7064">
        <w:rPr>
          <w:rFonts w:ascii="Arial" w:eastAsia="Calibri" w:hAnsi="Arial" w:cs="Arial"/>
          <w:color w:val="2A2A2A"/>
          <w:sz w:val="24"/>
          <w:szCs w:val="24"/>
          <w:lang w:eastAsia="es-ES"/>
        </w:rPr>
        <w:t>e pusieron en conocimiento de</w:t>
      </w:r>
      <w:r w:rsidRPr="00E268E4">
        <w:rPr>
          <w:rFonts w:ascii="Arial" w:eastAsia="Calibri" w:hAnsi="Arial" w:cs="Arial"/>
          <w:color w:val="2A2A2A"/>
          <w:sz w:val="24"/>
          <w:szCs w:val="24"/>
          <w:lang w:eastAsia="es-ES"/>
        </w:rPr>
        <w:t xml:space="preserve"> la sociedad los objetivos de la norma proyectada para que realizaran sus aportaciones y valoraciones. Así se indicó que la propuesta persigue fundamentalmente los siguientes objetivos:</w:t>
      </w:r>
    </w:p>
    <w:p w14:paraId="35DD9402" w14:textId="77777777" w:rsidR="00E268E4" w:rsidRPr="00E268E4" w:rsidRDefault="00E268E4" w:rsidP="00E268E4">
      <w:pPr>
        <w:numPr>
          <w:ilvl w:val="0"/>
          <w:numId w:val="1"/>
        </w:numPr>
        <w:spacing w:after="240" w:line="240" w:lineRule="auto"/>
        <w:ind w:left="705"/>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La recuperación, salvaguarda, conocimiento y difusión de la Memoria Democrática, con el fin de fomentar la cohesión y solidaridad entre las diversas generaciones de españoles y españolas en torno a los principios, valores y libertades constitucionales.</w:t>
      </w:r>
    </w:p>
    <w:p w14:paraId="1083CF25" w14:textId="77777777" w:rsidR="00E268E4" w:rsidRPr="00E268E4" w:rsidRDefault="00E268E4" w:rsidP="00E268E4">
      <w:pPr>
        <w:numPr>
          <w:ilvl w:val="0"/>
          <w:numId w:val="1"/>
        </w:numPr>
        <w:spacing w:before="240" w:after="240" w:line="240" w:lineRule="auto"/>
        <w:ind w:left="705"/>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El reconocimiento como víctimas de quienes padecieron persecución o violencia, por razones políticas, ideológicas, o de creencia religiosa, durante la Guerra Civil española y la Dictadura, promoviendo su reparación moral y la recuperación de su memoria personal, familiar y colectiva, con arreglo a los principios de verdad, justicia, reparación y garantías de no repetición.</w:t>
      </w:r>
    </w:p>
    <w:p w14:paraId="2BAE7DAF" w14:textId="77777777" w:rsidR="00E268E4" w:rsidRPr="00E268E4" w:rsidRDefault="00E268E4" w:rsidP="00E268E4">
      <w:pPr>
        <w:numPr>
          <w:ilvl w:val="0"/>
          <w:numId w:val="1"/>
        </w:numPr>
        <w:spacing w:before="240" w:after="240" w:line="240" w:lineRule="auto"/>
        <w:ind w:left="705"/>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lastRenderedPageBreak/>
        <w:t>Creación de instrumentos de colaboración y cooperación entre las administraciones territoriales, así como de participación de la ciudadanía y del movimiento asociativo.</w:t>
      </w:r>
    </w:p>
    <w:p w14:paraId="601861BD" w14:textId="77777777" w:rsidR="00E268E4" w:rsidRPr="00E268E4" w:rsidRDefault="00E268E4" w:rsidP="00E268E4">
      <w:pPr>
        <w:numPr>
          <w:ilvl w:val="0"/>
          <w:numId w:val="1"/>
        </w:numPr>
        <w:spacing w:before="240" w:after="240" w:line="240" w:lineRule="auto"/>
        <w:ind w:left="705"/>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Regulación, definición y planificación de la</w:t>
      </w:r>
      <w:r w:rsidR="00DD7064" w:rsidRPr="00DD7064">
        <w:rPr>
          <w:rFonts w:ascii="Arial" w:eastAsia="Calibri" w:hAnsi="Arial" w:cs="Arial"/>
          <w:color w:val="2A2A2A"/>
          <w:sz w:val="24"/>
          <w:szCs w:val="24"/>
          <w:lang w:eastAsia="es-ES"/>
        </w:rPr>
        <w:t>s</w:t>
      </w:r>
      <w:r w:rsidRPr="00E268E4">
        <w:rPr>
          <w:rFonts w:ascii="Arial" w:eastAsia="Calibri" w:hAnsi="Arial" w:cs="Arial"/>
          <w:color w:val="2A2A2A"/>
          <w:sz w:val="24"/>
          <w:szCs w:val="24"/>
          <w:lang w:eastAsia="es-ES"/>
        </w:rPr>
        <w:t xml:space="preserve"> políticas integrales de memoria democrática en aplicación de los principios de verdad, justicia, reparación y garan</w:t>
      </w:r>
      <w:r w:rsidR="00DD7064" w:rsidRPr="00DD7064">
        <w:rPr>
          <w:rFonts w:ascii="Arial" w:eastAsia="Calibri" w:hAnsi="Arial" w:cs="Arial"/>
          <w:color w:val="2A2A2A"/>
          <w:sz w:val="24"/>
          <w:szCs w:val="24"/>
          <w:lang w:eastAsia="es-ES"/>
        </w:rPr>
        <w:t>tías de no repetición,</w:t>
      </w:r>
      <w:r w:rsidRPr="00E268E4">
        <w:rPr>
          <w:rFonts w:ascii="Arial" w:eastAsia="Calibri" w:hAnsi="Arial" w:cs="Arial"/>
          <w:color w:val="2A2A2A"/>
          <w:sz w:val="24"/>
          <w:szCs w:val="24"/>
          <w:lang w:eastAsia="es-ES"/>
        </w:rPr>
        <w:t xml:space="preserve"> destacando:</w:t>
      </w:r>
    </w:p>
    <w:p w14:paraId="226A6E39" w14:textId="77777777" w:rsidR="00E268E4" w:rsidRPr="00E268E4" w:rsidRDefault="00E268E4" w:rsidP="00E268E4">
      <w:pPr>
        <w:numPr>
          <w:ilvl w:val="1"/>
          <w:numId w:val="2"/>
        </w:numPr>
        <w:spacing w:after="240" w:line="240" w:lineRule="auto"/>
        <w:ind w:left="1410" w:right="225"/>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Asunción de la búsqueda de personas desaparecidas durante la Guerra Civil española y de la dictadura, planificación de actuaciones conforme a protocolos científicos y creación de un banco nacional de ADN.</w:t>
      </w:r>
    </w:p>
    <w:p w14:paraId="68133D06" w14:textId="77777777" w:rsidR="00E268E4" w:rsidRPr="00E268E4" w:rsidRDefault="00E268E4" w:rsidP="00E268E4">
      <w:pPr>
        <w:numPr>
          <w:ilvl w:val="1"/>
          <w:numId w:val="2"/>
        </w:numPr>
        <w:spacing w:before="240" w:after="240" w:line="240" w:lineRule="auto"/>
        <w:ind w:left="1410" w:right="225"/>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Protección de documentos referidos a la Guerra Civil y la subsiguiente represión política y derecho de acceso a dichos fondos documentales.</w:t>
      </w:r>
    </w:p>
    <w:p w14:paraId="4518F17C" w14:textId="77777777" w:rsidR="00E268E4" w:rsidRPr="00E268E4" w:rsidRDefault="00E268E4" w:rsidP="00E268E4">
      <w:pPr>
        <w:numPr>
          <w:ilvl w:val="1"/>
          <w:numId w:val="2"/>
        </w:numPr>
        <w:spacing w:before="240" w:after="240" w:line="240" w:lineRule="auto"/>
        <w:ind w:left="1410" w:right="225"/>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Instrumentos de supervisión y tutela judicial e intervención del Ministerio Fiscal en materia de Memoria Democrática.</w:t>
      </w:r>
    </w:p>
    <w:p w14:paraId="68F507DF" w14:textId="77777777" w:rsidR="00E268E4" w:rsidRPr="00E268E4" w:rsidRDefault="00E268E4" w:rsidP="00E268E4">
      <w:pPr>
        <w:numPr>
          <w:ilvl w:val="1"/>
          <w:numId w:val="2"/>
        </w:numPr>
        <w:spacing w:before="240" w:after="240" w:line="240" w:lineRule="auto"/>
        <w:ind w:left="1410" w:right="225"/>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Garantía de no repetición de las violaciones de derechos humanos en el plano educativo, de la investigación y la divulgación.</w:t>
      </w:r>
    </w:p>
    <w:p w14:paraId="1B3BF072" w14:textId="77777777" w:rsidR="00E268E4" w:rsidRPr="00E268E4" w:rsidRDefault="00E268E4" w:rsidP="00E268E4">
      <w:pPr>
        <w:numPr>
          <w:ilvl w:val="1"/>
          <w:numId w:val="2"/>
        </w:numPr>
        <w:spacing w:before="240" w:after="240" w:line="240" w:lineRule="auto"/>
        <w:ind w:left="1410" w:right="225"/>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Declaración de lugares de memoria democrática, así como la retirada de símbolos y elementos de exaltación de la Guerra Civil y el franquismo.</w:t>
      </w:r>
    </w:p>
    <w:p w14:paraId="6584179C" w14:textId="77777777" w:rsidR="00E268E4" w:rsidRPr="00E268E4" w:rsidRDefault="00E268E4" w:rsidP="00E268E4">
      <w:pPr>
        <w:numPr>
          <w:ilvl w:val="1"/>
          <w:numId w:val="2"/>
        </w:numPr>
        <w:spacing w:before="240" w:after="240" w:line="240" w:lineRule="auto"/>
        <w:ind w:left="1410" w:right="225"/>
        <w:jc w:val="both"/>
        <w:rPr>
          <w:rFonts w:ascii="Arial" w:eastAsia="Calibri" w:hAnsi="Arial" w:cs="Arial"/>
          <w:color w:val="2A2A2A"/>
          <w:sz w:val="24"/>
          <w:szCs w:val="24"/>
          <w:lang w:eastAsia="es-ES"/>
        </w:rPr>
      </w:pPr>
      <w:r w:rsidRPr="00E268E4">
        <w:rPr>
          <w:rFonts w:ascii="Arial" w:eastAsia="Calibri" w:hAnsi="Arial" w:cs="Arial"/>
          <w:color w:val="2A2A2A"/>
          <w:sz w:val="24"/>
          <w:szCs w:val="24"/>
          <w:lang w:eastAsia="es-ES"/>
        </w:rPr>
        <w:t>Régimen de infracciones y sanciones.</w:t>
      </w:r>
    </w:p>
    <w:p w14:paraId="178A9F7B" w14:textId="77777777" w:rsidR="00E268E4" w:rsidRPr="00E268E4" w:rsidRDefault="00E268E4" w:rsidP="00E268E4">
      <w:pPr>
        <w:widowControl w:val="0"/>
        <w:autoSpaceDE w:val="0"/>
        <w:autoSpaceDN w:val="0"/>
        <w:spacing w:after="0" w:line="240" w:lineRule="auto"/>
        <w:jc w:val="both"/>
        <w:rPr>
          <w:rFonts w:ascii="Arial" w:eastAsia="Times New Roman" w:hAnsi="Arial" w:cs="Arial"/>
          <w:sz w:val="24"/>
          <w:szCs w:val="24"/>
        </w:rPr>
      </w:pPr>
      <w:r w:rsidRPr="00E268E4">
        <w:rPr>
          <w:rFonts w:ascii="Arial" w:eastAsia="Calibri" w:hAnsi="Arial" w:cs="Arial"/>
          <w:sz w:val="24"/>
          <w:szCs w:val="24"/>
        </w:rPr>
        <w:t xml:space="preserve">El proceso de consulta pública previa se comunicó a través de las redes sociales y del Portal de Transparencia y también mediante comunicación por correo electrónico a las organizaciones representativas de la sociedad civil. Como resultado de dicha consulta, se recibieron 369 aportaciones, </w:t>
      </w:r>
      <w:r w:rsidRPr="00E268E4">
        <w:rPr>
          <w:rFonts w:ascii="Arial" w:eastAsia="Times New Roman" w:hAnsi="Arial" w:cs="Arial"/>
          <w:sz w:val="24"/>
          <w:szCs w:val="24"/>
        </w:rPr>
        <w:t xml:space="preserve">62 correspondientes a observaciones efectuadas por parte de entidades y asociaciones y 307 a título particular por personas físicas. </w:t>
      </w:r>
    </w:p>
    <w:p w14:paraId="3C14E310" w14:textId="77777777" w:rsidR="00E268E4" w:rsidRPr="00E268E4" w:rsidRDefault="00E268E4" w:rsidP="00E268E4">
      <w:pPr>
        <w:widowControl w:val="0"/>
        <w:autoSpaceDE w:val="0"/>
        <w:autoSpaceDN w:val="0"/>
        <w:spacing w:after="0" w:line="240" w:lineRule="auto"/>
        <w:jc w:val="both"/>
        <w:rPr>
          <w:rFonts w:ascii="Arial" w:eastAsia="Calibri" w:hAnsi="Arial" w:cs="Arial"/>
          <w:sz w:val="24"/>
          <w:szCs w:val="24"/>
        </w:rPr>
      </w:pPr>
    </w:p>
    <w:p w14:paraId="0857AB31" w14:textId="77777777" w:rsidR="00E268E4" w:rsidRPr="00E268E4" w:rsidRDefault="00E268E4" w:rsidP="00E268E4">
      <w:pPr>
        <w:widowControl w:val="0"/>
        <w:autoSpaceDE w:val="0"/>
        <w:autoSpaceDN w:val="0"/>
        <w:spacing w:after="0" w:line="240" w:lineRule="auto"/>
        <w:jc w:val="both"/>
        <w:rPr>
          <w:rFonts w:ascii="Arial" w:eastAsia="Calibri" w:hAnsi="Arial" w:cs="Arial"/>
          <w:sz w:val="24"/>
          <w:szCs w:val="24"/>
        </w:rPr>
      </w:pPr>
      <w:r w:rsidRPr="00E268E4">
        <w:rPr>
          <w:rFonts w:ascii="Arial" w:eastAsia="Calibri" w:hAnsi="Arial" w:cs="Arial"/>
          <w:sz w:val="24"/>
          <w:szCs w:val="24"/>
        </w:rPr>
        <w:t>Esta iniciativa legislativa ya ha sido analizada en una primera fase por el Consejo de Ministros en la mencionada reunión del pasado 15 de septiembre de 2020, que ha ordenado la continuación de su preparación con la solicitud de una serie de informes previos a diversos organismos, incluidos la Agencia de Protección de Datos, el Consejo Fiscal y el Consejo General del Poder Judicial. Con carácter inmediato a dicha sesión del Consejo de Ministros, la titular del departamento y Vicepresidenta Primera del Gobierno mantuvo una reunión con las principales asociaciones de familiares y entidades memorialistas para comunicar y comentar los principales contenidos y los compromisos que adquiría el Estado con el anteproyecto en elaboración. A esta reunión fueron invitadas más de 30 entidades representativas de todas las Comunidades Autónomas, así como las más representativas de ámbito nacional</w:t>
      </w:r>
      <w:r w:rsidRPr="00E268E4">
        <w:rPr>
          <w:rFonts w:ascii="Arial" w:eastAsia="Calibri" w:hAnsi="Arial" w:cs="Arial"/>
          <w:color w:val="FF0000"/>
          <w:sz w:val="24"/>
          <w:szCs w:val="24"/>
        </w:rPr>
        <w:t xml:space="preserve">. </w:t>
      </w:r>
      <w:r w:rsidRPr="00E268E4">
        <w:rPr>
          <w:rFonts w:ascii="Arial" w:eastAsia="Calibri" w:hAnsi="Arial" w:cs="Arial"/>
          <w:sz w:val="24"/>
          <w:szCs w:val="24"/>
        </w:rPr>
        <w:t xml:space="preserve">Asimismo, el Secretario de Estado de Memoria Democrática ha realizado un recorrido por gran parte de las Comunidades Autónomas en contacto con las asociaciones de memoria </w:t>
      </w:r>
      <w:r w:rsidRPr="00E268E4">
        <w:rPr>
          <w:rFonts w:ascii="Arial" w:eastAsia="Calibri" w:hAnsi="Arial" w:cs="Arial"/>
          <w:sz w:val="24"/>
          <w:szCs w:val="24"/>
        </w:rPr>
        <w:lastRenderedPageBreak/>
        <w:t>históric</w:t>
      </w:r>
      <w:r w:rsidR="00DD7064">
        <w:rPr>
          <w:rFonts w:ascii="Arial" w:eastAsia="Calibri" w:hAnsi="Arial" w:cs="Arial"/>
          <w:sz w:val="24"/>
          <w:szCs w:val="24"/>
        </w:rPr>
        <w:t>a, explicando</w:t>
      </w:r>
      <w:r w:rsidRPr="00E268E4">
        <w:rPr>
          <w:rFonts w:ascii="Arial" w:eastAsia="Calibri" w:hAnsi="Arial" w:cs="Arial"/>
          <w:sz w:val="24"/>
          <w:szCs w:val="24"/>
        </w:rPr>
        <w:t xml:space="preserve"> el alcance del a</w:t>
      </w:r>
      <w:r w:rsidR="00DD7064">
        <w:rPr>
          <w:rFonts w:ascii="Arial" w:eastAsia="Calibri" w:hAnsi="Arial" w:cs="Arial"/>
          <w:sz w:val="24"/>
          <w:szCs w:val="24"/>
        </w:rPr>
        <w:t>nteproyecto de Ley y recabando</w:t>
      </w:r>
      <w:r w:rsidRPr="00E268E4">
        <w:rPr>
          <w:rFonts w:ascii="Arial" w:eastAsia="Calibri" w:hAnsi="Arial" w:cs="Arial"/>
          <w:sz w:val="24"/>
          <w:szCs w:val="24"/>
        </w:rPr>
        <w:t xml:space="preserve"> sugerencias de las entidades memorialistas, de familiares y víctimas. </w:t>
      </w:r>
    </w:p>
    <w:p w14:paraId="264F2A21" w14:textId="77777777" w:rsidR="00E268E4" w:rsidRPr="00E268E4" w:rsidRDefault="00E268E4" w:rsidP="00E268E4">
      <w:pPr>
        <w:widowControl w:val="0"/>
        <w:autoSpaceDE w:val="0"/>
        <w:autoSpaceDN w:val="0"/>
        <w:spacing w:after="0" w:line="240" w:lineRule="auto"/>
        <w:jc w:val="both"/>
        <w:rPr>
          <w:rFonts w:ascii="Arial" w:eastAsia="Calibri" w:hAnsi="Arial" w:cs="Arial"/>
          <w:sz w:val="24"/>
          <w:szCs w:val="24"/>
        </w:rPr>
      </w:pPr>
    </w:p>
    <w:p w14:paraId="460FF7B9" w14:textId="77777777" w:rsidR="00E268E4" w:rsidRPr="00E268E4" w:rsidRDefault="00E268E4" w:rsidP="00E268E4">
      <w:pPr>
        <w:widowControl w:val="0"/>
        <w:autoSpaceDE w:val="0"/>
        <w:autoSpaceDN w:val="0"/>
        <w:spacing w:after="0" w:line="240" w:lineRule="auto"/>
        <w:jc w:val="both"/>
        <w:rPr>
          <w:rFonts w:ascii="Arial" w:eastAsia="Calibri" w:hAnsi="Arial" w:cs="Arial"/>
          <w:sz w:val="24"/>
          <w:szCs w:val="24"/>
        </w:rPr>
      </w:pPr>
      <w:r w:rsidRPr="00E268E4">
        <w:rPr>
          <w:rFonts w:ascii="Arial" w:eastAsia="Calibri" w:hAnsi="Arial" w:cs="Arial"/>
          <w:sz w:val="24"/>
          <w:szCs w:val="24"/>
        </w:rPr>
        <w:t>Además, durante los meses de</w:t>
      </w:r>
      <w:r w:rsidR="00DD7064">
        <w:rPr>
          <w:rFonts w:ascii="Arial" w:eastAsia="Calibri" w:hAnsi="Arial" w:cs="Arial"/>
          <w:sz w:val="24"/>
          <w:szCs w:val="24"/>
        </w:rPr>
        <w:t xml:space="preserve"> noviembre y diciembre de 2020 </w:t>
      </w:r>
      <w:r w:rsidRPr="00E268E4">
        <w:rPr>
          <w:rFonts w:ascii="Arial" w:eastAsia="Calibri" w:hAnsi="Arial" w:cs="Arial"/>
          <w:sz w:val="24"/>
          <w:szCs w:val="24"/>
        </w:rPr>
        <w:t>se abrió un proceso de consulta pública haciendo público un borrador del anteproyecto</w:t>
      </w:r>
    </w:p>
    <w:p w14:paraId="6D9F55D6" w14:textId="77777777" w:rsidR="00E268E4" w:rsidRPr="00E268E4" w:rsidRDefault="00E268E4" w:rsidP="00E268E4">
      <w:pPr>
        <w:widowControl w:val="0"/>
        <w:autoSpaceDE w:val="0"/>
        <w:autoSpaceDN w:val="0"/>
        <w:spacing w:after="0" w:line="240" w:lineRule="auto"/>
        <w:jc w:val="both"/>
        <w:rPr>
          <w:rFonts w:ascii="Arial" w:eastAsia="Calibri" w:hAnsi="Arial" w:cs="Arial"/>
          <w:sz w:val="24"/>
          <w:szCs w:val="24"/>
        </w:rPr>
      </w:pPr>
      <w:r w:rsidRPr="00E268E4">
        <w:rPr>
          <w:rFonts w:ascii="Arial" w:eastAsia="Calibri" w:hAnsi="Arial" w:cs="Arial"/>
          <w:sz w:val="24"/>
          <w:szCs w:val="24"/>
        </w:rPr>
        <w:t>(disponible en:</w:t>
      </w:r>
      <w:r w:rsidRPr="00E268E4">
        <w:rPr>
          <w:rFonts w:ascii="Arial" w:eastAsia="Times New Roman" w:hAnsi="Arial" w:cs="Arial"/>
          <w:sz w:val="24"/>
          <w:szCs w:val="24"/>
        </w:rPr>
        <w:t xml:space="preserve"> </w:t>
      </w:r>
      <w:hyperlink r:id="rId26" w:history="1">
        <w:r w:rsidRPr="00DD7064">
          <w:rPr>
            <w:rFonts w:ascii="Arial" w:eastAsia="Calibri" w:hAnsi="Arial" w:cs="Arial"/>
            <w:color w:val="00B0F0"/>
            <w:sz w:val="24"/>
            <w:szCs w:val="24"/>
            <w:u w:val="single"/>
          </w:rPr>
          <w:t>https://www.mpr.gob.es/servicios/participacion/audienciapublica/Paginas/VSGT2020/apl-memoria-democratica.aspx</w:t>
        </w:r>
      </w:hyperlink>
      <w:r w:rsidRPr="00E268E4">
        <w:rPr>
          <w:rFonts w:ascii="Arial" w:eastAsia="Calibri" w:hAnsi="Arial" w:cs="Arial"/>
          <w:sz w:val="24"/>
          <w:szCs w:val="24"/>
        </w:rPr>
        <w:t xml:space="preserve"> </w:t>
      </w:r>
      <w:r w:rsidRPr="00E268E4">
        <w:rPr>
          <w:rFonts w:ascii="Arial" w:eastAsia="Times New Roman" w:hAnsi="Arial" w:cs="Arial"/>
          <w:sz w:val="24"/>
          <w:szCs w:val="24"/>
        </w:rPr>
        <w:t>)</w:t>
      </w:r>
      <w:r w:rsidR="00DD7064">
        <w:rPr>
          <w:rFonts w:ascii="Arial" w:eastAsia="Calibri" w:hAnsi="Arial" w:cs="Arial"/>
          <w:sz w:val="24"/>
          <w:szCs w:val="24"/>
        </w:rPr>
        <w:t xml:space="preserve"> en el</w:t>
      </w:r>
      <w:r w:rsidRPr="00E268E4">
        <w:rPr>
          <w:rFonts w:ascii="Arial" w:eastAsia="Calibri" w:hAnsi="Arial" w:cs="Arial"/>
          <w:sz w:val="24"/>
          <w:szCs w:val="24"/>
        </w:rPr>
        <w:t xml:space="preserve"> que se invitó a participar a casi un centenar de asociacio</w:t>
      </w:r>
      <w:r w:rsidR="00DD7064">
        <w:rPr>
          <w:rFonts w:ascii="Arial" w:eastAsia="Calibri" w:hAnsi="Arial" w:cs="Arial"/>
          <w:sz w:val="24"/>
          <w:szCs w:val="24"/>
        </w:rPr>
        <w:t>nes y fundaciones memorialistas</w:t>
      </w:r>
      <w:r w:rsidRPr="00E268E4">
        <w:rPr>
          <w:rFonts w:ascii="Arial" w:eastAsia="Calibri" w:hAnsi="Arial" w:cs="Arial"/>
          <w:sz w:val="24"/>
          <w:szCs w:val="24"/>
        </w:rPr>
        <w:t>, y en el que se han recibido más de 1900 aportaciones.</w:t>
      </w:r>
    </w:p>
    <w:p w14:paraId="14ACE696" w14:textId="77777777" w:rsidR="00E268E4" w:rsidRPr="00E268E4" w:rsidRDefault="00E268E4" w:rsidP="00E268E4">
      <w:pPr>
        <w:widowControl w:val="0"/>
        <w:autoSpaceDE w:val="0"/>
        <w:autoSpaceDN w:val="0"/>
        <w:spacing w:after="0" w:line="240" w:lineRule="auto"/>
        <w:jc w:val="both"/>
        <w:rPr>
          <w:rFonts w:ascii="Arial" w:eastAsia="Calibri" w:hAnsi="Arial" w:cs="Arial"/>
          <w:sz w:val="24"/>
          <w:szCs w:val="24"/>
        </w:rPr>
      </w:pPr>
    </w:p>
    <w:p w14:paraId="4816B513"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Igualmente se ha hecho un trámite de audiencia con las Comunidades Autónomas, en la que han participado 6 de las 17 existentes. </w:t>
      </w:r>
    </w:p>
    <w:p w14:paraId="2A2D76AA"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En cuanto a l</w:t>
      </w:r>
      <w:r w:rsidR="00DD7064">
        <w:rPr>
          <w:rFonts w:ascii="Arial" w:eastAsia="Calibri" w:hAnsi="Arial" w:cs="Arial"/>
          <w:sz w:val="24"/>
          <w:szCs w:val="24"/>
        </w:rPr>
        <w:t>a</w:t>
      </w:r>
      <w:r w:rsidRPr="00E268E4">
        <w:rPr>
          <w:rFonts w:ascii="Arial" w:eastAsia="Calibri" w:hAnsi="Arial" w:cs="Arial"/>
          <w:sz w:val="24"/>
          <w:szCs w:val="24"/>
        </w:rPr>
        <w:t xml:space="preserve"> Institución Nacional de Derechos Humanos, </w:t>
      </w:r>
      <w:r w:rsidR="00DD7064">
        <w:rPr>
          <w:rFonts w:ascii="Arial" w:eastAsia="Calibri" w:hAnsi="Arial" w:cs="Arial"/>
          <w:sz w:val="24"/>
          <w:szCs w:val="24"/>
        </w:rPr>
        <w:t xml:space="preserve">papel que desempeña en España </w:t>
      </w:r>
      <w:r w:rsidRPr="00E268E4">
        <w:rPr>
          <w:rFonts w:ascii="Arial" w:eastAsia="Calibri" w:hAnsi="Arial" w:cs="Arial"/>
          <w:sz w:val="24"/>
          <w:szCs w:val="24"/>
        </w:rPr>
        <w:t xml:space="preserve">el Defensor del Pueblo, como delegado del parlamento, no tienen un papel formal en el proceso de elaboración de los proyectos de Ley. Sin embargo, se han tenido en cuenta sus recomendaciones acumuladas al respecto. </w:t>
      </w:r>
    </w:p>
    <w:p w14:paraId="2D2E2CA7" w14:textId="57B5FCD8" w:rsid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En este momento, el proyecto ya ha culminado su fase de tramitación administrativa, tras recibir los informes del Consejo Fiscal y del Consejo General del Poder Judicial. </w:t>
      </w:r>
    </w:p>
    <w:p w14:paraId="7BB1E0B4" w14:textId="72064B5B" w:rsidR="00E91557" w:rsidRDefault="00E91557" w:rsidP="00E268E4">
      <w:pPr>
        <w:jc w:val="both"/>
        <w:rPr>
          <w:rFonts w:ascii="Arial" w:eastAsia="Calibri" w:hAnsi="Arial" w:cs="Arial"/>
          <w:sz w:val="24"/>
          <w:szCs w:val="24"/>
        </w:rPr>
      </w:pPr>
    </w:p>
    <w:p w14:paraId="7685C689" w14:textId="77777777" w:rsidR="00E91557" w:rsidRPr="00E268E4" w:rsidRDefault="00E91557" w:rsidP="00E268E4">
      <w:pPr>
        <w:jc w:val="both"/>
        <w:rPr>
          <w:rFonts w:ascii="Arial" w:eastAsia="Calibri" w:hAnsi="Arial" w:cs="Arial"/>
          <w:sz w:val="24"/>
          <w:szCs w:val="24"/>
        </w:rPr>
      </w:pPr>
    </w:p>
    <w:p w14:paraId="07117F6B" w14:textId="77777777" w:rsidR="00E91557" w:rsidRPr="00E91557" w:rsidRDefault="00E91557" w:rsidP="00E91557">
      <w:pPr>
        <w:jc w:val="both"/>
        <w:rPr>
          <w:rFonts w:ascii="Arial" w:eastAsia="Calibri" w:hAnsi="Arial" w:cs="Arial"/>
          <w:b/>
          <w:sz w:val="24"/>
          <w:szCs w:val="24"/>
        </w:rPr>
      </w:pPr>
      <w:r w:rsidRPr="00E91557">
        <w:rPr>
          <w:rFonts w:ascii="Arial" w:eastAsia="Calibri" w:hAnsi="Arial" w:cs="Arial"/>
          <w:b/>
          <w:sz w:val="24"/>
          <w:szCs w:val="24"/>
        </w:rPr>
        <w:t xml:space="preserve">8. Sírvanse informar si se ha dilucidado la cuestión a la que se hace referencia en el párrafo 11 de la información complementaria presentada por el Estado parte. En relación con el plazo de prescripción al que se refiere el párrafo 20 de la información complementaria presentada por el Estado parte, sírvanse explicar cómo se computa la misma cuando se desconoce la fecha cierta del “acaecimiento de la muerte” de la víctima. Asimismo, teniendo en cuenta que el Estado parte reitera la información brindada en el 2014 en el marco del procedimiento de seguimiento, sírvanse describir los avances que se han dado desde la adopción de las observaciones finales del Comité en 2013 para implementar la recomendación contenida en el párrafo 12 de las mismas. </w:t>
      </w:r>
      <w:r w:rsidRPr="00FC64E2">
        <w:rPr>
          <w:rFonts w:ascii="Arial" w:eastAsia="Calibri" w:hAnsi="Arial" w:cs="Arial"/>
          <w:b/>
          <w:sz w:val="24"/>
          <w:szCs w:val="24"/>
        </w:rPr>
        <w:t>Sírvanse además proporcionar información acerca de las medidas adoptadas para garantizar: (a) la adecuada conservación de los archivos y otra documentación de carácter público y privado (tales como los archivos eclesiásticos) que pudieran ser relevantes para la investigación de alegaciones de desaparición forzada y/o de sustracción de menores; y (b) el acceso efectivo y oportuno a los mismos.</w:t>
      </w:r>
    </w:p>
    <w:p w14:paraId="4551E471" w14:textId="2CC69996" w:rsidR="00E91557" w:rsidRPr="00E91557" w:rsidRDefault="00FE07A3" w:rsidP="00E91557">
      <w:pPr>
        <w:numPr>
          <w:ilvl w:val="0"/>
          <w:numId w:val="7"/>
        </w:numPr>
        <w:spacing w:after="0" w:line="240" w:lineRule="auto"/>
        <w:contextualSpacing/>
        <w:jc w:val="both"/>
        <w:rPr>
          <w:rFonts w:ascii="Arial" w:eastAsia="Calibri" w:hAnsi="Arial" w:cs="Arial"/>
          <w:sz w:val="24"/>
          <w:szCs w:val="24"/>
        </w:rPr>
      </w:pPr>
      <w:r>
        <w:rPr>
          <w:rFonts w:ascii="Arial" w:eastAsia="Calibri" w:hAnsi="Arial" w:cs="Arial"/>
          <w:sz w:val="24"/>
          <w:szCs w:val="24"/>
        </w:rPr>
        <w:t>E</w:t>
      </w:r>
      <w:r w:rsidR="00E91557" w:rsidRPr="00E91557">
        <w:rPr>
          <w:rFonts w:ascii="Arial" w:eastAsia="Calibri" w:hAnsi="Arial" w:cs="Arial"/>
          <w:sz w:val="24"/>
          <w:szCs w:val="24"/>
        </w:rPr>
        <w:t xml:space="preserve">n el párrafo 11 </w:t>
      </w:r>
      <w:r>
        <w:rPr>
          <w:rFonts w:ascii="Arial" w:eastAsia="Calibri" w:hAnsi="Arial" w:cs="Arial"/>
          <w:sz w:val="24"/>
          <w:szCs w:val="24"/>
        </w:rPr>
        <w:t>de la información complementaria presentada por España se hizo referencia,</w:t>
      </w:r>
      <w:r w:rsidR="00E91557" w:rsidRPr="00E91557">
        <w:rPr>
          <w:rFonts w:ascii="Arial" w:eastAsia="Calibri" w:hAnsi="Arial" w:cs="Arial"/>
          <w:sz w:val="24"/>
          <w:szCs w:val="24"/>
        </w:rPr>
        <w:t xml:space="preserve"> respecto de la desaparición por sustracción de menores, a la opinión de la Fiscalía General del Estado incluida en su circular 2/2012, según la cual, “hasta tanto no exista una línea </w:t>
      </w:r>
      <w:r w:rsidR="00E91557" w:rsidRPr="00E91557">
        <w:rPr>
          <w:rFonts w:ascii="Arial" w:eastAsia="Calibri" w:hAnsi="Arial" w:cs="Arial"/>
          <w:sz w:val="24"/>
          <w:szCs w:val="24"/>
        </w:rPr>
        <w:lastRenderedPageBreak/>
        <w:t xml:space="preserve">jurisprudencial consolidada en sentido contrario se entenderá que, si los hechos pueden calificarse como detención ilegal, no comenzarán a correr los plazos de prescripción sino a partir del momento en </w:t>
      </w:r>
      <w:r>
        <w:rPr>
          <w:rFonts w:ascii="Arial" w:eastAsia="Calibri" w:hAnsi="Arial" w:cs="Arial"/>
          <w:sz w:val="24"/>
          <w:szCs w:val="24"/>
        </w:rPr>
        <w:t>que el sujeto pasivo haya</w:t>
      </w:r>
      <w:r w:rsidR="00E91557" w:rsidRPr="00E91557">
        <w:rPr>
          <w:rFonts w:ascii="Arial" w:eastAsia="Calibri" w:hAnsi="Arial" w:cs="Arial"/>
          <w:sz w:val="24"/>
          <w:szCs w:val="24"/>
        </w:rPr>
        <w:t xml:space="preserve"> tenido conocimiento de la alteración de su filiación”. Sin embargo, en la sentencia más reciente e importante sobre bebés robados en España, </w:t>
      </w:r>
      <w:hyperlink r:id="rId27" w:history="1">
        <w:r w:rsidR="00E91557" w:rsidRPr="00E91557">
          <w:rPr>
            <w:rFonts w:ascii="Arial" w:eastAsia="Calibri" w:hAnsi="Arial" w:cs="Arial"/>
            <w:color w:val="0563C1"/>
            <w:sz w:val="24"/>
            <w:szCs w:val="24"/>
            <w:u w:val="single"/>
          </w:rPr>
          <w:t>sentencia nº 640/2018, de 27 de septiembre, de Audiencia Provincial de Madrid</w:t>
        </w:r>
      </w:hyperlink>
      <w:r w:rsidR="00E91557" w:rsidRPr="00E91557">
        <w:rPr>
          <w:rFonts w:ascii="Arial" w:eastAsia="Calibri" w:hAnsi="Arial" w:cs="Arial"/>
          <w:sz w:val="24"/>
          <w:szCs w:val="24"/>
        </w:rPr>
        <w:t xml:space="preserve">, el tribunal consideró como </w:t>
      </w:r>
      <w:r w:rsidR="00E91557" w:rsidRPr="00E91557">
        <w:rPr>
          <w:rFonts w:ascii="Arial" w:eastAsia="Calibri" w:hAnsi="Arial" w:cs="Arial"/>
          <w:i/>
          <w:sz w:val="24"/>
          <w:szCs w:val="24"/>
        </w:rPr>
        <w:t>dies a quo</w:t>
      </w:r>
      <w:r w:rsidR="00E91557" w:rsidRPr="00E91557">
        <w:rPr>
          <w:rFonts w:ascii="Arial" w:eastAsia="Calibri" w:hAnsi="Arial" w:cs="Arial"/>
          <w:sz w:val="24"/>
          <w:szCs w:val="24"/>
        </w:rPr>
        <w:t xml:space="preserve"> para comenzar a prescribir el delito el momento en el que se entendió cesada la situación de privación de libertad</w:t>
      </w:r>
      <w:r>
        <w:rPr>
          <w:rFonts w:ascii="Arial" w:eastAsia="Calibri" w:hAnsi="Arial" w:cs="Arial"/>
          <w:sz w:val="24"/>
          <w:szCs w:val="24"/>
        </w:rPr>
        <w:t>,</w:t>
      </w:r>
      <w:r w:rsidR="00E91557" w:rsidRPr="00E91557">
        <w:rPr>
          <w:rFonts w:ascii="Arial" w:eastAsia="Calibri" w:hAnsi="Arial" w:cs="Arial"/>
          <w:sz w:val="24"/>
          <w:szCs w:val="24"/>
        </w:rPr>
        <w:t xml:space="preserve"> que el tribunal entendió como el día en que el menor alcanza la mayoría de edad, de conformidad con el </w:t>
      </w:r>
      <w:hyperlink r:id="rId28" w:anchor="a132" w:history="1">
        <w:r w:rsidR="00E91557" w:rsidRPr="00E91557">
          <w:rPr>
            <w:rFonts w:ascii="Arial" w:eastAsia="Calibri" w:hAnsi="Arial" w:cs="Arial"/>
            <w:color w:val="0563C1"/>
            <w:sz w:val="24"/>
            <w:szCs w:val="24"/>
            <w:u w:val="single"/>
          </w:rPr>
          <w:t>art. 132.1 del Código Penal</w:t>
        </w:r>
      </w:hyperlink>
      <w:r w:rsidR="00E91557" w:rsidRPr="00E91557">
        <w:rPr>
          <w:rFonts w:ascii="Arial" w:eastAsia="Calibri" w:hAnsi="Arial" w:cs="Arial"/>
          <w:sz w:val="24"/>
          <w:szCs w:val="24"/>
        </w:rPr>
        <w:t xml:space="preserve">. Dicha sentencia fue recurrida ante el Tribunal Supremo, pero el Alto Tribunal no modificó el mencionado criterio sobre el día para comenzar la prescripción del delito. </w:t>
      </w:r>
    </w:p>
    <w:p w14:paraId="71B5A235" w14:textId="77777777" w:rsidR="00E91557" w:rsidRPr="00E91557" w:rsidRDefault="00E91557" w:rsidP="00E91557">
      <w:pPr>
        <w:ind w:left="720"/>
        <w:contextualSpacing/>
        <w:jc w:val="both"/>
        <w:rPr>
          <w:rFonts w:ascii="Arial" w:eastAsia="Calibri" w:hAnsi="Arial" w:cs="Arial"/>
          <w:sz w:val="24"/>
          <w:szCs w:val="24"/>
        </w:rPr>
      </w:pPr>
    </w:p>
    <w:p w14:paraId="601CBF51" w14:textId="23FDD202" w:rsidR="00E91557" w:rsidRPr="005559A8" w:rsidRDefault="00E91557" w:rsidP="00E91557">
      <w:pPr>
        <w:numPr>
          <w:ilvl w:val="0"/>
          <w:numId w:val="7"/>
        </w:numPr>
        <w:spacing w:after="0" w:line="240" w:lineRule="auto"/>
        <w:contextualSpacing/>
        <w:jc w:val="both"/>
        <w:rPr>
          <w:rFonts w:ascii="Arial" w:eastAsia="Calibri" w:hAnsi="Arial" w:cs="Arial"/>
          <w:sz w:val="24"/>
          <w:szCs w:val="24"/>
        </w:rPr>
      </w:pPr>
      <w:r w:rsidRPr="00E91557">
        <w:rPr>
          <w:rFonts w:ascii="Arial" w:eastAsia="Calibri" w:hAnsi="Arial" w:cs="Arial"/>
          <w:sz w:val="24"/>
          <w:szCs w:val="24"/>
        </w:rPr>
        <w:t xml:space="preserve">Respecto del cómputo de la prescripción cuando se desconoce la fecha cierta del “acaecimiento de la muerte” de la víctima, y en aras del principio de seguridad jurídica garantizado en el art. 9.3 de la Constitución española, hay que estar siempre a lo previsto en los preceptos legales que regulan la institución de la prescripción, en este caso a los </w:t>
      </w:r>
      <w:hyperlink r:id="rId29" w:anchor="a131" w:history="1">
        <w:r w:rsidRPr="00E91557">
          <w:rPr>
            <w:rFonts w:ascii="Arial" w:eastAsia="Calibri" w:hAnsi="Arial" w:cs="Arial"/>
            <w:color w:val="0563C1"/>
            <w:sz w:val="24"/>
            <w:szCs w:val="24"/>
            <w:u w:val="single"/>
          </w:rPr>
          <w:t>artículos 131</w:t>
        </w:r>
      </w:hyperlink>
      <w:r w:rsidRPr="00E91557">
        <w:rPr>
          <w:rFonts w:ascii="Arial" w:eastAsia="Calibri" w:hAnsi="Arial" w:cs="Arial"/>
          <w:sz w:val="24"/>
          <w:szCs w:val="24"/>
        </w:rPr>
        <w:t xml:space="preserve"> y </w:t>
      </w:r>
      <w:hyperlink r:id="rId30" w:anchor="a132" w:history="1">
        <w:r w:rsidRPr="00E91557">
          <w:rPr>
            <w:rFonts w:ascii="Arial" w:eastAsia="Calibri" w:hAnsi="Arial" w:cs="Arial"/>
            <w:color w:val="0563C1"/>
            <w:sz w:val="24"/>
            <w:szCs w:val="24"/>
            <w:u w:val="single"/>
          </w:rPr>
          <w:t>132 del Código Penal</w:t>
        </w:r>
      </w:hyperlink>
      <w:r w:rsidRPr="00E91557">
        <w:rPr>
          <w:rFonts w:ascii="Arial" w:eastAsia="Calibri" w:hAnsi="Arial" w:cs="Arial"/>
          <w:sz w:val="24"/>
          <w:szCs w:val="24"/>
        </w:rPr>
        <w:t>.  En función de las circunstancias concretas de cada caso, corresponde a la autoridad judicial la aplicación de estos preceptos</w:t>
      </w:r>
      <w:r w:rsidRPr="005559A8">
        <w:rPr>
          <w:rFonts w:ascii="Arial" w:eastAsia="Calibri" w:hAnsi="Arial" w:cs="Arial"/>
          <w:sz w:val="24"/>
          <w:szCs w:val="24"/>
        </w:rPr>
        <w:t>.</w:t>
      </w:r>
      <w:r w:rsidR="00C14742" w:rsidRPr="005559A8">
        <w:rPr>
          <w:rFonts w:ascii="Arial" w:eastAsia="Calibri" w:hAnsi="Arial" w:cs="Arial"/>
          <w:sz w:val="24"/>
          <w:szCs w:val="24"/>
        </w:rPr>
        <w:t xml:space="preserve"> Se reproducen a continuación los artículos mencionados.</w:t>
      </w:r>
    </w:p>
    <w:p w14:paraId="2E78405A" w14:textId="1DB84B9D" w:rsidR="001A3F1F" w:rsidRPr="005559A8" w:rsidRDefault="001A3F1F" w:rsidP="00D4429F">
      <w:pPr>
        <w:spacing w:after="0" w:line="240" w:lineRule="auto"/>
        <w:contextualSpacing/>
        <w:jc w:val="both"/>
        <w:rPr>
          <w:rFonts w:ascii="Arial" w:eastAsia="Calibri" w:hAnsi="Arial" w:cs="Arial"/>
          <w:sz w:val="24"/>
          <w:szCs w:val="24"/>
        </w:rPr>
      </w:pPr>
    </w:p>
    <w:p w14:paraId="2E297773" w14:textId="0F6B2D5F" w:rsidR="001A3F1F" w:rsidRPr="005559A8" w:rsidRDefault="001A3F1F" w:rsidP="00D4429F">
      <w:pPr>
        <w:spacing w:after="0" w:line="240" w:lineRule="auto"/>
        <w:ind w:firstLine="708"/>
        <w:contextualSpacing/>
        <w:jc w:val="both"/>
        <w:rPr>
          <w:rFonts w:ascii="Arial" w:eastAsia="Calibri" w:hAnsi="Arial" w:cs="Arial"/>
          <w:sz w:val="24"/>
          <w:szCs w:val="24"/>
        </w:rPr>
      </w:pPr>
      <w:r w:rsidRPr="005559A8">
        <w:rPr>
          <w:rFonts w:ascii="Arial" w:eastAsia="Calibri" w:hAnsi="Arial" w:cs="Arial"/>
          <w:sz w:val="24"/>
          <w:szCs w:val="24"/>
        </w:rPr>
        <w:t>Artículo 131</w:t>
      </w:r>
    </w:p>
    <w:p w14:paraId="07D83CD7" w14:textId="77777777" w:rsidR="001A3F1F" w:rsidRPr="005559A8" w:rsidRDefault="001A3F1F" w:rsidP="001A3F1F">
      <w:pPr>
        <w:spacing w:after="0" w:line="240" w:lineRule="auto"/>
        <w:ind w:left="720"/>
        <w:contextualSpacing/>
        <w:jc w:val="both"/>
        <w:rPr>
          <w:rFonts w:ascii="Arial" w:eastAsia="Calibri" w:hAnsi="Arial" w:cs="Arial"/>
          <w:sz w:val="24"/>
          <w:szCs w:val="24"/>
        </w:rPr>
      </w:pPr>
    </w:p>
    <w:p w14:paraId="0DA2B137"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1. Los delitos prescriben:</w:t>
      </w:r>
    </w:p>
    <w:p w14:paraId="35754BCB"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p>
    <w:p w14:paraId="6FE98927"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A los veinte años, cuando la pena máxima señalada al delito sea prisión de quince o más años.</w:t>
      </w:r>
    </w:p>
    <w:p w14:paraId="6D3F9846"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p>
    <w:p w14:paraId="3BC1A00E"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A los quince, cuando la pena máxima señalada por la ley sea inhabilitación por más de diez años, o prisión por más de diez y menos de quince años.</w:t>
      </w:r>
    </w:p>
    <w:p w14:paraId="0E25FED9"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p>
    <w:p w14:paraId="62AE826D"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A los diez, cuando la pena máxima señalada por la ley sea prisión o inhabilitación por más de cinco años y que no exceda de diez.</w:t>
      </w:r>
    </w:p>
    <w:p w14:paraId="5BCE8742"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p>
    <w:p w14:paraId="1D27CBE4"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A los cinco, los demás delitos, excepto los delitos leves y los delitos de injurias y calumnias, que prescriben al año.</w:t>
      </w:r>
    </w:p>
    <w:p w14:paraId="1AC5A64C"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p>
    <w:p w14:paraId="2B897B7E"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2. Cuando la pena señalada por la ley fuere compuesta, se estará, para la aplicación de las reglas comprendidas en este artículo, a la que exija mayor tiempo para la prescripción.</w:t>
      </w:r>
    </w:p>
    <w:p w14:paraId="545347FF"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p>
    <w:p w14:paraId="19FDD675"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3. Los delitos de lesa humanidad y de genocidio y los delitos contra las personas y bienes protegidos en caso de conflicto armado, salvo los castigados en el artículo 614, no prescribirán en ningún caso.</w:t>
      </w:r>
    </w:p>
    <w:p w14:paraId="3A1911A8"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p>
    <w:p w14:paraId="6EC73AFC"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Tampoco prescribirán los delitos de terrorismo, si hubieren causado la muerte de una persona.</w:t>
      </w:r>
    </w:p>
    <w:p w14:paraId="6C2ED765" w14:textId="77777777" w:rsidR="001A3F1F" w:rsidRPr="005559A8" w:rsidRDefault="001A3F1F" w:rsidP="001A3F1F">
      <w:pPr>
        <w:spacing w:after="0" w:line="240" w:lineRule="auto"/>
        <w:ind w:left="720"/>
        <w:contextualSpacing/>
        <w:jc w:val="both"/>
        <w:rPr>
          <w:rFonts w:ascii="Arial" w:eastAsia="Calibri" w:hAnsi="Arial" w:cs="Arial"/>
          <w:i/>
          <w:sz w:val="24"/>
          <w:szCs w:val="24"/>
        </w:rPr>
      </w:pPr>
    </w:p>
    <w:p w14:paraId="1C38682C" w14:textId="758278F3" w:rsidR="001A3F1F" w:rsidRPr="005559A8" w:rsidRDefault="001A3F1F" w:rsidP="001A3F1F">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lastRenderedPageBreak/>
        <w:t>4. En los supuestos de concurso de infracciones o de infracciones conexas, el plazo de prescripción será el que corresponda al delito más grave.</w:t>
      </w:r>
    </w:p>
    <w:p w14:paraId="2966FE5C" w14:textId="6F38E177" w:rsidR="00C14742" w:rsidRPr="005559A8" w:rsidRDefault="00C14742" w:rsidP="001A3F1F">
      <w:pPr>
        <w:spacing w:after="0" w:line="240" w:lineRule="auto"/>
        <w:ind w:left="720"/>
        <w:contextualSpacing/>
        <w:jc w:val="both"/>
        <w:rPr>
          <w:rFonts w:ascii="Arial" w:eastAsia="Calibri" w:hAnsi="Arial" w:cs="Arial"/>
          <w:sz w:val="24"/>
          <w:szCs w:val="24"/>
        </w:rPr>
      </w:pPr>
    </w:p>
    <w:p w14:paraId="1B135142" w14:textId="77777777" w:rsidR="00C14742" w:rsidRPr="005559A8" w:rsidRDefault="00C14742" w:rsidP="00C14742">
      <w:pPr>
        <w:spacing w:after="0" w:line="240" w:lineRule="auto"/>
        <w:ind w:left="720"/>
        <w:contextualSpacing/>
        <w:jc w:val="both"/>
        <w:rPr>
          <w:rFonts w:ascii="Arial" w:eastAsia="Calibri" w:hAnsi="Arial" w:cs="Arial"/>
          <w:sz w:val="24"/>
          <w:szCs w:val="24"/>
        </w:rPr>
      </w:pPr>
      <w:r w:rsidRPr="005559A8">
        <w:rPr>
          <w:rFonts w:ascii="Arial" w:eastAsia="Calibri" w:hAnsi="Arial" w:cs="Arial"/>
          <w:sz w:val="24"/>
          <w:szCs w:val="24"/>
        </w:rPr>
        <w:t>Artículo 132</w:t>
      </w:r>
    </w:p>
    <w:p w14:paraId="4F211370" w14:textId="77777777" w:rsidR="00C14742" w:rsidRPr="005559A8" w:rsidRDefault="00C14742" w:rsidP="00C14742">
      <w:pPr>
        <w:spacing w:after="0" w:line="240" w:lineRule="auto"/>
        <w:ind w:left="720"/>
        <w:contextualSpacing/>
        <w:jc w:val="both"/>
        <w:rPr>
          <w:rFonts w:ascii="Arial" w:eastAsia="Calibri" w:hAnsi="Arial" w:cs="Arial"/>
          <w:sz w:val="24"/>
          <w:szCs w:val="24"/>
        </w:rPr>
      </w:pPr>
    </w:p>
    <w:p w14:paraId="42F38DF3" w14:textId="77777777" w:rsidR="00C14742" w:rsidRPr="005559A8" w:rsidRDefault="00C14742" w:rsidP="00C14742">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1. Los términos previstos en el artículo precedente se computarán desde el día en que se haya cometido la infracción punible. En los casos de delito continuado, delito permanente, así como en las infracciones que exijan habitualidad, tales términos se computarán, respectivamente, desde el día en que se realizó la última infracción, desde que se eliminó la situación ilícita o desde que cesó la conducta.</w:t>
      </w:r>
    </w:p>
    <w:p w14:paraId="14996A16" w14:textId="77777777" w:rsidR="00C14742" w:rsidRPr="005559A8" w:rsidRDefault="00C14742" w:rsidP="00C14742">
      <w:pPr>
        <w:spacing w:after="0" w:line="240" w:lineRule="auto"/>
        <w:ind w:left="720"/>
        <w:contextualSpacing/>
        <w:jc w:val="both"/>
        <w:rPr>
          <w:rFonts w:ascii="Arial" w:eastAsia="Calibri" w:hAnsi="Arial" w:cs="Arial"/>
          <w:i/>
          <w:sz w:val="24"/>
          <w:szCs w:val="24"/>
        </w:rPr>
      </w:pPr>
    </w:p>
    <w:p w14:paraId="5C879A6B" w14:textId="77777777" w:rsidR="00C14742" w:rsidRPr="005559A8" w:rsidRDefault="00C14742" w:rsidP="00C14742">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En los delitos de aborto no consentido, lesiones, contra la libertad, de torturas y contra la integridad moral, contra la intimidad, el derecho a la propia imagen y la inviolabilidad del domicilio, y contra las relaciones familiares, excluidos los delitos contemplados en el párrafo siguiente, cuando la víctima fuere una persona menor de dieciocho años, los términos se computarán desde el día en que ésta haya alcanzado la mayoría de edad, y si falleciere antes de alcanzarla, a partir de la fecha del fallecimiento.</w:t>
      </w:r>
    </w:p>
    <w:p w14:paraId="593BDF33" w14:textId="77777777" w:rsidR="00C14742" w:rsidRPr="005559A8" w:rsidRDefault="00C14742" w:rsidP="00C14742">
      <w:pPr>
        <w:spacing w:after="0" w:line="240" w:lineRule="auto"/>
        <w:ind w:left="720"/>
        <w:contextualSpacing/>
        <w:jc w:val="both"/>
        <w:rPr>
          <w:rFonts w:ascii="Arial" w:eastAsia="Calibri" w:hAnsi="Arial" w:cs="Arial"/>
          <w:i/>
          <w:sz w:val="24"/>
          <w:szCs w:val="24"/>
        </w:rPr>
      </w:pPr>
    </w:p>
    <w:p w14:paraId="4085702E" w14:textId="77777777" w:rsidR="00C14742" w:rsidRPr="005559A8" w:rsidRDefault="00C14742" w:rsidP="00C14742">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En los delitos de tentativa de homicidio, de lesiones de los artículos 149 y 150, en el delito de maltrato habitual previsto en el artículo 173.2, en los delitos contra la libertad, en los delitos contra la libertad e indemnidad sexual y en los delitos de trata de seres humanos, cuando la víctima fuere una persona menor de dieciocho años, los términos se computarán desde que la víctima cumpla los treinta y cinco años de edad, y si falleciere antes de alcanzar esa edad, a partir de la fecha del fallecimiento.</w:t>
      </w:r>
    </w:p>
    <w:p w14:paraId="1C97E1A8" w14:textId="77777777" w:rsidR="00C14742" w:rsidRPr="005559A8" w:rsidRDefault="00C14742" w:rsidP="00C14742">
      <w:pPr>
        <w:spacing w:after="0" w:line="240" w:lineRule="auto"/>
        <w:ind w:left="720"/>
        <w:contextualSpacing/>
        <w:jc w:val="both"/>
        <w:rPr>
          <w:rFonts w:ascii="Arial" w:eastAsia="Calibri" w:hAnsi="Arial" w:cs="Arial"/>
          <w:i/>
          <w:sz w:val="24"/>
          <w:szCs w:val="24"/>
        </w:rPr>
      </w:pPr>
    </w:p>
    <w:p w14:paraId="4B962079" w14:textId="5A2D72BF" w:rsidR="00C14742" w:rsidRPr="005559A8" w:rsidRDefault="00C14742" w:rsidP="00C14742">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2. La prescripción se interrumpirá, quedando sin efecto el tiempo transcurrido, cuando el procedimiento se dirija contra la persona indiciariamente responsable del delito, comenzando a correr de nuevo desde que se paralice el procedimiento o termine sin condena de acuerdo con las reglas siguientes:</w:t>
      </w:r>
    </w:p>
    <w:p w14:paraId="5968A383" w14:textId="77777777" w:rsidR="00C14742" w:rsidRPr="005559A8" w:rsidRDefault="00C14742" w:rsidP="00C14742">
      <w:pPr>
        <w:spacing w:after="0" w:line="240" w:lineRule="auto"/>
        <w:ind w:left="720"/>
        <w:contextualSpacing/>
        <w:jc w:val="both"/>
        <w:rPr>
          <w:rFonts w:ascii="Arial" w:eastAsia="Calibri" w:hAnsi="Arial" w:cs="Arial"/>
          <w:i/>
          <w:sz w:val="24"/>
          <w:szCs w:val="24"/>
        </w:rPr>
      </w:pPr>
    </w:p>
    <w:p w14:paraId="1E55C577" w14:textId="77777777" w:rsidR="00C14742" w:rsidRPr="005559A8" w:rsidRDefault="00C14742" w:rsidP="00C14742">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1.ª Se entenderá dirigido el procedimiento contra una persona determinada desde el momento en que, al incoar la causa o con posterioridad, se dicte resolución judicial motivada en la que se le atribuya su presunta participación en un hecho que pueda ser constitutivo de delito.</w:t>
      </w:r>
    </w:p>
    <w:p w14:paraId="5B8516C8" w14:textId="77777777" w:rsidR="00C14742" w:rsidRPr="005559A8" w:rsidRDefault="00C14742" w:rsidP="00C14742">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2.ª No obstante lo anterior, la presentación de querella o la denuncia formulada ante un órgano judicial, en la que se atribuya a una persona determinada su presunta participación en un hecho que pueda ser constitutivo de delito, suspenderá el cómputo de la prescripción por un plazo máximo de seis meses, a contar desde la misma fecha de presentación de la querella o de formulación de la denuncia.</w:t>
      </w:r>
    </w:p>
    <w:p w14:paraId="1BC7EB79" w14:textId="77777777" w:rsidR="00C14742" w:rsidRPr="005559A8" w:rsidRDefault="00C14742" w:rsidP="00C14742">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 xml:space="preserve">Si dentro de dicho plazo se dicta contra el querellado o denunciado, o contra cualquier otra persona implicada en los hechos, alguna de las resoluciones judiciales mencionadas en la regla 1.ª, la interrupción de la </w:t>
      </w:r>
      <w:r w:rsidRPr="005559A8">
        <w:rPr>
          <w:rFonts w:ascii="Arial" w:eastAsia="Calibri" w:hAnsi="Arial" w:cs="Arial"/>
          <w:i/>
          <w:sz w:val="24"/>
          <w:szCs w:val="24"/>
        </w:rPr>
        <w:lastRenderedPageBreak/>
        <w:t>prescripción se entenderá retroactivamente producida, a todos los efectos, en la fecha de presentación de la querella o denuncia.</w:t>
      </w:r>
    </w:p>
    <w:p w14:paraId="5FA13B40" w14:textId="77777777" w:rsidR="00C14742" w:rsidRPr="005559A8" w:rsidRDefault="00C14742" w:rsidP="00C14742">
      <w:pPr>
        <w:spacing w:after="0" w:line="240" w:lineRule="auto"/>
        <w:ind w:left="720"/>
        <w:contextualSpacing/>
        <w:jc w:val="both"/>
        <w:rPr>
          <w:rFonts w:ascii="Arial" w:eastAsia="Calibri" w:hAnsi="Arial" w:cs="Arial"/>
          <w:i/>
          <w:sz w:val="24"/>
          <w:szCs w:val="24"/>
        </w:rPr>
      </w:pPr>
    </w:p>
    <w:p w14:paraId="476AEC3A" w14:textId="77777777" w:rsidR="00C14742" w:rsidRPr="005559A8" w:rsidRDefault="00C14742" w:rsidP="00C14742">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Por el contrario, el cómputo del término de prescripción continuará desde la fecha de presentación de la querella o denuncia si, dentro del plazo de seis meses, recae resolución judicial firme de inadmisión a trámite de la querella o denuncia o por la que se acuerde no dirigir el procedimiento contra la persona querellada o denunciada. La continuación del cómputo se producirá también si, dentro de dicho plazo, el juez de instrucción no adoptara ninguna de las resoluciones previstas en este artículo.</w:t>
      </w:r>
    </w:p>
    <w:p w14:paraId="6BF54F13" w14:textId="77777777" w:rsidR="00C14742" w:rsidRPr="005559A8" w:rsidRDefault="00C14742" w:rsidP="00C14742">
      <w:pPr>
        <w:spacing w:after="0" w:line="240" w:lineRule="auto"/>
        <w:ind w:left="720"/>
        <w:contextualSpacing/>
        <w:jc w:val="both"/>
        <w:rPr>
          <w:rFonts w:ascii="Arial" w:eastAsia="Calibri" w:hAnsi="Arial" w:cs="Arial"/>
          <w:i/>
          <w:sz w:val="24"/>
          <w:szCs w:val="24"/>
        </w:rPr>
      </w:pPr>
    </w:p>
    <w:p w14:paraId="3CE77C38" w14:textId="77777777" w:rsidR="00C14742" w:rsidRPr="00747379" w:rsidRDefault="00C14742" w:rsidP="00C14742">
      <w:pPr>
        <w:spacing w:after="0" w:line="240" w:lineRule="auto"/>
        <w:ind w:left="720"/>
        <w:contextualSpacing/>
        <w:jc w:val="both"/>
        <w:rPr>
          <w:rFonts w:ascii="Arial" w:eastAsia="Calibri" w:hAnsi="Arial" w:cs="Arial"/>
          <w:i/>
          <w:sz w:val="24"/>
          <w:szCs w:val="24"/>
        </w:rPr>
      </w:pPr>
      <w:r w:rsidRPr="005559A8">
        <w:rPr>
          <w:rFonts w:ascii="Arial" w:eastAsia="Calibri" w:hAnsi="Arial" w:cs="Arial"/>
          <w:i/>
          <w:sz w:val="24"/>
          <w:szCs w:val="24"/>
        </w:rPr>
        <w:t>3. A los efectos de este artículo, la persona contra la que se dirige el procedimiento deberá quedar suficientemente determinada en la resolución judicial, ya sea mediante su identificación directa o mediante datos que permitan concretar posteriormente dicha identificación en el seno de la organización o grupo de personas a quienes se atribuya el hecho.</w:t>
      </w:r>
    </w:p>
    <w:p w14:paraId="49E46E34" w14:textId="485FCACC" w:rsidR="00E91557" w:rsidRPr="00E91557" w:rsidRDefault="00E91557" w:rsidP="00747379">
      <w:pPr>
        <w:contextualSpacing/>
        <w:jc w:val="both"/>
        <w:rPr>
          <w:rFonts w:ascii="Arial" w:eastAsia="Calibri" w:hAnsi="Arial" w:cs="Arial"/>
          <w:sz w:val="24"/>
          <w:szCs w:val="24"/>
        </w:rPr>
      </w:pPr>
    </w:p>
    <w:p w14:paraId="5B648A52" w14:textId="6CF30944" w:rsidR="00E91557" w:rsidRDefault="009A56D3" w:rsidP="00E91557">
      <w:pPr>
        <w:numPr>
          <w:ilvl w:val="0"/>
          <w:numId w:val="7"/>
        </w:numPr>
        <w:spacing w:after="0" w:line="240" w:lineRule="auto"/>
        <w:contextualSpacing/>
        <w:jc w:val="both"/>
        <w:rPr>
          <w:rFonts w:ascii="Arial" w:eastAsia="Calibri" w:hAnsi="Arial" w:cs="Arial"/>
          <w:sz w:val="24"/>
          <w:szCs w:val="24"/>
        </w:rPr>
      </w:pPr>
      <w:r>
        <w:rPr>
          <w:rFonts w:ascii="Arial" w:eastAsia="Calibri" w:hAnsi="Arial" w:cs="Arial"/>
          <w:sz w:val="24"/>
          <w:szCs w:val="24"/>
        </w:rPr>
        <w:t>Respecto del p</w:t>
      </w:r>
      <w:r w:rsidR="00E91557" w:rsidRPr="00E91557">
        <w:rPr>
          <w:rFonts w:ascii="Arial" w:eastAsia="Calibri" w:hAnsi="Arial" w:cs="Arial"/>
          <w:sz w:val="24"/>
          <w:szCs w:val="24"/>
        </w:rPr>
        <w:t>unto 12 de las Observaciones finales del Comité en 2013 (“</w:t>
      </w:r>
      <w:r w:rsidR="00E91557" w:rsidRPr="00E91557">
        <w:rPr>
          <w:rFonts w:ascii="Arial" w:eastAsia="Calibri" w:hAnsi="Arial" w:cs="Arial"/>
          <w:i/>
          <w:sz w:val="24"/>
          <w:szCs w:val="24"/>
        </w:rPr>
        <w:t>El Comité, teniendo en consideración el régimen de prescripción vigente en España en relación con los delitos de carácter permanente, insta al Estado parte a que vele por que los plazos de prescripción se cuenten efectivamente a partir del momento en que cesa la desaparición forzada, es decir, desde que la persona aparece con vida, se encuentran sus restos o se restituye su identidad. Asimismo, lo exhorta a que asegure que todas las desapariciones forzadas sean investigadas de manera exhaustiva e imparcial, independientemente del tiempo transcurrido desde el inicio de las mismas y aun cuando no se haya presentado ninguna denuncia formal; que se adopten las medidas necesarias, legislativas o judiciales, con miras a superar los obstáculos jurídicos de orden interno que puedan impedir tales investigaciones, en particular la interpretación que se ha dado a la ley de amnistía; que los presuntos autores sean enjuiciados y, de ser declarados culpables, sancionados de conformidad con la gravedad de sus actos; y que las víctimas reciban reparación adecuada que incluya los medios para su rehabilitación y sea sensible a cuestiones de género</w:t>
      </w:r>
      <w:r w:rsidR="00E91557" w:rsidRPr="00E91557">
        <w:rPr>
          <w:rFonts w:ascii="Arial" w:eastAsia="Calibri" w:hAnsi="Arial" w:cs="Arial"/>
          <w:sz w:val="24"/>
          <w:szCs w:val="24"/>
        </w:rPr>
        <w:t>.”), se puede apuntar lo siguiente:</w:t>
      </w:r>
    </w:p>
    <w:p w14:paraId="42B758AF" w14:textId="77777777" w:rsidR="009A56D3" w:rsidRPr="00E91557" w:rsidRDefault="009A56D3" w:rsidP="009A56D3">
      <w:pPr>
        <w:spacing w:after="0" w:line="240" w:lineRule="auto"/>
        <w:ind w:left="720"/>
        <w:contextualSpacing/>
        <w:jc w:val="both"/>
        <w:rPr>
          <w:rFonts w:ascii="Arial" w:eastAsia="Calibri" w:hAnsi="Arial" w:cs="Arial"/>
          <w:sz w:val="24"/>
          <w:szCs w:val="24"/>
        </w:rPr>
      </w:pPr>
    </w:p>
    <w:p w14:paraId="3B1B45EE" w14:textId="0ED20978" w:rsidR="00E91557" w:rsidRDefault="00E91557" w:rsidP="00E91557">
      <w:pPr>
        <w:numPr>
          <w:ilvl w:val="1"/>
          <w:numId w:val="7"/>
        </w:numPr>
        <w:spacing w:after="0" w:line="240" w:lineRule="auto"/>
        <w:contextualSpacing/>
        <w:jc w:val="both"/>
        <w:rPr>
          <w:rFonts w:ascii="Arial" w:eastAsia="Calibri" w:hAnsi="Arial" w:cs="Arial"/>
          <w:sz w:val="24"/>
          <w:szCs w:val="24"/>
        </w:rPr>
      </w:pPr>
      <w:r w:rsidRPr="00E91557">
        <w:rPr>
          <w:rFonts w:ascii="Arial" w:eastAsia="Calibri" w:hAnsi="Arial" w:cs="Arial"/>
          <w:sz w:val="24"/>
          <w:szCs w:val="24"/>
        </w:rPr>
        <w:t xml:space="preserve">El art. 132.1 Código Penal, efectivamente, establece que, en los casos de delito continuado, delito permanente, así como en las infracciones que exijan habitualidad, el </w:t>
      </w:r>
      <w:r w:rsidRPr="00E91557">
        <w:rPr>
          <w:rFonts w:ascii="Arial" w:eastAsia="Calibri" w:hAnsi="Arial" w:cs="Arial"/>
          <w:i/>
          <w:sz w:val="24"/>
          <w:szCs w:val="24"/>
        </w:rPr>
        <w:t>dies a quo</w:t>
      </w:r>
      <w:r w:rsidRPr="00E91557">
        <w:rPr>
          <w:rFonts w:ascii="Arial" w:eastAsia="Calibri" w:hAnsi="Arial" w:cs="Arial"/>
          <w:sz w:val="24"/>
          <w:szCs w:val="24"/>
        </w:rPr>
        <w:t xml:space="preserve"> para iniciar la prescripción se computará, respectivamente, “desde el día en que se realizó la última infracción, desde que se eliminó la situación ilícita o desde que cesó la conducta”; </w:t>
      </w:r>
    </w:p>
    <w:p w14:paraId="2AC1F68B" w14:textId="77777777" w:rsidR="009A56D3" w:rsidRPr="00E91557" w:rsidRDefault="009A56D3" w:rsidP="009A56D3">
      <w:pPr>
        <w:spacing w:after="0" w:line="240" w:lineRule="auto"/>
        <w:ind w:left="1440"/>
        <w:contextualSpacing/>
        <w:jc w:val="both"/>
        <w:rPr>
          <w:rFonts w:ascii="Arial" w:eastAsia="Calibri" w:hAnsi="Arial" w:cs="Arial"/>
          <w:sz w:val="24"/>
          <w:szCs w:val="24"/>
        </w:rPr>
      </w:pPr>
    </w:p>
    <w:p w14:paraId="205682A5" w14:textId="09C8D765" w:rsidR="00E91557" w:rsidRPr="00E91557" w:rsidRDefault="00E91557" w:rsidP="00E91557">
      <w:pPr>
        <w:numPr>
          <w:ilvl w:val="1"/>
          <w:numId w:val="7"/>
        </w:numPr>
        <w:spacing w:after="0" w:line="240" w:lineRule="auto"/>
        <w:contextualSpacing/>
        <w:jc w:val="both"/>
        <w:rPr>
          <w:rFonts w:ascii="Arial" w:eastAsia="Calibri" w:hAnsi="Arial" w:cs="Arial"/>
          <w:sz w:val="24"/>
          <w:szCs w:val="24"/>
        </w:rPr>
      </w:pPr>
      <w:r w:rsidRPr="00E91557">
        <w:rPr>
          <w:rFonts w:ascii="Arial" w:eastAsia="Calibri" w:hAnsi="Arial" w:cs="Arial"/>
          <w:sz w:val="24"/>
          <w:szCs w:val="24"/>
        </w:rPr>
        <w:t xml:space="preserve">La </w:t>
      </w:r>
      <w:hyperlink r:id="rId31" w:history="1">
        <w:r w:rsidRPr="00E91557">
          <w:rPr>
            <w:rFonts w:ascii="Arial" w:eastAsia="Calibri" w:hAnsi="Arial" w:cs="Arial"/>
            <w:color w:val="0563C1"/>
            <w:sz w:val="24"/>
            <w:szCs w:val="24"/>
            <w:u w:val="single"/>
          </w:rPr>
          <w:t>Ley 52/2007, de 26 de diciembre, por la que se reconocen y amplían derechos y se establecen medidas en favor de quienes padecieron persecución o violencia durante la guerra civil y la dictadura</w:t>
        </w:r>
      </w:hyperlink>
      <w:r w:rsidRPr="00E91557">
        <w:rPr>
          <w:rFonts w:ascii="Arial" w:eastAsia="Calibri" w:hAnsi="Arial" w:cs="Arial"/>
          <w:sz w:val="24"/>
          <w:szCs w:val="24"/>
        </w:rPr>
        <w:t xml:space="preserve">, trata de abordar el resto de demandas mencionadas. </w:t>
      </w:r>
    </w:p>
    <w:p w14:paraId="31DEBCD9" w14:textId="77777777" w:rsidR="00E91557" w:rsidRPr="00E91557" w:rsidRDefault="00E91557" w:rsidP="00E91557">
      <w:pPr>
        <w:ind w:left="720"/>
        <w:contextualSpacing/>
        <w:jc w:val="both"/>
        <w:rPr>
          <w:rFonts w:ascii="Arial" w:eastAsia="Calibri" w:hAnsi="Arial" w:cs="Arial"/>
          <w:sz w:val="24"/>
          <w:szCs w:val="24"/>
        </w:rPr>
      </w:pPr>
    </w:p>
    <w:p w14:paraId="7B2F9918" w14:textId="1754A5F5" w:rsidR="003C1697" w:rsidRPr="005559A8" w:rsidRDefault="002C39B7" w:rsidP="003C1697">
      <w:pPr>
        <w:spacing w:after="200" w:line="276" w:lineRule="auto"/>
        <w:jc w:val="both"/>
        <w:rPr>
          <w:rFonts w:ascii="Arial" w:eastAsia="Calibri" w:hAnsi="Arial" w:cs="Arial"/>
          <w:color w:val="000000"/>
          <w:sz w:val="24"/>
          <w:szCs w:val="24"/>
          <w:shd w:val="clear" w:color="auto" w:fill="FFFFFF"/>
        </w:rPr>
      </w:pPr>
      <w:r w:rsidRPr="005559A8">
        <w:rPr>
          <w:rFonts w:ascii="Arial" w:eastAsia="Calibri" w:hAnsi="Arial" w:cs="Arial"/>
          <w:sz w:val="24"/>
          <w:szCs w:val="24"/>
        </w:rPr>
        <w:lastRenderedPageBreak/>
        <w:t>Con respecto a la cuestión relativa a la conservación y el acceso a los archivos, cabe empezar señalando que la</w:t>
      </w:r>
      <w:r w:rsidR="003C1697" w:rsidRPr="005559A8">
        <w:rPr>
          <w:rFonts w:ascii="Arial" w:eastAsia="Calibri" w:hAnsi="Arial" w:cs="Arial"/>
          <w:sz w:val="24"/>
          <w:szCs w:val="24"/>
        </w:rPr>
        <w:t xml:space="preserve"> norma constitucional establece en su artículo 105.b) que </w:t>
      </w:r>
      <w:r w:rsidR="003C1697" w:rsidRPr="005559A8">
        <w:rPr>
          <w:rFonts w:ascii="Arial" w:eastAsia="Calibri" w:hAnsi="Arial" w:cs="Arial"/>
          <w:sz w:val="24"/>
          <w:szCs w:val="24"/>
          <w:u w:val="single"/>
        </w:rPr>
        <w:t>la ley regulará</w:t>
      </w:r>
      <w:r w:rsidR="003C1697" w:rsidRPr="005559A8">
        <w:rPr>
          <w:rFonts w:ascii="Arial" w:eastAsia="Calibri" w:hAnsi="Arial" w:cs="Arial"/>
          <w:sz w:val="24"/>
          <w:szCs w:val="24"/>
        </w:rPr>
        <w:t xml:space="preserve"> </w:t>
      </w:r>
      <w:r w:rsidR="003C1697" w:rsidRPr="005559A8">
        <w:rPr>
          <w:rFonts w:ascii="Arial" w:eastAsia="Calibri" w:hAnsi="Arial" w:cs="Arial"/>
          <w:color w:val="000000"/>
          <w:sz w:val="24"/>
          <w:szCs w:val="24"/>
          <w:shd w:val="clear" w:color="auto" w:fill="FFFFFF"/>
        </w:rPr>
        <w:t>“</w:t>
      </w:r>
      <w:r w:rsidR="003C1697" w:rsidRPr="005559A8">
        <w:rPr>
          <w:rFonts w:ascii="Arial" w:eastAsia="Calibri" w:hAnsi="Arial" w:cs="Arial"/>
          <w:i/>
          <w:color w:val="000000"/>
          <w:sz w:val="24"/>
          <w:szCs w:val="24"/>
          <w:shd w:val="clear" w:color="auto" w:fill="FFFFFF"/>
        </w:rPr>
        <w:t>el acceso de los ciudadanos a los archivos y registros administrativos, salvo en lo que afecte a la seguridad y defensa del Estado, la averiguación de los delitos y la intimidad de las personas</w:t>
      </w:r>
      <w:r w:rsidR="003C1697" w:rsidRPr="005559A8">
        <w:rPr>
          <w:rFonts w:ascii="Arial" w:eastAsia="Calibri" w:hAnsi="Arial" w:cs="Arial"/>
          <w:color w:val="000000"/>
          <w:sz w:val="24"/>
          <w:szCs w:val="24"/>
          <w:shd w:val="clear" w:color="auto" w:fill="FFFFFF"/>
        </w:rPr>
        <w:t xml:space="preserve">”. </w:t>
      </w:r>
    </w:p>
    <w:p w14:paraId="6FDA0E5B" w14:textId="2F771222" w:rsidR="003C1697" w:rsidRPr="005559A8" w:rsidRDefault="00E861D2" w:rsidP="003C1697">
      <w:pPr>
        <w:spacing w:after="200" w:line="276" w:lineRule="auto"/>
        <w:jc w:val="both"/>
        <w:rPr>
          <w:rFonts w:ascii="Arial" w:eastAsia="Calibri" w:hAnsi="Arial" w:cs="Arial"/>
          <w:i/>
          <w:color w:val="202124"/>
          <w:sz w:val="24"/>
          <w:szCs w:val="24"/>
          <w:shd w:val="clear" w:color="auto" w:fill="FFFFFF"/>
        </w:rPr>
      </w:pPr>
      <w:r w:rsidRPr="005559A8">
        <w:rPr>
          <w:rFonts w:ascii="Arial" w:eastAsia="Calibri" w:hAnsi="Arial" w:cs="Arial"/>
          <w:color w:val="000000"/>
          <w:sz w:val="24"/>
          <w:szCs w:val="24"/>
          <w:shd w:val="clear" w:color="auto" w:fill="FFFFFF"/>
        </w:rPr>
        <w:t>De manera más detallada, e</w:t>
      </w:r>
      <w:r w:rsidR="003C1697" w:rsidRPr="005559A8">
        <w:rPr>
          <w:rFonts w:ascii="Arial" w:eastAsia="Calibri" w:hAnsi="Arial" w:cs="Arial"/>
          <w:color w:val="000000"/>
          <w:sz w:val="24"/>
          <w:szCs w:val="24"/>
          <w:shd w:val="clear" w:color="auto" w:fill="FFFFFF"/>
        </w:rPr>
        <w:t>l Consejo de Transparencia y Buen Gobierno ha hecho suyo un informe de la Abogacía del Estado en el que se establece que en la primera etapa del ciclo vital, que se corresponde con el momento de tramitación de cada uno de los expedientes que corresponda y mientras los documentos se encuentran gestionados por los titulares de los procesos que correspondan resulta de aplicación la normativa vigente en materia de Transparencia (</w:t>
      </w:r>
      <w:r w:rsidR="003C1697" w:rsidRPr="005559A8">
        <w:rPr>
          <w:rFonts w:ascii="Arial" w:eastAsia="Calibri" w:hAnsi="Arial" w:cs="Arial"/>
          <w:i/>
          <w:color w:val="202122"/>
          <w:sz w:val="24"/>
          <w:szCs w:val="24"/>
          <w:shd w:val="clear" w:color="auto" w:fill="FFFFFF"/>
        </w:rPr>
        <w:t>Ley 19/2013, de 9 de diciembre, de transparencia, acceso a la información pública y buen gobierno</w:t>
      </w:r>
      <w:r w:rsidR="003C1697" w:rsidRPr="005559A8">
        <w:rPr>
          <w:rFonts w:ascii="Arial" w:eastAsia="Calibri" w:hAnsi="Arial" w:cs="Arial"/>
          <w:color w:val="202122"/>
          <w:sz w:val="24"/>
          <w:szCs w:val="24"/>
          <w:shd w:val="clear" w:color="auto" w:fill="FFFFFF"/>
        </w:rPr>
        <w:t>)</w:t>
      </w:r>
      <w:r w:rsidR="003C1697" w:rsidRPr="005559A8">
        <w:rPr>
          <w:rFonts w:ascii="Arial" w:eastAsia="Calibri" w:hAnsi="Arial" w:cs="Arial"/>
          <w:color w:val="000000"/>
          <w:sz w:val="24"/>
          <w:szCs w:val="24"/>
          <w:shd w:val="clear" w:color="auto" w:fill="FFFFFF"/>
        </w:rPr>
        <w:t xml:space="preserve">. Cuando los documentos pasan a la segunda etapa del ciclo vital y se transfieren desde los archivos de gestión o de oficina a los archivos centrales de los Departamentos, después de haberse pronunciado la resolución administrativa que corresponda, en esa etapa resulta de aplicación lo establecido en materia de acceso en el </w:t>
      </w:r>
      <w:r w:rsidR="003C1697" w:rsidRPr="005559A8">
        <w:rPr>
          <w:rFonts w:ascii="Arial" w:eastAsia="Calibri" w:hAnsi="Arial" w:cs="Arial"/>
          <w:i/>
          <w:color w:val="000000"/>
          <w:sz w:val="24"/>
          <w:szCs w:val="24"/>
          <w:shd w:val="clear" w:color="auto" w:fill="FFFFFF"/>
        </w:rPr>
        <w:t xml:space="preserve">Real Decreto </w:t>
      </w:r>
      <w:r w:rsidR="003C1697" w:rsidRPr="005559A8">
        <w:rPr>
          <w:rFonts w:ascii="Arial" w:eastAsia="Calibri" w:hAnsi="Arial" w:cs="Arial"/>
          <w:i/>
          <w:color w:val="202124"/>
          <w:sz w:val="24"/>
          <w:szCs w:val="24"/>
          <w:shd w:val="clear" w:color="auto" w:fill="FFFFFF"/>
        </w:rPr>
        <w:t>1708/2011, de 18 de noviembre, por el que se establece el Sistema Español de </w:t>
      </w:r>
      <w:r w:rsidR="003C1697" w:rsidRPr="005559A8">
        <w:rPr>
          <w:rFonts w:ascii="Arial" w:eastAsia="Calibri" w:hAnsi="Arial" w:cs="Arial"/>
          <w:bCs/>
          <w:i/>
          <w:color w:val="202124"/>
          <w:sz w:val="24"/>
          <w:szCs w:val="24"/>
          <w:shd w:val="clear" w:color="auto" w:fill="FFFFFF"/>
        </w:rPr>
        <w:t>Archivos</w:t>
      </w:r>
      <w:r w:rsidR="003C1697" w:rsidRPr="005559A8">
        <w:rPr>
          <w:rFonts w:ascii="Arial" w:eastAsia="Calibri" w:hAnsi="Arial" w:cs="Arial"/>
          <w:i/>
          <w:color w:val="202124"/>
          <w:sz w:val="24"/>
          <w:szCs w:val="24"/>
          <w:shd w:val="clear" w:color="auto" w:fill="FFFFFF"/>
        </w:rPr>
        <w:t> y se regula el Sistema de </w:t>
      </w:r>
      <w:r w:rsidR="003C1697" w:rsidRPr="005559A8">
        <w:rPr>
          <w:rFonts w:ascii="Arial" w:eastAsia="Calibri" w:hAnsi="Arial" w:cs="Arial"/>
          <w:bCs/>
          <w:i/>
          <w:color w:val="202124"/>
          <w:sz w:val="24"/>
          <w:szCs w:val="24"/>
          <w:shd w:val="clear" w:color="auto" w:fill="FFFFFF"/>
        </w:rPr>
        <w:t>Archivos</w:t>
      </w:r>
      <w:r w:rsidR="003C1697" w:rsidRPr="005559A8">
        <w:rPr>
          <w:rFonts w:ascii="Arial" w:eastAsia="Calibri" w:hAnsi="Arial" w:cs="Arial"/>
          <w:i/>
          <w:color w:val="202124"/>
          <w:sz w:val="24"/>
          <w:szCs w:val="24"/>
          <w:shd w:val="clear" w:color="auto" w:fill="FFFFFF"/>
        </w:rPr>
        <w:t> de la Administración General del Estado y de sus Organismos Públicos y su régimen de </w:t>
      </w:r>
      <w:r w:rsidR="003C1697" w:rsidRPr="005559A8">
        <w:rPr>
          <w:rFonts w:ascii="Arial" w:eastAsia="Calibri" w:hAnsi="Arial" w:cs="Arial"/>
          <w:bCs/>
          <w:i/>
          <w:color w:val="202124"/>
          <w:sz w:val="24"/>
          <w:szCs w:val="24"/>
          <w:shd w:val="clear" w:color="auto" w:fill="FFFFFF"/>
        </w:rPr>
        <w:t xml:space="preserve">acceso </w:t>
      </w:r>
      <w:r w:rsidR="003C1697" w:rsidRPr="005559A8">
        <w:rPr>
          <w:rFonts w:ascii="Arial" w:eastAsia="Calibri" w:hAnsi="Arial" w:cs="Arial"/>
          <w:bCs/>
          <w:color w:val="202124"/>
          <w:sz w:val="24"/>
          <w:szCs w:val="24"/>
          <w:shd w:val="clear" w:color="auto" w:fill="FFFFFF"/>
        </w:rPr>
        <w:t xml:space="preserve">y subsidiariamente debe aplicarse la </w:t>
      </w:r>
      <w:r w:rsidR="003C1697" w:rsidRPr="005559A8">
        <w:rPr>
          <w:rFonts w:ascii="Arial" w:eastAsia="Calibri" w:hAnsi="Arial" w:cs="Arial"/>
          <w:i/>
          <w:color w:val="202122"/>
          <w:sz w:val="24"/>
          <w:szCs w:val="24"/>
          <w:shd w:val="clear" w:color="auto" w:fill="FFFFFF"/>
        </w:rPr>
        <w:t xml:space="preserve">Ley 19/2013, de 9 de diciembre, de transparencia, acceso a la información pública y buen gobierno. </w:t>
      </w:r>
      <w:r w:rsidR="003C1697" w:rsidRPr="005559A8">
        <w:rPr>
          <w:rFonts w:ascii="Arial" w:eastAsia="Calibri" w:hAnsi="Arial" w:cs="Arial"/>
          <w:color w:val="202122"/>
          <w:sz w:val="24"/>
          <w:szCs w:val="24"/>
          <w:shd w:val="clear" w:color="auto" w:fill="FFFFFF"/>
        </w:rPr>
        <w:t>Y</w:t>
      </w:r>
      <w:r w:rsidRPr="005559A8">
        <w:rPr>
          <w:rFonts w:ascii="Arial" w:eastAsia="Calibri" w:hAnsi="Arial" w:cs="Arial"/>
          <w:color w:val="202122"/>
          <w:sz w:val="24"/>
          <w:szCs w:val="24"/>
          <w:shd w:val="clear" w:color="auto" w:fill="FFFFFF"/>
        </w:rPr>
        <w:t>,</w:t>
      </w:r>
      <w:r w:rsidR="003C1697" w:rsidRPr="005559A8">
        <w:rPr>
          <w:rFonts w:ascii="Arial" w:eastAsia="Calibri" w:hAnsi="Arial" w:cs="Arial"/>
          <w:color w:val="202122"/>
          <w:sz w:val="24"/>
          <w:szCs w:val="24"/>
          <w:shd w:val="clear" w:color="auto" w:fill="FFFFFF"/>
        </w:rPr>
        <w:t xml:space="preserve"> finalmente</w:t>
      </w:r>
      <w:r w:rsidRPr="005559A8">
        <w:rPr>
          <w:rFonts w:ascii="Arial" w:eastAsia="Calibri" w:hAnsi="Arial" w:cs="Arial"/>
          <w:color w:val="202122"/>
          <w:sz w:val="24"/>
          <w:szCs w:val="24"/>
          <w:shd w:val="clear" w:color="auto" w:fill="FFFFFF"/>
        </w:rPr>
        <w:t>,</w:t>
      </w:r>
      <w:r w:rsidR="003C1697" w:rsidRPr="005559A8">
        <w:rPr>
          <w:rFonts w:ascii="Arial" w:eastAsia="Calibri" w:hAnsi="Arial" w:cs="Arial"/>
          <w:color w:val="202122"/>
          <w:sz w:val="24"/>
          <w:szCs w:val="24"/>
          <w:shd w:val="clear" w:color="auto" w:fill="FFFFFF"/>
        </w:rPr>
        <w:t xml:space="preserve"> en la última etapa del ciclo vital de los documentos, es decir en la llamada etapa inactiva desde el punto de vista administrativo, debe aplicarse lo establecido en materia de acceso tanto en la Ley 16/1985, de 25 de junio, del Patrimonio Histórico Español como en Capítulo IV del mencionado </w:t>
      </w:r>
      <w:r w:rsidR="003C1697" w:rsidRPr="005559A8">
        <w:rPr>
          <w:rFonts w:ascii="Arial" w:eastAsia="Calibri" w:hAnsi="Arial" w:cs="Arial"/>
          <w:i/>
          <w:color w:val="000000"/>
          <w:sz w:val="24"/>
          <w:szCs w:val="24"/>
          <w:shd w:val="clear" w:color="auto" w:fill="FFFFFF"/>
        </w:rPr>
        <w:t xml:space="preserve">Real Decreto </w:t>
      </w:r>
      <w:r w:rsidR="003C1697" w:rsidRPr="005559A8">
        <w:rPr>
          <w:rFonts w:ascii="Arial" w:eastAsia="Calibri" w:hAnsi="Arial" w:cs="Arial"/>
          <w:i/>
          <w:color w:val="202124"/>
          <w:sz w:val="24"/>
          <w:szCs w:val="24"/>
          <w:shd w:val="clear" w:color="auto" w:fill="FFFFFF"/>
        </w:rPr>
        <w:t>1708/2011, de 18 de noviembre.</w:t>
      </w:r>
    </w:p>
    <w:p w14:paraId="1B65AEA0" w14:textId="130203EF" w:rsidR="003C1697" w:rsidRPr="005559A8" w:rsidRDefault="003C1697" w:rsidP="003C1697">
      <w:pPr>
        <w:spacing w:after="200" w:line="276" w:lineRule="auto"/>
        <w:jc w:val="both"/>
        <w:rPr>
          <w:rFonts w:ascii="Arial" w:eastAsia="Calibri" w:hAnsi="Arial" w:cs="Arial"/>
          <w:i/>
          <w:color w:val="000000"/>
          <w:sz w:val="24"/>
          <w:szCs w:val="24"/>
          <w:shd w:val="clear" w:color="auto" w:fill="FFFFFF"/>
        </w:rPr>
      </w:pPr>
      <w:r w:rsidRPr="005559A8">
        <w:rPr>
          <w:rFonts w:ascii="Arial" w:eastAsia="Calibri" w:hAnsi="Arial" w:cs="Arial"/>
          <w:color w:val="202124"/>
          <w:sz w:val="24"/>
          <w:szCs w:val="24"/>
          <w:shd w:val="clear" w:color="auto" w:fill="FFFFFF"/>
        </w:rPr>
        <w:t xml:space="preserve">En </w:t>
      </w:r>
      <w:r w:rsidR="00E861D2" w:rsidRPr="005559A8">
        <w:rPr>
          <w:rFonts w:ascii="Arial" w:eastAsia="Calibri" w:hAnsi="Arial" w:cs="Arial"/>
          <w:color w:val="202124"/>
          <w:sz w:val="24"/>
          <w:szCs w:val="24"/>
          <w:shd w:val="clear" w:color="auto" w:fill="FFFFFF"/>
        </w:rPr>
        <w:t>esta última disposición</w:t>
      </w:r>
      <w:r w:rsidRPr="005559A8">
        <w:rPr>
          <w:rFonts w:ascii="Arial" w:eastAsia="Calibri" w:hAnsi="Arial" w:cs="Arial"/>
          <w:color w:val="202124"/>
          <w:sz w:val="24"/>
          <w:szCs w:val="24"/>
          <w:shd w:val="clear" w:color="auto" w:fill="FFFFFF"/>
        </w:rPr>
        <w:t xml:space="preserve"> se establece con claridad no solo el procedimiento de acceso a cualquier archivo de la Administración General del Estado, sino que en la Disposición</w:t>
      </w:r>
      <w:r w:rsidR="00E861D2" w:rsidRPr="005559A8">
        <w:rPr>
          <w:rFonts w:ascii="Arial" w:eastAsia="Calibri" w:hAnsi="Arial" w:cs="Arial"/>
          <w:color w:val="202124"/>
          <w:sz w:val="24"/>
          <w:szCs w:val="24"/>
          <w:shd w:val="clear" w:color="auto" w:fill="FFFFFF"/>
        </w:rPr>
        <w:t xml:space="preserve"> adicional cuarta se determina</w:t>
      </w:r>
      <w:r w:rsidRPr="005559A8">
        <w:rPr>
          <w:rFonts w:ascii="Arial" w:eastAsia="Calibri" w:hAnsi="Arial" w:cs="Arial"/>
          <w:color w:val="202124"/>
          <w:sz w:val="24"/>
          <w:szCs w:val="24"/>
          <w:shd w:val="clear" w:color="auto" w:fill="FFFFFF"/>
        </w:rPr>
        <w:t xml:space="preserve"> que “</w:t>
      </w:r>
      <w:r w:rsidRPr="005559A8">
        <w:rPr>
          <w:rFonts w:ascii="Arial" w:eastAsia="Calibri" w:hAnsi="Arial" w:cs="Arial"/>
          <w:i/>
          <w:color w:val="000000"/>
          <w:sz w:val="24"/>
          <w:szCs w:val="24"/>
          <w:shd w:val="clear" w:color="auto" w:fill="FFFFFF"/>
        </w:rPr>
        <w:t>el Sistema Archivístico de la Defensa se rige por su normativa específica. No obstante, el régimen de acceso a los documentos obrantes en el mismo será el establecido en el presente Real Decreto”.</w:t>
      </w:r>
    </w:p>
    <w:p w14:paraId="26E8E374" w14:textId="71408031" w:rsidR="003C1697" w:rsidRPr="005559A8" w:rsidRDefault="003C1697" w:rsidP="003C1697">
      <w:pPr>
        <w:spacing w:after="200" w:line="276" w:lineRule="auto"/>
        <w:jc w:val="both"/>
        <w:rPr>
          <w:rFonts w:ascii="Arial" w:eastAsia="Calibri" w:hAnsi="Arial" w:cs="Arial"/>
          <w:color w:val="000000"/>
          <w:sz w:val="24"/>
          <w:szCs w:val="24"/>
          <w:shd w:val="clear" w:color="auto" w:fill="FFFFFF"/>
        </w:rPr>
      </w:pPr>
      <w:r w:rsidRPr="005559A8">
        <w:rPr>
          <w:rFonts w:ascii="Arial" w:eastAsia="Calibri" w:hAnsi="Arial" w:cs="Arial"/>
          <w:color w:val="000000"/>
          <w:sz w:val="24"/>
          <w:szCs w:val="24"/>
          <w:shd w:val="clear" w:color="auto" w:fill="FFFFFF"/>
        </w:rPr>
        <w:t>Por tanto, hemo</w:t>
      </w:r>
      <w:r w:rsidR="00E861D2" w:rsidRPr="005559A8">
        <w:rPr>
          <w:rFonts w:ascii="Arial" w:eastAsia="Calibri" w:hAnsi="Arial" w:cs="Arial"/>
          <w:color w:val="000000"/>
          <w:sz w:val="24"/>
          <w:szCs w:val="24"/>
          <w:shd w:val="clear" w:color="auto" w:fill="FFFFFF"/>
        </w:rPr>
        <w:t>s de concluir que en</w:t>
      </w:r>
      <w:r w:rsidRPr="005559A8">
        <w:rPr>
          <w:rFonts w:ascii="Arial" w:eastAsia="Calibri" w:hAnsi="Arial" w:cs="Arial"/>
          <w:color w:val="000000"/>
          <w:sz w:val="24"/>
          <w:szCs w:val="24"/>
          <w:shd w:val="clear" w:color="auto" w:fill="FFFFFF"/>
        </w:rPr>
        <w:t xml:space="preserve"> el sistema de acceso a los archivos e</w:t>
      </w:r>
      <w:r w:rsidR="00D12314" w:rsidRPr="005559A8">
        <w:rPr>
          <w:rFonts w:ascii="Arial" w:eastAsia="Calibri" w:hAnsi="Arial" w:cs="Arial"/>
          <w:color w:val="000000"/>
          <w:sz w:val="24"/>
          <w:szCs w:val="24"/>
          <w:shd w:val="clear" w:color="auto" w:fill="FFFFFF"/>
        </w:rPr>
        <w:t>n España tienen</w:t>
      </w:r>
      <w:r w:rsidR="00E861D2" w:rsidRPr="005559A8">
        <w:rPr>
          <w:rFonts w:ascii="Arial" w:eastAsia="Calibri" w:hAnsi="Arial" w:cs="Arial"/>
          <w:color w:val="000000"/>
          <w:sz w:val="24"/>
          <w:szCs w:val="24"/>
          <w:shd w:val="clear" w:color="auto" w:fill="FFFFFF"/>
        </w:rPr>
        <w:t xml:space="preserve"> únicamente restricciones</w:t>
      </w:r>
      <w:r w:rsidRPr="005559A8">
        <w:rPr>
          <w:rFonts w:ascii="Arial" w:eastAsia="Calibri" w:hAnsi="Arial" w:cs="Arial"/>
          <w:color w:val="000000"/>
          <w:sz w:val="24"/>
          <w:szCs w:val="24"/>
          <w:shd w:val="clear" w:color="auto" w:fill="FFFFFF"/>
        </w:rPr>
        <w:t xml:space="preserve"> de acceso</w:t>
      </w:r>
      <w:r w:rsidR="00E861D2" w:rsidRPr="005559A8">
        <w:rPr>
          <w:rFonts w:ascii="Arial" w:eastAsia="Calibri" w:hAnsi="Arial" w:cs="Arial"/>
          <w:color w:val="000000"/>
          <w:sz w:val="24"/>
          <w:szCs w:val="24"/>
          <w:shd w:val="clear" w:color="auto" w:fill="FFFFFF"/>
        </w:rPr>
        <w:t>, similares a l</w:t>
      </w:r>
      <w:r w:rsidR="00D12314" w:rsidRPr="005559A8">
        <w:rPr>
          <w:rFonts w:ascii="Arial" w:eastAsia="Calibri" w:hAnsi="Arial" w:cs="Arial"/>
          <w:color w:val="000000"/>
          <w:sz w:val="24"/>
          <w:szCs w:val="24"/>
          <w:shd w:val="clear" w:color="auto" w:fill="FFFFFF"/>
        </w:rPr>
        <w:t>as existentes en otros países,</w:t>
      </w:r>
      <w:r w:rsidRPr="005559A8">
        <w:rPr>
          <w:rFonts w:ascii="Arial" w:eastAsia="Calibri" w:hAnsi="Arial" w:cs="Arial"/>
          <w:color w:val="000000"/>
          <w:sz w:val="24"/>
          <w:szCs w:val="24"/>
          <w:shd w:val="clear" w:color="auto" w:fill="FFFFFF"/>
        </w:rPr>
        <w:t xml:space="preserve"> los documentos clasificados en virtud de la legislación de secretos oficiales por entrañar riesgos para la seguridad y la defensa del Estado, para la averiguación de los delitos o por interferir en la tutela judicial efectiva, así como los declarados reservados por una norma con rango de Ley y aquellos que contengan datos personales, a los que resulta de aplicación la normativa en materia de Protección de Datos Personales. </w:t>
      </w:r>
    </w:p>
    <w:p w14:paraId="48111F02" w14:textId="51FE47B6" w:rsidR="003C1697" w:rsidRPr="005559A8" w:rsidRDefault="00D12314" w:rsidP="003C1697">
      <w:pPr>
        <w:spacing w:after="200" w:line="276" w:lineRule="auto"/>
        <w:jc w:val="both"/>
        <w:rPr>
          <w:rFonts w:ascii="Arial" w:eastAsia="Calibri" w:hAnsi="Arial" w:cs="Arial"/>
          <w:color w:val="000000"/>
          <w:sz w:val="24"/>
          <w:szCs w:val="24"/>
          <w:shd w:val="clear" w:color="auto" w:fill="FFFFFF"/>
        </w:rPr>
      </w:pPr>
      <w:r w:rsidRPr="005559A8">
        <w:rPr>
          <w:rFonts w:ascii="Arial" w:eastAsia="Calibri" w:hAnsi="Arial" w:cs="Arial"/>
          <w:color w:val="000000"/>
          <w:sz w:val="24"/>
          <w:szCs w:val="24"/>
          <w:shd w:val="clear" w:color="auto" w:fill="FFFFFF"/>
        </w:rPr>
        <w:lastRenderedPageBreak/>
        <w:t>En relación con esta cuestión debe mencionarse también la complejidad que entraña el reparto competencial entre las diferentes administraciones en un sistema caracterizado por la descentralización. L</w:t>
      </w:r>
      <w:r w:rsidR="003C1697" w:rsidRPr="005559A8">
        <w:rPr>
          <w:rFonts w:ascii="Arial" w:eastAsia="Calibri" w:hAnsi="Arial" w:cs="Arial"/>
          <w:color w:val="000000"/>
          <w:sz w:val="24"/>
          <w:szCs w:val="24"/>
          <w:shd w:val="clear" w:color="auto" w:fill="FFFFFF"/>
        </w:rPr>
        <w:t>a Administración General del Estado únicamente se ha reservado la responsabilidad de la gestión directa de los archivos de los Departamentos Ministeriales y sus Organismos Autónomos, del Archivo General de la Administración y de los archivos nacionales de carácter histórico que gestionan tanto el Ministerio de Cultura y Deporte como el Ministerio de Defensa.</w:t>
      </w:r>
      <w:r w:rsidRPr="005559A8">
        <w:rPr>
          <w:rFonts w:ascii="Arial" w:eastAsia="Calibri" w:hAnsi="Arial" w:cs="Arial"/>
          <w:color w:val="000000"/>
          <w:sz w:val="24"/>
          <w:szCs w:val="24"/>
          <w:shd w:val="clear" w:color="auto" w:fill="FFFFFF"/>
        </w:rPr>
        <w:t xml:space="preserve"> </w:t>
      </w:r>
      <w:r w:rsidR="003C1697" w:rsidRPr="005559A8">
        <w:rPr>
          <w:rFonts w:ascii="Arial" w:eastAsia="Calibri" w:hAnsi="Arial" w:cs="Arial"/>
          <w:color w:val="000000"/>
          <w:sz w:val="24"/>
          <w:szCs w:val="24"/>
          <w:shd w:val="clear" w:color="auto" w:fill="FFFFFF"/>
        </w:rPr>
        <w:t>El resto de archivos de la Administración General de</w:t>
      </w:r>
      <w:r w:rsidRPr="005559A8">
        <w:rPr>
          <w:rFonts w:ascii="Arial" w:eastAsia="Calibri" w:hAnsi="Arial" w:cs="Arial"/>
          <w:color w:val="000000"/>
          <w:sz w:val="24"/>
          <w:szCs w:val="24"/>
          <w:shd w:val="clear" w:color="auto" w:fill="FFFFFF"/>
        </w:rPr>
        <w:t>l Estado</w:t>
      </w:r>
      <w:r w:rsidR="003C1697" w:rsidRPr="005559A8">
        <w:rPr>
          <w:rFonts w:ascii="Arial" w:eastAsia="Calibri" w:hAnsi="Arial" w:cs="Arial"/>
          <w:color w:val="000000"/>
          <w:sz w:val="24"/>
          <w:szCs w:val="24"/>
          <w:shd w:val="clear" w:color="auto" w:fill="FFFFFF"/>
        </w:rPr>
        <w:t xml:space="preserve"> se encuentran gestionados por los gobiernos de las diferentes Comunidades Au</w:t>
      </w:r>
      <w:r w:rsidRPr="005559A8">
        <w:rPr>
          <w:rFonts w:ascii="Arial" w:eastAsia="Calibri" w:hAnsi="Arial" w:cs="Arial"/>
          <w:color w:val="000000"/>
          <w:sz w:val="24"/>
          <w:szCs w:val="24"/>
          <w:shd w:val="clear" w:color="auto" w:fill="FFFFFF"/>
        </w:rPr>
        <w:t>tónomas</w:t>
      </w:r>
      <w:r w:rsidR="003C1697" w:rsidRPr="005559A8">
        <w:rPr>
          <w:rFonts w:ascii="Arial" w:eastAsia="Calibri" w:hAnsi="Arial" w:cs="Arial"/>
          <w:color w:val="000000"/>
          <w:sz w:val="24"/>
          <w:szCs w:val="24"/>
          <w:shd w:val="clear" w:color="auto" w:fill="FFFFFF"/>
        </w:rPr>
        <w:t>.</w:t>
      </w:r>
    </w:p>
    <w:p w14:paraId="7C5C0CAD" w14:textId="73B655DF" w:rsidR="003C1697" w:rsidRPr="005559A8" w:rsidRDefault="00EA6C24" w:rsidP="003C1697">
      <w:pPr>
        <w:spacing w:after="200" w:line="276" w:lineRule="auto"/>
        <w:jc w:val="both"/>
        <w:rPr>
          <w:rFonts w:ascii="Arial" w:eastAsia="Calibri" w:hAnsi="Arial" w:cs="Arial"/>
          <w:color w:val="000000"/>
          <w:sz w:val="24"/>
          <w:szCs w:val="24"/>
          <w:shd w:val="clear" w:color="auto" w:fill="FFFFFF"/>
        </w:rPr>
      </w:pPr>
      <w:r w:rsidRPr="005559A8">
        <w:rPr>
          <w:rFonts w:ascii="Arial" w:eastAsia="Calibri" w:hAnsi="Arial" w:cs="Arial"/>
          <w:color w:val="000000"/>
          <w:sz w:val="24"/>
          <w:szCs w:val="24"/>
          <w:shd w:val="clear" w:color="auto" w:fill="FFFFFF"/>
        </w:rPr>
        <w:t>Además, l</w:t>
      </w:r>
      <w:r w:rsidR="003C1697" w:rsidRPr="005559A8">
        <w:rPr>
          <w:rFonts w:ascii="Arial" w:eastAsia="Calibri" w:hAnsi="Arial" w:cs="Arial"/>
          <w:color w:val="000000"/>
          <w:sz w:val="24"/>
          <w:szCs w:val="24"/>
          <w:shd w:val="clear" w:color="auto" w:fill="FFFFFF"/>
        </w:rPr>
        <w:t xml:space="preserve">as Comunidades Autónomas tienen capacidad de decisión en materia de acceso a los archivos de titularidad autonómica y a regular el acceso a los de la administración local y archivos privados de su ámbito territorial. </w:t>
      </w:r>
      <w:r w:rsidRPr="005559A8">
        <w:rPr>
          <w:rFonts w:ascii="Arial" w:eastAsia="Calibri" w:hAnsi="Arial" w:cs="Arial"/>
          <w:color w:val="000000"/>
          <w:sz w:val="24"/>
          <w:szCs w:val="24"/>
          <w:shd w:val="clear" w:color="auto" w:fill="FFFFFF"/>
        </w:rPr>
        <w:t>Es decir, las Comunidades</w:t>
      </w:r>
      <w:r w:rsidR="003C1697" w:rsidRPr="005559A8">
        <w:rPr>
          <w:rFonts w:ascii="Arial" w:eastAsia="Calibri" w:hAnsi="Arial" w:cs="Arial"/>
          <w:color w:val="000000"/>
          <w:sz w:val="24"/>
          <w:szCs w:val="24"/>
          <w:shd w:val="clear" w:color="auto" w:fill="FFFFFF"/>
        </w:rPr>
        <w:t>, en virtud de la distribución competencial entre la Administración General del Estado y las Comunidades</w:t>
      </w:r>
      <w:r w:rsidRPr="005559A8">
        <w:rPr>
          <w:rFonts w:ascii="Arial" w:eastAsia="Calibri" w:hAnsi="Arial" w:cs="Arial"/>
          <w:color w:val="000000"/>
          <w:sz w:val="24"/>
          <w:szCs w:val="24"/>
          <w:shd w:val="clear" w:color="auto" w:fill="FFFFFF"/>
        </w:rPr>
        <w:t>,</w:t>
      </w:r>
      <w:r w:rsidR="003C1697" w:rsidRPr="005559A8">
        <w:rPr>
          <w:rFonts w:ascii="Arial" w:eastAsia="Calibri" w:hAnsi="Arial" w:cs="Arial"/>
          <w:color w:val="000000"/>
          <w:sz w:val="24"/>
          <w:szCs w:val="24"/>
          <w:shd w:val="clear" w:color="auto" w:fill="FFFFFF"/>
        </w:rPr>
        <w:t xml:space="preserve"> que se establece en los artículos 148 y </w:t>
      </w:r>
      <w:r w:rsidRPr="005559A8">
        <w:rPr>
          <w:rFonts w:ascii="Arial" w:eastAsia="Calibri" w:hAnsi="Arial" w:cs="Arial"/>
          <w:color w:val="000000"/>
          <w:sz w:val="24"/>
          <w:szCs w:val="24"/>
          <w:shd w:val="clear" w:color="auto" w:fill="FFFFFF"/>
        </w:rPr>
        <w:t>149 de la vigente Constitución e</w:t>
      </w:r>
      <w:r w:rsidR="003C1697" w:rsidRPr="005559A8">
        <w:rPr>
          <w:rFonts w:ascii="Arial" w:eastAsia="Calibri" w:hAnsi="Arial" w:cs="Arial"/>
          <w:color w:val="000000"/>
          <w:sz w:val="24"/>
          <w:szCs w:val="24"/>
          <w:shd w:val="clear" w:color="auto" w:fill="FFFFFF"/>
        </w:rPr>
        <w:t>spañola</w:t>
      </w:r>
      <w:r w:rsidRPr="005559A8">
        <w:rPr>
          <w:rFonts w:ascii="Arial" w:eastAsia="Calibri" w:hAnsi="Arial" w:cs="Arial"/>
          <w:color w:val="000000"/>
          <w:sz w:val="24"/>
          <w:szCs w:val="24"/>
          <w:shd w:val="clear" w:color="auto" w:fill="FFFFFF"/>
        </w:rPr>
        <w:t>,</w:t>
      </w:r>
      <w:r w:rsidR="003C1697" w:rsidRPr="005559A8">
        <w:rPr>
          <w:rFonts w:ascii="Arial" w:eastAsia="Calibri" w:hAnsi="Arial" w:cs="Arial"/>
          <w:color w:val="000000"/>
          <w:sz w:val="24"/>
          <w:szCs w:val="24"/>
          <w:shd w:val="clear" w:color="auto" w:fill="FFFFFF"/>
        </w:rPr>
        <w:t xml:space="preserve"> tienen la capacidad normativa y son responsables de reg</w:t>
      </w:r>
      <w:r w:rsidRPr="005559A8">
        <w:rPr>
          <w:rFonts w:ascii="Arial" w:eastAsia="Calibri" w:hAnsi="Arial" w:cs="Arial"/>
          <w:color w:val="000000"/>
          <w:sz w:val="24"/>
          <w:szCs w:val="24"/>
          <w:shd w:val="clear" w:color="auto" w:fill="FFFFFF"/>
        </w:rPr>
        <w:t>ular el acceso a</w:t>
      </w:r>
      <w:r w:rsidR="003C1697" w:rsidRPr="005559A8">
        <w:rPr>
          <w:rFonts w:ascii="Arial" w:eastAsia="Calibri" w:hAnsi="Arial" w:cs="Arial"/>
          <w:color w:val="000000"/>
          <w:sz w:val="24"/>
          <w:szCs w:val="24"/>
          <w:shd w:val="clear" w:color="auto" w:fill="FFFFFF"/>
        </w:rPr>
        <w:t xml:space="preserve"> los archivos autonómicos, provinciales (Diputaciones), locales (Ayuntamientos) y privados (de la Iglesia Católica, por ejemplo)</w:t>
      </w:r>
      <w:r w:rsidRPr="005559A8">
        <w:rPr>
          <w:rFonts w:ascii="Arial" w:eastAsia="Calibri" w:hAnsi="Arial" w:cs="Arial"/>
          <w:color w:val="000000"/>
          <w:sz w:val="24"/>
          <w:szCs w:val="24"/>
          <w:shd w:val="clear" w:color="auto" w:fill="FFFFFF"/>
        </w:rPr>
        <w:t>. En</w:t>
      </w:r>
      <w:r w:rsidR="003C1697" w:rsidRPr="005559A8">
        <w:rPr>
          <w:rFonts w:ascii="Arial" w:eastAsia="Calibri" w:hAnsi="Arial" w:cs="Arial"/>
          <w:color w:val="000000"/>
          <w:sz w:val="24"/>
          <w:szCs w:val="24"/>
          <w:shd w:val="clear" w:color="auto" w:fill="FFFFFF"/>
        </w:rPr>
        <w:t xml:space="preserve"> estas materias las Comunidades</w:t>
      </w:r>
      <w:r w:rsidRPr="005559A8">
        <w:rPr>
          <w:rFonts w:ascii="Arial" w:eastAsia="Calibri" w:hAnsi="Arial" w:cs="Arial"/>
          <w:color w:val="000000"/>
          <w:sz w:val="24"/>
          <w:szCs w:val="24"/>
          <w:shd w:val="clear" w:color="auto" w:fill="FFFFFF"/>
        </w:rPr>
        <w:t xml:space="preserve"> Autónomas</w:t>
      </w:r>
      <w:r w:rsidR="003C1697" w:rsidRPr="005559A8">
        <w:rPr>
          <w:rFonts w:ascii="Arial" w:eastAsia="Calibri" w:hAnsi="Arial" w:cs="Arial"/>
          <w:color w:val="000000"/>
          <w:sz w:val="24"/>
          <w:szCs w:val="24"/>
          <w:shd w:val="clear" w:color="auto" w:fill="FFFFFF"/>
        </w:rPr>
        <w:t xml:space="preserve"> tienen competencias exclusivas, sancionadas por sus respectivos Estatutos de Autonomía</w:t>
      </w:r>
      <w:r w:rsidRPr="005559A8">
        <w:rPr>
          <w:rFonts w:ascii="Arial" w:eastAsia="Calibri" w:hAnsi="Arial" w:cs="Arial"/>
          <w:color w:val="000000"/>
          <w:sz w:val="24"/>
          <w:szCs w:val="24"/>
          <w:shd w:val="clear" w:color="auto" w:fill="FFFFFF"/>
        </w:rPr>
        <w:t>,</w:t>
      </w:r>
      <w:r w:rsidR="003C1697" w:rsidRPr="005559A8">
        <w:rPr>
          <w:rFonts w:ascii="Arial" w:eastAsia="Calibri" w:hAnsi="Arial" w:cs="Arial"/>
          <w:color w:val="000000"/>
          <w:sz w:val="24"/>
          <w:szCs w:val="24"/>
          <w:shd w:val="clear" w:color="auto" w:fill="FFFFFF"/>
        </w:rPr>
        <w:t xml:space="preserve"> y solo cabe la intervención del Estado en los casos de expolio o de flagrante incumplimiento de la normativa en materia de conservación del Patrimonio Documental, tanto de los archivos de las administraciones como de los archivos privados.</w:t>
      </w:r>
    </w:p>
    <w:p w14:paraId="725F4DEB" w14:textId="66A1A219" w:rsidR="003C1697" w:rsidRPr="005559A8" w:rsidRDefault="008F74CA" w:rsidP="003C1697">
      <w:pPr>
        <w:spacing w:after="200" w:line="276" w:lineRule="auto"/>
        <w:jc w:val="both"/>
        <w:rPr>
          <w:rFonts w:ascii="Arial" w:eastAsia="Calibri" w:hAnsi="Arial" w:cs="Arial"/>
          <w:color w:val="000000"/>
          <w:sz w:val="24"/>
          <w:szCs w:val="24"/>
          <w:shd w:val="clear" w:color="auto" w:fill="FFFFFF"/>
        </w:rPr>
      </w:pPr>
      <w:r w:rsidRPr="005559A8">
        <w:rPr>
          <w:rFonts w:ascii="Arial" w:eastAsia="Calibri" w:hAnsi="Arial" w:cs="Arial"/>
          <w:color w:val="000000"/>
          <w:sz w:val="24"/>
          <w:szCs w:val="24"/>
          <w:shd w:val="clear" w:color="auto" w:fill="FFFFFF"/>
        </w:rPr>
        <w:t>T</w:t>
      </w:r>
      <w:r w:rsidR="003C1697" w:rsidRPr="005559A8">
        <w:rPr>
          <w:rFonts w:ascii="Arial" w:eastAsia="Calibri" w:hAnsi="Arial" w:cs="Arial"/>
          <w:color w:val="000000"/>
          <w:sz w:val="24"/>
          <w:szCs w:val="24"/>
          <w:shd w:val="clear" w:color="auto" w:fill="FFFFFF"/>
        </w:rPr>
        <w:t xml:space="preserve">ras la creación del Consejo de Cooperación Archivística mediante el artículo 5 del </w:t>
      </w:r>
      <w:r w:rsidR="003C1697" w:rsidRPr="005559A8">
        <w:rPr>
          <w:rFonts w:ascii="Arial" w:eastAsia="Calibri" w:hAnsi="Arial" w:cs="Arial"/>
          <w:i/>
          <w:color w:val="000000"/>
          <w:sz w:val="24"/>
          <w:szCs w:val="24"/>
          <w:shd w:val="clear" w:color="auto" w:fill="FFFFFF"/>
        </w:rPr>
        <w:t xml:space="preserve">Real Decreto </w:t>
      </w:r>
      <w:r w:rsidR="003C1697" w:rsidRPr="005559A8">
        <w:rPr>
          <w:rFonts w:ascii="Arial" w:eastAsia="Calibri" w:hAnsi="Arial" w:cs="Arial"/>
          <w:i/>
          <w:color w:val="202124"/>
          <w:sz w:val="24"/>
          <w:szCs w:val="24"/>
          <w:shd w:val="clear" w:color="auto" w:fill="FFFFFF"/>
        </w:rPr>
        <w:t xml:space="preserve">1708/2011, de 18 de noviembre </w:t>
      </w:r>
      <w:r w:rsidR="003C1697" w:rsidRPr="005559A8">
        <w:rPr>
          <w:rFonts w:ascii="Arial" w:eastAsia="Calibri" w:hAnsi="Arial" w:cs="Arial"/>
          <w:color w:val="202124"/>
          <w:sz w:val="24"/>
          <w:szCs w:val="24"/>
          <w:shd w:val="clear" w:color="auto" w:fill="FFFFFF"/>
        </w:rPr>
        <w:t>se dispone de un foro de encuentro y coord</w:t>
      </w:r>
      <w:r w:rsidRPr="005559A8">
        <w:rPr>
          <w:rFonts w:ascii="Arial" w:eastAsia="Calibri" w:hAnsi="Arial" w:cs="Arial"/>
          <w:color w:val="202124"/>
          <w:sz w:val="24"/>
          <w:szCs w:val="24"/>
          <w:shd w:val="clear" w:color="auto" w:fill="FFFFFF"/>
        </w:rPr>
        <w:t xml:space="preserve">inación en esta materia. </w:t>
      </w:r>
      <w:r w:rsidR="003C1697" w:rsidRPr="005559A8">
        <w:rPr>
          <w:rFonts w:ascii="Arial" w:eastAsia="Calibri" w:hAnsi="Arial" w:cs="Arial"/>
          <w:color w:val="202124"/>
          <w:sz w:val="24"/>
          <w:szCs w:val="24"/>
          <w:shd w:val="clear" w:color="auto" w:fill="FFFFFF"/>
        </w:rPr>
        <w:t>Este Consejo de Cooperación Archivística,</w:t>
      </w:r>
      <w:r w:rsidR="003C1697" w:rsidRPr="005559A8">
        <w:rPr>
          <w:rFonts w:ascii="Arial" w:eastAsia="Calibri" w:hAnsi="Arial" w:cs="Arial"/>
          <w:color w:val="000000"/>
          <w:sz w:val="24"/>
          <w:szCs w:val="24"/>
          <w:shd w:val="clear" w:color="auto" w:fill="FFFFFF"/>
        </w:rPr>
        <w:t xml:space="preserve"> órgano adscrito al Ministerio de Cultura y Deporte, a través de la Secretaría General de Cultura, es el órgano de cooperación entre las administraciones públicas en materia de archivos.</w:t>
      </w:r>
    </w:p>
    <w:p w14:paraId="3D27640D" w14:textId="1C0835F2" w:rsidR="003C1697" w:rsidRPr="005559A8" w:rsidRDefault="008F74CA" w:rsidP="003C1697">
      <w:pPr>
        <w:spacing w:after="200" w:line="276" w:lineRule="auto"/>
        <w:jc w:val="both"/>
        <w:rPr>
          <w:rFonts w:ascii="Arial" w:eastAsia="Calibri" w:hAnsi="Arial" w:cs="Arial"/>
          <w:color w:val="000000"/>
          <w:sz w:val="24"/>
          <w:szCs w:val="24"/>
          <w:shd w:val="clear" w:color="auto" w:fill="FFFFFF"/>
        </w:rPr>
      </w:pPr>
      <w:r w:rsidRPr="005559A8">
        <w:rPr>
          <w:rFonts w:ascii="Arial" w:eastAsia="Calibri" w:hAnsi="Arial" w:cs="Arial"/>
          <w:color w:val="000000"/>
          <w:sz w:val="24"/>
          <w:szCs w:val="24"/>
          <w:shd w:val="clear" w:color="auto" w:fill="FFFFFF"/>
        </w:rPr>
        <w:t xml:space="preserve">En cuanto a la cuestión específica relativa a </w:t>
      </w:r>
      <w:r w:rsidR="003C1697" w:rsidRPr="005559A8">
        <w:rPr>
          <w:rFonts w:ascii="Arial" w:eastAsia="Calibri" w:hAnsi="Arial" w:cs="Arial"/>
          <w:color w:val="000000"/>
          <w:sz w:val="24"/>
          <w:szCs w:val="24"/>
          <w:shd w:val="clear" w:color="auto" w:fill="FFFFFF"/>
        </w:rPr>
        <w:t>las medidas adoptadas para garantizar la adecuada conservación de los documentos públicos y privados</w:t>
      </w:r>
      <w:r w:rsidRPr="005559A8">
        <w:rPr>
          <w:rFonts w:ascii="Arial" w:eastAsia="Calibri" w:hAnsi="Arial" w:cs="Arial"/>
          <w:color w:val="000000"/>
          <w:sz w:val="24"/>
          <w:szCs w:val="24"/>
          <w:shd w:val="clear" w:color="auto" w:fill="FFFFFF"/>
        </w:rPr>
        <w:t xml:space="preserve">, cabe referirse al </w:t>
      </w:r>
      <w:r w:rsidR="003C1697" w:rsidRPr="005559A8">
        <w:rPr>
          <w:rFonts w:ascii="Arial" w:eastAsia="Calibri" w:hAnsi="Arial" w:cs="Arial"/>
          <w:color w:val="000000"/>
          <w:sz w:val="24"/>
          <w:szCs w:val="24"/>
          <w:shd w:val="clear" w:color="auto" w:fill="FFFFFF"/>
        </w:rPr>
        <w:t>cumplimiento de las disposiciones sobre Archivos, documentos y Patrimonio Documental de la Ley 16/1985, de 25 de junio, d</w:t>
      </w:r>
      <w:r w:rsidRPr="005559A8">
        <w:rPr>
          <w:rFonts w:ascii="Arial" w:eastAsia="Calibri" w:hAnsi="Arial" w:cs="Arial"/>
          <w:color w:val="000000"/>
          <w:sz w:val="24"/>
          <w:szCs w:val="24"/>
          <w:shd w:val="clear" w:color="auto" w:fill="FFFFFF"/>
        </w:rPr>
        <w:t xml:space="preserve">el Patrimonio Histórico Español, </w:t>
      </w:r>
      <w:r w:rsidR="003C1697" w:rsidRPr="005559A8">
        <w:rPr>
          <w:rFonts w:ascii="Arial" w:eastAsia="Calibri" w:hAnsi="Arial" w:cs="Arial"/>
          <w:color w:val="000000"/>
          <w:sz w:val="24"/>
          <w:szCs w:val="24"/>
          <w:shd w:val="clear" w:color="auto" w:fill="FFFFFF"/>
        </w:rPr>
        <w:t>y de las leyes Autonómicas de Archivos y Gestión Documental que han aprob</w:t>
      </w:r>
      <w:r w:rsidRPr="005559A8">
        <w:rPr>
          <w:rFonts w:ascii="Arial" w:eastAsia="Calibri" w:hAnsi="Arial" w:cs="Arial"/>
          <w:color w:val="000000"/>
          <w:sz w:val="24"/>
          <w:szCs w:val="24"/>
          <w:shd w:val="clear" w:color="auto" w:fill="FFFFFF"/>
        </w:rPr>
        <w:t>ado las diferentes Comunidades.</w:t>
      </w:r>
    </w:p>
    <w:p w14:paraId="2B360DE8" w14:textId="7763B85B" w:rsidR="003C1697" w:rsidRPr="005559A8" w:rsidRDefault="006B5CA3" w:rsidP="003C1697">
      <w:pPr>
        <w:spacing w:after="200" w:line="276" w:lineRule="auto"/>
        <w:jc w:val="both"/>
        <w:rPr>
          <w:rFonts w:ascii="Arial" w:eastAsia="Calibri" w:hAnsi="Arial" w:cs="Arial"/>
          <w:color w:val="000000"/>
          <w:sz w:val="24"/>
          <w:szCs w:val="24"/>
          <w:shd w:val="clear" w:color="auto" w:fill="FFFFFF"/>
        </w:rPr>
      </w:pPr>
      <w:r w:rsidRPr="005559A8">
        <w:rPr>
          <w:rFonts w:ascii="Arial" w:eastAsia="Calibri" w:hAnsi="Arial" w:cs="Arial"/>
          <w:color w:val="000000"/>
          <w:sz w:val="24"/>
          <w:szCs w:val="24"/>
          <w:shd w:val="clear" w:color="auto" w:fill="FFFFFF"/>
        </w:rPr>
        <w:t>Por lo que se refiere al acceso oportuno y efectivo a la documentación que pudiera ser relevante para la investigación de alegaciones de desaparición forzada o sustracción de menores, s</w:t>
      </w:r>
      <w:r w:rsidR="003C1697" w:rsidRPr="005559A8">
        <w:rPr>
          <w:rFonts w:ascii="Arial" w:eastAsia="Calibri" w:hAnsi="Arial" w:cs="Arial"/>
          <w:color w:val="000000"/>
          <w:sz w:val="24"/>
          <w:szCs w:val="24"/>
          <w:shd w:val="clear" w:color="auto" w:fill="FFFFFF"/>
        </w:rPr>
        <w:t xml:space="preserve">e plantea también una cuestión relativa a la interpretación del artículo 57.1c) de la </w:t>
      </w:r>
      <w:r w:rsidR="003C1697" w:rsidRPr="005559A8">
        <w:rPr>
          <w:rFonts w:ascii="Arial" w:eastAsia="Calibri" w:hAnsi="Arial" w:cs="Arial"/>
          <w:i/>
          <w:color w:val="000000"/>
          <w:sz w:val="24"/>
          <w:szCs w:val="24"/>
          <w:shd w:val="clear" w:color="auto" w:fill="FFFFFF"/>
        </w:rPr>
        <w:t>Ley 16/1985, de 25 de junio</w:t>
      </w:r>
      <w:r w:rsidR="00A61938" w:rsidRPr="005559A8">
        <w:rPr>
          <w:rFonts w:ascii="Arial" w:eastAsia="Calibri" w:hAnsi="Arial" w:cs="Arial"/>
          <w:i/>
          <w:color w:val="000000"/>
          <w:sz w:val="24"/>
          <w:szCs w:val="24"/>
          <w:shd w:val="clear" w:color="auto" w:fill="FFFFFF"/>
        </w:rPr>
        <w:t>,</w:t>
      </w:r>
      <w:r w:rsidR="003C1697" w:rsidRPr="005559A8">
        <w:rPr>
          <w:rFonts w:ascii="Arial" w:eastAsia="Calibri" w:hAnsi="Arial" w:cs="Arial"/>
          <w:color w:val="000000"/>
          <w:sz w:val="24"/>
          <w:szCs w:val="24"/>
          <w:shd w:val="clear" w:color="auto" w:fill="FFFFFF"/>
        </w:rPr>
        <w:t xml:space="preserve"> cuando se desconoce la fecha del fal</w:t>
      </w:r>
      <w:r w:rsidRPr="005559A8">
        <w:rPr>
          <w:rFonts w:ascii="Arial" w:eastAsia="Calibri" w:hAnsi="Arial" w:cs="Arial"/>
          <w:color w:val="000000"/>
          <w:sz w:val="24"/>
          <w:szCs w:val="24"/>
          <w:shd w:val="clear" w:color="auto" w:fill="FFFFFF"/>
        </w:rPr>
        <w:t>lecimiento de la víctima. Deb</w:t>
      </w:r>
      <w:r w:rsidR="003C1697" w:rsidRPr="005559A8">
        <w:rPr>
          <w:rFonts w:ascii="Arial" w:eastAsia="Calibri" w:hAnsi="Arial" w:cs="Arial"/>
          <w:color w:val="000000"/>
          <w:sz w:val="24"/>
          <w:szCs w:val="24"/>
          <w:shd w:val="clear" w:color="auto" w:fill="FFFFFF"/>
        </w:rPr>
        <w:t xml:space="preserve">e indicarse que una </w:t>
      </w:r>
      <w:r w:rsidR="003C1697" w:rsidRPr="005559A8">
        <w:rPr>
          <w:rFonts w:ascii="Arial" w:eastAsia="Calibri" w:hAnsi="Arial" w:cs="Arial"/>
          <w:color w:val="000000"/>
          <w:sz w:val="24"/>
          <w:szCs w:val="24"/>
          <w:shd w:val="clear" w:color="auto" w:fill="FFFFFF"/>
        </w:rPr>
        <w:lastRenderedPageBreak/>
        <w:t>lectura detalla</w:t>
      </w:r>
      <w:r w:rsidR="00D36AFD" w:rsidRPr="005559A8">
        <w:rPr>
          <w:rFonts w:ascii="Arial" w:eastAsia="Calibri" w:hAnsi="Arial" w:cs="Arial"/>
          <w:color w:val="000000"/>
          <w:sz w:val="24"/>
          <w:szCs w:val="24"/>
          <w:shd w:val="clear" w:color="auto" w:fill="FFFFFF"/>
        </w:rPr>
        <w:t xml:space="preserve">da del mismo permite establecer </w:t>
      </w:r>
      <w:r w:rsidR="003C1697" w:rsidRPr="005559A8">
        <w:rPr>
          <w:rFonts w:ascii="Arial" w:eastAsia="Calibri" w:hAnsi="Arial" w:cs="Arial"/>
          <w:color w:val="000000"/>
          <w:sz w:val="24"/>
          <w:szCs w:val="24"/>
          <w:shd w:val="clear" w:color="auto" w:fill="FFFFFF"/>
        </w:rPr>
        <w:t>que</w:t>
      </w:r>
      <w:r w:rsidR="00D36AFD" w:rsidRPr="005559A8">
        <w:rPr>
          <w:rFonts w:ascii="Arial" w:eastAsia="Calibri" w:hAnsi="Arial" w:cs="Arial"/>
          <w:color w:val="000000"/>
          <w:sz w:val="24"/>
          <w:szCs w:val="24"/>
          <w:shd w:val="clear" w:color="auto" w:fill="FFFFFF"/>
        </w:rPr>
        <w:t xml:space="preserve"> la limitación de consulta pública</w:t>
      </w:r>
      <w:r w:rsidR="002B176A" w:rsidRPr="005559A8">
        <w:rPr>
          <w:rFonts w:ascii="Arial" w:eastAsia="Calibri" w:hAnsi="Arial" w:cs="Arial"/>
          <w:color w:val="000000"/>
          <w:sz w:val="24"/>
          <w:szCs w:val="24"/>
          <w:shd w:val="clear" w:color="auto" w:fill="FFFFFF"/>
        </w:rPr>
        <w:t xml:space="preserve"> (sin que medie consentimiento expreso de los afectados o hasta que haya transcurrido un plazo de veinticinco años desde su muerte, si su fecha es conocida o, en otro caso, de cincuenta años a partir de la fecha de los documentos)</w:t>
      </w:r>
      <w:r w:rsidR="00D36AFD" w:rsidRPr="005559A8">
        <w:rPr>
          <w:rFonts w:ascii="Arial" w:eastAsia="Calibri" w:hAnsi="Arial" w:cs="Arial"/>
          <w:color w:val="000000"/>
          <w:sz w:val="24"/>
          <w:szCs w:val="24"/>
          <w:shd w:val="clear" w:color="auto" w:fill="FFFFFF"/>
        </w:rPr>
        <w:t xml:space="preserve"> prevista en el mismo no es una determinación de carácter general, sino que </w:t>
      </w:r>
      <w:r w:rsidR="003C1697" w:rsidRPr="005559A8">
        <w:rPr>
          <w:rFonts w:ascii="Arial" w:eastAsia="Calibri" w:hAnsi="Arial" w:cs="Arial"/>
          <w:color w:val="000000"/>
          <w:sz w:val="24"/>
          <w:szCs w:val="24"/>
          <w:shd w:val="clear" w:color="auto" w:fill="FFFFFF"/>
        </w:rPr>
        <w:t>únicamente está referida a “</w:t>
      </w:r>
      <w:r w:rsidR="003C1697" w:rsidRPr="005559A8">
        <w:rPr>
          <w:rFonts w:ascii="Arial" w:eastAsia="Calibri" w:hAnsi="Arial" w:cs="Arial"/>
          <w:i/>
          <w:color w:val="000000"/>
          <w:sz w:val="24"/>
          <w:szCs w:val="24"/>
          <w:shd w:val="clear" w:color="auto" w:fill="FFFFFF"/>
        </w:rPr>
        <w:t>los datos personales de carácter policial, procesal, clínico o de cualquier otra índole que puedan afectar a la seguridad de las personas, a su honor, a la intimidad de su vida privada y familiar y a su propia imagen</w:t>
      </w:r>
      <w:r w:rsidR="003C1697" w:rsidRPr="005559A8">
        <w:rPr>
          <w:rFonts w:ascii="Arial" w:eastAsia="Calibri" w:hAnsi="Arial" w:cs="Arial"/>
          <w:color w:val="000000"/>
          <w:sz w:val="24"/>
          <w:szCs w:val="24"/>
          <w:shd w:val="clear" w:color="auto" w:fill="FFFFFF"/>
        </w:rPr>
        <w:t>”, lo que vendría coincidir con los datos especialmente protegidos que ampara la Protección de Datos Personales.</w:t>
      </w:r>
    </w:p>
    <w:p w14:paraId="53C04630" w14:textId="176D58DE" w:rsidR="003C1697" w:rsidRPr="005559A8" w:rsidRDefault="00D36AFD" w:rsidP="003C1697">
      <w:pPr>
        <w:spacing w:after="200" w:line="276" w:lineRule="auto"/>
        <w:jc w:val="both"/>
        <w:rPr>
          <w:rFonts w:ascii="Arial" w:eastAsia="Calibri" w:hAnsi="Arial" w:cs="Arial"/>
          <w:color w:val="000000"/>
          <w:sz w:val="24"/>
          <w:szCs w:val="24"/>
          <w:shd w:val="clear" w:color="auto" w:fill="FFFFFF"/>
        </w:rPr>
      </w:pPr>
      <w:r w:rsidRPr="005559A8">
        <w:rPr>
          <w:rFonts w:ascii="Arial" w:eastAsia="Calibri" w:hAnsi="Arial" w:cs="Arial"/>
          <w:color w:val="000000"/>
          <w:sz w:val="24"/>
          <w:szCs w:val="24"/>
          <w:shd w:val="clear" w:color="auto" w:fill="FFFFFF"/>
        </w:rPr>
        <w:t>No obstante, también habrá de tenerse en cuenta a estos efectos e</w:t>
      </w:r>
      <w:r w:rsidR="003C1697" w:rsidRPr="005559A8">
        <w:rPr>
          <w:rFonts w:ascii="Arial" w:eastAsia="Calibri" w:hAnsi="Arial" w:cs="Arial"/>
          <w:color w:val="000000"/>
          <w:sz w:val="24"/>
          <w:szCs w:val="24"/>
          <w:shd w:val="clear" w:color="auto" w:fill="FFFFFF"/>
        </w:rPr>
        <w:t xml:space="preserve">l artículo 8.1. de la </w:t>
      </w:r>
      <w:r w:rsidR="003C1697" w:rsidRPr="005559A8">
        <w:rPr>
          <w:rFonts w:ascii="Arial" w:eastAsia="Calibri" w:hAnsi="Arial" w:cs="Arial"/>
          <w:i/>
          <w:color w:val="000000"/>
          <w:sz w:val="24"/>
          <w:szCs w:val="24"/>
          <w:shd w:val="clear" w:color="auto" w:fill="FFFFFF"/>
        </w:rPr>
        <w:t>Ley Orgánica 1/1982, de 5 de mayo, de protección civil del derecho al honor, a la intimidad personal y familiar y a la propia imagen</w:t>
      </w:r>
      <w:r w:rsidR="003C1697" w:rsidRPr="005559A8">
        <w:rPr>
          <w:rFonts w:ascii="Arial" w:eastAsia="Calibri" w:hAnsi="Arial" w:cs="Arial"/>
          <w:color w:val="000000"/>
          <w:sz w:val="24"/>
          <w:szCs w:val="24"/>
          <w:shd w:val="clear" w:color="auto" w:fill="FFFFFF"/>
        </w:rPr>
        <w:t>, en el que se establece abiertamente que “</w:t>
      </w:r>
      <w:r w:rsidR="003C1697" w:rsidRPr="005559A8">
        <w:rPr>
          <w:rFonts w:ascii="Arial" w:eastAsia="Calibri" w:hAnsi="Arial" w:cs="Arial"/>
          <w:i/>
          <w:color w:val="000000"/>
          <w:sz w:val="24"/>
          <w:szCs w:val="24"/>
          <w:shd w:val="clear" w:color="auto" w:fill="FFFFFF"/>
        </w:rPr>
        <w:t xml:space="preserve">no se reputará, con carácter general, intromisiones ilegítimas las actuaciones autorizadas o </w:t>
      </w:r>
      <w:r w:rsidR="003C1697" w:rsidRPr="005559A8">
        <w:rPr>
          <w:rFonts w:ascii="Arial" w:eastAsia="Calibri" w:hAnsi="Arial" w:cs="Arial"/>
          <w:i/>
          <w:color w:val="000000"/>
          <w:sz w:val="24"/>
          <w:szCs w:val="24"/>
          <w:u w:val="single"/>
          <w:shd w:val="clear" w:color="auto" w:fill="FFFFFF"/>
        </w:rPr>
        <w:t>acordadas por la Autoridad competente</w:t>
      </w:r>
      <w:r w:rsidR="003C1697" w:rsidRPr="005559A8">
        <w:rPr>
          <w:rFonts w:ascii="Arial" w:eastAsia="Calibri" w:hAnsi="Arial" w:cs="Arial"/>
          <w:i/>
          <w:color w:val="000000"/>
          <w:sz w:val="24"/>
          <w:szCs w:val="24"/>
          <w:shd w:val="clear" w:color="auto" w:fill="FFFFFF"/>
        </w:rPr>
        <w:t xml:space="preserve"> de acuerdo con la ley, ni cuando predomine un interés histórico, científico o cultural relevante</w:t>
      </w:r>
      <w:r w:rsidR="003C1697" w:rsidRPr="005559A8">
        <w:rPr>
          <w:rFonts w:ascii="Arial" w:eastAsia="Calibri" w:hAnsi="Arial" w:cs="Arial"/>
          <w:color w:val="000000"/>
          <w:sz w:val="24"/>
          <w:szCs w:val="24"/>
          <w:shd w:val="clear" w:color="auto" w:fill="FFFFFF"/>
        </w:rPr>
        <w:t xml:space="preserve">”. </w:t>
      </w:r>
    </w:p>
    <w:p w14:paraId="12516F2A" w14:textId="1C04E511" w:rsidR="003C1697" w:rsidRPr="005559A8" w:rsidRDefault="003C1697" w:rsidP="003C1697">
      <w:pPr>
        <w:spacing w:before="180" w:after="180" w:line="240" w:lineRule="auto"/>
        <w:jc w:val="both"/>
        <w:rPr>
          <w:rFonts w:ascii="Arial" w:eastAsia="Times New Roman" w:hAnsi="Arial" w:cs="Arial"/>
          <w:color w:val="000000"/>
          <w:sz w:val="24"/>
          <w:szCs w:val="24"/>
          <w:lang w:eastAsia="es-ES"/>
        </w:rPr>
      </w:pPr>
      <w:r w:rsidRPr="005559A8">
        <w:rPr>
          <w:rFonts w:ascii="Arial" w:eastAsia="Times New Roman" w:hAnsi="Arial" w:cs="Arial"/>
          <w:color w:val="000000"/>
          <w:sz w:val="24"/>
          <w:szCs w:val="24"/>
          <w:shd w:val="clear" w:color="auto" w:fill="FFFFFF"/>
          <w:lang w:eastAsia="es-ES"/>
        </w:rPr>
        <w:t xml:space="preserve">Y también </w:t>
      </w:r>
      <w:r w:rsidR="00D36AFD" w:rsidRPr="005559A8">
        <w:rPr>
          <w:rFonts w:ascii="Arial" w:eastAsia="Times New Roman" w:hAnsi="Arial" w:cs="Arial"/>
          <w:color w:val="000000"/>
          <w:sz w:val="24"/>
          <w:szCs w:val="24"/>
          <w:shd w:val="clear" w:color="auto" w:fill="FFFFFF"/>
          <w:lang w:eastAsia="es-ES"/>
        </w:rPr>
        <w:t>debería tenerse presente</w:t>
      </w:r>
      <w:r w:rsidRPr="005559A8">
        <w:rPr>
          <w:rFonts w:ascii="Arial" w:eastAsia="Times New Roman" w:hAnsi="Arial" w:cs="Arial"/>
          <w:color w:val="000000"/>
          <w:sz w:val="24"/>
          <w:szCs w:val="24"/>
          <w:shd w:val="clear" w:color="auto" w:fill="FFFFFF"/>
          <w:lang w:eastAsia="es-ES"/>
        </w:rPr>
        <w:t xml:space="preserve"> que el artículo 22 de la Ley</w:t>
      </w:r>
      <w:r w:rsidRPr="005559A8">
        <w:rPr>
          <w:rFonts w:ascii="Arial" w:eastAsia="Times New Roman" w:hAnsi="Arial" w:cs="Arial"/>
          <w:sz w:val="24"/>
          <w:szCs w:val="24"/>
          <w:lang w:eastAsia="es-ES"/>
        </w:rPr>
        <w:t xml:space="preserve"> </w:t>
      </w:r>
      <w:r w:rsidRPr="005559A8">
        <w:rPr>
          <w:rFonts w:ascii="Arial" w:eastAsia="Times New Roman" w:hAnsi="Arial" w:cs="Arial"/>
          <w:color w:val="000000"/>
          <w:sz w:val="24"/>
          <w:szCs w:val="24"/>
          <w:shd w:val="clear" w:color="auto" w:fill="FFFFFF"/>
          <w:lang w:eastAsia="es-ES"/>
        </w:rPr>
        <w:t>52/2007, de 26 de diciembre, por la que se reconocen y amplían derechos y se establecen medidas en favor de quienes padecieron persecución o violencia durante la guerra civil y la dictadura</w:t>
      </w:r>
      <w:r w:rsidR="00D36AFD" w:rsidRPr="005559A8">
        <w:rPr>
          <w:rFonts w:ascii="Arial" w:eastAsia="Times New Roman" w:hAnsi="Arial" w:cs="Arial"/>
          <w:color w:val="000000"/>
          <w:sz w:val="24"/>
          <w:szCs w:val="24"/>
          <w:shd w:val="clear" w:color="auto" w:fill="FFFFFF"/>
          <w:lang w:eastAsia="es-ES"/>
        </w:rPr>
        <w:t xml:space="preserve"> </w:t>
      </w:r>
      <w:r w:rsidRPr="005559A8">
        <w:rPr>
          <w:rFonts w:ascii="Arial" w:eastAsia="Times New Roman" w:hAnsi="Arial" w:cs="Arial"/>
          <w:color w:val="000000"/>
          <w:sz w:val="24"/>
          <w:szCs w:val="24"/>
          <w:shd w:val="clear" w:color="auto" w:fill="FFFFFF"/>
          <w:lang w:eastAsia="es-ES"/>
        </w:rPr>
        <w:t xml:space="preserve">garantiza el derecho de acceso </w:t>
      </w:r>
      <w:r w:rsidRPr="005559A8">
        <w:rPr>
          <w:rFonts w:ascii="Arial" w:eastAsia="Times New Roman" w:hAnsi="Arial" w:cs="Arial"/>
          <w:color w:val="000000"/>
          <w:sz w:val="24"/>
          <w:szCs w:val="24"/>
          <w:lang w:eastAsia="es-ES"/>
        </w:rPr>
        <w:t>a los fondos documentales depositados en los archivos públicos y la obtención de las copias que se soliciten, mandato que resulta de aplicación en los mismos términos a los archivos privados sostenidos, total o parcialmente, con fondos públicos. Así como también establece que los poderes públicos</w:t>
      </w:r>
      <w:r w:rsidR="00D36AFD" w:rsidRPr="005559A8">
        <w:rPr>
          <w:rFonts w:ascii="Arial" w:eastAsia="Times New Roman" w:hAnsi="Arial" w:cs="Arial"/>
          <w:color w:val="000000"/>
          <w:sz w:val="24"/>
          <w:szCs w:val="24"/>
          <w:lang w:eastAsia="es-ES"/>
        </w:rPr>
        <w:t xml:space="preserve"> – todos los poderes públicos -</w:t>
      </w:r>
      <w:r w:rsidRPr="005559A8">
        <w:rPr>
          <w:rFonts w:ascii="Arial" w:eastAsia="Times New Roman" w:hAnsi="Arial" w:cs="Arial"/>
          <w:color w:val="000000"/>
          <w:sz w:val="24"/>
          <w:szCs w:val="24"/>
          <w:lang w:eastAsia="es-ES"/>
        </w:rPr>
        <w:t xml:space="preserve"> adoptarán las medidas necesarias para la protección, la integridad y catalogación de estos documentos, en particular en los casos de mayor deterioro o riesgo de degradación. </w:t>
      </w:r>
    </w:p>
    <w:p w14:paraId="64CAC69D" w14:textId="407A790F" w:rsidR="003C1697" w:rsidRPr="005559A8" w:rsidRDefault="003C1697" w:rsidP="003C1697">
      <w:pPr>
        <w:spacing w:before="180" w:after="180" w:line="240" w:lineRule="auto"/>
        <w:jc w:val="both"/>
        <w:rPr>
          <w:rFonts w:ascii="Arial" w:eastAsia="Times New Roman" w:hAnsi="Arial" w:cs="Arial"/>
          <w:color w:val="000000"/>
          <w:sz w:val="24"/>
          <w:szCs w:val="24"/>
          <w:shd w:val="clear" w:color="auto" w:fill="FFFFFF"/>
          <w:lang w:eastAsia="es-ES"/>
        </w:rPr>
      </w:pPr>
      <w:r w:rsidRPr="005559A8">
        <w:rPr>
          <w:rFonts w:ascii="Arial" w:eastAsia="Times New Roman" w:hAnsi="Arial" w:cs="Arial"/>
          <w:color w:val="000000"/>
          <w:sz w:val="24"/>
          <w:szCs w:val="24"/>
          <w:shd w:val="clear" w:color="auto" w:fill="FFFFFF"/>
          <w:lang w:eastAsia="es-ES"/>
        </w:rPr>
        <w:t>Finalmente cabe apuntar que fruto de la preocupación por la puesta a disposición de los ciudadanos de los documentos generados en su día por los órganos represivos del franquismo se ha suscrito recientemente un acuerdo interministerial entre el Ministerio de la Presidencia, Relaciones con las Cortes y Memoria Democrática y el Ministerio de Cultura y Deporte que posibilitará la difusión y el acceso a través de PARES (el Portal web de Archivos Españoles) a las descripciones y documentos generados y reunidos por tales órganos judiciales, penitenciarios o administrativos que complementará la información recabada por las diferentes asociaciones memorialist</w:t>
      </w:r>
      <w:r w:rsidR="002B176A" w:rsidRPr="005559A8">
        <w:rPr>
          <w:rFonts w:ascii="Arial" w:eastAsia="Times New Roman" w:hAnsi="Arial" w:cs="Arial"/>
          <w:color w:val="000000"/>
          <w:sz w:val="24"/>
          <w:szCs w:val="24"/>
          <w:shd w:val="clear" w:color="auto" w:fill="FFFFFF"/>
          <w:lang w:eastAsia="es-ES"/>
        </w:rPr>
        <w:t>as y grupos de investigación</w:t>
      </w:r>
      <w:r w:rsidRPr="005559A8">
        <w:rPr>
          <w:rFonts w:ascii="Arial" w:eastAsia="Times New Roman" w:hAnsi="Arial" w:cs="Arial"/>
          <w:color w:val="000000"/>
          <w:sz w:val="24"/>
          <w:szCs w:val="24"/>
          <w:shd w:val="clear" w:color="auto" w:fill="FFFFFF"/>
          <w:lang w:eastAsia="es-ES"/>
        </w:rPr>
        <w:t>.</w:t>
      </w:r>
    </w:p>
    <w:p w14:paraId="52324FD9" w14:textId="03B9EF4E" w:rsidR="003C1697" w:rsidRPr="002C39B7" w:rsidRDefault="003C1697" w:rsidP="003C1697">
      <w:pPr>
        <w:spacing w:before="180" w:after="180" w:line="240" w:lineRule="auto"/>
        <w:jc w:val="both"/>
        <w:rPr>
          <w:rFonts w:ascii="Arial" w:eastAsia="Times New Roman" w:hAnsi="Arial" w:cs="Arial"/>
          <w:color w:val="000000"/>
          <w:sz w:val="24"/>
          <w:szCs w:val="24"/>
          <w:shd w:val="clear" w:color="auto" w:fill="FFFFFF"/>
          <w:lang w:eastAsia="es-ES"/>
        </w:rPr>
      </w:pPr>
      <w:r w:rsidRPr="005559A8">
        <w:rPr>
          <w:rFonts w:ascii="Arial" w:eastAsia="Times New Roman" w:hAnsi="Arial" w:cs="Arial"/>
          <w:color w:val="000000"/>
          <w:sz w:val="24"/>
          <w:szCs w:val="24"/>
          <w:shd w:val="clear" w:color="auto" w:fill="FFFFFF"/>
          <w:lang w:eastAsia="es-ES"/>
        </w:rPr>
        <w:t>Por otra</w:t>
      </w:r>
      <w:r w:rsidR="00F913D6" w:rsidRPr="005559A8">
        <w:rPr>
          <w:rFonts w:ascii="Arial" w:eastAsia="Times New Roman" w:hAnsi="Arial" w:cs="Arial"/>
          <w:color w:val="000000"/>
          <w:sz w:val="24"/>
          <w:szCs w:val="24"/>
          <w:shd w:val="clear" w:color="auto" w:fill="FFFFFF"/>
          <w:lang w:eastAsia="es-ES"/>
        </w:rPr>
        <w:t xml:space="preserve"> parte, se debe indicar que se </w:t>
      </w:r>
      <w:r w:rsidRPr="005559A8">
        <w:rPr>
          <w:rFonts w:ascii="Arial" w:eastAsia="Times New Roman" w:hAnsi="Arial" w:cs="Arial"/>
          <w:color w:val="000000"/>
          <w:sz w:val="24"/>
          <w:szCs w:val="24"/>
          <w:shd w:val="clear" w:color="auto" w:fill="FFFFFF"/>
          <w:lang w:eastAsia="es-ES"/>
        </w:rPr>
        <w:t>contempla la realización de transferencias de crédito al conjunto de las Comunidades Autónomas por importe de 1,5 millón de euros para contribuir a la descripción y digitalización de los documentos relacionados con la represión franquista de titularidad estatal y que gestionan las Comunidades Autónomas.</w:t>
      </w:r>
    </w:p>
    <w:p w14:paraId="6F2E175D" w14:textId="77777777" w:rsidR="003C1697" w:rsidRPr="003C1697" w:rsidRDefault="003C1697" w:rsidP="003C1697">
      <w:pPr>
        <w:spacing w:before="180" w:after="180" w:line="240" w:lineRule="auto"/>
        <w:jc w:val="both"/>
        <w:rPr>
          <w:rFonts w:ascii="Verdana" w:eastAsia="Times New Roman" w:hAnsi="Verdana" w:cs="Times New Roman"/>
          <w:color w:val="000000"/>
          <w:shd w:val="clear" w:color="auto" w:fill="FFFFFF"/>
          <w:lang w:eastAsia="es-ES"/>
        </w:rPr>
      </w:pPr>
    </w:p>
    <w:p w14:paraId="5F73D4CA" w14:textId="051E65F1" w:rsidR="00DD7064" w:rsidRDefault="00DD7064" w:rsidP="00E268E4">
      <w:pPr>
        <w:jc w:val="both"/>
        <w:rPr>
          <w:rFonts w:ascii="Arial" w:eastAsia="Calibri" w:hAnsi="Arial" w:cs="Arial"/>
          <w:b/>
          <w:bCs/>
          <w:sz w:val="24"/>
          <w:szCs w:val="24"/>
        </w:rPr>
      </w:pPr>
    </w:p>
    <w:p w14:paraId="2F467D5F" w14:textId="77777777" w:rsidR="00D31E6E" w:rsidRPr="00D31E6E" w:rsidRDefault="00D31E6E" w:rsidP="00D31E6E">
      <w:pPr>
        <w:jc w:val="both"/>
        <w:rPr>
          <w:rFonts w:ascii="Arial" w:eastAsia="Calibri" w:hAnsi="Arial" w:cs="Arial"/>
          <w:b/>
          <w:sz w:val="24"/>
          <w:szCs w:val="24"/>
        </w:rPr>
      </w:pPr>
      <w:r w:rsidRPr="00D31E6E">
        <w:rPr>
          <w:rFonts w:ascii="Arial" w:eastAsia="Calibri" w:hAnsi="Arial" w:cs="Arial"/>
          <w:b/>
          <w:sz w:val="24"/>
          <w:szCs w:val="24"/>
        </w:rPr>
        <w:t xml:space="preserve">9. </w:t>
      </w:r>
      <w:r w:rsidRPr="00C00AAF">
        <w:rPr>
          <w:rFonts w:ascii="Arial" w:eastAsia="Calibri" w:hAnsi="Arial" w:cs="Arial"/>
          <w:b/>
          <w:sz w:val="24"/>
          <w:szCs w:val="24"/>
        </w:rPr>
        <w:t>Sírvanse informar si, desde las anteriores observaciones finales, el Estado parte ha solicitado o recibido solicitudes de auxilio judicial y/o cooperación en los términos de los artículos 14 y 15 de la Convención. De ser el caso, sírvanse proporcionar información acerca de las medidas adoptadas para atender dichas solicitudes.</w:t>
      </w:r>
    </w:p>
    <w:p w14:paraId="49EBD383" w14:textId="0C8B825A" w:rsidR="00A85E74" w:rsidRPr="005559A8" w:rsidRDefault="00A85E74" w:rsidP="00A85E74">
      <w:pPr>
        <w:jc w:val="both"/>
        <w:rPr>
          <w:rFonts w:ascii="Arial" w:eastAsia="Calibri" w:hAnsi="Arial" w:cs="Arial"/>
          <w:bCs/>
          <w:sz w:val="24"/>
          <w:szCs w:val="24"/>
        </w:rPr>
      </w:pPr>
      <w:r w:rsidRPr="005559A8">
        <w:rPr>
          <w:rFonts w:ascii="Arial" w:eastAsia="Calibri" w:hAnsi="Arial" w:cs="Arial"/>
          <w:bCs/>
          <w:sz w:val="24"/>
          <w:szCs w:val="24"/>
        </w:rPr>
        <w:t>Desde el 2013 sí se han recibido algunas solicitudes de asistencia judicial internacional relacionadas con asuntos relativos a desapariciones forzadas de personas.</w:t>
      </w:r>
    </w:p>
    <w:p w14:paraId="771E3203" w14:textId="77777777" w:rsidR="00A85E74" w:rsidRPr="005559A8" w:rsidRDefault="00A85E74" w:rsidP="00A85E74">
      <w:pPr>
        <w:jc w:val="both"/>
        <w:rPr>
          <w:rFonts w:ascii="Arial" w:eastAsia="Calibri" w:hAnsi="Arial" w:cs="Arial"/>
          <w:bCs/>
          <w:sz w:val="24"/>
          <w:szCs w:val="24"/>
        </w:rPr>
      </w:pPr>
      <w:r w:rsidRPr="005559A8">
        <w:rPr>
          <w:rFonts w:ascii="Arial" w:eastAsia="Calibri" w:hAnsi="Arial" w:cs="Arial"/>
          <w:bCs/>
          <w:sz w:val="24"/>
          <w:szCs w:val="24"/>
        </w:rPr>
        <w:t>El trámite que se le da a dichas solicitudes una vez que se reciben es el siguiente:</w:t>
      </w:r>
    </w:p>
    <w:p w14:paraId="5C718CBB" w14:textId="77777777" w:rsidR="00A85E74" w:rsidRPr="005559A8" w:rsidRDefault="00A85E74" w:rsidP="00A85E74">
      <w:pPr>
        <w:jc w:val="both"/>
        <w:rPr>
          <w:rFonts w:ascii="Arial" w:eastAsia="Calibri" w:hAnsi="Arial" w:cs="Arial"/>
          <w:bCs/>
          <w:sz w:val="24"/>
          <w:szCs w:val="24"/>
        </w:rPr>
      </w:pPr>
      <w:r w:rsidRPr="005559A8">
        <w:rPr>
          <w:rFonts w:ascii="Arial" w:eastAsia="Calibri" w:hAnsi="Arial" w:cs="Arial"/>
          <w:bCs/>
          <w:sz w:val="24"/>
          <w:szCs w:val="24"/>
        </w:rPr>
        <w:t>-</w:t>
      </w:r>
      <w:r w:rsidRPr="005559A8">
        <w:rPr>
          <w:rFonts w:ascii="Arial" w:eastAsia="Calibri" w:hAnsi="Arial" w:cs="Arial"/>
          <w:bCs/>
          <w:sz w:val="24"/>
          <w:szCs w:val="24"/>
        </w:rPr>
        <w:tab/>
        <w:t>Solicitudes activas (procedentes de una autoridad judicial española y dirigida a una autoridad extranjera): se comprueba que la solicitud cumple con todos los requisitos formales establecidos en el convenio aplicable a cada caso, y de ser así se remite la solicitud a la Autoridad Central extranjera correspondiente para su ejecución.</w:t>
      </w:r>
    </w:p>
    <w:p w14:paraId="0B30D4A7" w14:textId="77777777" w:rsidR="00A85E74" w:rsidRPr="005559A8" w:rsidRDefault="00A85E74" w:rsidP="00A85E74">
      <w:pPr>
        <w:jc w:val="both"/>
        <w:rPr>
          <w:rFonts w:ascii="Arial" w:eastAsia="Calibri" w:hAnsi="Arial" w:cs="Arial"/>
          <w:bCs/>
          <w:sz w:val="24"/>
          <w:szCs w:val="24"/>
        </w:rPr>
      </w:pPr>
      <w:r w:rsidRPr="005559A8">
        <w:rPr>
          <w:rFonts w:ascii="Arial" w:eastAsia="Calibri" w:hAnsi="Arial" w:cs="Arial"/>
          <w:bCs/>
          <w:sz w:val="24"/>
          <w:szCs w:val="24"/>
        </w:rPr>
        <w:t>-</w:t>
      </w:r>
      <w:r w:rsidRPr="005559A8">
        <w:rPr>
          <w:rFonts w:ascii="Arial" w:eastAsia="Calibri" w:hAnsi="Arial" w:cs="Arial"/>
          <w:bCs/>
          <w:sz w:val="24"/>
          <w:szCs w:val="24"/>
        </w:rPr>
        <w:tab/>
        <w:t>Solicitudes pasivas (procedentes de una autoridad judicial extranjera y dirigida a España): se comprueba que la solicitud cumple con todos los requisitos formales establecidos en el convenio aplicable a cada caso, y de ser así se remite la solicitud a la autoridad judicial española competente para su ejecución.</w:t>
      </w:r>
    </w:p>
    <w:p w14:paraId="6B5AC1AA" w14:textId="482E8533" w:rsidR="00A85E74" w:rsidRPr="005559A8" w:rsidRDefault="00A85E74" w:rsidP="00A85E74">
      <w:pPr>
        <w:jc w:val="both"/>
        <w:rPr>
          <w:rFonts w:ascii="Arial" w:eastAsia="Calibri" w:hAnsi="Arial" w:cs="Arial"/>
          <w:bCs/>
          <w:sz w:val="24"/>
          <w:szCs w:val="24"/>
        </w:rPr>
      </w:pPr>
      <w:r w:rsidRPr="005559A8">
        <w:rPr>
          <w:rFonts w:ascii="Arial" w:eastAsia="Calibri" w:hAnsi="Arial" w:cs="Arial"/>
          <w:bCs/>
          <w:sz w:val="24"/>
          <w:szCs w:val="24"/>
        </w:rPr>
        <w:t>Por otro lado, la Subdirección General de Cooperación Jurídica Internacional del Ministerio de Justicia realiza las labores de intermediación entre las autoridades españolas y extranjeras para solucionar las dificultades que puedan surgir en la ejecución de las solicitudes (intercambio de solicitudes de información adicional, intercambio de documentación, etc.).</w:t>
      </w:r>
    </w:p>
    <w:p w14:paraId="13C47D0A" w14:textId="77777777" w:rsidR="00A85E74" w:rsidRPr="00A85E74" w:rsidRDefault="00A85E74" w:rsidP="00A85E74">
      <w:pPr>
        <w:jc w:val="both"/>
        <w:rPr>
          <w:rFonts w:ascii="Arial" w:eastAsia="Calibri" w:hAnsi="Arial" w:cs="Arial"/>
          <w:bCs/>
          <w:sz w:val="24"/>
          <w:szCs w:val="24"/>
        </w:rPr>
      </w:pPr>
      <w:r w:rsidRPr="005559A8">
        <w:rPr>
          <w:rFonts w:ascii="Arial" w:eastAsia="Calibri" w:hAnsi="Arial" w:cs="Arial"/>
          <w:bCs/>
          <w:sz w:val="24"/>
          <w:szCs w:val="24"/>
        </w:rPr>
        <w:t>Por último, una vez ejecutadas las solicitudes, la documentación que sustenta dicha ejecución es transmitida a la autoridad que solicitó la comisión rogatoria.</w:t>
      </w:r>
    </w:p>
    <w:p w14:paraId="7A397EE0" w14:textId="0AC55DA6" w:rsidR="00E91557" w:rsidRDefault="00E91557" w:rsidP="00E268E4">
      <w:pPr>
        <w:jc w:val="both"/>
        <w:rPr>
          <w:rFonts w:ascii="Arial" w:eastAsia="Calibri" w:hAnsi="Arial" w:cs="Arial"/>
          <w:b/>
          <w:bCs/>
          <w:sz w:val="24"/>
          <w:szCs w:val="24"/>
        </w:rPr>
      </w:pPr>
    </w:p>
    <w:p w14:paraId="6294F1EA" w14:textId="31C4D9F1" w:rsidR="00E91557" w:rsidRDefault="00E91557" w:rsidP="00E268E4">
      <w:pPr>
        <w:jc w:val="both"/>
        <w:rPr>
          <w:rFonts w:ascii="Arial" w:eastAsia="Calibri" w:hAnsi="Arial" w:cs="Arial"/>
          <w:b/>
          <w:bCs/>
          <w:sz w:val="24"/>
          <w:szCs w:val="24"/>
        </w:rPr>
      </w:pPr>
    </w:p>
    <w:p w14:paraId="79B72637" w14:textId="77777777" w:rsidR="00E268E4" w:rsidRPr="00E268E4" w:rsidRDefault="00E268E4" w:rsidP="00E268E4">
      <w:pPr>
        <w:jc w:val="both"/>
        <w:rPr>
          <w:rFonts w:ascii="Arial" w:eastAsia="Calibri" w:hAnsi="Arial" w:cs="Arial"/>
          <w:b/>
          <w:bCs/>
          <w:sz w:val="24"/>
          <w:szCs w:val="24"/>
        </w:rPr>
      </w:pPr>
      <w:r w:rsidRPr="00E268E4">
        <w:rPr>
          <w:rFonts w:ascii="Arial" w:eastAsia="Calibri" w:hAnsi="Arial" w:cs="Arial"/>
          <w:b/>
          <w:bCs/>
          <w:sz w:val="24"/>
          <w:szCs w:val="24"/>
        </w:rPr>
        <w:t xml:space="preserve">10. El Comité toma nota de que la Dirección General para la Memoria Histórica del Ministerio de Justicia sobre la que informa el Estado parte (CED/C/ESP/AI/1, párrafos 77 a 79) ha sido sustituida por la Secretaría de Estado de Memoria Democrática (ver A/HRC/44/7, párrafo 18). Al respecto, sírvanse proporcionar información actualizada acerca de las funciones de esta Secretaría, su presupuesto y el resultado de sus labores, en particular con relación a los procesos de búsqueda e identificación llevados adelante por iniciativa del Estado parte. Sírvanse también acompañar información sobre el número de personas halladas, exhumadas e identificadas con posterioridad a la adopción de las anteriores observaciones finales del Comité, precisando cuántas de estas personas fueron halladas, exhumadas e identificadas por iniciativa del Estado parte. Además, sírvanse informar sobre: (a) los avances en relación con el mapa de fosas; </w:t>
      </w:r>
      <w:r w:rsidRPr="00E268E4">
        <w:rPr>
          <w:rFonts w:ascii="Arial" w:eastAsia="Calibri" w:hAnsi="Arial" w:cs="Arial"/>
          <w:b/>
          <w:bCs/>
          <w:sz w:val="24"/>
          <w:szCs w:val="24"/>
        </w:rPr>
        <w:lastRenderedPageBreak/>
        <w:t>(b) la elaboración de planes de búsqueda como había sido anunciado por la entonces Ministra de Justicia ante el Congreso de los Diputados el 10 de julio de 2018; y (c) si se ha considerado la posibilidad de establecer un órgano específico encargado de la búsqueda de las personas sometidas a desaparición forzada, que posea facultades y recursos suficientes para llevar adelante sus funciones de manera efectiva.</w:t>
      </w:r>
    </w:p>
    <w:p w14:paraId="02420E36" w14:textId="77777777" w:rsidR="00E268E4" w:rsidRPr="00E268E4" w:rsidRDefault="0063552E" w:rsidP="00E268E4">
      <w:pPr>
        <w:jc w:val="both"/>
        <w:rPr>
          <w:rFonts w:ascii="Arial" w:eastAsia="Calibri" w:hAnsi="Arial" w:cs="Arial"/>
          <w:sz w:val="24"/>
          <w:szCs w:val="24"/>
        </w:rPr>
      </w:pPr>
      <w:r>
        <w:rPr>
          <w:rFonts w:ascii="Arial" w:eastAsia="Calibri" w:hAnsi="Arial" w:cs="Arial"/>
          <w:sz w:val="24"/>
          <w:szCs w:val="24"/>
        </w:rPr>
        <w:t>E</w:t>
      </w:r>
      <w:r w:rsidR="00E268E4" w:rsidRPr="00E268E4">
        <w:rPr>
          <w:rFonts w:ascii="Arial" w:eastAsia="Calibri" w:hAnsi="Arial" w:cs="Arial"/>
          <w:sz w:val="24"/>
          <w:szCs w:val="24"/>
        </w:rPr>
        <w:t>l Gobierno de España, a través del Real Decreto 139/2020, de 28 de enero, por el que se establece la estructura orgánica básica de los departamentos ministeriales, con el objetivo de que sea el Estado quien lidere en adelante esta política pública</w:t>
      </w:r>
      <w:r>
        <w:rPr>
          <w:rFonts w:ascii="Arial" w:eastAsia="Calibri" w:hAnsi="Arial" w:cs="Arial"/>
          <w:sz w:val="24"/>
          <w:szCs w:val="24"/>
        </w:rPr>
        <w:t>,</w:t>
      </w:r>
      <w:r w:rsidR="00E268E4" w:rsidRPr="00E268E4">
        <w:rPr>
          <w:rFonts w:ascii="Arial" w:eastAsia="Calibri" w:hAnsi="Arial" w:cs="Arial"/>
          <w:sz w:val="24"/>
          <w:szCs w:val="24"/>
        </w:rPr>
        <w:t xml:space="preserve"> ha creado en el seno de la Vicepresidencia Primera y Ministerio de la Presidencia, Relaciones con las Cortes y Memoria Democrática una Secretaría de Estado de Memoria Democrática, órgano superior, con</w:t>
      </w:r>
      <w:r>
        <w:rPr>
          <w:rFonts w:ascii="Arial" w:eastAsia="Calibri" w:hAnsi="Arial" w:cs="Arial"/>
          <w:sz w:val="24"/>
          <w:szCs w:val="24"/>
        </w:rPr>
        <w:t xml:space="preserve">cebido para impulsar y dirigir </w:t>
      </w:r>
      <w:r w:rsidR="00E268E4" w:rsidRPr="00E268E4">
        <w:rPr>
          <w:rFonts w:ascii="Arial" w:eastAsia="Calibri" w:hAnsi="Arial" w:cs="Arial"/>
          <w:sz w:val="24"/>
          <w:szCs w:val="24"/>
        </w:rPr>
        <w:t>las políticas públicas en materia de conservación, defensa, fomento y divulgación de la Memoria Democrática en virtud de los principios de verdad, justicia, reparación y no repetición, y en particular la de promover  y coordinar programas de cooperación en materia de Memoria Democrática con las comunidades autónomas, corporaciones locales y otros organismos.</w:t>
      </w:r>
    </w:p>
    <w:p w14:paraId="3B27D568"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Al mismo tiempo, se ha creado, bajo dependencia de dicha Secretaría de Estado, la Dirección General de Memoria Democrática, estructurada en una Subdirección General de ayuda a las víctimas de la guerra civil y de la dictadura y en una División de coordinación administrativa y relaciones institucionales, y que tiene entre sus cometidos las siguientes funciones:</w:t>
      </w:r>
    </w:p>
    <w:p w14:paraId="0232BB92"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a) En colaboración con todas las administraciones públicas con competencia en la materia, el diseño de un Plan Estatal de Memoria Democrática, así como su seguimiento, ejecución y elaboración de los informes técnicos que para ello fueran necesarios. </w:t>
      </w:r>
    </w:p>
    <w:p w14:paraId="6F5290C6"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b) La confección de un Censo Nacional de Víctimas de la guerra civil y de la dictadura, de carácter público. </w:t>
      </w:r>
    </w:p>
    <w:p w14:paraId="4D88F9BC"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c) La elaboración, gestión y actualización de un Mapa Integrado de Fosas, incorporando nuevas localizaciones y cooperando con otras administraciones públicas a fin de coordinar los diferentes mapas que puedan existir y recibir cuanta información puedan proporcionar, dentro del marco legal, los ciudadanos, asociaciones u otras entidades sobre lugares de enterramiento o sobre la posible identidad de víctimas inhumadas en ellos. </w:t>
      </w:r>
    </w:p>
    <w:p w14:paraId="1AE1912B"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d) La actualización del Protocolo de actuación en exhumaciones de víctimas de la guerra civil y la dictadura, dentro de las competencias propias del Ministerio de la Presidencia, Relaciones con las Cortes y Memoria Democrática. </w:t>
      </w:r>
    </w:p>
    <w:p w14:paraId="5A8AD95D"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e) El desarrollo de iniciativas de reconocimiento y reparación institucional de las víctimas de la guerra civil y la dictadura, y, en particular, la tramitación del procedimiento para la obtención de la declaración de reparación y reconocimiento personal regulado por la Ley 52/2007, de 26 de diciembre, por la que se reconocen y amplían derechos y se establecen medidas en favor de quienes padecieron persecución o violencia durante la guerra civil y la dictadura. </w:t>
      </w:r>
    </w:p>
    <w:p w14:paraId="1BC1AE36"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lastRenderedPageBreak/>
        <w:t>f) La elaboración de un plan de búsqueda de personas desaparecidas durante la guerra civil o la represión política posterior y cuyo paradero se ig</w:t>
      </w:r>
      <w:r w:rsidR="0063552E">
        <w:rPr>
          <w:rFonts w:ascii="Arial" w:eastAsia="Calibri" w:hAnsi="Arial" w:cs="Arial"/>
          <w:sz w:val="24"/>
          <w:szCs w:val="24"/>
        </w:rPr>
        <w:t>nore, así como la puesta en marcha</w:t>
      </w:r>
      <w:r w:rsidRPr="00E268E4">
        <w:rPr>
          <w:rFonts w:ascii="Arial" w:eastAsia="Calibri" w:hAnsi="Arial" w:cs="Arial"/>
          <w:sz w:val="24"/>
          <w:szCs w:val="24"/>
        </w:rPr>
        <w:t xml:space="preserve"> de un programa de exhumaciones de las víctimas del franquismo que continúan en fosas comunes, de acuerdo con lo dispuesto por la citada Ley 52/2007, de 26 de diciembre, y en las recomendaciones efectuadas por los organismos internacionales de derechos humanos. </w:t>
      </w:r>
    </w:p>
    <w:p w14:paraId="704516E5"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g) La facilitación, en colaboración con la Dirección General de Seguridad Jurídica y Fe Pública, de la consulta de los libros de las actas de defunciones de los Registros Civiles y de la inscripción de las víctimas desaparecidas en la Sección de Defunciones del Registro Civil, según la normativa vigente. </w:t>
      </w:r>
    </w:p>
    <w:p w14:paraId="258C41C2"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h) La colaboración con los departamentos ministeriales competentes en cada caso para la más rápida resolución de las solicitudes y peticiones planteadas, así como la integración y el mantenimiento actualizado de la información relativa a las actuaciones realizadas por los distintos ministerios en relación con la aplicación de la ley. </w:t>
      </w:r>
    </w:p>
    <w:p w14:paraId="10C37EFB"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i) Promover la elaboración y actualización de un censo de edificaciones y obras realizadas por miembros de los Batallones Disciplinarios de Soldados Trabajadores, así como por prisioneros en campos de concentración, Batallones de Trabajadores y prisioneros en Colonias Penitenciarias Militarizadas. </w:t>
      </w:r>
    </w:p>
    <w:p w14:paraId="36EB0BF2" w14:textId="77777777" w:rsidR="009577CD"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Para el desarrollo de estas funciones la Dirección General de Memoria Democrática está dotada con 15 puestos de trabajo. </w:t>
      </w:r>
      <w:r w:rsidR="009577CD">
        <w:rPr>
          <w:rFonts w:ascii="Arial" w:eastAsia="Calibri" w:hAnsi="Arial" w:cs="Arial"/>
          <w:sz w:val="24"/>
          <w:szCs w:val="24"/>
        </w:rPr>
        <w:t>En 2020</w:t>
      </w:r>
      <w:r w:rsidRPr="00E268E4">
        <w:rPr>
          <w:rFonts w:ascii="Arial" w:eastAsia="Calibri" w:hAnsi="Arial" w:cs="Arial"/>
          <w:sz w:val="24"/>
          <w:szCs w:val="24"/>
        </w:rPr>
        <w:t xml:space="preserve"> la Dirección General de Memo</w:t>
      </w:r>
      <w:r w:rsidR="0063552E">
        <w:rPr>
          <w:rFonts w:ascii="Arial" w:eastAsia="Calibri" w:hAnsi="Arial" w:cs="Arial"/>
          <w:sz w:val="24"/>
          <w:szCs w:val="24"/>
        </w:rPr>
        <w:t xml:space="preserve">ria Democrática ha contado con </w:t>
      </w:r>
      <w:r w:rsidRPr="00E268E4">
        <w:rPr>
          <w:rFonts w:ascii="Arial" w:eastAsia="Calibri" w:hAnsi="Arial" w:cs="Arial"/>
          <w:sz w:val="24"/>
          <w:szCs w:val="24"/>
        </w:rPr>
        <w:t xml:space="preserve">una cantidad algo superior a 2 millones de euros destinados al cumplimiento de aquellas funciones que por ley le vienen atribuidas. Los vigentes presupuestos generales del Estado para el año 2021, que ya responden a las prioridades </w:t>
      </w:r>
      <w:r w:rsidR="009577CD">
        <w:rPr>
          <w:rFonts w:ascii="Arial" w:eastAsia="Calibri" w:hAnsi="Arial" w:cs="Arial"/>
          <w:sz w:val="24"/>
          <w:szCs w:val="24"/>
        </w:rPr>
        <w:t>políticas del gobierno actual</w:t>
      </w:r>
      <w:r w:rsidRPr="00E268E4">
        <w:rPr>
          <w:rFonts w:ascii="Arial" w:eastAsia="Calibri" w:hAnsi="Arial" w:cs="Arial"/>
          <w:sz w:val="24"/>
          <w:szCs w:val="24"/>
        </w:rPr>
        <w:t xml:space="preserve">, consignan una partida presupuestaria de 11.3 millones de euros para programas de la Secretaría de Estado de Memoria Democrática, de los que un 60% se destinaran a acciones de búsqueda, exhumación e identificación de personas desaparecidas como consecuencia de la Guerra civil y la Dictadura franquista. </w:t>
      </w:r>
    </w:p>
    <w:p w14:paraId="7236158F"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Así se ha financiado durante el año 20 un total de 115 proyectos, de los cuales 22 se han desarrollado por entidades de la sociedad civil y 93 por entidades públicas, lo que supone un 70% de los proyectos en marcha.</w:t>
      </w:r>
    </w:p>
    <w:p w14:paraId="1FE5F634"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Los datos de resultados no están disponibles ya que los proyectos están en marcha. Esperamos poder ofrecer una primera valoración para el dialogo previsto para el mes de septiembre. </w:t>
      </w:r>
    </w:p>
    <w:p w14:paraId="5422E80E"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Para el año 2021, toda la financiación del Estado se dirigirá a las administraciones públicas a través de un fondo de 3 millones de euros </w:t>
      </w:r>
      <w:r w:rsidR="009577CD">
        <w:rPr>
          <w:rFonts w:ascii="Arial" w:eastAsia="Calibri" w:hAnsi="Arial" w:cs="Arial"/>
          <w:sz w:val="24"/>
          <w:szCs w:val="24"/>
        </w:rPr>
        <w:t xml:space="preserve">para las Comunidades Autónomas </w:t>
      </w:r>
      <w:r w:rsidRPr="00E268E4">
        <w:rPr>
          <w:rFonts w:ascii="Arial" w:eastAsia="Calibri" w:hAnsi="Arial" w:cs="Arial"/>
          <w:sz w:val="24"/>
          <w:szCs w:val="24"/>
        </w:rPr>
        <w:t>y 1 millón para las administraciones locales.</w:t>
      </w:r>
    </w:p>
    <w:p w14:paraId="5A2D3FA5"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El mapa de fosas ha sido actualizado en una nueva herramienta de geolocalización, permitiendo una mayor explotación de sus datos, con búsqueda de víctimas y otros criterios. Está disponible en: </w:t>
      </w:r>
      <w:hyperlink r:id="rId32" w:history="1">
        <w:r w:rsidRPr="00DD7064">
          <w:rPr>
            <w:rFonts w:ascii="Arial" w:eastAsia="Calibri" w:hAnsi="Arial" w:cs="Arial"/>
            <w:color w:val="0000FF"/>
            <w:sz w:val="24"/>
            <w:szCs w:val="24"/>
            <w:u w:val="single"/>
          </w:rPr>
          <w:t>https://www.mpr.gob.es/memoriademocratica/mapa-de-fosas/Paginas/index.aspx</w:t>
        </w:r>
      </w:hyperlink>
      <w:r w:rsidRPr="00E268E4">
        <w:rPr>
          <w:rFonts w:ascii="Arial" w:eastAsia="Calibri" w:hAnsi="Arial" w:cs="Arial"/>
          <w:sz w:val="24"/>
          <w:szCs w:val="24"/>
        </w:rPr>
        <w:t xml:space="preserve"> </w:t>
      </w:r>
    </w:p>
    <w:p w14:paraId="14EF7FA0"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Además, se ha hecho un censo de mapas autonómicos y en este momento está en marcha un proyecto piloto para poder coordinar las actualizaciones de mapas autonómicos con el mapa estatal.</w:t>
      </w:r>
    </w:p>
    <w:p w14:paraId="42FFD911"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Este proceso de actualización forma parte del Plan estatal de búsqueda, localización y personas desaparecidas</w:t>
      </w:r>
      <w:r w:rsidR="0003010D">
        <w:rPr>
          <w:rFonts w:ascii="Arial" w:eastAsia="Calibri" w:hAnsi="Arial" w:cs="Arial"/>
          <w:sz w:val="24"/>
          <w:szCs w:val="24"/>
        </w:rPr>
        <w:t>,</w:t>
      </w:r>
      <w:r w:rsidRPr="00E268E4">
        <w:rPr>
          <w:rFonts w:ascii="Arial" w:eastAsia="Calibri" w:hAnsi="Arial" w:cs="Arial"/>
          <w:sz w:val="24"/>
          <w:szCs w:val="24"/>
        </w:rPr>
        <w:t xml:space="preserve"> que fue objeto de acuerdo en una reunión entre la Administración Central y todas las Comunidades y </w:t>
      </w:r>
      <w:r w:rsidR="0003010D">
        <w:rPr>
          <w:rFonts w:ascii="Arial" w:eastAsia="Calibri" w:hAnsi="Arial" w:cs="Arial"/>
          <w:sz w:val="24"/>
          <w:szCs w:val="24"/>
        </w:rPr>
        <w:t xml:space="preserve">Ciudades </w:t>
      </w:r>
      <w:r w:rsidRPr="00E268E4">
        <w:rPr>
          <w:rFonts w:ascii="Arial" w:eastAsia="Calibri" w:hAnsi="Arial" w:cs="Arial"/>
          <w:sz w:val="24"/>
          <w:szCs w:val="24"/>
        </w:rPr>
        <w:t xml:space="preserve">Autónomas para aprobar un plan de trabajo conjunto, que sirve de base para la ejecución del fondo anual de 3 millones de euros, con </w:t>
      </w:r>
      <w:r w:rsidR="0003010D">
        <w:rPr>
          <w:rFonts w:ascii="Arial" w:eastAsia="Calibri" w:hAnsi="Arial" w:cs="Arial"/>
          <w:sz w:val="24"/>
          <w:szCs w:val="24"/>
        </w:rPr>
        <w:t>el que se ha acordado abordar má</w:t>
      </w:r>
      <w:r w:rsidRPr="00E268E4">
        <w:rPr>
          <w:rFonts w:ascii="Arial" w:eastAsia="Calibri" w:hAnsi="Arial" w:cs="Arial"/>
          <w:sz w:val="24"/>
          <w:szCs w:val="24"/>
        </w:rPr>
        <w:t xml:space="preserve">s de 550 fosas en todas las Comunidades Autónomas. </w:t>
      </w:r>
    </w:p>
    <w:p w14:paraId="6C374700"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El Plan identifica las actuaciones a impulsar para lograr el máximo impacto en un plazo de cuatro años. Para ello, el Plan se estructura en torno a tres líneas estratégicas, cada una conteniendo un conjunto de acciones con sus respectivos indicadores de ejecución y de resultado. </w:t>
      </w:r>
    </w:p>
    <w:p w14:paraId="1FABC56F" w14:textId="77777777" w:rsidR="00E268E4" w:rsidRPr="00E268E4" w:rsidRDefault="00E268E4" w:rsidP="00E268E4">
      <w:pPr>
        <w:jc w:val="both"/>
        <w:rPr>
          <w:rFonts w:ascii="Arial" w:eastAsia="Calibri" w:hAnsi="Arial" w:cs="Arial"/>
          <w:sz w:val="24"/>
          <w:szCs w:val="24"/>
        </w:rPr>
      </w:pPr>
      <w:r w:rsidRPr="00E268E4">
        <w:rPr>
          <w:rFonts w:ascii="Arial" w:eastAsia="Calibri" w:hAnsi="Arial" w:cs="Arial"/>
          <w:sz w:val="24"/>
          <w:szCs w:val="24"/>
        </w:rPr>
        <w:t xml:space="preserve">A continuación, se describe la estructura del Plan: </w:t>
      </w:r>
      <w:r w:rsidRPr="00E268E4">
        <w:rPr>
          <w:rFonts w:ascii="Arial" w:eastAsia="Calibri" w:hAnsi="Arial" w:cs="Arial"/>
          <w:sz w:val="24"/>
          <w:szCs w:val="24"/>
        </w:rPr>
        <w:sym w:font="Symbol" w:char="F0B7"/>
      </w:r>
      <w:r w:rsidRPr="00E268E4">
        <w:rPr>
          <w:rFonts w:ascii="Arial" w:eastAsia="Calibri" w:hAnsi="Arial" w:cs="Arial"/>
          <w:sz w:val="24"/>
          <w:szCs w:val="24"/>
        </w:rPr>
        <w:t xml:space="preserve"> Línea Estratégica 1. Localización, exhumación e identificación de víctimas. o Acción 1.1: Actuaciones previas de indagación, estudios documentales y localización de las fosas. o Acción 1.2: Actividades relativas a la exhumación de restos y a los estudios antropológicos forenses, incluyendo la actualización del Protocolo de actuación en exhumaciones. o Acción 1.3: Identificación mediante comparativas de ADN, incluyendo la creación de un Banco Nacional de ADN. </w:t>
      </w:r>
      <w:r w:rsidRPr="00E268E4">
        <w:rPr>
          <w:rFonts w:ascii="Arial" w:eastAsia="Calibri" w:hAnsi="Arial" w:cs="Arial"/>
          <w:sz w:val="24"/>
          <w:szCs w:val="24"/>
        </w:rPr>
        <w:sym w:font="Symbol" w:char="F0B7"/>
      </w:r>
      <w:r w:rsidRPr="00E268E4">
        <w:rPr>
          <w:rFonts w:ascii="Arial" w:eastAsia="Calibri" w:hAnsi="Arial" w:cs="Arial"/>
          <w:sz w:val="24"/>
          <w:szCs w:val="24"/>
        </w:rPr>
        <w:t xml:space="preserve"> Línea Estratégica 2. Divulgación de trabajos y resultados de acuerdo con los principios de verdad, justicia, reparación y no repetición. o Acción 2.1: Actualizació</w:t>
      </w:r>
      <w:r w:rsidR="0003010D">
        <w:rPr>
          <w:rFonts w:ascii="Arial" w:eastAsia="Calibri" w:hAnsi="Arial" w:cs="Arial"/>
          <w:sz w:val="24"/>
          <w:szCs w:val="24"/>
        </w:rPr>
        <w:t>n del Mapa Integrado de Fosas</w:t>
      </w:r>
      <w:r w:rsidRPr="00E268E4">
        <w:rPr>
          <w:rFonts w:ascii="Arial" w:eastAsia="Calibri" w:hAnsi="Arial" w:cs="Arial"/>
          <w:sz w:val="24"/>
          <w:szCs w:val="24"/>
        </w:rPr>
        <w:t xml:space="preserve"> a nivel estatal cooperando con otras administraciones públicas, a fin de coordinar los diferentes mapas existentes. o Acción 2.2: Creación de un Censo de Víctimas de la guerra civil y de la dictadura, de carácter público. o Acción 2.3: Divulgación de los trabajos. </w:t>
      </w:r>
      <w:r w:rsidRPr="00E268E4">
        <w:rPr>
          <w:rFonts w:ascii="Arial" w:eastAsia="Calibri" w:hAnsi="Arial" w:cs="Arial"/>
          <w:sz w:val="24"/>
          <w:szCs w:val="24"/>
        </w:rPr>
        <w:sym w:font="Symbol" w:char="F0B7"/>
      </w:r>
      <w:r w:rsidRPr="00E268E4">
        <w:rPr>
          <w:rFonts w:ascii="Arial" w:eastAsia="Calibri" w:hAnsi="Arial" w:cs="Arial"/>
          <w:sz w:val="24"/>
          <w:szCs w:val="24"/>
        </w:rPr>
        <w:t xml:space="preserve"> Línea Estratégica 3. Favorecer el enterramiento regular de las víctimas halladas o, en su lugar, dignificar los lugares de enterramientos irregulares conforme a los principios de verdad, justicia, reparación y garantías de no repetición. o Acción 3.1 Preservación y Restitución de los restos mortales. o Acción 3.2: Memoriales y Lugares de Memoria.</w:t>
      </w:r>
    </w:p>
    <w:p w14:paraId="1BC205AC" w14:textId="20C51BC4" w:rsidR="00E268E4" w:rsidRDefault="00E268E4" w:rsidP="00E268E4">
      <w:pPr>
        <w:jc w:val="both"/>
        <w:rPr>
          <w:rFonts w:ascii="Arial" w:eastAsia="Calibri" w:hAnsi="Arial" w:cs="Arial"/>
          <w:sz w:val="24"/>
          <w:szCs w:val="24"/>
        </w:rPr>
      </w:pPr>
      <w:r w:rsidRPr="00E268E4">
        <w:rPr>
          <w:rFonts w:ascii="Arial" w:eastAsia="Calibri" w:hAnsi="Arial" w:cs="Arial"/>
          <w:sz w:val="24"/>
          <w:szCs w:val="24"/>
        </w:rPr>
        <w:t>En cuanto a la creación de un órgano especializado, hay que tener en cuenta que la estructura y organización territorial de España impide esta medida, ya que nuestro sistema de autonomía avanzada de las nacionalidades</w:t>
      </w:r>
      <w:r w:rsidR="0003010D">
        <w:rPr>
          <w:rFonts w:ascii="Arial" w:eastAsia="Calibri" w:hAnsi="Arial" w:cs="Arial"/>
          <w:sz w:val="24"/>
          <w:szCs w:val="24"/>
        </w:rPr>
        <w:t xml:space="preserve"> históricas</w:t>
      </w:r>
      <w:r w:rsidRPr="00E268E4">
        <w:rPr>
          <w:rFonts w:ascii="Arial" w:eastAsia="Calibri" w:hAnsi="Arial" w:cs="Arial"/>
          <w:sz w:val="24"/>
          <w:szCs w:val="24"/>
        </w:rPr>
        <w:t xml:space="preserve"> y regiones dota de una amplia competencia propia a los gobiernos autónomos. De hecho, 13 de las 17 Comunidades autónomas cuenta</w:t>
      </w:r>
      <w:r w:rsidR="0003010D">
        <w:rPr>
          <w:rFonts w:ascii="Arial" w:eastAsia="Calibri" w:hAnsi="Arial" w:cs="Arial"/>
          <w:sz w:val="24"/>
          <w:szCs w:val="24"/>
        </w:rPr>
        <w:t>n</w:t>
      </w:r>
      <w:r w:rsidRPr="00E268E4">
        <w:rPr>
          <w:rFonts w:ascii="Arial" w:eastAsia="Calibri" w:hAnsi="Arial" w:cs="Arial"/>
          <w:sz w:val="24"/>
          <w:szCs w:val="24"/>
        </w:rPr>
        <w:t xml:space="preserve"> con su propia ley de memoria y desarrolla</w:t>
      </w:r>
      <w:r w:rsidR="0039290B">
        <w:rPr>
          <w:rFonts w:ascii="Arial" w:eastAsia="Calibri" w:hAnsi="Arial" w:cs="Arial"/>
          <w:sz w:val="24"/>
          <w:szCs w:val="24"/>
        </w:rPr>
        <w:t>n</w:t>
      </w:r>
      <w:r w:rsidRPr="00E268E4">
        <w:rPr>
          <w:rFonts w:ascii="Arial" w:eastAsia="Calibri" w:hAnsi="Arial" w:cs="Arial"/>
          <w:sz w:val="24"/>
          <w:szCs w:val="24"/>
        </w:rPr>
        <w:t xml:space="preserve"> sus programas. Desde la S</w:t>
      </w:r>
      <w:r w:rsidR="0039290B">
        <w:rPr>
          <w:rFonts w:ascii="Arial" w:eastAsia="Calibri" w:hAnsi="Arial" w:cs="Arial"/>
          <w:sz w:val="24"/>
          <w:szCs w:val="24"/>
        </w:rPr>
        <w:t>ecretaria de Estado se ha puesto</w:t>
      </w:r>
      <w:r w:rsidRPr="00E268E4">
        <w:rPr>
          <w:rFonts w:ascii="Arial" w:eastAsia="Calibri" w:hAnsi="Arial" w:cs="Arial"/>
          <w:sz w:val="24"/>
          <w:szCs w:val="24"/>
        </w:rPr>
        <w:t xml:space="preserve"> en marcha un programa para coordinar y apoyar todos esos esfuerzos, tanto con recursos financieros como materiales en la medida que se requiera por parte de las Comunidades Autónomas. En este sentido destaca la creación de una Conferencia Sectorial en la que participan todas las Comunidades Autónomas y un acuerdo anual con la Federación Estatal de Municipios y </w:t>
      </w:r>
      <w:r w:rsidRPr="00E268E4">
        <w:rPr>
          <w:rFonts w:ascii="Arial" w:eastAsia="Calibri" w:hAnsi="Arial" w:cs="Arial"/>
          <w:sz w:val="24"/>
          <w:szCs w:val="24"/>
        </w:rPr>
        <w:lastRenderedPageBreak/>
        <w:t>Provincias para financiar y coordinar proyectos de búsqueda, localización e identificación de personas desaparecidas durante la Guerra Civil y la Dictadura.</w:t>
      </w:r>
    </w:p>
    <w:p w14:paraId="44C6E9EC" w14:textId="1E08D3A9" w:rsidR="008145BB" w:rsidRDefault="008145BB" w:rsidP="00E268E4">
      <w:pPr>
        <w:jc w:val="both"/>
        <w:rPr>
          <w:rFonts w:ascii="Arial" w:eastAsia="Calibri" w:hAnsi="Arial" w:cs="Arial"/>
          <w:sz w:val="24"/>
          <w:szCs w:val="24"/>
        </w:rPr>
      </w:pPr>
    </w:p>
    <w:p w14:paraId="53ACB477" w14:textId="23940A4E" w:rsidR="008145BB" w:rsidRDefault="008145BB" w:rsidP="00E268E4">
      <w:pPr>
        <w:jc w:val="both"/>
        <w:rPr>
          <w:rFonts w:ascii="Arial" w:eastAsia="Calibri" w:hAnsi="Arial" w:cs="Arial"/>
          <w:sz w:val="24"/>
          <w:szCs w:val="24"/>
        </w:rPr>
      </w:pPr>
    </w:p>
    <w:p w14:paraId="53A1BBAF" w14:textId="77777777" w:rsidR="008145BB" w:rsidRPr="008145BB" w:rsidRDefault="008145BB" w:rsidP="008145BB">
      <w:pPr>
        <w:jc w:val="both"/>
        <w:rPr>
          <w:rFonts w:ascii="Arial" w:eastAsia="Calibri" w:hAnsi="Arial" w:cs="Arial"/>
          <w:b/>
          <w:sz w:val="24"/>
          <w:szCs w:val="24"/>
        </w:rPr>
      </w:pPr>
      <w:r w:rsidRPr="008145BB">
        <w:rPr>
          <w:rFonts w:ascii="Arial" w:eastAsia="Calibri" w:hAnsi="Arial" w:cs="Arial"/>
          <w:b/>
          <w:sz w:val="24"/>
          <w:szCs w:val="24"/>
        </w:rPr>
        <w:t>11. Sírvanse informar acerca de las medidas de reparación otorgadas a víctimas de desaparición forzada desde las anteriores observaciones finales, precisando el tipo de reparación otorgada e indicando los esfuerzos realizados para que tales medidas tomen en cuenta de forma debida la situación individual de las víctimas, incluyendo su sexo, orientación sexual, identidad de género, edad, origen étnico, situación social y discapacidad.</w:t>
      </w:r>
    </w:p>
    <w:p w14:paraId="7EAA0CD3" w14:textId="2501ECA2" w:rsidR="008145BB" w:rsidRDefault="008145BB" w:rsidP="008145BB">
      <w:pPr>
        <w:jc w:val="both"/>
        <w:rPr>
          <w:rFonts w:ascii="Arial" w:eastAsia="Calibri" w:hAnsi="Arial" w:cs="Arial"/>
          <w:sz w:val="24"/>
          <w:szCs w:val="24"/>
        </w:rPr>
      </w:pPr>
      <w:r w:rsidRPr="008145BB">
        <w:rPr>
          <w:rFonts w:ascii="Arial" w:eastAsia="Calibri" w:hAnsi="Arial" w:cs="Arial"/>
          <w:sz w:val="24"/>
          <w:szCs w:val="24"/>
        </w:rPr>
        <w:t xml:space="preserve">Se </w:t>
      </w:r>
      <w:r>
        <w:rPr>
          <w:rFonts w:ascii="Arial" w:eastAsia="Calibri" w:hAnsi="Arial" w:cs="Arial"/>
          <w:sz w:val="24"/>
          <w:szCs w:val="24"/>
        </w:rPr>
        <w:t xml:space="preserve">remite a la información incluida como respuesta al apartado 4. </w:t>
      </w:r>
    </w:p>
    <w:p w14:paraId="55DFD68C" w14:textId="07368E95" w:rsidR="008145BB" w:rsidRDefault="008145BB" w:rsidP="008145BB">
      <w:pPr>
        <w:jc w:val="both"/>
        <w:rPr>
          <w:rFonts w:ascii="Arial" w:eastAsia="Calibri" w:hAnsi="Arial" w:cs="Arial"/>
          <w:sz w:val="24"/>
          <w:szCs w:val="24"/>
        </w:rPr>
      </w:pPr>
    </w:p>
    <w:p w14:paraId="530895D0" w14:textId="77777777" w:rsidR="008145BB" w:rsidRPr="008145BB" w:rsidRDefault="008145BB" w:rsidP="008145BB">
      <w:pPr>
        <w:jc w:val="both"/>
        <w:rPr>
          <w:rFonts w:ascii="Arial" w:eastAsia="Calibri" w:hAnsi="Arial" w:cs="Arial"/>
          <w:sz w:val="24"/>
          <w:szCs w:val="24"/>
        </w:rPr>
      </w:pPr>
    </w:p>
    <w:p w14:paraId="5CBAFC34" w14:textId="77777777" w:rsidR="008145BB" w:rsidRPr="008145BB" w:rsidRDefault="008145BB" w:rsidP="008145BB">
      <w:pPr>
        <w:jc w:val="both"/>
        <w:rPr>
          <w:rFonts w:ascii="Arial" w:eastAsia="Calibri" w:hAnsi="Arial" w:cs="Arial"/>
          <w:b/>
          <w:sz w:val="24"/>
          <w:szCs w:val="24"/>
        </w:rPr>
      </w:pPr>
      <w:r w:rsidRPr="008145BB">
        <w:rPr>
          <w:rFonts w:ascii="Arial" w:eastAsia="Calibri" w:hAnsi="Arial" w:cs="Arial"/>
          <w:b/>
          <w:sz w:val="24"/>
          <w:szCs w:val="24"/>
        </w:rPr>
        <w:t>12. Mientras toma nota de los párrafos 83 a 86 de la información complementaria presentada por el Estado parte, el Comité desearía recibir información acerca de si se han identificado a niños o niñas que pudieran haber sido víctimas de apropiación, desaparición forzada y/o sustitución de su identidad fuera del ámbito del Servicio de información a los afectados por la posible sustracción de recién nacidos. Sírvanse también aportar información estadística actualizada acerca del número de denuncias por presunta apropiación, desaparición forzada y/o sustitución de identidad de niños y niñas así como del avance y resultados de las investigaciones.</w:t>
      </w:r>
    </w:p>
    <w:p w14:paraId="0C6A32FB" w14:textId="0439D28B" w:rsidR="008145BB" w:rsidRPr="008145BB" w:rsidRDefault="008145BB" w:rsidP="008145BB">
      <w:pPr>
        <w:jc w:val="both"/>
        <w:rPr>
          <w:rFonts w:ascii="Arial" w:eastAsia="Calibri" w:hAnsi="Arial" w:cs="Arial"/>
          <w:sz w:val="24"/>
          <w:szCs w:val="24"/>
        </w:rPr>
      </w:pPr>
      <w:r w:rsidRPr="008145BB">
        <w:rPr>
          <w:rFonts w:ascii="Arial" w:eastAsia="Calibri" w:hAnsi="Arial" w:cs="Arial"/>
          <w:sz w:val="24"/>
          <w:szCs w:val="24"/>
        </w:rPr>
        <w:t xml:space="preserve">Se detallan a continuación los últimos datos que facilita el Cuerpo de Policía Nacional (CPN) y la Fiscalía General del Estado (FGE) sobre denuncias y procedimientos sobre sustracción </w:t>
      </w:r>
      <w:r>
        <w:rPr>
          <w:rFonts w:ascii="Arial" w:eastAsia="Calibri" w:hAnsi="Arial" w:cs="Arial"/>
          <w:sz w:val="24"/>
          <w:szCs w:val="24"/>
        </w:rPr>
        <w:t xml:space="preserve">de </w:t>
      </w:r>
      <w:r w:rsidRPr="008145BB">
        <w:rPr>
          <w:rFonts w:ascii="Arial" w:eastAsia="Calibri" w:hAnsi="Arial" w:cs="Arial"/>
          <w:sz w:val="24"/>
          <w:szCs w:val="24"/>
        </w:rPr>
        <w:t>recién nacidos presentados en la Comisión de seguimiento del Servicio de Información de personas afectadas por la posible sustracción de recién nacidos.</w:t>
      </w:r>
    </w:p>
    <w:p w14:paraId="613283B9" w14:textId="77777777" w:rsidR="008145BB" w:rsidRPr="008145BB" w:rsidRDefault="008145BB" w:rsidP="008145BB">
      <w:pPr>
        <w:spacing w:after="0" w:line="240" w:lineRule="auto"/>
        <w:contextualSpacing/>
        <w:jc w:val="both"/>
        <w:rPr>
          <w:rFonts w:ascii="Arial" w:eastAsia="Times New Roman" w:hAnsi="Arial" w:cs="Arial"/>
          <w:sz w:val="24"/>
          <w:szCs w:val="24"/>
          <w:lang w:val="es-ES_tradnl" w:eastAsia="es-ES"/>
        </w:rPr>
      </w:pPr>
      <w:r w:rsidRPr="008145BB">
        <w:rPr>
          <w:rFonts w:ascii="Arial" w:eastAsia="Times New Roman" w:hAnsi="Arial" w:cs="Arial"/>
          <w:sz w:val="24"/>
          <w:szCs w:val="24"/>
          <w:lang w:eastAsia="es-ES"/>
        </w:rPr>
        <w:t xml:space="preserve">A) </w:t>
      </w:r>
      <w:r w:rsidRPr="008145BB">
        <w:rPr>
          <w:rFonts w:ascii="Arial" w:eastAsia="Times New Roman" w:hAnsi="Arial" w:cs="Arial"/>
          <w:sz w:val="24"/>
          <w:szCs w:val="24"/>
          <w:lang w:val="es-ES_tradnl" w:eastAsia="es-ES"/>
        </w:rPr>
        <w:t>Según el Informe SURENA, sobre actividad delictiva conocida exclusivamente en el ámbito de la Policía Nacional, tiene censados 1306 hechos históricos, de los cuales 276 corresponden a denuncias interpuestas directamente en sede policial (21,13%). Del total de 1306 hechos censados, 294 hechos se encuentran activos (22,5%) en fase procesal o investigativa en Juzgados, Fiscalías y grupos de investigación, mientras que 1012 hechos se encuentran pasivos (77,4%), concretamente 62 sobreseídos por Juzgados, 920 archivados por Fiscalías y 30 pasivos en fase investigativa.</w:t>
      </w:r>
    </w:p>
    <w:p w14:paraId="69F4476A" w14:textId="77777777" w:rsidR="008145BB" w:rsidRPr="008145BB" w:rsidRDefault="008145BB" w:rsidP="008145BB">
      <w:pPr>
        <w:spacing w:after="0" w:line="240" w:lineRule="auto"/>
        <w:ind w:left="360"/>
        <w:contextualSpacing/>
        <w:jc w:val="both"/>
        <w:rPr>
          <w:rFonts w:ascii="Arial" w:eastAsia="Times New Roman" w:hAnsi="Arial" w:cs="Arial"/>
          <w:sz w:val="24"/>
          <w:szCs w:val="24"/>
          <w:lang w:val="es-ES_tradnl" w:eastAsia="es-ES"/>
        </w:rPr>
      </w:pPr>
    </w:p>
    <w:p w14:paraId="5B64AD56" w14:textId="5F88289C" w:rsidR="008145BB" w:rsidRDefault="008145BB" w:rsidP="008145BB">
      <w:pPr>
        <w:spacing w:after="0" w:line="240" w:lineRule="auto"/>
        <w:contextualSpacing/>
        <w:jc w:val="both"/>
        <w:rPr>
          <w:rFonts w:ascii="Arial" w:eastAsia="Times New Roman" w:hAnsi="Arial" w:cs="Arial"/>
          <w:sz w:val="24"/>
          <w:szCs w:val="24"/>
          <w:lang w:val="es-ES_tradnl" w:eastAsia="es-ES"/>
        </w:rPr>
      </w:pPr>
      <w:r w:rsidRPr="008145BB">
        <w:rPr>
          <w:rFonts w:ascii="Arial" w:eastAsia="Times New Roman" w:hAnsi="Arial" w:cs="Arial"/>
          <w:sz w:val="24"/>
          <w:szCs w:val="24"/>
          <w:lang w:val="es-ES_tradnl" w:eastAsia="es-ES"/>
        </w:rPr>
        <w:t>La tendencia al descenso de hechos conocid</w:t>
      </w:r>
      <w:r w:rsidR="00D07468">
        <w:rPr>
          <w:rFonts w:ascii="Arial" w:eastAsia="Times New Roman" w:hAnsi="Arial" w:cs="Arial"/>
          <w:sz w:val="24"/>
          <w:szCs w:val="24"/>
          <w:lang w:val="es-ES_tradnl" w:eastAsia="es-ES"/>
        </w:rPr>
        <w:t>os continua</w:t>
      </w:r>
      <w:r w:rsidRPr="008145BB">
        <w:rPr>
          <w:rFonts w:ascii="Arial" w:eastAsia="Times New Roman" w:hAnsi="Arial" w:cs="Arial"/>
          <w:sz w:val="24"/>
          <w:szCs w:val="24"/>
          <w:lang w:val="es-ES_tradnl" w:eastAsia="es-ES"/>
        </w:rPr>
        <w:t>, siendo ya casi testimonial el registro de hechos nuevos, que según el Informe SURENA, desde enero de 2017 a diciembre de 2020, se cifran en solo 71, lo que supone en términos porcentuales para estos 4 últimos años en torno a un 5,4% del total acumulado históricamente en 8 años de la actividad rela</w:t>
      </w:r>
      <w:r w:rsidR="009F0375">
        <w:rPr>
          <w:rFonts w:ascii="Arial" w:eastAsia="Times New Roman" w:hAnsi="Arial" w:cs="Arial"/>
          <w:sz w:val="24"/>
          <w:szCs w:val="24"/>
          <w:lang w:val="es-ES_tradnl" w:eastAsia="es-ES"/>
        </w:rPr>
        <w:t xml:space="preserve">cionada con hechos delictivos </w:t>
      </w:r>
      <w:r w:rsidR="009F0375" w:rsidRPr="005559A8">
        <w:rPr>
          <w:rFonts w:ascii="Arial" w:eastAsia="Times New Roman" w:hAnsi="Arial" w:cs="Arial"/>
          <w:sz w:val="24"/>
          <w:szCs w:val="24"/>
          <w:lang w:val="es-ES_tradnl" w:eastAsia="es-ES"/>
        </w:rPr>
        <w:t>relativos a “Recién Nacido Sustraído”</w:t>
      </w:r>
      <w:r w:rsidRPr="005559A8">
        <w:rPr>
          <w:rFonts w:ascii="Arial" w:eastAsia="Times New Roman" w:hAnsi="Arial" w:cs="Arial"/>
          <w:sz w:val="24"/>
          <w:szCs w:val="24"/>
          <w:lang w:val="es-ES_tradnl" w:eastAsia="es-ES"/>
        </w:rPr>
        <w:t xml:space="preserve"> </w:t>
      </w:r>
      <w:r w:rsidR="009F0375" w:rsidRPr="005559A8">
        <w:rPr>
          <w:rFonts w:ascii="Arial" w:eastAsia="Times New Roman" w:hAnsi="Arial" w:cs="Arial"/>
          <w:sz w:val="24"/>
          <w:szCs w:val="24"/>
          <w:lang w:val="es-ES_tradnl" w:eastAsia="es-ES"/>
        </w:rPr>
        <w:t>(</w:t>
      </w:r>
      <w:r w:rsidRPr="005559A8">
        <w:rPr>
          <w:rFonts w:ascii="Arial" w:eastAsia="Times New Roman" w:hAnsi="Arial" w:cs="Arial"/>
          <w:sz w:val="24"/>
          <w:szCs w:val="24"/>
          <w:lang w:val="es-ES_tradnl" w:eastAsia="es-ES"/>
        </w:rPr>
        <w:t>RNS</w:t>
      </w:r>
      <w:r w:rsidR="009F0375" w:rsidRPr="005559A8">
        <w:rPr>
          <w:rFonts w:ascii="Arial" w:eastAsia="Times New Roman" w:hAnsi="Arial" w:cs="Arial"/>
          <w:sz w:val="24"/>
          <w:szCs w:val="24"/>
          <w:lang w:val="es-ES_tradnl" w:eastAsia="es-ES"/>
        </w:rPr>
        <w:t>)</w:t>
      </w:r>
      <w:r w:rsidRPr="005559A8">
        <w:rPr>
          <w:rFonts w:ascii="Arial" w:eastAsia="Times New Roman" w:hAnsi="Arial" w:cs="Arial"/>
          <w:sz w:val="24"/>
          <w:szCs w:val="24"/>
          <w:lang w:val="es-ES_tradnl" w:eastAsia="es-ES"/>
        </w:rPr>
        <w:t>.</w:t>
      </w:r>
      <w:r w:rsidRPr="008145BB">
        <w:rPr>
          <w:rFonts w:ascii="Arial" w:eastAsia="Times New Roman" w:hAnsi="Arial" w:cs="Arial"/>
          <w:sz w:val="24"/>
          <w:szCs w:val="24"/>
          <w:lang w:val="es-ES_tradnl" w:eastAsia="es-ES"/>
        </w:rPr>
        <w:t xml:space="preserve"> La inmensa mayoría, 60 </w:t>
      </w:r>
      <w:r w:rsidRPr="008145BB">
        <w:rPr>
          <w:rFonts w:ascii="Arial" w:eastAsia="Times New Roman" w:hAnsi="Arial" w:cs="Arial"/>
          <w:sz w:val="24"/>
          <w:szCs w:val="24"/>
          <w:lang w:val="es-ES_tradnl" w:eastAsia="es-ES"/>
        </w:rPr>
        <w:lastRenderedPageBreak/>
        <w:t>hechos, corresponden a los conocidos directamente por el propio CNP (84,5%), mientras la Autoridad Judicial comisionó al CNP para investigar 6 (8,4%) y la Fiscalía para 5 (7,1%).</w:t>
      </w:r>
    </w:p>
    <w:p w14:paraId="6A64C352" w14:textId="1CA03538" w:rsidR="00C0144F" w:rsidRDefault="00C0144F" w:rsidP="008145BB">
      <w:pPr>
        <w:spacing w:after="0" w:line="240" w:lineRule="auto"/>
        <w:contextualSpacing/>
        <w:jc w:val="both"/>
        <w:rPr>
          <w:rFonts w:ascii="Arial" w:eastAsia="Times New Roman" w:hAnsi="Arial" w:cs="Arial"/>
          <w:sz w:val="24"/>
          <w:szCs w:val="24"/>
          <w:lang w:val="es-ES_tradnl" w:eastAsia="es-ES"/>
        </w:rPr>
      </w:pPr>
    </w:p>
    <w:p w14:paraId="23A72734" w14:textId="77777777" w:rsidR="00C0144F" w:rsidRPr="00C0144F" w:rsidRDefault="00C0144F" w:rsidP="00C0144F">
      <w:pPr>
        <w:spacing w:after="0" w:line="240" w:lineRule="auto"/>
        <w:contextualSpacing/>
        <w:jc w:val="both"/>
        <w:rPr>
          <w:rFonts w:ascii="Arial" w:eastAsia="Times New Roman" w:hAnsi="Arial" w:cs="Arial"/>
          <w:b/>
          <w:sz w:val="24"/>
          <w:szCs w:val="24"/>
          <w:lang w:val="es-ES_tradnl" w:eastAsia="es-ES"/>
        </w:rPr>
      </w:pPr>
      <w:r w:rsidRPr="00C0144F">
        <w:rPr>
          <w:rFonts w:ascii="Arial" w:eastAsia="Times New Roman" w:hAnsi="Arial" w:cs="Arial"/>
          <w:noProof/>
          <w:sz w:val="24"/>
          <w:szCs w:val="24"/>
          <w:lang w:eastAsia="es-ES"/>
        </w:rPr>
        <w:drawing>
          <wp:inline distT="0" distB="0" distL="0" distR="0" wp14:anchorId="5F21A259" wp14:editId="3E7673ED">
            <wp:extent cx="3571875" cy="2266950"/>
            <wp:effectExtent l="0" t="0" r="952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71875" cy="2266950"/>
                    </a:xfrm>
                    <a:prstGeom prst="rect">
                      <a:avLst/>
                    </a:prstGeom>
                    <a:noFill/>
                    <a:ln>
                      <a:noFill/>
                    </a:ln>
                  </pic:spPr>
                </pic:pic>
              </a:graphicData>
            </a:graphic>
          </wp:inline>
        </w:drawing>
      </w:r>
    </w:p>
    <w:p w14:paraId="3C821718" w14:textId="747ABCBA" w:rsidR="00C0144F" w:rsidRPr="00C0144F" w:rsidRDefault="00C0144F" w:rsidP="00C0144F">
      <w:pPr>
        <w:spacing w:after="0" w:line="240" w:lineRule="auto"/>
        <w:contextualSpacing/>
        <w:jc w:val="both"/>
        <w:rPr>
          <w:rFonts w:ascii="Arial" w:eastAsia="Times New Roman" w:hAnsi="Arial" w:cs="Arial"/>
          <w:b/>
          <w:sz w:val="24"/>
          <w:szCs w:val="24"/>
          <w:lang w:val="es-ES_tradnl" w:eastAsia="es-ES"/>
        </w:rPr>
      </w:pPr>
      <w:r w:rsidRPr="00C0144F">
        <w:rPr>
          <w:rFonts w:ascii="Arial" w:eastAsia="Times New Roman" w:hAnsi="Arial" w:cs="Arial"/>
          <w:b/>
          <w:noProof/>
          <w:sz w:val="24"/>
          <w:szCs w:val="24"/>
          <w:lang w:eastAsia="es-ES"/>
        </w:rPr>
        <w:drawing>
          <wp:inline distT="0" distB="0" distL="0" distR="0" wp14:anchorId="285E1616" wp14:editId="06DE1873">
            <wp:extent cx="2305050" cy="22669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305050" cy="2266950"/>
                    </a:xfrm>
                    <a:prstGeom prst="rect">
                      <a:avLst/>
                    </a:prstGeom>
                    <a:noFill/>
                    <a:ln>
                      <a:noFill/>
                    </a:ln>
                  </pic:spPr>
                </pic:pic>
              </a:graphicData>
            </a:graphic>
          </wp:inline>
        </w:drawing>
      </w:r>
    </w:p>
    <w:p w14:paraId="65BCCA09" w14:textId="77777777" w:rsidR="00C0144F" w:rsidRPr="00C0144F" w:rsidRDefault="00C0144F" w:rsidP="00C0144F">
      <w:pPr>
        <w:spacing w:after="0" w:line="240" w:lineRule="auto"/>
        <w:ind w:left="360"/>
        <w:contextualSpacing/>
        <w:jc w:val="both"/>
        <w:rPr>
          <w:rFonts w:ascii="Arial" w:eastAsia="Times New Roman" w:hAnsi="Arial" w:cs="Arial"/>
          <w:b/>
          <w:sz w:val="24"/>
          <w:szCs w:val="24"/>
          <w:lang w:val="es-ES_tradnl" w:eastAsia="es-ES"/>
        </w:rPr>
      </w:pPr>
    </w:p>
    <w:p w14:paraId="169F9EB4" w14:textId="77777777" w:rsidR="00C0144F" w:rsidRPr="00C0144F" w:rsidRDefault="00C0144F" w:rsidP="00C0144F">
      <w:pPr>
        <w:spacing w:after="0" w:line="240" w:lineRule="auto"/>
        <w:ind w:left="360"/>
        <w:contextualSpacing/>
        <w:jc w:val="both"/>
        <w:rPr>
          <w:rFonts w:ascii="Arial" w:eastAsia="Times New Roman" w:hAnsi="Arial" w:cs="Arial"/>
          <w:b/>
          <w:sz w:val="24"/>
          <w:szCs w:val="24"/>
          <w:lang w:val="es-ES_tradnl" w:eastAsia="es-ES"/>
        </w:rPr>
      </w:pPr>
    </w:p>
    <w:p w14:paraId="0498144B" w14:textId="77777777" w:rsidR="00C0144F" w:rsidRPr="00C0144F" w:rsidRDefault="00C0144F" w:rsidP="00C0144F">
      <w:pPr>
        <w:jc w:val="both"/>
        <w:rPr>
          <w:rFonts w:ascii="Arial" w:eastAsia="Calibri" w:hAnsi="Arial" w:cs="Arial"/>
          <w:sz w:val="24"/>
          <w:szCs w:val="24"/>
          <w:lang w:val="es-ES_tradnl"/>
        </w:rPr>
      </w:pPr>
      <w:r w:rsidRPr="00C0144F">
        <w:rPr>
          <w:rFonts w:ascii="Arial" w:eastAsia="Calibri" w:hAnsi="Arial" w:cs="Arial"/>
          <w:sz w:val="24"/>
          <w:szCs w:val="24"/>
          <w:lang w:val="es-ES_tradnl"/>
        </w:rPr>
        <w:t xml:space="preserve">B) Por su parte, la Fiscalía General del Estado tiene datos del periodo comprendido entre 2011-2020 respecto de diligencias de investigación incoadas en sustracción de menores recién nacidos. </w:t>
      </w:r>
    </w:p>
    <w:p w14:paraId="594F3DDD" w14:textId="77777777" w:rsidR="00C0144F" w:rsidRPr="00C0144F" w:rsidRDefault="00C0144F" w:rsidP="00C0144F">
      <w:pPr>
        <w:jc w:val="both"/>
        <w:rPr>
          <w:rFonts w:ascii="Arial" w:eastAsia="Calibri" w:hAnsi="Arial" w:cs="Arial"/>
          <w:sz w:val="24"/>
          <w:szCs w:val="24"/>
          <w:lang w:val="es-ES_tradnl"/>
        </w:rPr>
      </w:pPr>
      <w:r w:rsidRPr="00C0144F">
        <w:rPr>
          <w:rFonts w:ascii="Arial" w:eastAsia="Calibri" w:hAnsi="Arial" w:cs="Arial"/>
          <w:sz w:val="24"/>
          <w:szCs w:val="24"/>
          <w:lang w:val="es-ES_tradnl"/>
        </w:rPr>
        <w:t xml:space="preserve">- Datos sobre diligencias incoadas en Fiscalía por Comunidades Autónomas: </w:t>
      </w:r>
    </w:p>
    <w:tbl>
      <w:tblPr>
        <w:tblW w:w="0" w:type="auto"/>
        <w:tblInd w:w="600" w:type="dxa"/>
        <w:tblBorders>
          <w:top w:val="nil"/>
          <w:left w:val="nil"/>
          <w:bottom w:val="nil"/>
          <w:right w:val="nil"/>
        </w:tblBorders>
        <w:tblLayout w:type="fixed"/>
        <w:tblLook w:val="0000" w:firstRow="0" w:lastRow="0" w:firstColumn="0" w:lastColumn="0" w:noHBand="0" w:noVBand="0"/>
      </w:tblPr>
      <w:tblGrid>
        <w:gridCol w:w="2041"/>
        <w:gridCol w:w="2041"/>
      </w:tblGrid>
      <w:tr w:rsidR="00C0144F" w:rsidRPr="00C0144F" w14:paraId="28C303F4" w14:textId="77777777" w:rsidTr="00D93C8A">
        <w:trPr>
          <w:trHeight w:val="82"/>
        </w:trPr>
        <w:tc>
          <w:tcPr>
            <w:tcW w:w="2041" w:type="dxa"/>
          </w:tcPr>
          <w:p w14:paraId="50051F1A"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Andalucía</w:t>
            </w:r>
          </w:p>
        </w:tc>
        <w:tc>
          <w:tcPr>
            <w:tcW w:w="2041" w:type="dxa"/>
          </w:tcPr>
          <w:p w14:paraId="6F86FDC9"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551</w:t>
            </w:r>
          </w:p>
        </w:tc>
      </w:tr>
      <w:tr w:rsidR="00C0144F" w:rsidRPr="00C0144F" w14:paraId="13F2E4F1" w14:textId="77777777" w:rsidTr="00D93C8A">
        <w:trPr>
          <w:trHeight w:val="82"/>
        </w:trPr>
        <w:tc>
          <w:tcPr>
            <w:tcW w:w="2041" w:type="dxa"/>
          </w:tcPr>
          <w:p w14:paraId="5C7B6BE6"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Aragón</w:t>
            </w:r>
          </w:p>
        </w:tc>
        <w:tc>
          <w:tcPr>
            <w:tcW w:w="2041" w:type="dxa"/>
          </w:tcPr>
          <w:p w14:paraId="05E7429B"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38</w:t>
            </w:r>
          </w:p>
        </w:tc>
      </w:tr>
      <w:tr w:rsidR="00C0144F" w:rsidRPr="00C0144F" w14:paraId="7857E2D1" w14:textId="77777777" w:rsidTr="00D93C8A">
        <w:trPr>
          <w:trHeight w:val="82"/>
        </w:trPr>
        <w:tc>
          <w:tcPr>
            <w:tcW w:w="2041" w:type="dxa"/>
          </w:tcPr>
          <w:p w14:paraId="6845A09B"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Asturias</w:t>
            </w:r>
          </w:p>
        </w:tc>
        <w:tc>
          <w:tcPr>
            <w:tcW w:w="2041" w:type="dxa"/>
          </w:tcPr>
          <w:p w14:paraId="522F36D8"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27</w:t>
            </w:r>
          </w:p>
        </w:tc>
      </w:tr>
      <w:tr w:rsidR="00C0144F" w:rsidRPr="00C0144F" w14:paraId="4D3A54E0" w14:textId="77777777" w:rsidTr="00D93C8A">
        <w:trPr>
          <w:trHeight w:val="82"/>
        </w:trPr>
        <w:tc>
          <w:tcPr>
            <w:tcW w:w="2041" w:type="dxa"/>
          </w:tcPr>
          <w:p w14:paraId="5EA570C6"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Cantabria</w:t>
            </w:r>
          </w:p>
        </w:tc>
        <w:tc>
          <w:tcPr>
            <w:tcW w:w="2041" w:type="dxa"/>
          </w:tcPr>
          <w:p w14:paraId="0BE437B8"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9</w:t>
            </w:r>
          </w:p>
        </w:tc>
      </w:tr>
      <w:tr w:rsidR="00C0144F" w:rsidRPr="00C0144F" w14:paraId="66BC571F" w14:textId="77777777" w:rsidTr="00D93C8A">
        <w:trPr>
          <w:trHeight w:val="82"/>
        </w:trPr>
        <w:tc>
          <w:tcPr>
            <w:tcW w:w="2041" w:type="dxa"/>
          </w:tcPr>
          <w:p w14:paraId="51D6F6B5"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Castilla-La Mancha</w:t>
            </w:r>
          </w:p>
        </w:tc>
        <w:tc>
          <w:tcPr>
            <w:tcW w:w="2041" w:type="dxa"/>
          </w:tcPr>
          <w:p w14:paraId="3EC355B8"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49</w:t>
            </w:r>
          </w:p>
        </w:tc>
      </w:tr>
      <w:tr w:rsidR="00C0144F" w:rsidRPr="00C0144F" w14:paraId="4F57F191" w14:textId="77777777" w:rsidTr="00D93C8A">
        <w:trPr>
          <w:trHeight w:val="82"/>
        </w:trPr>
        <w:tc>
          <w:tcPr>
            <w:tcW w:w="2041" w:type="dxa"/>
          </w:tcPr>
          <w:p w14:paraId="626733F3"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Castilla-León</w:t>
            </w:r>
          </w:p>
        </w:tc>
        <w:tc>
          <w:tcPr>
            <w:tcW w:w="2041" w:type="dxa"/>
          </w:tcPr>
          <w:p w14:paraId="2C40DC80"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77</w:t>
            </w:r>
          </w:p>
        </w:tc>
      </w:tr>
      <w:tr w:rsidR="00C0144F" w:rsidRPr="00C0144F" w14:paraId="177661CD" w14:textId="77777777" w:rsidTr="00D93C8A">
        <w:trPr>
          <w:trHeight w:val="82"/>
        </w:trPr>
        <w:tc>
          <w:tcPr>
            <w:tcW w:w="2041" w:type="dxa"/>
          </w:tcPr>
          <w:p w14:paraId="7BDB240F"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Cataluña</w:t>
            </w:r>
          </w:p>
        </w:tc>
        <w:tc>
          <w:tcPr>
            <w:tcW w:w="2041" w:type="dxa"/>
          </w:tcPr>
          <w:p w14:paraId="2103523B"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308</w:t>
            </w:r>
          </w:p>
        </w:tc>
      </w:tr>
      <w:tr w:rsidR="00C0144F" w:rsidRPr="00C0144F" w14:paraId="5D23CF06" w14:textId="77777777" w:rsidTr="00D93C8A">
        <w:trPr>
          <w:trHeight w:val="82"/>
        </w:trPr>
        <w:tc>
          <w:tcPr>
            <w:tcW w:w="2041" w:type="dxa"/>
          </w:tcPr>
          <w:p w14:paraId="3392AA13"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Extremadura</w:t>
            </w:r>
          </w:p>
        </w:tc>
        <w:tc>
          <w:tcPr>
            <w:tcW w:w="2041" w:type="dxa"/>
          </w:tcPr>
          <w:p w14:paraId="1C936203"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13</w:t>
            </w:r>
          </w:p>
        </w:tc>
      </w:tr>
      <w:tr w:rsidR="00C0144F" w:rsidRPr="00C0144F" w14:paraId="165CBD92" w14:textId="77777777" w:rsidTr="00D93C8A">
        <w:trPr>
          <w:trHeight w:val="82"/>
        </w:trPr>
        <w:tc>
          <w:tcPr>
            <w:tcW w:w="2041" w:type="dxa"/>
          </w:tcPr>
          <w:p w14:paraId="41CA1363"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Galicia</w:t>
            </w:r>
          </w:p>
        </w:tc>
        <w:tc>
          <w:tcPr>
            <w:tcW w:w="2041" w:type="dxa"/>
          </w:tcPr>
          <w:p w14:paraId="0056A0A0"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37</w:t>
            </w:r>
          </w:p>
        </w:tc>
      </w:tr>
      <w:tr w:rsidR="00C0144F" w:rsidRPr="00C0144F" w14:paraId="34E7B370" w14:textId="77777777" w:rsidTr="00D93C8A">
        <w:trPr>
          <w:trHeight w:val="82"/>
        </w:trPr>
        <w:tc>
          <w:tcPr>
            <w:tcW w:w="2041" w:type="dxa"/>
          </w:tcPr>
          <w:p w14:paraId="7EE13A4A"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Islas Baleares</w:t>
            </w:r>
          </w:p>
        </w:tc>
        <w:tc>
          <w:tcPr>
            <w:tcW w:w="2041" w:type="dxa"/>
          </w:tcPr>
          <w:p w14:paraId="2186368E"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11</w:t>
            </w:r>
          </w:p>
        </w:tc>
      </w:tr>
      <w:tr w:rsidR="00C0144F" w:rsidRPr="00C0144F" w14:paraId="3F660049" w14:textId="77777777" w:rsidTr="00D93C8A">
        <w:trPr>
          <w:trHeight w:val="82"/>
        </w:trPr>
        <w:tc>
          <w:tcPr>
            <w:tcW w:w="2041" w:type="dxa"/>
          </w:tcPr>
          <w:p w14:paraId="37DB9EF6"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Islas Canarias</w:t>
            </w:r>
          </w:p>
        </w:tc>
        <w:tc>
          <w:tcPr>
            <w:tcW w:w="2041" w:type="dxa"/>
          </w:tcPr>
          <w:p w14:paraId="7F6E23F2"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83</w:t>
            </w:r>
          </w:p>
        </w:tc>
      </w:tr>
      <w:tr w:rsidR="00C0144F" w:rsidRPr="00C0144F" w14:paraId="04A6312E" w14:textId="77777777" w:rsidTr="00D93C8A">
        <w:trPr>
          <w:trHeight w:val="82"/>
        </w:trPr>
        <w:tc>
          <w:tcPr>
            <w:tcW w:w="2041" w:type="dxa"/>
          </w:tcPr>
          <w:p w14:paraId="4725D6A6"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La Rioja</w:t>
            </w:r>
          </w:p>
        </w:tc>
        <w:tc>
          <w:tcPr>
            <w:tcW w:w="2041" w:type="dxa"/>
          </w:tcPr>
          <w:p w14:paraId="11A867E3"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10</w:t>
            </w:r>
          </w:p>
        </w:tc>
      </w:tr>
      <w:tr w:rsidR="00C0144F" w:rsidRPr="00C0144F" w14:paraId="43FEB8E8" w14:textId="77777777" w:rsidTr="00D93C8A">
        <w:trPr>
          <w:trHeight w:val="82"/>
        </w:trPr>
        <w:tc>
          <w:tcPr>
            <w:tcW w:w="2041" w:type="dxa"/>
          </w:tcPr>
          <w:p w14:paraId="76B970A6"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lastRenderedPageBreak/>
              <w:t>Madrid</w:t>
            </w:r>
          </w:p>
        </w:tc>
        <w:tc>
          <w:tcPr>
            <w:tcW w:w="2041" w:type="dxa"/>
          </w:tcPr>
          <w:p w14:paraId="43238053"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301</w:t>
            </w:r>
          </w:p>
        </w:tc>
      </w:tr>
      <w:tr w:rsidR="00C0144F" w:rsidRPr="00C0144F" w14:paraId="2C582F55" w14:textId="77777777" w:rsidTr="00D93C8A">
        <w:trPr>
          <w:trHeight w:val="82"/>
        </w:trPr>
        <w:tc>
          <w:tcPr>
            <w:tcW w:w="2041" w:type="dxa"/>
          </w:tcPr>
          <w:p w14:paraId="1E08846F"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Murcia</w:t>
            </w:r>
          </w:p>
        </w:tc>
        <w:tc>
          <w:tcPr>
            <w:tcW w:w="2041" w:type="dxa"/>
          </w:tcPr>
          <w:p w14:paraId="47CD5C3B"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24</w:t>
            </w:r>
          </w:p>
        </w:tc>
      </w:tr>
      <w:tr w:rsidR="00C0144F" w:rsidRPr="00C0144F" w14:paraId="0E4DFED6" w14:textId="77777777" w:rsidTr="00D93C8A">
        <w:trPr>
          <w:trHeight w:val="82"/>
        </w:trPr>
        <w:tc>
          <w:tcPr>
            <w:tcW w:w="2041" w:type="dxa"/>
          </w:tcPr>
          <w:p w14:paraId="4E1C98EF"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Navarra</w:t>
            </w:r>
          </w:p>
        </w:tc>
        <w:tc>
          <w:tcPr>
            <w:tcW w:w="2041" w:type="dxa"/>
          </w:tcPr>
          <w:p w14:paraId="3A23E67C"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8</w:t>
            </w:r>
          </w:p>
        </w:tc>
      </w:tr>
      <w:tr w:rsidR="00C0144F" w:rsidRPr="00C0144F" w14:paraId="741DA94E" w14:textId="77777777" w:rsidTr="00D93C8A">
        <w:trPr>
          <w:trHeight w:val="82"/>
        </w:trPr>
        <w:tc>
          <w:tcPr>
            <w:tcW w:w="2041" w:type="dxa"/>
          </w:tcPr>
          <w:p w14:paraId="61361EC6"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Valencia</w:t>
            </w:r>
          </w:p>
        </w:tc>
        <w:tc>
          <w:tcPr>
            <w:tcW w:w="2041" w:type="dxa"/>
          </w:tcPr>
          <w:p w14:paraId="74477342"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255</w:t>
            </w:r>
          </w:p>
        </w:tc>
      </w:tr>
      <w:tr w:rsidR="00C0144F" w:rsidRPr="00C0144F" w14:paraId="11836216" w14:textId="77777777" w:rsidTr="00D93C8A">
        <w:trPr>
          <w:trHeight w:val="82"/>
        </w:trPr>
        <w:tc>
          <w:tcPr>
            <w:tcW w:w="2041" w:type="dxa"/>
          </w:tcPr>
          <w:p w14:paraId="30F4F8C4"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País Vasco</w:t>
            </w:r>
          </w:p>
        </w:tc>
        <w:tc>
          <w:tcPr>
            <w:tcW w:w="2041" w:type="dxa"/>
          </w:tcPr>
          <w:p w14:paraId="40F8528A"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338</w:t>
            </w:r>
          </w:p>
        </w:tc>
      </w:tr>
      <w:tr w:rsidR="00C0144F" w:rsidRPr="00C0144F" w14:paraId="471AB90F" w14:textId="77777777" w:rsidTr="00D93C8A">
        <w:trPr>
          <w:trHeight w:val="82"/>
        </w:trPr>
        <w:tc>
          <w:tcPr>
            <w:tcW w:w="2041" w:type="dxa"/>
          </w:tcPr>
          <w:p w14:paraId="78569352"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TOTAL</w:t>
            </w:r>
          </w:p>
        </w:tc>
        <w:tc>
          <w:tcPr>
            <w:tcW w:w="2041" w:type="dxa"/>
          </w:tcPr>
          <w:p w14:paraId="2C5EACDF"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color w:val="000000"/>
                <w:sz w:val="24"/>
                <w:szCs w:val="24"/>
              </w:rPr>
              <w:t>2139</w:t>
            </w:r>
          </w:p>
        </w:tc>
      </w:tr>
    </w:tbl>
    <w:p w14:paraId="673A4A51" w14:textId="77777777" w:rsidR="00C0144F" w:rsidRPr="00C0144F" w:rsidRDefault="00C0144F" w:rsidP="00C0144F">
      <w:pPr>
        <w:jc w:val="both"/>
        <w:rPr>
          <w:rFonts w:ascii="Arial" w:eastAsia="Calibri" w:hAnsi="Arial" w:cs="Arial"/>
          <w:sz w:val="24"/>
          <w:szCs w:val="24"/>
          <w:lang w:val="es-ES_tradnl"/>
        </w:rPr>
      </w:pPr>
    </w:p>
    <w:p w14:paraId="4241E569" w14:textId="77777777" w:rsidR="00C0144F" w:rsidRPr="00C0144F" w:rsidRDefault="00C0144F" w:rsidP="00C0144F">
      <w:pPr>
        <w:jc w:val="both"/>
        <w:rPr>
          <w:rFonts w:ascii="Arial" w:eastAsia="Calibri" w:hAnsi="Arial" w:cs="Arial"/>
          <w:sz w:val="24"/>
          <w:szCs w:val="24"/>
          <w:lang w:val="es-ES_tradnl"/>
        </w:rPr>
      </w:pPr>
      <w:r w:rsidRPr="00C0144F">
        <w:rPr>
          <w:rFonts w:ascii="Arial" w:eastAsia="Calibri" w:hAnsi="Arial" w:cs="Arial"/>
          <w:sz w:val="24"/>
          <w:szCs w:val="24"/>
          <w:lang w:val="es-ES_tradnl"/>
        </w:rPr>
        <w:t xml:space="preserve">- Datos sobre diligencias de investigación incoadas en Fiscalía: </w:t>
      </w:r>
    </w:p>
    <w:tbl>
      <w:tblPr>
        <w:tblW w:w="0" w:type="auto"/>
        <w:tblInd w:w="600" w:type="dxa"/>
        <w:tblBorders>
          <w:top w:val="nil"/>
          <w:left w:val="nil"/>
          <w:bottom w:val="nil"/>
          <w:right w:val="nil"/>
        </w:tblBorders>
        <w:tblLayout w:type="fixed"/>
        <w:tblLook w:val="0000" w:firstRow="0" w:lastRow="0" w:firstColumn="0" w:lastColumn="0" w:noHBand="0" w:noVBand="0"/>
      </w:tblPr>
      <w:tblGrid>
        <w:gridCol w:w="1897"/>
        <w:gridCol w:w="1897"/>
      </w:tblGrid>
      <w:tr w:rsidR="00C0144F" w:rsidRPr="00C0144F" w14:paraId="5B6168A1" w14:textId="77777777" w:rsidTr="00D93C8A">
        <w:trPr>
          <w:trHeight w:val="75"/>
        </w:trPr>
        <w:tc>
          <w:tcPr>
            <w:tcW w:w="1897" w:type="dxa"/>
          </w:tcPr>
          <w:p w14:paraId="750ABAC4"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2011</w:t>
            </w:r>
          </w:p>
        </w:tc>
        <w:tc>
          <w:tcPr>
            <w:tcW w:w="1897" w:type="dxa"/>
          </w:tcPr>
          <w:p w14:paraId="37ABF84D"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1346</w:t>
            </w:r>
          </w:p>
        </w:tc>
      </w:tr>
      <w:tr w:rsidR="00C0144F" w:rsidRPr="00C0144F" w14:paraId="47EEF2C1" w14:textId="77777777" w:rsidTr="00D93C8A">
        <w:trPr>
          <w:trHeight w:val="75"/>
        </w:trPr>
        <w:tc>
          <w:tcPr>
            <w:tcW w:w="1897" w:type="dxa"/>
          </w:tcPr>
          <w:p w14:paraId="42F7CD58"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2012</w:t>
            </w:r>
          </w:p>
        </w:tc>
        <w:tc>
          <w:tcPr>
            <w:tcW w:w="1897" w:type="dxa"/>
          </w:tcPr>
          <w:p w14:paraId="378D6F2D"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463</w:t>
            </w:r>
          </w:p>
        </w:tc>
      </w:tr>
      <w:tr w:rsidR="00C0144F" w:rsidRPr="00C0144F" w14:paraId="4B40F804" w14:textId="77777777" w:rsidTr="00D93C8A">
        <w:trPr>
          <w:trHeight w:val="75"/>
        </w:trPr>
        <w:tc>
          <w:tcPr>
            <w:tcW w:w="1897" w:type="dxa"/>
          </w:tcPr>
          <w:p w14:paraId="34E3B50C"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2013</w:t>
            </w:r>
          </w:p>
        </w:tc>
        <w:tc>
          <w:tcPr>
            <w:tcW w:w="1897" w:type="dxa"/>
          </w:tcPr>
          <w:p w14:paraId="1EA56C85"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165</w:t>
            </w:r>
          </w:p>
        </w:tc>
      </w:tr>
      <w:tr w:rsidR="00C0144F" w:rsidRPr="00C0144F" w14:paraId="505ECF88" w14:textId="77777777" w:rsidTr="00D93C8A">
        <w:trPr>
          <w:trHeight w:val="75"/>
        </w:trPr>
        <w:tc>
          <w:tcPr>
            <w:tcW w:w="1897" w:type="dxa"/>
          </w:tcPr>
          <w:p w14:paraId="16779928"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2014</w:t>
            </w:r>
          </w:p>
        </w:tc>
        <w:tc>
          <w:tcPr>
            <w:tcW w:w="1897" w:type="dxa"/>
          </w:tcPr>
          <w:p w14:paraId="053B55FF"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79</w:t>
            </w:r>
          </w:p>
        </w:tc>
      </w:tr>
      <w:tr w:rsidR="00C0144F" w:rsidRPr="00C0144F" w14:paraId="7E335720" w14:textId="77777777" w:rsidTr="00D93C8A">
        <w:trPr>
          <w:trHeight w:val="75"/>
        </w:trPr>
        <w:tc>
          <w:tcPr>
            <w:tcW w:w="1897" w:type="dxa"/>
          </w:tcPr>
          <w:p w14:paraId="604C8193"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2015</w:t>
            </w:r>
          </w:p>
        </w:tc>
        <w:tc>
          <w:tcPr>
            <w:tcW w:w="1897" w:type="dxa"/>
          </w:tcPr>
          <w:p w14:paraId="7213D731"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26</w:t>
            </w:r>
          </w:p>
        </w:tc>
      </w:tr>
      <w:tr w:rsidR="00C0144F" w:rsidRPr="00C0144F" w14:paraId="783F00F3" w14:textId="77777777" w:rsidTr="00D93C8A">
        <w:trPr>
          <w:trHeight w:val="75"/>
        </w:trPr>
        <w:tc>
          <w:tcPr>
            <w:tcW w:w="1897" w:type="dxa"/>
          </w:tcPr>
          <w:p w14:paraId="12A26F39"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2016</w:t>
            </w:r>
          </w:p>
        </w:tc>
        <w:tc>
          <w:tcPr>
            <w:tcW w:w="1897" w:type="dxa"/>
          </w:tcPr>
          <w:p w14:paraId="7C919646"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13</w:t>
            </w:r>
          </w:p>
        </w:tc>
      </w:tr>
      <w:tr w:rsidR="00C0144F" w:rsidRPr="00C0144F" w14:paraId="293EA7D0" w14:textId="77777777" w:rsidTr="00D93C8A">
        <w:trPr>
          <w:trHeight w:val="75"/>
        </w:trPr>
        <w:tc>
          <w:tcPr>
            <w:tcW w:w="1897" w:type="dxa"/>
          </w:tcPr>
          <w:p w14:paraId="24145E7E"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2017</w:t>
            </w:r>
          </w:p>
        </w:tc>
        <w:tc>
          <w:tcPr>
            <w:tcW w:w="1897" w:type="dxa"/>
          </w:tcPr>
          <w:p w14:paraId="3C79D71F"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11</w:t>
            </w:r>
          </w:p>
        </w:tc>
      </w:tr>
      <w:tr w:rsidR="00C0144F" w:rsidRPr="00C0144F" w14:paraId="23C5E337" w14:textId="77777777" w:rsidTr="00D93C8A">
        <w:trPr>
          <w:trHeight w:val="75"/>
        </w:trPr>
        <w:tc>
          <w:tcPr>
            <w:tcW w:w="1897" w:type="dxa"/>
          </w:tcPr>
          <w:p w14:paraId="63B8B173"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2018</w:t>
            </w:r>
          </w:p>
        </w:tc>
        <w:tc>
          <w:tcPr>
            <w:tcW w:w="1897" w:type="dxa"/>
          </w:tcPr>
          <w:p w14:paraId="3F7C6F48"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26</w:t>
            </w:r>
          </w:p>
        </w:tc>
      </w:tr>
      <w:tr w:rsidR="00C0144F" w:rsidRPr="00C0144F" w14:paraId="537C9120" w14:textId="77777777" w:rsidTr="00D93C8A">
        <w:trPr>
          <w:trHeight w:val="75"/>
        </w:trPr>
        <w:tc>
          <w:tcPr>
            <w:tcW w:w="1897" w:type="dxa"/>
          </w:tcPr>
          <w:p w14:paraId="79AA8873"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2019</w:t>
            </w:r>
          </w:p>
        </w:tc>
        <w:tc>
          <w:tcPr>
            <w:tcW w:w="1897" w:type="dxa"/>
          </w:tcPr>
          <w:p w14:paraId="1E418AF5"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7</w:t>
            </w:r>
          </w:p>
        </w:tc>
      </w:tr>
      <w:tr w:rsidR="00C0144F" w:rsidRPr="00C0144F" w14:paraId="1F387EA7" w14:textId="77777777" w:rsidTr="00D93C8A">
        <w:trPr>
          <w:trHeight w:val="75"/>
        </w:trPr>
        <w:tc>
          <w:tcPr>
            <w:tcW w:w="1897" w:type="dxa"/>
          </w:tcPr>
          <w:p w14:paraId="6CD85456"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2020</w:t>
            </w:r>
          </w:p>
        </w:tc>
        <w:tc>
          <w:tcPr>
            <w:tcW w:w="1897" w:type="dxa"/>
          </w:tcPr>
          <w:p w14:paraId="42284DAB"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3</w:t>
            </w:r>
          </w:p>
        </w:tc>
      </w:tr>
      <w:tr w:rsidR="00C0144F" w:rsidRPr="00C0144F" w14:paraId="575A8A09" w14:textId="77777777" w:rsidTr="00D93C8A">
        <w:trPr>
          <w:trHeight w:val="75"/>
        </w:trPr>
        <w:tc>
          <w:tcPr>
            <w:tcW w:w="1897" w:type="dxa"/>
          </w:tcPr>
          <w:p w14:paraId="555F84DD"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Total años 2011-2020</w:t>
            </w:r>
          </w:p>
        </w:tc>
        <w:tc>
          <w:tcPr>
            <w:tcW w:w="1897" w:type="dxa"/>
          </w:tcPr>
          <w:p w14:paraId="4C78F4F7"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 xml:space="preserve">2139 </w:t>
            </w:r>
          </w:p>
        </w:tc>
      </w:tr>
    </w:tbl>
    <w:p w14:paraId="476E6119" w14:textId="77777777" w:rsidR="00C0144F" w:rsidRPr="00C0144F" w:rsidRDefault="00C0144F" w:rsidP="00C0144F">
      <w:pPr>
        <w:jc w:val="both"/>
        <w:rPr>
          <w:rFonts w:ascii="Arial" w:eastAsia="Calibri" w:hAnsi="Arial" w:cs="Arial"/>
          <w:sz w:val="24"/>
          <w:szCs w:val="24"/>
          <w:lang w:val="es-ES_tradnl"/>
        </w:rPr>
      </w:pPr>
    </w:p>
    <w:p w14:paraId="708FD026" w14:textId="77777777" w:rsidR="00C0144F" w:rsidRPr="00C0144F" w:rsidRDefault="00C0144F" w:rsidP="00C0144F">
      <w:pPr>
        <w:jc w:val="both"/>
        <w:rPr>
          <w:rFonts w:ascii="Arial" w:eastAsia="Calibri" w:hAnsi="Arial" w:cs="Arial"/>
          <w:sz w:val="24"/>
          <w:szCs w:val="24"/>
          <w:lang w:val="es-ES_tradnl"/>
        </w:rPr>
      </w:pPr>
      <w:r w:rsidRPr="00C0144F">
        <w:rPr>
          <w:rFonts w:ascii="Arial" w:eastAsia="Calibri" w:hAnsi="Arial" w:cs="Arial"/>
          <w:sz w:val="24"/>
          <w:szCs w:val="24"/>
          <w:lang w:val="es-ES_tradnl"/>
        </w:rPr>
        <w:t xml:space="preserve">- Datos sobre diligencias de investigación judicializadas: </w:t>
      </w:r>
    </w:p>
    <w:tbl>
      <w:tblPr>
        <w:tblW w:w="0" w:type="auto"/>
        <w:tblInd w:w="600" w:type="dxa"/>
        <w:tblBorders>
          <w:top w:val="nil"/>
          <w:left w:val="nil"/>
          <w:bottom w:val="nil"/>
          <w:right w:val="nil"/>
        </w:tblBorders>
        <w:tblLayout w:type="fixed"/>
        <w:tblLook w:val="0000" w:firstRow="0" w:lastRow="0" w:firstColumn="0" w:lastColumn="0" w:noHBand="0" w:noVBand="0"/>
      </w:tblPr>
      <w:tblGrid>
        <w:gridCol w:w="1874"/>
        <w:gridCol w:w="1874"/>
      </w:tblGrid>
      <w:tr w:rsidR="00C0144F" w:rsidRPr="00C0144F" w14:paraId="4BAF8977" w14:textId="77777777" w:rsidTr="00D93C8A">
        <w:trPr>
          <w:trHeight w:val="75"/>
        </w:trPr>
        <w:tc>
          <w:tcPr>
            <w:tcW w:w="1874" w:type="dxa"/>
          </w:tcPr>
          <w:p w14:paraId="58313A5D"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2011</w:t>
            </w:r>
          </w:p>
        </w:tc>
        <w:tc>
          <w:tcPr>
            <w:tcW w:w="1874" w:type="dxa"/>
          </w:tcPr>
          <w:p w14:paraId="7398E5A9"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343</w:t>
            </w:r>
          </w:p>
        </w:tc>
      </w:tr>
      <w:tr w:rsidR="00C0144F" w:rsidRPr="00C0144F" w14:paraId="3CADB7C5" w14:textId="77777777" w:rsidTr="00D93C8A">
        <w:trPr>
          <w:trHeight w:val="75"/>
        </w:trPr>
        <w:tc>
          <w:tcPr>
            <w:tcW w:w="1874" w:type="dxa"/>
          </w:tcPr>
          <w:p w14:paraId="28398AD9"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2012</w:t>
            </w:r>
          </w:p>
        </w:tc>
        <w:tc>
          <w:tcPr>
            <w:tcW w:w="1874" w:type="dxa"/>
          </w:tcPr>
          <w:p w14:paraId="429080E5"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144</w:t>
            </w:r>
          </w:p>
        </w:tc>
      </w:tr>
      <w:tr w:rsidR="00C0144F" w:rsidRPr="00C0144F" w14:paraId="3B75154D" w14:textId="77777777" w:rsidTr="00D93C8A">
        <w:trPr>
          <w:trHeight w:val="75"/>
        </w:trPr>
        <w:tc>
          <w:tcPr>
            <w:tcW w:w="1874" w:type="dxa"/>
          </w:tcPr>
          <w:p w14:paraId="6F6FCD97"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2013</w:t>
            </w:r>
          </w:p>
        </w:tc>
        <w:tc>
          <w:tcPr>
            <w:tcW w:w="1874" w:type="dxa"/>
          </w:tcPr>
          <w:p w14:paraId="2F2F0F92"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21</w:t>
            </w:r>
          </w:p>
        </w:tc>
      </w:tr>
      <w:tr w:rsidR="00C0144F" w:rsidRPr="00C0144F" w14:paraId="2DFB267D" w14:textId="77777777" w:rsidTr="00D93C8A">
        <w:trPr>
          <w:trHeight w:val="75"/>
        </w:trPr>
        <w:tc>
          <w:tcPr>
            <w:tcW w:w="1874" w:type="dxa"/>
          </w:tcPr>
          <w:p w14:paraId="15BF0CD5"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2014</w:t>
            </w:r>
          </w:p>
        </w:tc>
        <w:tc>
          <w:tcPr>
            <w:tcW w:w="1874" w:type="dxa"/>
          </w:tcPr>
          <w:p w14:paraId="5D5C0365"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8</w:t>
            </w:r>
          </w:p>
        </w:tc>
      </w:tr>
      <w:tr w:rsidR="00C0144F" w:rsidRPr="00C0144F" w14:paraId="1EDA208F" w14:textId="77777777" w:rsidTr="00D93C8A">
        <w:trPr>
          <w:trHeight w:val="75"/>
        </w:trPr>
        <w:tc>
          <w:tcPr>
            <w:tcW w:w="1874" w:type="dxa"/>
          </w:tcPr>
          <w:p w14:paraId="1700595D"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2015</w:t>
            </w:r>
          </w:p>
        </w:tc>
        <w:tc>
          <w:tcPr>
            <w:tcW w:w="1874" w:type="dxa"/>
          </w:tcPr>
          <w:p w14:paraId="0370F0FF"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4</w:t>
            </w:r>
          </w:p>
        </w:tc>
      </w:tr>
      <w:tr w:rsidR="00C0144F" w:rsidRPr="00C0144F" w14:paraId="5260579B" w14:textId="77777777" w:rsidTr="00D93C8A">
        <w:trPr>
          <w:trHeight w:val="75"/>
        </w:trPr>
        <w:tc>
          <w:tcPr>
            <w:tcW w:w="1874" w:type="dxa"/>
          </w:tcPr>
          <w:p w14:paraId="311FD116"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2016</w:t>
            </w:r>
          </w:p>
        </w:tc>
        <w:tc>
          <w:tcPr>
            <w:tcW w:w="1874" w:type="dxa"/>
          </w:tcPr>
          <w:p w14:paraId="2CA5093E"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w:t>
            </w:r>
          </w:p>
        </w:tc>
      </w:tr>
      <w:tr w:rsidR="00C0144F" w:rsidRPr="00C0144F" w14:paraId="6A60B25C" w14:textId="77777777" w:rsidTr="00D93C8A">
        <w:trPr>
          <w:trHeight w:val="75"/>
        </w:trPr>
        <w:tc>
          <w:tcPr>
            <w:tcW w:w="1874" w:type="dxa"/>
          </w:tcPr>
          <w:p w14:paraId="550DA51B"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2017</w:t>
            </w:r>
          </w:p>
        </w:tc>
        <w:tc>
          <w:tcPr>
            <w:tcW w:w="1874" w:type="dxa"/>
          </w:tcPr>
          <w:p w14:paraId="0783E7CF"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1</w:t>
            </w:r>
          </w:p>
        </w:tc>
      </w:tr>
      <w:tr w:rsidR="00C0144F" w:rsidRPr="00C0144F" w14:paraId="73F3FDB8" w14:textId="77777777" w:rsidTr="00D93C8A">
        <w:trPr>
          <w:trHeight w:val="75"/>
        </w:trPr>
        <w:tc>
          <w:tcPr>
            <w:tcW w:w="1874" w:type="dxa"/>
          </w:tcPr>
          <w:p w14:paraId="1AA75C2D"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2018</w:t>
            </w:r>
          </w:p>
        </w:tc>
        <w:tc>
          <w:tcPr>
            <w:tcW w:w="1874" w:type="dxa"/>
          </w:tcPr>
          <w:p w14:paraId="2187DB47"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3</w:t>
            </w:r>
          </w:p>
        </w:tc>
      </w:tr>
      <w:tr w:rsidR="00C0144F" w:rsidRPr="00C0144F" w14:paraId="3506925C" w14:textId="77777777" w:rsidTr="00D93C8A">
        <w:trPr>
          <w:trHeight w:val="75"/>
        </w:trPr>
        <w:tc>
          <w:tcPr>
            <w:tcW w:w="1874" w:type="dxa"/>
          </w:tcPr>
          <w:p w14:paraId="72596E42"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2019</w:t>
            </w:r>
          </w:p>
        </w:tc>
        <w:tc>
          <w:tcPr>
            <w:tcW w:w="1874" w:type="dxa"/>
          </w:tcPr>
          <w:p w14:paraId="6BE7C1E6"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 xml:space="preserve">0 </w:t>
            </w:r>
          </w:p>
        </w:tc>
      </w:tr>
      <w:tr w:rsidR="00C0144F" w:rsidRPr="00C0144F" w14:paraId="3C2816CB" w14:textId="77777777" w:rsidTr="00D93C8A">
        <w:trPr>
          <w:trHeight w:val="75"/>
        </w:trPr>
        <w:tc>
          <w:tcPr>
            <w:tcW w:w="1874" w:type="dxa"/>
          </w:tcPr>
          <w:p w14:paraId="5829AC5C"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2020*</w:t>
            </w:r>
          </w:p>
        </w:tc>
        <w:tc>
          <w:tcPr>
            <w:tcW w:w="1874" w:type="dxa"/>
          </w:tcPr>
          <w:p w14:paraId="51C63690"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0</w:t>
            </w:r>
          </w:p>
        </w:tc>
      </w:tr>
      <w:tr w:rsidR="00C0144F" w:rsidRPr="00C0144F" w14:paraId="78ED6D27" w14:textId="77777777" w:rsidTr="00D93C8A">
        <w:trPr>
          <w:trHeight w:val="75"/>
        </w:trPr>
        <w:tc>
          <w:tcPr>
            <w:tcW w:w="1874" w:type="dxa"/>
          </w:tcPr>
          <w:p w14:paraId="68FF3379"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Total años 2011-2020</w:t>
            </w:r>
          </w:p>
        </w:tc>
        <w:tc>
          <w:tcPr>
            <w:tcW w:w="1874" w:type="dxa"/>
          </w:tcPr>
          <w:p w14:paraId="21669EF9" w14:textId="77777777" w:rsidR="00C0144F" w:rsidRPr="00C0144F" w:rsidRDefault="00C0144F" w:rsidP="00C0144F">
            <w:pPr>
              <w:autoSpaceDE w:val="0"/>
              <w:autoSpaceDN w:val="0"/>
              <w:adjustRightInd w:val="0"/>
              <w:spacing w:after="0" w:line="240" w:lineRule="auto"/>
              <w:rPr>
                <w:rFonts w:ascii="Arial" w:eastAsia="Calibri" w:hAnsi="Arial" w:cs="Arial"/>
                <w:color w:val="000000"/>
                <w:sz w:val="24"/>
                <w:szCs w:val="24"/>
              </w:rPr>
            </w:pPr>
            <w:r w:rsidRPr="00C0144F">
              <w:rPr>
                <w:rFonts w:ascii="Arial" w:eastAsia="Calibri" w:hAnsi="Arial" w:cs="Arial"/>
                <w:bCs/>
                <w:color w:val="000000"/>
                <w:sz w:val="24"/>
                <w:szCs w:val="24"/>
              </w:rPr>
              <w:t>526</w:t>
            </w:r>
          </w:p>
        </w:tc>
      </w:tr>
    </w:tbl>
    <w:p w14:paraId="478161EF" w14:textId="77777777" w:rsidR="00C0144F" w:rsidRPr="00C0144F" w:rsidRDefault="00C0144F" w:rsidP="00C0144F">
      <w:pPr>
        <w:jc w:val="both"/>
        <w:rPr>
          <w:rFonts w:ascii="Arial" w:eastAsia="Calibri" w:hAnsi="Arial" w:cs="Arial"/>
          <w:sz w:val="24"/>
          <w:szCs w:val="24"/>
          <w:lang w:val="es-ES_tradnl"/>
        </w:rPr>
      </w:pPr>
    </w:p>
    <w:p w14:paraId="75BD87C8" w14:textId="1FA31AE8" w:rsidR="00C571C1" w:rsidRPr="00E268E4" w:rsidRDefault="00C571C1" w:rsidP="00E268E4">
      <w:pPr>
        <w:jc w:val="both"/>
        <w:rPr>
          <w:rFonts w:ascii="Arial" w:eastAsia="Calibri" w:hAnsi="Arial" w:cs="Arial"/>
          <w:sz w:val="24"/>
          <w:szCs w:val="24"/>
        </w:rPr>
      </w:pPr>
    </w:p>
    <w:p w14:paraId="030EF939" w14:textId="77777777" w:rsidR="00C571C1" w:rsidRPr="00C571C1" w:rsidRDefault="00C571C1" w:rsidP="00C571C1">
      <w:pPr>
        <w:autoSpaceDE w:val="0"/>
        <w:autoSpaceDN w:val="0"/>
        <w:adjustRightInd w:val="0"/>
        <w:spacing w:after="0" w:line="240" w:lineRule="auto"/>
        <w:jc w:val="both"/>
        <w:rPr>
          <w:rFonts w:ascii="Arial" w:eastAsia="Times New Roman" w:hAnsi="Arial" w:cs="Arial"/>
          <w:b/>
          <w:sz w:val="24"/>
          <w:szCs w:val="24"/>
          <w:lang w:eastAsia="es-ES"/>
        </w:rPr>
      </w:pPr>
      <w:r w:rsidRPr="00C571C1">
        <w:rPr>
          <w:rFonts w:ascii="Arial" w:hAnsi="Arial" w:cs="Arial"/>
          <w:b/>
          <w:sz w:val="24"/>
          <w:szCs w:val="24"/>
        </w:rPr>
        <w:t xml:space="preserve">13. El Comité toma nota de los párrafos 45 y 46 de la información complementaria presentada por el Estado parte. Al respecto, sírvanse indicar si se ha considerado incluir de manera expresa en la legislación interna la prohibición de proceder a una expulsión, devolución, entrega o extradición cuando haya razones fundadas para creer que una persona estaría en peligro de ser sometida a una desaparición forzada. Asimismo, sírvanse detallar cómo se garantiza en la práctica el cumplimiento de la obligación de no devolución contenida en el artículo 16 de la Convención y el examen individual de cada caso antes de proceder a una entrega o devolución, en particular a la luz de la legislación que establece un régimen </w:t>
      </w:r>
      <w:r w:rsidRPr="00C571C1">
        <w:rPr>
          <w:rFonts w:ascii="Arial" w:hAnsi="Arial" w:cs="Arial"/>
          <w:b/>
          <w:sz w:val="24"/>
          <w:szCs w:val="24"/>
        </w:rPr>
        <w:lastRenderedPageBreak/>
        <w:t>especial para las Ciudades Autónomas de Ceuta y Melilla y autoriza los rechazos sumarios de extranjeros detectados en la línea fronteriza.</w:t>
      </w:r>
    </w:p>
    <w:p w14:paraId="707BB308" w14:textId="77777777" w:rsidR="00C571C1" w:rsidRPr="00C571C1" w:rsidRDefault="00C571C1" w:rsidP="00C571C1">
      <w:pPr>
        <w:autoSpaceDE w:val="0"/>
        <w:autoSpaceDN w:val="0"/>
        <w:adjustRightInd w:val="0"/>
        <w:spacing w:after="0" w:line="240" w:lineRule="auto"/>
        <w:jc w:val="both"/>
        <w:rPr>
          <w:rFonts w:ascii="Arial" w:eastAsia="Times New Roman" w:hAnsi="Arial" w:cs="Arial"/>
          <w:color w:val="4F81BD"/>
          <w:sz w:val="24"/>
          <w:szCs w:val="24"/>
          <w:lang w:eastAsia="es-ES"/>
        </w:rPr>
      </w:pPr>
    </w:p>
    <w:p w14:paraId="54902402" w14:textId="77777777" w:rsidR="00C571C1" w:rsidRPr="00C571C1" w:rsidRDefault="00C571C1" w:rsidP="00C571C1">
      <w:pPr>
        <w:spacing w:after="0" w:line="240" w:lineRule="auto"/>
        <w:jc w:val="both"/>
        <w:rPr>
          <w:rFonts w:ascii="Arial" w:eastAsia="Times New Roman" w:hAnsi="Arial" w:cs="Arial"/>
          <w:sz w:val="24"/>
          <w:szCs w:val="24"/>
          <w:lang w:val="es-ES_tradnl" w:eastAsia="es-ES"/>
        </w:rPr>
      </w:pPr>
      <w:r w:rsidRPr="00C571C1">
        <w:rPr>
          <w:rFonts w:ascii="Arial" w:eastAsia="Times New Roman" w:hAnsi="Arial" w:cs="Arial"/>
          <w:sz w:val="24"/>
          <w:szCs w:val="24"/>
          <w:lang w:val="es-ES_tradnl" w:eastAsia="es-ES"/>
        </w:rPr>
        <w:t>El ordenamiento jurídico español y la práctica judicial tienen establecidas numerosas cautelas orientadas a evitar que las devoluciones o entregas de personas reclamadas a un Estado puedan suponer una vulneración de sus der</w:t>
      </w:r>
      <w:r>
        <w:rPr>
          <w:rFonts w:ascii="Arial" w:eastAsia="Times New Roman" w:hAnsi="Arial" w:cs="Arial"/>
          <w:sz w:val="24"/>
          <w:szCs w:val="24"/>
          <w:lang w:val="es-ES_tradnl" w:eastAsia="es-ES"/>
        </w:rPr>
        <w:t>echos humanos, entre ellas,</w:t>
      </w:r>
      <w:r w:rsidRPr="00C571C1">
        <w:rPr>
          <w:rFonts w:ascii="Arial" w:eastAsia="Times New Roman" w:hAnsi="Arial" w:cs="Arial"/>
          <w:sz w:val="24"/>
          <w:szCs w:val="24"/>
          <w:lang w:val="es-ES_tradnl" w:eastAsia="es-ES"/>
        </w:rPr>
        <w:t xml:space="preserve"> el peligro de ser víctimas de desaparición forzada como consecuencia de la acción directa o indirecta de un Estado.</w:t>
      </w:r>
    </w:p>
    <w:p w14:paraId="38C23313" w14:textId="77777777" w:rsidR="00C571C1" w:rsidRPr="00C571C1" w:rsidRDefault="00C571C1" w:rsidP="00C571C1">
      <w:pPr>
        <w:spacing w:after="0" w:line="240" w:lineRule="auto"/>
        <w:jc w:val="both"/>
        <w:rPr>
          <w:rFonts w:ascii="Arial" w:eastAsia="Times New Roman" w:hAnsi="Arial" w:cs="Arial"/>
          <w:sz w:val="24"/>
          <w:szCs w:val="24"/>
          <w:lang w:val="es-ES_tradnl" w:eastAsia="es-ES"/>
        </w:rPr>
      </w:pPr>
    </w:p>
    <w:p w14:paraId="0D2E2B49" w14:textId="77777777" w:rsidR="00C571C1" w:rsidRPr="00C571C1" w:rsidRDefault="00C571C1" w:rsidP="00C571C1">
      <w:pPr>
        <w:spacing w:after="0" w:line="240" w:lineRule="auto"/>
        <w:jc w:val="both"/>
        <w:rPr>
          <w:rFonts w:ascii="Arial" w:eastAsia="Times New Roman" w:hAnsi="Arial" w:cs="Arial"/>
          <w:sz w:val="24"/>
          <w:szCs w:val="24"/>
          <w:lang w:val="es-ES_tradnl" w:eastAsia="es-ES"/>
        </w:rPr>
      </w:pPr>
      <w:r w:rsidRPr="00C571C1">
        <w:rPr>
          <w:rFonts w:ascii="Arial" w:eastAsia="Times New Roman" w:hAnsi="Arial" w:cs="Arial"/>
          <w:sz w:val="24"/>
          <w:szCs w:val="24"/>
          <w:lang w:val="es-ES_tradnl" w:eastAsia="es-ES"/>
        </w:rPr>
        <w:t>Con tal finalidad, la Ley 4/1985, de Extradición Pasiva, establece las condiciones, los procedimientos y los efectos que regirán la extradición pasiva en España; recoge expresamente en su artículo cuarto entre las causas la denegación, la</w:t>
      </w:r>
      <w:r>
        <w:rPr>
          <w:rFonts w:ascii="Arial" w:eastAsia="Times New Roman" w:hAnsi="Arial" w:cs="Arial"/>
          <w:sz w:val="24"/>
          <w:szCs w:val="24"/>
          <w:lang w:val="es-ES_tradnl" w:eastAsia="es-ES"/>
        </w:rPr>
        <w:t xml:space="preserve"> existencia de un peligro para</w:t>
      </w:r>
      <w:r w:rsidRPr="00C571C1">
        <w:rPr>
          <w:rFonts w:ascii="Arial" w:eastAsia="Times New Roman" w:hAnsi="Arial" w:cs="Arial"/>
          <w:sz w:val="24"/>
          <w:szCs w:val="24"/>
          <w:lang w:val="es-ES_tradnl" w:eastAsia="es-ES"/>
        </w:rPr>
        <w:t xml:space="preserve"> la integridad de la persona reclamada. Al efecto, se recogen, entre otras, las siguientes causas de denegación: </w:t>
      </w:r>
    </w:p>
    <w:p w14:paraId="3F3F38A8" w14:textId="77777777" w:rsidR="00C571C1" w:rsidRPr="00C571C1" w:rsidRDefault="00C571C1" w:rsidP="00C571C1">
      <w:pPr>
        <w:spacing w:after="0" w:line="240" w:lineRule="auto"/>
        <w:jc w:val="both"/>
        <w:rPr>
          <w:rFonts w:ascii="Arial" w:eastAsia="Times New Roman" w:hAnsi="Arial" w:cs="Arial"/>
          <w:sz w:val="24"/>
          <w:szCs w:val="24"/>
          <w:lang w:val="es-ES_tradnl" w:eastAsia="es-ES"/>
        </w:rPr>
      </w:pPr>
    </w:p>
    <w:p w14:paraId="776D5427" w14:textId="43BC5D25" w:rsidR="00C571C1" w:rsidRDefault="00C571C1" w:rsidP="00C571C1">
      <w:pPr>
        <w:spacing w:after="240" w:line="240" w:lineRule="auto"/>
        <w:ind w:left="284"/>
        <w:contextualSpacing/>
        <w:jc w:val="both"/>
        <w:rPr>
          <w:rFonts w:ascii="Arial" w:eastAsia="Times New Roman" w:hAnsi="Arial" w:cs="Arial"/>
          <w:sz w:val="24"/>
          <w:szCs w:val="24"/>
          <w:lang w:val="es-ES_tradnl" w:eastAsia="es-ES"/>
        </w:rPr>
      </w:pPr>
      <w:r w:rsidRPr="00C571C1">
        <w:rPr>
          <w:rFonts w:ascii="Arial" w:eastAsia="Times New Roman" w:hAnsi="Arial" w:cs="Arial"/>
          <w:sz w:val="24"/>
          <w:szCs w:val="24"/>
          <w:lang w:val="es-ES_tradnl" w:eastAsia="es-ES"/>
        </w:rPr>
        <w:t>Art. 4.- “No se concederá la extra</w:t>
      </w:r>
      <w:r w:rsidR="00B319F7">
        <w:rPr>
          <w:rFonts w:ascii="Arial" w:eastAsia="Times New Roman" w:hAnsi="Arial" w:cs="Arial"/>
          <w:sz w:val="24"/>
          <w:szCs w:val="24"/>
          <w:lang w:val="es-ES_tradnl" w:eastAsia="es-ES"/>
        </w:rPr>
        <w:t xml:space="preserve">dición en los casos siguientes: </w:t>
      </w:r>
      <w:r w:rsidRPr="00C571C1">
        <w:rPr>
          <w:rFonts w:ascii="Arial" w:eastAsia="Times New Roman" w:hAnsi="Arial" w:cs="Arial"/>
          <w:sz w:val="24"/>
          <w:szCs w:val="24"/>
          <w:lang w:val="es-ES_tradnl" w:eastAsia="es-ES"/>
        </w:rPr>
        <w:t xml:space="preserve">6.º </w:t>
      </w:r>
      <w:r w:rsidRPr="00C571C1">
        <w:rPr>
          <w:rFonts w:ascii="Arial" w:eastAsia="Times New Roman" w:hAnsi="Arial" w:cs="Arial"/>
          <w:sz w:val="24"/>
          <w:szCs w:val="24"/>
          <w:u w:val="single"/>
          <w:lang w:val="es-ES_tradnl" w:eastAsia="es-ES"/>
        </w:rPr>
        <w:t>Cuando el Estado requirente no diera la garantía</w:t>
      </w:r>
      <w:r w:rsidRPr="00C571C1">
        <w:rPr>
          <w:rFonts w:ascii="Arial" w:eastAsia="Times New Roman" w:hAnsi="Arial" w:cs="Arial"/>
          <w:sz w:val="24"/>
          <w:szCs w:val="24"/>
          <w:lang w:val="es-ES_tradnl" w:eastAsia="es-ES"/>
        </w:rPr>
        <w:t xml:space="preserve"> de que la persona reclamada de extradición no será ejecutada o que no será sometida a penas que atenten a su integridad corporal o a tratos inhumanos o degradantes…8.º </w:t>
      </w:r>
      <w:r w:rsidRPr="00C571C1">
        <w:rPr>
          <w:rFonts w:ascii="Arial" w:eastAsia="Times New Roman" w:hAnsi="Arial" w:cs="Arial"/>
          <w:sz w:val="24"/>
          <w:szCs w:val="24"/>
          <w:u w:val="single"/>
          <w:lang w:val="es-ES_tradnl" w:eastAsia="es-ES"/>
        </w:rPr>
        <w:t>Cuando a la persona reclamada le hubiere sido reconocida la condición de asilado</w:t>
      </w:r>
      <w:r w:rsidRPr="00C571C1">
        <w:rPr>
          <w:rFonts w:ascii="Arial" w:eastAsia="Times New Roman" w:hAnsi="Arial" w:cs="Arial"/>
          <w:sz w:val="24"/>
          <w:szCs w:val="24"/>
          <w:lang w:val="es-ES_tradnl" w:eastAsia="es-ES"/>
        </w:rPr>
        <w:t>…”</w:t>
      </w:r>
    </w:p>
    <w:p w14:paraId="3842552E" w14:textId="77777777" w:rsidR="00C571C1" w:rsidRPr="00C571C1" w:rsidRDefault="00C571C1" w:rsidP="00C571C1">
      <w:pPr>
        <w:spacing w:after="240" w:line="240" w:lineRule="auto"/>
        <w:ind w:left="284"/>
        <w:contextualSpacing/>
        <w:jc w:val="both"/>
        <w:rPr>
          <w:rFonts w:ascii="Arial" w:eastAsia="Times New Roman" w:hAnsi="Arial" w:cs="Arial"/>
          <w:sz w:val="24"/>
          <w:szCs w:val="24"/>
          <w:lang w:val="es-ES_tradnl" w:eastAsia="es-ES"/>
        </w:rPr>
      </w:pPr>
    </w:p>
    <w:p w14:paraId="63CA86AC" w14:textId="77777777" w:rsidR="00C571C1" w:rsidRDefault="00C571C1" w:rsidP="00C571C1">
      <w:pPr>
        <w:spacing w:after="0" w:line="240" w:lineRule="auto"/>
        <w:jc w:val="both"/>
        <w:rPr>
          <w:rFonts w:ascii="Arial" w:eastAsia="Times New Roman" w:hAnsi="Arial" w:cs="Arial"/>
          <w:sz w:val="24"/>
          <w:szCs w:val="24"/>
          <w:lang w:val="es-ES_tradnl" w:eastAsia="es-ES"/>
        </w:rPr>
      </w:pPr>
      <w:r w:rsidRPr="00C571C1">
        <w:rPr>
          <w:rFonts w:ascii="Arial" w:eastAsia="Times New Roman" w:hAnsi="Arial" w:cs="Arial"/>
          <w:sz w:val="24"/>
          <w:szCs w:val="24"/>
          <w:lang w:val="es-ES_tradnl" w:eastAsia="es-ES"/>
        </w:rPr>
        <w:t>Respecto a las garantías de los derechos de las personas afectadas por el procedimiento de extradición, la mencionada Ley dispone que la persona reclamada comparecerá asistida de abogado, en su caso de intérprete, ante la Autoridad Judicial a cuya disposición se encuentre; y con la presencia del Ministerio Fiscal, en su misión de promover la acción de la justicia en defensa de la legalidad, de los derechos de los ciudadanos y del interés público</w:t>
      </w:r>
      <w:r w:rsidRPr="00C571C1">
        <w:rPr>
          <w:rFonts w:ascii="Arial" w:eastAsia="Times New Roman" w:hAnsi="Arial" w:cs="Arial"/>
          <w:b/>
          <w:sz w:val="24"/>
          <w:szCs w:val="24"/>
          <w:vertAlign w:val="superscript"/>
          <w:lang w:val="es-ES_tradnl" w:eastAsia="es-ES"/>
        </w:rPr>
        <w:footnoteReference w:id="1"/>
      </w:r>
      <w:r w:rsidRPr="00C571C1">
        <w:rPr>
          <w:rFonts w:ascii="Arial" w:eastAsia="Times New Roman" w:hAnsi="Arial" w:cs="Arial"/>
          <w:sz w:val="24"/>
          <w:szCs w:val="24"/>
          <w:lang w:val="es-ES_tradnl" w:eastAsia="es-ES"/>
        </w:rPr>
        <w:t>. De esta manera se garantiza</w:t>
      </w:r>
      <w:r>
        <w:rPr>
          <w:rFonts w:ascii="Arial" w:eastAsia="Times New Roman" w:hAnsi="Arial" w:cs="Arial"/>
          <w:sz w:val="24"/>
          <w:szCs w:val="24"/>
          <w:lang w:val="es-ES_tradnl" w:eastAsia="es-ES"/>
        </w:rPr>
        <w:t>n</w:t>
      </w:r>
      <w:r w:rsidRPr="00C571C1">
        <w:rPr>
          <w:rFonts w:ascii="Arial" w:eastAsia="Times New Roman" w:hAnsi="Arial" w:cs="Arial"/>
          <w:sz w:val="24"/>
          <w:szCs w:val="24"/>
          <w:lang w:val="es-ES_tradnl" w:eastAsia="es-ES"/>
        </w:rPr>
        <w:t xml:space="preserve"> los derechos de audiencia y defensa de la persona reclamada, que puede oponerse a la extradición y realizar las alegaciones que considere oportunas, que serán analizadas de manera individualizada por dicha Autoridad Judicial.</w:t>
      </w:r>
    </w:p>
    <w:p w14:paraId="6B9D60D4" w14:textId="77777777" w:rsidR="00C571C1" w:rsidRPr="00C571C1" w:rsidRDefault="00C571C1" w:rsidP="00C571C1">
      <w:pPr>
        <w:spacing w:after="0" w:line="240" w:lineRule="auto"/>
        <w:jc w:val="both"/>
        <w:rPr>
          <w:rFonts w:ascii="Arial" w:eastAsia="Times New Roman" w:hAnsi="Arial" w:cs="Arial"/>
          <w:sz w:val="24"/>
          <w:szCs w:val="24"/>
          <w:lang w:val="es-ES_tradnl" w:eastAsia="es-ES"/>
        </w:rPr>
      </w:pPr>
    </w:p>
    <w:p w14:paraId="0F9897E2" w14:textId="77777777" w:rsidR="00C571C1" w:rsidRPr="00C571C1" w:rsidRDefault="00C571C1" w:rsidP="00C571C1">
      <w:pPr>
        <w:spacing w:after="0" w:line="240" w:lineRule="auto"/>
        <w:jc w:val="both"/>
        <w:rPr>
          <w:rFonts w:ascii="Arial" w:eastAsia="Times New Roman" w:hAnsi="Arial" w:cs="Arial"/>
          <w:sz w:val="24"/>
          <w:szCs w:val="24"/>
          <w:lang w:val="es-ES_tradnl" w:eastAsia="es-ES"/>
        </w:rPr>
      </w:pPr>
      <w:r w:rsidRPr="00C571C1">
        <w:rPr>
          <w:rFonts w:ascii="Arial" w:eastAsia="Times New Roman" w:hAnsi="Arial" w:cs="Arial"/>
          <w:sz w:val="24"/>
          <w:szCs w:val="24"/>
          <w:lang w:val="es-ES_tradnl" w:eastAsia="es-ES"/>
        </w:rPr>
        <w:t>Con igual orientación, la Ley 23/2014</w:t>
      </w:r>
      <w:r>
        <w:rPr>
          <w:rFonts w:ascii="Arial" w:eastAsia="Times New Roman" w:hAnsi="Arial" w:cs="Arial"/>
          <w:sz w:val="24"/>
          <w:szCs w:val="24"/>
          <w:lang w:val="es-ES_tradnl" w:eastAsia="es-ES"/>
        </w:rPr>
        <w:t>,</w:t>
      </w:r>
      <w:r w:rsidRPr="00C571C1">
        <w:rPr>
          <w:rFonts w:ascii="Arial" w:eastAsia="Times New Roman" w:hAnsi="Arial" w:cs="Arial"/>
          <w:sz w:val="24"/>
          <w:szCs w:val="24"/>
          <w:lang w:val="es-ES_tradnl" w:eastAsia="es-ES"/>
        </w:rPr>
        <w:t xml:space="preserve"> de reconocimiento mutuo de resoluciones penales en la Unión Europea, regula la Orden de Detención y Entrega</w:t>
      </w:r>
      <w:r w:rsidRPr="00C571C1">
        <w:rPr>
          <w:rFonts w:ascii="Arial" w:eastAsia="Times New Roman" w:hAnsi="Arial" w:cs="Arial"/>
          <w:b/>
          <w:sz w:val="24"/>
          <w:szCs w:val="24"/>
          <w:vertAlign w:val="superscript"/>
          <w:lang w:val="es-ES_tradnl" w:eastAsia="es-ES"/>
        </w:rPr>
        <w:footnoteReference w:id="2"/>
      </w:r>
      <w:r w:rsidRPr="00C571C1">
        <w:rPr>
          <w:rFonts w:ascii="Arial" w:eastAsia="Times New Roman" w:hAnsi="Arial" w:cs="Arial"/>
          <w:sz w:val="24"/>
          <w:szCs w:val="24"/>
          <w:lang w:val="es-ES_tradnl" w:eastAsia="es-ES"/>
        </w:rPr>
        <w:t>, estableciendo las mismas garantías, tanto procedimentales de audiencia de la persona reclamada asistida de abogado, en presencia del Ministerio Fiscal y análisis individualizado por</w:t>
      </w:r>
      <w:r>
        <w:rPr>
          <w:rFonts w:ascii="Arial" w:eastAsia="Times New Roman" w:hAnsi="Arial" w:cs="Arial"/>
          <w:sz w:val="24"/>
          <w:szCs w:val="24"/>
          <w:lang w:val="es-ES_tradnl" w:eastAsia="es-ES"/>
        </w:rPr>
        <w:t xml:space="preserve"> parte de la Autoridad Judicial,</w:t>
      </w:r>
      <w:r w:rsidRPr="00C571C1">
        <w:rPr>
          <w:rFonts w:ascii="Arial" w:eastAsia="Times New Roman" w:hAnsi="Arial" w:cs="Arial"/>
          <w:sz w:val="24"/>
          <w:szCs w:val="24"/>
          <w:lang w:val="es-ES_tradnl" w:eastAsia="es-ES"/>
        </w:rPr>
        <w:t xml:space="preserve"> como la denegación en el su</w:t>
      </w:r>
      <w:r>
        <w:rPr>
          <w:rFonts w:ascii="Arial" w:eastAsia="Times New Roman" w:hAnsi="Arial" w:cs="Arial"/>
          <w:sz w:val="24"/>
          <w:szCs w:val="24"/>
          <w:lang w:val="es-ES_tradnl" w:eastAsia="es-ES"/>
        </w:rPr>
        <w:t>puesto de existir peligro para</w:t>
      </w:r>
      <w:r w:rsidRPr="00C571C1">
        <w:rPr>
          <w:rFonts w:ascii="Arial" w:eastAsia="Times New Roman" w:hAnsi="Arial" w:cs="Arial"/>
          <w:sz w:val="24"/>
          <w:szCs w:val="24"/>
          <w:lang w:val="es-ES_tradnl" w:eastAsia="es-ES"/>
        </w:rPr>
        <w:t xml:space="preserve"> su integridad en el supuesto de ser entregada al país reclamante.</w:t>
      </w:r>
    </w:p>
    <w:p w14:paraId="6C077E1C" w14:textId="77777777" w:rsidR="00C571C1" w:rsidRPr="00C571C1" w:rsidRDefault="00C571C1" w:rsidP="00C571C1">
      <w:pPr>
        <w:autoSpaceDE w:val="0"/>
        <w:autoSpaceDN w:val="0"/>
        <w:adjustRightInd w:val="0"/>
        <w:spacing w:after="0" w:line="240" w:lineRule="auto"/>
        <w:jc w:val="both"/>
        <w:rPr>
          <w:rFonts w:ascii="Arial" w:eastAsia="Times New Roman" w:hAnsi="Arial" w:cs="Arial"/>
          <w:sz w:val="24"/>
          <w:szCs w:val="24"/>
          <w:lang w:val="es-ES_tradnl" w:eastAsia="es-ES"/>
        </w:rPr>
      </w:pPr>
    </w:p>
    <w:p w14:paraId="767DDD2C" w14:textId="77777777" w:rsidR="00C571C1" w:rsidRPr="00C571C1" w:rsidRDefault="00C571C1" w:rsidP="00C571C1">
      <w:pPr>
        <w:autoSpaceDE w:val="0"/>
        <w:autoSpaceDN w:val="0"/>
        <w:adjustRightInd w:val="0"/>
        <w:spacing w:after="0" w:line="240" w:lineRule="auto"/>
        <w:jc w:val="both"/>
        <w:rPr>
          <w:rFonts w:ascii="Arial" w:eastAsia="Times New Roman" w:hAnsi="Arial" w:cs="Arial"/>
          <w:sz w:val="24"/>
          <w:szCs w:val="24"/>
          <w:lang w:eastAsia="es-ES"/>
        </w:rPr>
      </w:pPr>
      <w:r w:rsidRPr="00C571C1">
        <w:rPr>
          <w:rFonts w:ascii="Arial" w:eastAsia="Times New Roman" w:hAnsi="Arial" w:cs="Arial"/>
          <w:sz w:val="24"/>
          <w:szCs w:val="24"/>
          <w:lang w:val="es-ES_tradnl" w:eastAsia="es-ES"/>
        </w:rPr>
        <w:t>Del mismo modo, l</w:t>
      </w:r>
      <w:r w:rsidRPr="00C571C1">
        <w:rPr>
          <w:rFonts w:ascii="Arial" w:eastAsia="Times New Roman" w:hAnsi="Arial" w:cs="Arial"/>
          <w:sz w:val="24"/>
          <w:szCs w:val="24"/>
          <w:lang w:eastAsia="es-ES"/>
        </w:rPr>
        <w:t>a regulación actual en materia de extranjería cuenta con herramientas y procedimientos que se activan en previsión de dichos riesgos, en el senti</w:t>
      </w:r>
      <w:r w:rsidR="000E45DB">
        <w:rPr>
          <w:rFonts w:ascii="Arial" w:eastAsia="Times New Roman" w:hAnsi="Arial" w:cs="Arial"/>
          <w:sz w:val="24"/>
          <w:szCs w:val="24"/>
          <w:lang w:eastAsia="es-ES"/>
        </w:rPr>
        <w:t>do que se expone a continuación.</w:t>
      </w:r>
      <w:r w:rsidRPr="00C571C1">
        <w:rPr>
          <w:rFonts w:ascii="Arial" w:eastAsia="Times New Roman" w:hAnsi="Arial" w:cs="Arial"/>
          <w:sz w:val="24"/>
          <w:szCs w:val="24"/>
          <w:lang w:eastAsia="es-ES"/>
        </w:rPr>
        <w:t xml:space="preserve"> </w:t>
      </w:r>
    </w:p>
    <w:p w14:paraId="559ADB7E" w14:textId="77777777" w:rsidR="00C571C1" w:rsidRPr="00C571C1" w:rsidRDefault="00C571C1" w:rsidP="00C571C1">
      <w:pPr>
        <w:autoSpaceDE w:val="0"/>
        <w:autoSpaceDN w:val="0"/>
        <w:adjustRightInd w:val="0"/>
        <w:spacing w:after="0" w:line="240" w:lineRule="auto"/>
        <w:jc w:val="both"/>
        <w:rPr>
          <w:rFonts w:ascii="Arial" w:eastAsia="Times New Roman" w:hAnsi="Arial" w:cs="Arial"/>
          <w:sz w:val="24"/>
          <w:szCs w:val="24"/>
          <w:lang w:eastAsia="es-ES"/>
        </w:rPr>
      </w:pPr>
    </w:p>
    <w:p w14:paraId="30E34A04" w14:textId="77777777" w:rsidR="00C571C1" w:rsidRPr="00C571C1" w:rsidRDefault="00C571C1" w:rsidP="00C571C1">
      <w:pPr>
        <w:autoSpaceDE w:val="0"/>
        <w:autoSpaceDN w:val="0"/>
        <w:adjustRightInd w:val="0"/>
        <w:spacing w:after="0" w:line="240" w:lineRule="auto"/>
        <w:jc w:val="both"/>
        <w:rPr>
          <w:rFonts w:ascii="Arial" w:eastAsia="Times New Roman" w:hAnsi="Arial" w:cs="Arial"/>
          <w:sz w:val="24"/>
          <w:szCs w:val="24"/>
          <w:lang w:eastAsia="es-ES"/>
        </w:rPr>
      </w:pPr>
      <w:r w:rsidRPr="00C571C1">
        <w:rPr>
          <w:rFonts w:ascii="Arial" w:eastAsia="Times New Roman" w:hAnsi="Arial" w:cs="Arial"/>
          <w:sz w:val="24"/>
          <w:szCs w:val="24"/>
          <w:lang w:eastAsia="es-ES"/>
        </w:rPr>
        <w:t>El artículo 23.6 b) del Reglamento de desarrollo de la Ley Orgánica 4/2000, de 11 de enero,</w:t>
      </w:r>
      <w:r w:rsidR="000E45DB">
        <w:rPr>
          <w:rFonts w:ascii="Arial" w:eastAsia="Times New Roman" w:hAnsi="Arial" w:cs="Arial"/>
          <w:sz w:val="24"/>
          <w:szCs w:val="24"/>
          <w:lang w:eastAsia="es-ES"/>
        </w:rPr>
        <w:t xml:space="preserve"> sobre derechos y libertades de los extranjeros en España y su integración social,</w:t>
      </w:r>
      <w:r w:rsidRPr="00C571C1">
        <w:rPr>
          <w:rFonts w:ascii="Arial" w:eastAsia="Times New Roman" w:hAnsi="Arial" w:cs="Arial"/>
          <w:sz w:val="24"/>
          <w:szCs w:val="24"/>
          <w:lang w:eastAsia="es-ES"/>
        </w:rPr>
        <w:t xml:space="preserve"> aprobado por Real Decreto 557/2011, de 20 de abril</w:t>
      </w:r>
      <w:r w:rsidR="000E45DB">
        <w:rPr>
          <w:rFonts w:ascii="Arial" w:eastAsia="Times New Roman" w:hAnsi="Arial" w:cs="Arial"/>
          <w:sz w:val="24"/>
          <w:szCs w:val="24"/>
          <w:lang w:eastAsia="es-ES"/>
        </w:rPr>
        <w:t>,</w:t>
      </w:r>
      <w:r w:rsidRPr="00C571C1">
        <w:rPr>
          <w:rFonts w:ascii="Arial" w:eastAsia="Times New Roman" w:hAnsi="Arial" w:cs="Arial"/>
          <w:sz w:val="24"/>
          <w:szCs w:val="24"/>
          <w:lang w:eastAsia="es-ES"/>
        </w:rPr>
        <w:t xml:space="preserve"> prevé que “aun cuando se haya adoptado una resolución de devolución, ésta no podrá </w:t>
      </w:r>
      <w:r w:rsidRPr="00C571C1">
        <w:rPr>
          <w:rFonts w:ascii="Arial" w:eastAsia="Times New Roman" w:hAnsi="Arial" w:cs="Arial"/>
          <w:sz w:val="24"/>
          <w:szCs w:val="24"/>
          <w:lang w:eastAsia="es-ES"/>
        </w:rPr>
        <w:lastRenderedPageBreak/>
        <w:t xml:space="preserve">llevarse a cabo y quedará en suspenso cuando (…) se formalice una solicitud de protección internacional, hasta que se resuelva sobre la solicitud o </w:t>
      </w:r>
      <w:r w:rsidR="000E45DB">
        <w:rPr>
          <w:rFonts w:ascii="Arial" w:eastAsia="Times New Roman" w:hAnsi="Arial" w:cs="Arial"/>
          <w:sz w:val="24"/>
          <w:szCs w:val="24"/>
          <w:lang w:eastAsia="es-ES"/>
        </w:rPr>
        <w:t>ésta no sea admitida (…)”. El</w:t>
      </w:r>
      <w:r w:rsidRPr="00C571C1">
        <w:rPr>
          <w:rFonts w:ascii="Arial" w:eastAsia="Times New Roman" w:hAnsi="Arial" w:cs="Arial"/>
          <w:sz w:val="24"/>
          <w:szCs w:val="24"/>
          <w:lang w:eastAsia="es-ES"/>
        </w:rPr>
        <w:t xml:space="preserve"> derecho</w:t>
      </w:r>
      <w:r w:rsidR="000E45DB">
        <w:rPr>
          <w:rFonts w:ascii="Arial" w:eastAsia="Times New Roman" w:hAnsi="Arial" w:cs="Arial"/>
          <w:sz w:val="24"/>
          <w:szCs w:val="24"/>
          <w:lang w:eastAsia="es-ES"/>
        </w:rPr>
        <w:t xml:space="preserve"> a la no devolución resulta también</w:t>
      </w:r>
      <w:r w:rsidRPr="00C571C1">
        <w:rPr>
          <w:rFonts w:ascii="Arial" w:eastAsia="Times New Roman" w:hAnsi="Arial" w:cs="Arial"/>
          <w:sz w:val="24"/>
          <w:szCs w:val="24"/>
          <w:lang w:eastAsia="es-ES"/>
        </w:rPr>
        <w:t xml:space="preserve"> de aplicación a cualquier otro procedimiento de retorno, es decir, a las devoluciones, expulsiones y denegaciones de entrada, en aplicación de la normativa en vigor y en particular de la Ley 12/2009, de 30 de octubre, reguladora del derecho de asilo y la protección subsidiaria.</w:t>
      </w:r>
    </w:p>
    <w:p w14:paraId="1A9B3BBF" w14:textId="77777777" w:rsidR="00C571C1" w:rsidRPr="00C571C1" w:rsidRDefault="00C571C1" w:rsidP="00C571C1">
      <w:pPr>
        <w:autoSpaceDE w:val="0"/>
        <w:autoSpaceDN w:val="0"/>
        <w:adjustRightInd w:val="0"/>
        <w:spacing w:after="0" w:line="240" w:lineRule="auto"/>
        <w:jc w:val="both"/>
        <w:rPr>
          <w:rFonts w:ascii="Arial" w:eastAsia="Times New Roman" w:hAnsi="Arial" w:cs="Arial"/>
          <w:sz w:val="24"/>
          <w:szCs w:val="24"/>
          <w:lang w:eastAsia="es-ES"/>
        </w:rPr>
      </w:pPr>
    </w:p>
    <w:p w14:paraId="504FBC04" w14:textId="77777777" w:rsidR="00C571C1" w:rsidRPr="00C571C1" w:rsidRDefault="00C571C1" w:rsidP="00C571C1">
      <w:pPr>
        <w:spacing w:after="0" w:line="240" w:lineRule="auto"/>
        <w:jc w:val="both"/>
        <w:rPr>
          <w:rFonts w:ascii="Arial" w:eastAsia="Times New Roman" w:hAnsi="Arial" w:cs="Arial"/>
          <w:sz w:val="24"/>
          <w:szCs w:val="24"/>
          <w:lang w:eastAsia="es-ES"/>
        </w:rPr>
      </w:pPr>
      <w:r w:rsidRPr="00C571C1">
        <w:rPr>
          <w:rFonts w:ascii="Arial" w:eastAsia="Times New Roman" w:hAnsi="Arial" w:cs="Arial"/>
          <w:sz w:val="24"/>
          <w:szCs w:val="24"/>
          <w:lang w:eastAsia="es-ES"/>
        </w:rPr>
        <w:t>En base a ello, toda persona extranjera, independientemente de que esté incursa en un procedimiento de expulsión o devolución que tenga fundados temores de ser perseguida por motivos de raza, religión, nacionalidad, opiniones políticas, pertenencia a determinado grupo social, de género u orientación sexual, o tenga motivos fundados para creer que si regresase a su país de origen en el caso de los nacionales, o al de su anterior residencia habitual en el caso de los apátridas, se enfrentaría a un riesgo real de sufrir alguno de los daños graves previstos en el art. 10 de la Ley 12/2009, podrá acogerse a un procedimiento de solicitud de protección internacional que le concederá el derecho a no ser devuel</w:t>
      </w:r>
      <w:r w:rsidR="000E45DB">
        <w:rPr>
          <w:rFonts w:ascii="Arial" w:eastAsia="Times New Roman" w:hAnsi="Arial" w:cs="Arial"/>
          <w:sz w:val="24"/>
          <w:szCs w:val="24"/>
          <w:lang w:eastAsia="es-ES"/>
        </w:rPr>
        <w:t>to</w:t>
      </w:r>
      <w:r w:rsidRPr="00C571C1">
        <w:rPr>
          <w:rFonts w:ascii="Arial" w:eastAsia="Times New Roman" w:hAnsi="Arial" w:cs="Arial"/>
          <w:sz w:val="24"/>
          <w:szCs w:val="24"/>
          <w:lang w:eastAsia="es-ES"/>
        </w:rPr>
        <w:t>.</w:t>
      </w:r>
    </w:p>
    <w:p w14:paraId="1DECD70C" w14:textId="77777777" w:rsidR="00C571C1" w:rsidRPr="00C571C1" w:rsidRDefault="00C571C1" w:rsidP="00C571C1">
      <w:pPr>
        <w:spacing w:after="0" w:line="240" w:lineRule="auto"/>
        <w:rPr>
          <w:rFonts w:ascii="Arial" w:eastAsia="Times New Roman" w:hAnsi="Arial" w:cs="Arial"/>
          <w:sz w:val="24"/>
          <w:szCs w:val="24"/>
          <w:lang w:eastAsia="es-ES"/>
        </w:rPr>
      </w:pPr>
    </w:p>
    <w:p w14:paraId="2202A8EC" w14:textId="77777777" w:rsidR="00C571C1" w:rsidRPr="00C571C1" w:rsidRDefault="00C571C1" w:rsidP="00C571C1">
      <w:pPr>
        <w:spacing w:after="0" w:line="240" w:lineRule="auto"/>
        <w:jc w:val="both"/>
        <w:rPr>
          <w:rFonts w:ascii="Arial" w:eastAsia="Times New Roman" w:hAnsi="Arial" w:cs="Arial"/>
          <w:sz w:val="24"/>
          <w:szCs w:val="24"/>
          <w:lang w:eastAsia="es-ES"/>
        </w:rPr>
      </w:pPr>
      <w:r w:rsidRPr="00C571C1">
        <w:rPr>
          <w:rFonts w:ascii="Arial" w:eastAsia="Times New Roman" w:hAnsi="Arial" w:cs="Arial"/>
          <w:sz w:val="24"/>
          <w:szCs w:val="24"/>
          <w:lang w:eastAsia="es-ES"/>
        </w:rPr>
        <w:t>En conclusión, si a través del procedimiento de reconocimiento de protección int</w:t>
      </w:r>
      <w:r w:rsidR="000E45DB">
        <w:rPr>
          <w:rFonts w:ascii="Arial" w:eastAsia="Times New Roman" w:hAnsi="Arial" w:cs="Arial"/>
          <w:sz w:val="24"/>
          <w:szCs w:val="24"/>
          <w:lang w:eastAsia="es-ES"/>
        </w:rPr>
        <w:t>ernacional se concluye</w:t>
      </w:r>
      <w:r w:rsidRPr="00C571C1">
        <w:rPr>
          <w:rFonts w:ascii="Arial" w:eastAsia="Times New Roman" w:hAnsi="Arial" w:cs="Arial"/>
          <w:sz w:val="24"/>
          <w:szCs w:val="24"/>
          <w:lang w:eastAsia="es-ES"/>
        </w:rPr>
        <w:t xml:space="preserve"> que el ciudadano extranjero está siendo perseguido en su país de origen o se enfrentas a riesgos de sufrir daños graves, adquirirá la condición de beneficiario de asilo o protección subsidiaria.</w:t>
      </w:r>
    </w:p>
    <w:p w14:paraId="5B173D19" w14:textId="77777777" w:rsidR="00C571C1" w:rsidRPr="00C571C1" w:rsidRDefault="00C571C1" w:rsidP="00C571C1">
      <w:pPr>
        <w:spacing w:after="0" w:line="240" w:lineRule="auto"/>
        <w:jc w:val="both"/>
        <w:rPr>
          <w:rFonts w:ascii="Arial" w:eastAsia="Times New Roman" w:hAnsi="Arial" w:cs="Arial"/>
          <w:sz w:val="24"/>
          <w:szCs w:val="24"/>
          <w:lang w:val="es-ES_tradnl" w:eastAsia="es-ES"/>
        </w:rPr>
      </w:pPr>
    </w:p>
    <w:p w14:paraId="258FE058" w14:textId="77777777" w:rsidR="00C571C1" w:rsidRPr="00C571C1" w:rsidRDefault="00C571C1" w:rsidP="00C571C1">
      <w:pPr>
        <w:spacing w:after="0" w:line="240" w:lineRule="auto"/>
        <w:jc w:val="both"/>
        <w:rPr>
          <w:rFonts w:ascii="Arial" w:eastAsia="Times New Roman" w:hAnsi="Arial" w:cs="Arial"/>
          <w:sz w:val="24"/>
          <w:szCs w:val="24"/>
          <w:lang w:val="es-ES_tradnl" w:eastAsia="es-ES"/>
        </w:rPr>
      </w:pPr>
      <w:r w:rsidRPr="00C571C1">
        <w:rPr>
          <w:rFonts w:ascii="Arial" w:eastAsia="Times New Roman" w:hAnsi="Arial" w:cs="Arial"/>
          <w:sz w:val="24"/>
          <w:szCs w:val="24"/>
          <w:lang w:val="es-ES_tradnl" w:eastAsia="es-ES"/>
        </w:rPr>
        <w:t>Finalmente, en relación a la expulsión y devolución de inmigrantes como consecuencia de la realización de un expediente de expulsión por la comisión de u</w:t>
      </w:r>
      <w:r w:rsidR="003A5C66">
        <w:rPr>
          <w:rFonts w:ascii="Arial" w:eastAsia="Times New Roman" w:hAnsi="Arial" w:cs="Arial"/>
          <w:sz w:val="24"/>
          <w:szCs w:val="24"/>
          <w:lang w:val="es-ES_tradnl" w:eastAsia="es-ES"/>
        </w:rPr>
        <w:t>na infracción grave o muy grave</w:t>
      </w:r>
      <w:r w:rsidRPr="00C571C1">
        <w:rPr>
          <w:rFonts w:ascii="Arial" w:eastAsia="Times New Roman" w:hAnsi="Arial" w:cs="Arial"/>
          <w:sz w:val="24"/>
          <w:szCs w:val="24"/>
          <w:lang w:val="es-ES_tradnl" w:eastAsia="es-ES"/>
        </w:rPr>
        <w:t xml:space="preserve"> o</w:t>
      </w:r>
      <w:r w:rsidR="003A5C66">
        <w:rPr>
          <w:rFonts w:ascii="Arial" w:eastAsia="Times New Roman" w:hAnsi="Arial" w:cs="Arial"/>
          <w:sz w:val="24"/>
          <w:szCs w:val="24"/>
          <w:lang w:val="es-ES_tradnl" w:eastAsia="es-ES"/>
        </w:rPr>
        <w:t>,</w:t>
      </w:r>
      <w:r w:rsidRPr="00C571C1">
        <w:rPr>
          <w:rFonts w:ascii="Arial" w:eastAsia="Times New Roman" w:hAnsi="Arial" w:cs="Arial"/>
          <w:sz w:val="24"/>
          <w:szCs w:val="24"/>
          <w:lang w:val="es-ES_tradnl" w:eastAsia="es-ES"/>
        </w:rPr>
        <w:t xml:space="preserve"> en su caso, como medida sustitutiva de determinadas penas privativas de libertad, todo ello en consonancia con la Ley Orgánica 4/2000 y su desarrollo reglamentario (arts. 242 y ss. del R</w:t>
      </w:r>
      <w:r w:rsidR="003A5C66">
        <w:rPr>
          <w:rFonts w:ascii="Arial" w:eastAsia="Times New Roman" w:hAnsi="Arial" w:cs="Arial"/>
          <w:sz w:val="24"/>
          <w:szCs w:val="24"/>
          <w:lang w:val="es-ES_tradnl" w:eastAsia="es-ES"/>
        </w:rPr>
        <w:t>eal Decreto 557/2011),</w:t>
      </w:r>
      <w:r w:rsidRPr="00C571C1">
        <w:rPr>
          <w:rFonts w:ascii="Arial" w:eastAsia="Times New Roman" w:hAnsi="Arial" w:cs="Arial"/>
          <w:sz w:val="24"/>
          <w:szCs w:val="24"/>
          <w:lang w:val="es-ES_tradnl" w:eastAsia="es-ES"/>
        </w:rPr>
        <w:t xml:space="preserve"> donde se establece la posibilidad de su limitación </w:t>
      </w:r>
      <w:r w:rsidR="003A5C66">
        <w:rPr>
          <w:rFonts w:ascii="Arial" w:eastAsia="Times New Roman" w:hAnsi="Arial" w:cs="Arial"/>
          <w:sz w:val="24"/>
          <w:szCs w:val="24"/>
          <w:lang w:val="es-ES_tradnl" w:eastAsia="es-ES"/>
        </w:rPr>
        <w:t>en aquellos supuestos en que se invoque</w:t>
      </w:r>
      <w:r w:rsidRPr="00C571C1">
        <w:rPr>
          <w:rFonts w:ascii="Arial" w:eastAsia="Times New Roman" w:hAnsi="Arial" w:cs="Arial"/>
          <w:sz w:val="24"/>
          <w:szCs w:val="24"/>
          <w:lang w:val="es-ES_tradnl" w:eastAsia="es-ES"/>
        </w:rPr>
        <w:t xml:space="preserve"> la concurrencia de circunstancias que puedan conllevar la adquisición de la condición de asilado o protección subsidiaria, entre otros, por los motivos expuestos de existir un riesgo fundado de ser sometido a tratos inhumanos o degradantes. </w:t>
      </w:r>
    </w:p>
    <w:p w14:paraId="1B9E57E7" w14:textId="77777777" w:rsidR="00C571C1" w:rsidRPr="00C571C1" w:rsidRDefault="00C571C1" w:rsidP="00C571C1">
      <w:pPr>
        <w:spacing w:after="0" w:line="240" w:lineRule="auto"/>
        <w:jc w:val="both"/>
        <w:rPr>
          <w:rFonts w:ascii="Arial" w:eastAsia="Times New Roman" w:hAnsi="Arial" w:cs="Arial"/>
          <w:sz w:val="24"/>
          <w:szCs w:val="24"/>
          <w:lang w:val="es-ES_tradnl" w:eastAsia="es-ES"/>
        </w:rPr>
      </w:pPr>
    </w:p>
    <w:p w14:paraId="249EFAC8" w14:textId="77777777" w:rsidR="00C571C1" w:rsidRPr="00C571C1" w:rsidRDefault="003A5C66" w:rsidP="00C571C1">
      <w:pPr>
        <w:spacing w:after="0" w:line="240" w:lineRule="auto"/>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A</w:t>
      </w:r>
      <w:r w:rsidR="00C571C1" w:rsidRPr="00C571C1">
        <w:rPr>
          <w:rFonts w:ascii="Arial" w:eastAsia="Times New Roman" w:hAnsi="Arial" w:cs="Arial"/>
          <w:sz w:val="24"/>
          <w:szCs w:val="24"/>
          <w:lang w:val="es-ES_tradnl" w:eastAsia="es-ES"/>
        </w:rPr>
        <w:t>unqu</w:t>
      </w:r>
      <w:r>
        <w:rPr>
          <w:rFonts w:ascii="Arial" w:eastAsia="Times New Roman" w:hAnsi="Arial" w:cs="Arial"/>
          <w:sz w:val="24"/>
          <w:szCs w:val="24"/>
          <w:lang w:val="es-ES_tradnl" w:eastAsia="es-ES"/>
        </w:rPr>
        <w:t>e la Ley Orgánica 4/2000</w:t>
      </w:r>
      <w:r w:rsidR="00C571C1" w:rsidRPr="00C571C1">
        <w:rPr>
          <w:rFonts w:ascii="Arial" w:eastAsia="Times New Roman" w:hAnsi="Arial" w:cs="Arial"/>
          <w:sz w:val="24"/>
          <w:szCs w:val="24"/>
          <w:lang w:val="es-ES_tradnl" w:eastAsia="es-ES"/>
        </w:rPr>
        <w:t xml:space="preserve"> contempla procedimientos generales de expulsión o devolución para los inmigrantes que han conseguido entrar en territorio nacional español, lo que</w:t>
      </w:r>
      <w:r>
        <w:rPr>
          <w:rFonts w:ascii="Arial" w:eastAsia="Times New Roman" w:hAnsi="Arial" w:cs="Arial"/>
          <w:sz w:val="24"/>
          <w:szCs w:val="24"/>
          <w:lang w:val="es-ES_tradnl" w:eastAsia="es-ES"/>
        </w:rPr>
        <w:t xml:space="preserve"> se ha hecho en 2015 es contemplar</w:t>
      </w:r>
      <w:r w:rsidR="00C571C1" w:rsidRPr="00C571C1">
        <w:rPr>
          <w:rFonts w:ascii="Arial" w:eastAsia="Times New Roman" w:hAnsi="Arial" w:cs="Arial"/>
          <w:sz w:val="24"/>
          <w:szCs w:val="24"/>
          <w:lang w:val="es-ES_tradnl" w:eastAsia="es-ES"/>
        </w:rPr>
        <w:t xml:space="preserve"> una figura especial (el rechazo de los que no han conseguido entrar en territorio nacional español por haber sido interceptados mientras lo intentaban) para atender de manera eficiente y legal el fenómeno de la inmigración irregular específicamente en las Ciudades Autónomas de Ceuta y Melilla.</w:t>
      </w:r>
    </w:p>
    <w:p w14:paraId="02079789" w14:textId="77777777" w:rsidR="00C571C1" w:rsidRPr="00C571C1" w:rsidRDefault="00C571C1" w:rsidP="00C571C1">
      <w:pPr>
        <w:spacing w:after="0" w:line="240" w:lineRule="auto"/>
        <w:jc w:val="both"/>
        <w:rPr>
          <w:rFonts w:ascii="Arial" w:eastAsia="Times New Roman" w:hAnsi="Arial" w:cs="Arial"/>
          <w:sz w:val="24"/>
          <w:szCs w:val="24"/>
          <w:lang w:val="es-ES_tradnl" w:eastAsia="es-ES"/>
        </w:rPr>
      </w:pPr>
    </w:p>
    <w:p w14:paraId="784D242E" w14:textId="77777777" w:rsidR="00C571C1" w:rsidRPr="00C571C1" w:rsidRDefault="003A5C66" w:rsidP="00C571C1">
      <w:pPr>
        <w:spacing w:after="0" w:line="240" w:lineRule="auto"/>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En este ámbito, el texto</w:t>
      </w:r>
      <w:r w:rsidR="00C571C1" w:rsidRPr="00C571C1">
        <w:rPr>
          <w:rFonts w:ascii="Arial" w:eastAsia="Times New Roman" w:hAnsi="Arial" w:cs="Arial"/>
          <w:sz w:val="24"/>
          <w:szCs w:val="24"/>
          <w:lang w:val="es-ES_tradnl" w:eastAsia="es-ES"/>
        </w:rPr>
        <w:t xml:space="preserve"> de modifi</w:t>
      </w:r>
      <w:r>
        <w:rPr>
          <w:rFonts w:ascii="Arial" w:eastAsia="Times New Roman" w:hAnsi="Arial" w:cs="Arial"/>
          <w:sz w:val="24"/>
          <w:szCs w:val="24"/>
          <w:lang w:val="es-ES_tradnl" w:eastAsia="es-ES"/>
        </w:rPr>
        <w:t>cación de la Ley de Extranjería, que entró en vigor el</w:t>
      </w:r>
      <w:r w:rsidR="00C571C1" w:rsidRPr="00C571C1">
        <w:rPr>
          <w:rFonts w:ascii="Arial" w:eastAsia="Times New Roman" w:hAnsi="Arial" w:cs="Arial"/>
          <w:sz w:val="24"/>
          <w:szCs w:val="24"/>
          <w:lang w:val="es-ES_tradnl" w:eastAsia="es-ES"/>
        </w:rPr>
        <w:t xml:space="preserve"> 1 de abril de 2015, tiene la siguiente redacción:</w:t>
      </w:r>
    </w:p>
    <w:p w14:paraId="4271E882" w14:textId="77777777" w:rsidR="00C571C1" w:rsidRPr="00C571C1" w:rsidRDefault="00C571C1" w:rsidP="00C571C1">
      <w:pPr>
        <w:spacing w:after="0" w:line="240" w:lineRule="auto"/>
        <w:jc w:val="both"/>
        <w:rPr>
          <w:rFonts w:ascii="Arial" w:eastAsia="Times New Roman" w:hAnsi="Arial" w:cs="Arial"/>
          <w:i/>
          <w:sz w:val="24"/>
          <w:szCs w:val="24"/>
          <w:lang w:val="es-ES_tradnl" w:eastAsia="es-ES"/>
        </w:rPr>
      </w:pPr>
    </w:p>
    <w:p w14:paraId="26F18E15" w14:textId="77777777" w:rsidR="00C571C1" w:rsidRPr="00C571C1" w:rsidRDefault="00C571C1" w:rsidP="00C571C1">
      <w:pPr>
        <w:spacing w:after="0" w:line="240" w:lineRule="auto"/>
        <w:ind w:left="284"/>
        <w:jc w:val="both"/>
        <w:rPr>
          <w:rFonts w:ascii="Arial" w:eastAsia="Times New Roman" w:hAnsi="Arial" w:cs="Arial"/>
          <w:sz w:val="24"/>
          <w:szCs w:val="24"/>
          <w:lang w:val="es-ES_tradnl" w:eastAsia="es-ES"/>
        </w:rPr>
      </w:pPr>
      <w:r w:rsidRPr="00C571C1">
        <w:rPr>
          <w:rFonts w:ascii="Arial" w:eastAsia="Times New Roman" w:hAnsi="Arial" w:cs="Arial"/>
          <w:sz w:val="24"/>
          <w:szCs w:val="24"/>
          <w:lang w:val="es-ES_tradnl" w:eastAsia="es-ES"/>
        </w:rPr>
        <w:t>“Disposición Adicional Décima a la Ley Orgánica 4/2000, de 11 de enero, sobre derechos y libertades de los extranjeros en España y su integración social. Régimen especial de Ceuta y Melilla.</w:t>
      </w:r>
    </w:p>
    <w:p w14:paraId="1BE480B7" w14:textId="77777777" w:rsidR="00C571C1" w:rsidRPr="00C571C1" w:rsidRDefault="00C571C1" w:rsidP="00C571C1">
      <w:pPr>
        <w:spacing w:after="0" w:line="240" w:lineRule="auto"/>
        <w:ind w:left="284"/>
        <w:jc w:val="both"/>
        <w:rPr>
          <w:rFonts w:ascii="Arial" w:eastAsia="Times New Roman" w:hAnsi="Arial" w:cs="Arial"/>
          <w:sz w:val="24"/>
          <w:szCs w:val="24"/>
          <w:lang w:val="es-ES_tradnl" w:eastAsia="es-ES"/>
        </w:rPr>
      </w:pPr>
      <w:r w:rsidRPr="00C571C1">
        <w:rPr>
          <w:rFonts w:ascii="Arial" w:eastAsia="Times New Roman" w:hAnsi="Arial" w:cs="Arial"/>
          <w:sz w:val="24"/>
          <w:szCs w:val="24"/>
          <w:lang w:val="es-ES_tradnl" w:eastAsia="es-ES"/>
        </w:rPr>
        <w:t xml:space="preserve">1. Los extranjeros que sean detectados en la línea fronteriza de la demarcación territorial de Ceuta o Melilla mientras intentan superar los </w:t>
      </w:r>
      <w:r w:rsidRPr="00C571C1">
        <w:rPr>
          <w:rFonts w:ascii="Arial" w:eastAsia="Times New Roman" w:hAnsi="Arial" w:cs="Arial"/>
          <w:sz w:val="24"/>
          <w:szCs w:val="24"/>
          <w:lang w:val="es-ES_tradnl" w:eastAsia="es-ES"/>
        </w:rPr>
        <w:lastRenderedPageBreak/>
        <w:t>elementos de contención fronterizos para cruzar irregularmente la frontera podrán ser rechazados a fin de impedir su entrada ilegal en España.</w:t>
      </w:r>
    </w:p>
    <w:p w14:paraId="282AB217" w14:textId="77777777" w:rsidR="00C571C1" w:rsidRPr="00C571C1" w:rsidRDefault="00C571C1" w:rsidP="00C571C1">
      <w:pPr>
        <w:spacing w:after="0" w:line="240" w:lineRule="auto"/>
        <w:ind w:left="284"/>
        <w:jc w:val="both"/>
        <w:rPr>
          <w:rFonts w:ascii="Arial" w:eastAsia="Times New Roman" w:hAnsi="Arial" w:cs="Arial"/>
          <w:sz w:val="24"/>
          <w:szCs w:val="24"/>
          <w:lang w:val="es-ES_tradnl" w:eastAsia="es-ES"/>
        </w:rPr>
      </w:pPr>
      <w:r w:rsidRPr="00C571C1">
        <w:rPr>
          <w:rFonts w:ascii="Arial" w:eastAsia="Times New Roman" w:hAnsi="Arial" w:cs="Arial"/>
          <w:sz w:val="24"/>
          <w:szCs w:val="24"/>
          <w:lang w:val="es-ES_tradnl" w:eastAsia="es-ES"/>
        </w:rPr>
        <w:t>2. En todo caso, el rechazo se realizará respetando la normativa internacional de derechos humanos y de protección internacional de la que España es parte.</w:t>
      </w:r>
    </w:p>
    <w:p w14:paraId="08FEEC62" w14:textId="77777777" w:rsidR="00C571C1" w:rsidRPr="00C571C1" w:rsidRDefault="00C571C1" w:rsidP="00C571C1">
      <w:pPr>
        <w:spacing w:after="0" w:line="240" w:lineRule="auto"/>
        <w:ind w:left="284"/>
        <w:jc w:val="both"/>
        <w:rPr>
          <w:rFonts w:ascii="Arial" w:eastAsia="Times New Roman" w:hAnsi="Arial" w:cs="Arial"/>
          <w:sz w:val="24"/>
          <w:szCs w:val="24"/>
          <w:lang w:val="es-ES_tradnl" w:eastAsia="es-ES"/>
        </w:rPr>
      </w:pPr>
      <w:r w:rsidRPr="00C571C1">
        <w:rPr>
          <w:rFonts w:ascii="Arial" w:eastAsia="Times New Roman" w:hAnsi="Arial" w:cs="Arial"/>
          <w:sz w:val="24"/>
          <w:szCs w:val="24"/>
          <w:lang w:val="es-ES_tradnl" w:eastAsia="es-ES"/>
        </w:rPr>
        <w:t>3. Las solicitudes de protección internacional se formalizarán en los lugares habilitados al efecto en los pasos fronterizos y se tramitarán conforme a lo establecido en la normativa en materia de protección internacional”.</w:t>
      </w:r>
    </w:p>
    <w:p w14:paraId="36BF1EC7" w14:textId="77777777" w:rsidR="00C571C1" w:rsidRPr="00C571C1" w:rsidRDefault="00C571C1" w:rsidP="00C571C1">
      <w:pPr>
        <w:spacing w:after="0" w:line="240" w:lineRule="auto"/>
        <w:jc w:val="both"/>
        <w:rPr>
          <w:rFonts w:ascii="Arial" w:eastAsia="Times New Roman" w:hAnsi="Arial" w:cs="Arial"/>
          <w:sz w:val="24"/>
          <w:szCs w:val="24"/>
          <w:lang w:val="es-ES_tradnl" w:eastAsia="es-ES"/>
        </w:rPr>
      </w:pPr>
    </w:p>
    <w:p w14:paraId="5D0C9474" w14:textId="77777777" w:rsidR="00C571C1" w:rsidRPr="00C571C1" w:rsidRDefault="00C571C1" w:rsidP="00C571C1">
      <w:pPr>
        <w:spacing w:after="0" w:line="240" w:lineRule="auto"/>
        <w:jc w:val="both"/>
        <w:rPr>
          <w:rFonts w:ascii="Arial" w:eastAsia="Times New Roman" w:hAnsi="Arial" w:cs="Arial"/>
          <w:sz w:val="24"/>
          <w:szCs w:val="24"/>
          <w:lang w:val="es-ES_tradnl" w:eastAsia="es-ES"/>
        </w:rPr>
      </w:pPr>
      <w:r w:rsidRPr="00C571C1">
        <w:rPr>
          <w:rFonts w:ascii="Arial" w:eastAsia="Times New Roman" w:hAnsi="Arial" w:cs="Arial"/>
          <w:sz w:val="24"/>
          <w:szCs w:val="24"/>
          <w:lang w:val="es-ES_tradnl" w:eastAsia="es-ES"/>
        </w:rPr>
        <w:t xml:space="preserve">Por ello, </w:t>
      </w:r>
      <w:r w:rsidR="003A5C66">
        <w:rPr>
          <w:rFonts w:ascii="Arial" w:eastAsia="Times New Roman" w:hAnsi="Arial" w:cs="Arial"/>
          <w:sz w:val="24"/>
          <w:szCs w:val="24"/>
          <w:lang w:val="es-ES_tradnl" w:eastAsia="es-ES"/>
        </w:rPr>
        <w:t>por lo que se refiere a las personas que han entrado</w:t>
      </w:r>
      <w:r w:rsidRPr="00C571C1">
        <w:rPr>
          <w:rFonts w:ascii="Arial" w:eastAsia="Times New Roman" w:hAnsi="Arial" w:cs="Arial"/>
          <w:sz w:val="24"/>
          <w:szCs w:val="24"/>
          <w:lang w:val="es-ES_tradnl" w:eastAsia="es-ES"/>
        </w:rPr>
        <w:t xml:space="preserve"> irregularmente en territorio nacional y pueden ser objeto de expulsión, </w:t>
      </w:r>
      <w:r w:rsidR="003A5C66">
        <w:rPr>
          <w:rFonts w:ascii="Arial" w:eastAsia="Times New Roman" w:hAnsi="Arial" w:cs="Arial"/>
          <w:sz w:val="24"/>
          <w:szCs w:val="24"/>
          <w:lang w:val="es-ES_tradnl" w:eastAsia="es-ES"/>
        </w:rPr>
        <w:t xml:space="preserve">en el </w:t>
      </w:r>
      <w:r w:rsidRPr="00C571C1">
        <w:rPr>
          <w:rFonts w:ascii="Arial" w:eastAsia="Times New Roman" w:hAnsi="Arial" w:cs="Arial"/>
          <w:sz w:val="24"/>
          <w:szCs w:val="24"/>
          <w:lang w:val="es-ES_tradnl" w:eastAsia="es-ES"/>
        </w:rPr>
        <w:t>caso de llevarse a cabo la misma por las autoridades competentes</w:t>
      </w:r>
      <w:r w:rsidR="003A5C66">
        <w:rPr>
          <w:rFonts w:ascii="Arial" w:eastAsia="Times New Roman" w:hAnsi="Arial" w:cs="Arial"/>
          <w:sz w:val="24"/>
          <w:szCs w:val="24"/>
          <w:lang w:val="es-ES_tradnl" w:eastAsia="es-ES"/>
        </w:rPr>
        <w:t xml:space="preserve">, ello se hace siempre </w:t>
      </w:r>
      <w:r w:rsidRPr="00C571C1">
        <w:rPr>
          <w:rFonts w:ascii="Arial" w:eastAsia="Times New Roman" w:hAnsi="Arial" w:cs="Arial"/>
          <w:sz w:val="24"/>
          <w:szCs w:val="24"/>
          <w:lang w:val="es-ES_tradnl" w:eastAsia="es-ES"/>
        </w:rPr>
        <w:t>a través de un expediente administrativo individual (nunca de forma colectiva) y contemplando el ofrecimiento de los recursos pertinentes, en co</w:t>
      </w:r>
      <w:r w:rsidR="003A5C66">
        <w:rPr>
          <w:rFonts w:ascii="Arial" w:eastAsia="Times New Roman" w:hAnsi="Arial" w:cs="Arial"/>
          <w:sz w:val="24"/>
          <w:szCs w:val="24"/>
          <w:lang w:val="es-ES_tradnl" w:eastAsia="es-ES"/>
        </w:rPr>
        <w:t>nsonancia con lo ratificado</w:t>
      </w:r>
      <w:r w:rsidRPr="00C571C1">
        <w:rPr>
          <w:rFonts w:ascii="Arial" w:eastAsia="Times New Roman" w:hAnsi="Arial" w:cs="Arial"/>
          <w:sz w:val="24"/>
          <w:szCs w:val="24"/>
          <w:lang w:val="es-ES_tradnl" w:eastAsia="es-ES"/>
        </w:rPr>
        <w:t>.</w:t>
      </w:r>
    </w:p>
    <w:p w14:paraId="46A81004" w14:textId="77777777" w:rsidR="00C571C1" w:rsidRPr="00C571C1" w:rsidRDefault="00C571C1" w:rsidP="00C571C1">
      <w:pPr>
        <w:spacing w:after="0" w:line="240" w:lineRule="auto"/>
        <w:jc w:val="both"/>
        <w:rPr>
          <w:rFonts w:ascii="Arial" w:eastAsia="Times New Roman" w:hAnsi="Arial" w:cs="Arial"/>
          <w:sz w:val="24"/>
          <w:szCs w:val="24"/>
          <w:lang w:val="es-ES_tradnl" w:eastAsia="es-ES"/>
        </w:rPr>
      </w:pPr>
    </w:p>
    <w:p w14:paraId="387B362E" w14:textId="77777777" w:rsidR="00C571C1" w:rsidRPr="00C571C1" w:rsidRDefault="00EB73C2" w:rsidP="00EB73C2">
      <w:pPr>
        <w:spacing w:after="0" w:line="240" w:lineRule="auto"/>
        <w:jc w:val="both"/>
        <w:rPr>
          <w:rFonts w:ascii="Arial" w:eastAsia="Times New Roman" w:hAnsi="Arial" w:cs="Arial"/>
          <w:sz w:val="24"/>
          <w:szCs w:val="24"/>
          <w:lang w:val="es-ES_tradnl" w:eastAsia="es-ES"/>
        </w:rPr>
      </w:pPr>
      <w:r>
        <w:rPr>
          <w:rFonts w:ascii="Arial" w:eastAsia="Times New Roman" w:hAnsi="Arial" w:cs="Arial"/>
          <w:sz w:val="24"/>
          <w:szCs w:val="24"/>
          <w:lang w:val="es-ES_tradnl" w:eastAsia="es-ES"/>
        </w:rPr>
        <w:t xml:space="preserve">En cuanto al </w:t>
      </w:r>
      <w:r w:rsidR="00C571C1" w:rsidRPr="00C571C1">
        <w:rPr>
          <w:rFonts w:ascii="Arial" w:eastAsia="Times New Roman" w:hAnsi="Arial" w:cs="Arial"/>
          <w:sz w:val="24"/>
          <w:szCs w:val="24"/>
          <w:lang w:val="es-ES_tradnl" w:eastAsia="es-ES"/>
        </w:rPr>
        <w:t>régimen especial para Ceuta y Melilla</w:t>
      </w:r>
      <w:r>
        <w:rPr>
          <w:rFonts w:ascii="Arial" w:eastAsia="Times New Roman" w:hAnsi="Arial" w:cs="Arial"/>
          <w:sz w:val="24"/>
          <w:szCs w:val="24"/>
          <w:lang w:val="es-ES_tradnl" w:eastAsia="es-ES"/>
        </w:rPr>
        <w:t>, este</w:t>
      </w:r>
      <w:r w:rsidR="00C571C1" w:rsidRPr="00C571C1">
        <w:rPr>
          <w:rFonts w:ascii="Arial" w:eastAsia="Times New Roman" w:hAnsi="Arial" w:cs="Arial"/>
          <w:sz w:val="24"/>
          <w:szCs w:val="24"/>
          <w:lang w:val="es-ES_tradnl" w:eastAsia="es-ES"/>
        </w:rPr>
        <w:t xml:space="preserve"> ha sido avalado tanto por el Tribunal Europeo de Derechos Humanos como, posteriormente, por el Tribunal Constitucional.</w:t>
      </w:r>
      <w:r>
        <w:rPr>
          <w:rFonts w:ascii="Arial" w:eastAsia="Times New Roman" w:hAnsi="Arial" w:cs="Arial"/>
          <w:sz w:val="24"/>
          <w:szCs w:val="24"/>
          <w:lang w:val="es-ES_tradnl" w:eastAsia="es-ES"/>
        </w:rPr>
        <w:t xml:space="preserve"> L</w:t>
      </w:r>
      <w:r w:rsidR="00C571C1" w:rsidRPr="00C571C1">
        <w:rPr>
          <w:rFonts w:ascii="Arial" w:eastAsia="Times New Roman" w:hAnsi="Arial" w:cs="Arial"/>
          <w:sz w:val="24"/>
          <w:szCs w:val="24"/>
          <w:lang w:eastAsia="es-ES"/>
        </w:rPr>
        <w:t>a Sentencia de la Gran Sala del Tribunal Europeo de Derechos Humanos en el denominado asunto N.D. y N.T. contra el Reino de España (Demandas Nos 8675/15 y 8694/15) ha avalad</w:t>
      </w:r>
      <w:r>
        <w:rPr>
          <w:rFonts w:ascii="Arial" w:eastAsia="Times New Roman" w:hAnsi="Arial" w:cs="Arial"/>
          <w:sz w:val="24"/>
          <w:szCs w:val="24"/>
          <w:lang w:eastAsia="es-ES"/>
        </w:rPr>
        <w:t>o la legalidad y respeto de los derechos h</w:t>
      </w:r>
      <w:r w:rsidR="00C571C1" w:rsidRPr="00C571C1">
        <w:rPr>
          <w:rFonts w:ascii="Arial" w:eastAsia="Times New Roman" w:hAnsi="Arial" w:cs="Arial"/>
          <w:sz w:val="24"/>
          <w:szCs w:val="24"/>
          <w:lang w:eastAsia="es-ES"/>
        </w:rPr>
        <w:t xml:space="preserve">umanos del rechazo en frontera practicado en Ceuta y Melilla. </w:t>
      </w:r>
    </w:p>
    <w:p w14:paraId="69DA5C8C" w14:textId="77777777" w:rsidR="00C571C1" w:rsidRPr="00C571C1" w:rsidRDefault="00C571C1" w:rsidP="00C571C1">
      <w:pPr>
        <w:spacing w:after="0" w:line="240" w:lineRule="auto"/>
        <w:jc w:val="both"/>
        <w:rPr>
          <w:rFonts w:ascii="Arial" w:eastAsia="Times New Roman" w:hAnsi="Arial" w:cs="Arial"/>
          <w:sz w:val="24"/>
          <w:szCs w:val="24"/>
          <w:lang w:eastAsia="es-ES"/>
        </w:rPr>
      </w:pPr>
    </w:p>
    <w:p w14:paraId="791D5EE4" w14:textId="408E26C3" w:rsidR="00E268E4" w:rsidRDefault="00E268E4">
      <w:pPr>
        <w:rPr>
          <w:rFonts w:ascii="Arial" w:hAnsi="Arial" w:cs="Arial"/>
          <w:sz w:val="24"/>
          <w:szCs w:val="24"/>
        </w:rPr>
      </w:pPr>
    </w:p>
    <w:p w14:paraId="31B17CCF" w14:textId="179FB8DA" w:rsidR="000D1EB7" w:rsidRPr="000D1EB7" w:rsidRDefault="000D1EB7" w:rsidP="000D1EB7">
      <w:pPr>
        <w:jc w:val="both"/>
        <w:rPr>
          <w:rFonts w:ascii="Arial" w:eastAsia="Calibri" w:hAnsi="Arial" w:cs="Arial"/>
          <w:b/>
          <w:sz w:val="24"/>
          <w:szCs w:val="24"/>
        </w:rPr>
      </w:pPr>
      <w:r w:rsidRPr="000D1EB7">
        <w:rPr>
          <w:rFonts w:ascii="Arial" w:eastAsia="Calibri" w:hAnsi="Arial" w:cs="Arial"/>
          <w:b/>
          <w:sz w:val="24"/>
          <w:szCs w:val="24"/>
        </w:rPr>
        <w:t xml:space="preserve">14. A la luz las reformas al régimen de incomunicación que tuvieron lugar y de lo informado en los párrafos 51 a 63 de la información complementaria presentada por el Estado parte, sírvanse: (a) indicar si existen nuevos proyectos legislativos tendientes a derogar el régimen de incomunicación vigente; y </w:t>
      </w:r>
      <w:r w:rsidRPr="007A0504">
        <w:rPr>
          <w:rFonts w:ascii="Arial" w:eastAsia="Calibri" w:hAnsi="Arial" w:cs="Arial"/>
          <w:b/>
          <w:sz w:val="24"/>
          <w:szCs w:val="24"/>
        </w:rPr>
        <w:t>(b) precisar si, ante la detención de una persona bajo el régimen de incomunicación, las autoridades estatales informan de manera automática e inmediata a los allegados y, de corresponder, a las autoridades consulares de la privación de la libertad y del lugar de custodia, o si, por el contrario, dicha información solamente se transmite tras una solicitud de las personas y/o autoridades consulares interesadas.</w:t>
      </w:r>
    </w:p>
    <w:p w14:paraId="010DE5B9" w14:textId="2C4E3121" w:rsidR="000D1EB7" w:rsidRDefault="000D1EB7" w:rsidP="00AA4CBE">
      <w:pPr>
        <w:spacing w:after="0" w:line="240" w:lineRule="auto"/>
        <w:contextualSpacing/>
        <w:jc w:val="both"/>
        <w:rPr>
          <w:rFonts w:ascii="Arial" w:eastAsia="Calibri" w:hAnsi="Arial" w:cs="Arial"/>
          <w:sz w:val="24"/>
          <w:szCs w:val="24"/>
        </w:rPr>
      </w:pPr>
      <w:r w:rsidRPr="000D1EB7">
        <w:rPr>
          <w:rFonts w:ascii="Arial" w:eastAsia="Calibri" w:hAnsi="Arial" w:cs="Arial"/>
          <w:sz w:val="24"/>
          <w:szCs w:val="24"/>
        </w:rPr>
        <w:t xml:space="preserve">No existen proyectos legislativos tendentes a derogar el régimen de incomunicación vigente. Existe un anteproyecto de Ley de Enjuiciamiento Criminal en el que se aborda esta institución, pero no su derogación.  </w:t>
      </w:r>
    </w:p>
    <w:p w14:paraId="4EBF8CEA" w14:textId="258DC341" w:rsidR="00B319F7" w:rsidRDefault="00B319F7" w:rsidP="00AA4CBE">
      <w:pPr>
        <w:spacing w:after="0" w:line="240" w:lineRule="auto"/>
        <w:contextualSpacing/>
        <w:jc w:val="both"/>
        <w:rPr>
          <w:rFonts w:ascii="Arial" w:eastAsia="Calibri" w:hAnsi="Arial" w:cs="Arial"/>
          <w:sz w:val="24"/>
          <w:szCs w:val="24"/>
        </w:rPr>
      </w:pPr>
    </w:p>
    <w:p w14:paraId="7E1E4B60" w14:textId="20B878A4" w:rsidR="00802859" w:rsidRPr="00802859" w:rsidRDefault="00802859" w:rsidP="00802859">
      <w:pPr>
        <w:spacing w:after="0" w:line="240" w:lineRule="auto"/>
        <w:contextualSpacing/>
        <w:jc w:val="both"/>
        <w:rPr>
          <w:rFonts w:ascii="Arial" w:eastAsia="Calibri" w:hAnsi="Arial" w:cs="Arial"/>
          <w:sz w:val="24"/>
          <w:szCs w:val="24"/>
        </w:rPr>
      </w:pPr>
      <w:r>
        <w:rPr>
          <w:rFonts w:ascii="Arial" w:eastAsia="Calibri" w:hAnsi="Arial" w:cs="Arial"/>
          <w:sz w:val="24"/>
          <w:szCs w:val="24"/>
        </w:rPr>
        <w:t>Con respecto a la forma en la que se informa a los allegados y, en su caso, a las autoridades consulares de la privación de libertad, cabe precisar que</w:t>
      </w:r>
      <w:r w:rsidR="007C16C4">
        <w:rPr>
          <w:rFonts w:ascii="Arial" w:eastAsia="Calibri" w:hAnsi="Arial" w:cs="Arial"/>
          <w:sz w:val="24"/>
          <w:szCs w:val="24"/>
        </w:rPr>
        <w:t xml:space="preserve"> se llevará a cabo de oficio</w:t>
      </w:r>
      <w:r>
        <w:rPr>
          <w:rFonts w:ascii="Arial" w:eastAsia="Calibri" w:hAnsi="Arial" w:cs="Arial"/>
          <w:sz w:val="24"/>
          <w:szCs w:val="24"/>
        </w:rPr>
        <w:t xml:space="preserve"> tanto la comunicación a las autoridades consulares como, en el caso de un menor de edad, la comunicación </w:t>
      </w:r>
      <w:r w:rsidR="007C16C4">
        <w:rPr>
          <w:rFonts w:ascii="Arial" w:eastAsia="Calibri" w:hAnsi="Arial" w:cs="Arial"/>
          <w:sz w:val="24"/>
          <w:szCs w:val="24"/>
        </w:rPr>
        <w:t>a quien ejerza la patria potestad, la tutela o la guarda. Por otra parte, es la persona mayor de edad detenida quien decide si se pone o no en conocimiento de un familiar o persona que desee su privación de libertad y el lugar de custodia. En cualquier caso, debe tenerse presente</w:t>
      </w:r>
      <w:r w:rsidRPr="00802859">
        <w:rPr>
          <w:rFonts w:ascii="Arial" w:eastAsia="Calibri" w:hAnsi="Arial" w:cs="Arial"/>
          <w:sz w:val="24"/>
          <w:szCs w:val="24"/>
        </w:rPr>
        <w:t xml:space="preserve"> que será la autoridad judicial competente quien motive la restricción de los derechos señ</w:t>
      </w:r>
      <w:r w:rsidR="007C16C4">
        <w:rPr>
          <w:rFonts w:ascii="Arial" w:eastAsia="Calibri" w:hAnsi="Arial" w:cs="Arial"/>
          <w:sz w:val="24"/>
          <w:szCs w:val="24"/>
        </w:rPr>
        <w:t>alados en el artículo 527 de la Ley de Enjuiciamiento Criminal</w:t>
      </w:r>
      <w:r w:rsidRPr="00802859">
        <w:rPr>
          <w:rFonts w:ascii="Arial" w:eastAsia="Calibri" w:hAnsi="Arial" w:cs="Arial"/>
          <w:sz w:val="24"/>
          <w:szCs w:val="24"/>
        </w:rPr>
        <w:t xml:space="preserve">, </w:t>
      </w:r>
      <w:r w:rsidR="007C16C4">
        <w:rPr>
          <w:rFonts w:ascii="Arial" w:eastAsia="Calibri" w:hAnsi="Arial" w:cs="Arial"/>
          <w:sz w:val="24"/>
          <w:szCs w:val="24"/>
        </w:rPr>
        <w:t xml:space="preserve">y que </w:t>
      </w:r>
      <w:bookmarkStart w:id="1" w:name="_GoBack"/>
      <w:bookmarkEnd w:id="1"/>
      <w:r w:rsidRPr="00802859">
        <w:rPr>
          <w:rFonts w:ascii="Arial" w:eastAsia="Calibri" w:hAnsi="Arial" w:cs="Arial"/>
          <w:sz w:val="24"/>
          <w:szCs w:val="24"/>
        </w:rPr>
        <w:t xml:space="preserve">el Ministerio Fiscal y el letrado del detenido o preso siempre tendrán </w:t>
      </w:r>
      <w:r w:rsidRPr="00802859">
        <w:rPr>
          <w:rFonts w:ascii="Arial" w:eastAsia="Calibri" w:hAnsi="Arial" w:cs="Arial"/>
          <w:sz w:val="24"/>
          <w:szCs w:val="24"/>
        </w:rPr>
        <w:lastRenderedPageBreak/>
        <w:t>derecho a comunicarse con la persona detenida, siendo por ello conocedores de su situación personal.</w:t>
      </w:r>
    </w:p>
    <w:p w14:paraId="6B3EA05A" w14:textId="77777777" w:rsidR="00802859" w:rsidRPr="00802859" w:rsidRDefault="00802859" w:rsidP="00802859">
      <w:pPr>
        <w:spacing w:after="0" w:line="240" w:lineRule="auto"/>
        <w:jc w:val="center"/>
        <w:rPr>
          <w:rFonts w:ascii="Arial" w:eastAsia="Times New Roman" w:hAnsi="Arial" w:cs="Arial"/>
          <w:lang w:eastAsia="es-ES"/>
        </w:rPr>
      </w:pPr>
    </w:p>
    <w:p w14:paraId="4A884AB6" w14:textId="1066AAFF" w:rsidR="00B319F7" w:rsidRPr="00802859" w:rsidRDefault="00B319F7" w:rsidP="00AA4CBE">
      <w:pPr>
        <w:spacing w:after="0" w:line="240" w:lineRule="auto"/>
        <w:contextualSpacing/>
        <w:jc w:val="both"/>
        <w:rPr>
          <w:rFonts w:ascii="Arial" w:eastAsia="Calibri" w:hAnsi="Arial" w:cs="Arial"/>
          <w:sz w:val="24"/>
          <w:szCs w:val="24"/>
        </w:rPr>
      </w:pPr>
    </w:p>
    <w:p w14:paraId="0D32997D" w14:textId="77777777" w:rsidR="000D1EB7" w:rsidRPr="00802859" w:rsidRDefault="000D1EB7" w:rsidP="000D1EB7">
      <w:pPr>
        <w:ind w:left="720"/>
        <w:contextualSpacing/>
        <w:rPr>
          <w:rFonts w:ascii="Arial" w:eastAsia="Calibri" w:hAnsi="Arial" w:cs="Arial"/>
          <w:sz w:val="24"/>
          <w:szCs w:val="24"/>
        </w:rPr>
      </w:pPr>
    </w:p>
    <w:p w14:paraId="69371B7D" w14:textId="55ABD757" w:rsidR="000D1EB7" w:rsidRPr="00802859" w:rsidRDefault="000D1EB7" w:rsidP="00AA4CBE">
      <w:pPr>
        <w:spacing w:after="0" w:line="240" w:lineRule="auto"/>
        <w:ind w:left="720"/>
        <w:contextualSpacing/>
        <w:jc w:val="both"/>
        <w:rPr>
          <w:rFonts w:ascii="Arial" w:eastAsia="Calibri" w:hAnsi="Arial" w:cs="Arial"/>
          <w:sz w:val="24"/>
          <w:szCs w:val="24"/>
        </w:rPr>
      </w:pPr>
    </w:p>
    <w:p w14:paraId="02266FE8" w14:textId="77777777" w:rsidR="000D1EB7" w:rsidRPr="00802859" w:rsidRDefault="000D1EB7" w:rsidP="000D1EB7">
      <w:pPr>
        <w:spacing w:after="0" w:line="240" w:lineRule="auto"/>
        <w:jc w:val="center"/>
        <w:rPr>
          <w:rFonts w:ascii="Arial" w:eastAsia="Times New Roman" w:hAnsi="Arial" w:cs="Arial"/>
          <w:lang w:eastAsia="es-ES"/>
        </w:rPr>
      </w:pPr>
    </w:p>
    <w:p w14:paraId="2871D2D2" w14:textId="77777777" w:rsidR="000D1EB7" w:rsidRPr="00802859" w:rsidRDefault="000D1EB7">
      <w:pPr>
        <w:rPr>
          <w:rFonts w:ascii="Arial" w:hAnsi="Arial" w:cs="Arial"/>
          <w:sz w:val="24"/>
          <w:szCs w:val="24"/>
        </w:rPr>
      </w:pPr>
    </w:p>
    <w:sectPr w:rsidR="000D1EB7" w:rsidRPr="0080285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A02C39" w14:textId="77777777" w:rsidR="00C571C1" w:rsidRDefault="00C571C1" w:rsidP="00C571C1">
      <w:pPr>
        <w:spacing w:after="0" w:line="240" w:lineRule="auto"/>
      </w:pPr>
      <w:r>
        <w:separator/>
      </w:r>
    </w:p>
  </w:endnote>
  <w:endnote w:type="continuationSeparator" w:id="0">
    <w:p w14:paraId="62A7F2F0" w14:textId="77777777" w:rsidR="00C571C1" w:rsidRDefault="00C571C1" w:rsidP="00C571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FCC21F3" w14:textId="77777777" w:rsidR="00C571C1" w:rsidRDefault="00C571C1" w:rsidP="00C571C1">
      <w:pPr>
        <w:spacing w:after="0" w:line="240" w:lineRule="auto"/>
      </w:pPr>
      <w:r>
        <w:separator/>
      </w:r>
    </w:p>
  </w:footnote>
  <w:footnote w:type="continuationSeparator" w:id="0">
    <w:p w14:paraId="6CF5E57B" w14:textId="77777777" w:rsidR="00C571C1" w:rsidRDefault="00C571C1" w:rsidP="00C571C1">
      <w:pPr>
        <w:spacing w:after="0" w:line="240" w:lineRule="auto"/>
      </w:pPr>
      <w:r>
        <w:continuationSeparator/>
      </w:r>
    </w:p>
  </w:footnote>
  <w:footnote w:id="1">
    <w:p w14:paraId="44BE9867" w14:textId="77777777" w:rsidR="00C571C1" w:rsidRPr="009A2D2E" w:rsidRDefault="00C571C1" w:rsidP="00C571C1">
      <w:pPr>
        <w:pStyle w:val="Textonotapie"/>
        <w:rPr>
          <w:rFonts w:ascii="Times New Roman" w:hAnsi="Times New Roman"/>
          <w:sz w:val="16"/>
          <w:szCs w:val="16"/>
        </w:rPr>
      </w:pPr>
      <w:r w:rsidRPr="009A2D2E">
        <w:rPr>
          <w:rStyle w:val="Refdenotaalpie"/>
          <w:rFonts w:ascii="Times New Roman" w:hAnsi="Times New Roman"/>
        </w:rPr>
        <w:footnoteRef/>
      </w:r>
      <w:r w:rsidRPr="009A2D2E">
        <w:rPr>
          <w:rFonts w:ascii="Times New Roman" w:hAnsi="Times New Roman"/>
        </w:rPr>
        <w:t xml:space="preserve"> </w:t>
      </w:r>
      <w:r w:rsidRPr="009A2D2E">
        <w:rPr>
          <w:rFonts w:ascii="Times New Roman" w:hAnsi="Times New Roman"/>
          <w:sz w:val="16"/>
          <w:szCs w:val="16"/>
        </w:rPr>
        <w:t>Establecido en el art. 1 de la Ley 50/1981, reguladora del Estatuto Orgánico del Ministerio Fiscal.</w:t>
      </w:r>
    </w:p>
  </w:footnote>
  <w:footnote w:id="2">
    <w:p w14:paraId="5EE98766" w14:textId="77777777" w:rsidR="00C571C1" w:rsidRPr="009A2D2E" w:rsidRDefault="00C571C1" w:rsidP="00C571C1">
      <w:pPr>
        <w:pStyle w:val="Textonotapie"/>
        <w:rPr>
          <w:rFonts w:ascii="Times New Roman" w:hAnsi="Times New Roman"/>
          <w:sz w:val="16"/>
          <w:szCs w:val="16"/>
        </w:rPr>
      </w:pPr>
      <w:r w:rsidRPr="009A2D2E">
        <w:rPr>
          <w:rStyle w:val="Refdenotaalpie"/>
          <w:rFonts w:ascii="Times New Roman" w:hAnsi="Times New Roman"/>
          <w:sz w:val="16"/>
          <w:szCs w:val="16"/>
        </w:rPr>
        <w:footnoteRef/>
      </w:r>
      <w:r w:rsidRPr="009A2D2E">
        <w:rPr>
          <w:rFonts w:ascii="Times New Roman" w:hAnsi="Times New Roman"/>
          <w:sz w:val="16"/>
          <w:szCs w:val="16"/>
        </w:rPr>
        <w:t xml:space="preserve"> Título II, arts. 34 a 62.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AE0947"/>
    <w:multiLevelType w:val="multilevel"/>
    <w:tmpl w:val="53B23E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A03DEC"/>
    <w:multiLevelType w:val="hybridMultilevel"/>
    <w:tmpl w:val="A11882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DFA2CBF"/>
    <w:multiLevelType w:val="hybridMultilevel"/>
    <w:tmpl w:val="D2B4D49C"/>
    <w:lvl w:ilvl="0" w:tplc="90B6FE6E">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C2816E1"/>
    <w:multiLevelType w:val="hybridMultilevel"/>
    <w:tmpl w:val="3DE609DC"/>
    <w:lvl w:ilvl="0" w:tplc="90B6FE6E">
      <w:numFmt w:val="bullet"/>
      <w:lvlText w:val="-"/>
      <w:lvlJc w:val="left"/>
      <w:pPr>
        <w:ind w:left="720" w:hanging="360"/>
      </w:pPr>
      <w:rPr>
        <w:rFonts w:ascii="Calibri" w:eastAsia="Calibr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3F752DD3"/>
    <w:multiLevelType w:val="hybridMultilevel"/>
    <w:tmpl w:val="958A4EF4"/>
    <w:lvl w:ilvl="0" w:tplc="3384E108">
      <w:start w:val="2"/>
      <w:numFmt w:val="bullet"/>
      <w:lvlText w:val=""/>
      <w:lvlJc w:val="left"/>
      <w:pPr>
        <w:ind w:left="720" w:hanging="360"/>
      </w:pPr>
      <w:rPr>
        <w:rFonts w:ascii="Symbol" w:eastAsia="Calibri"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47D279B7"/>
    <w:multiLevelType w:val="hybridMultilevel"/>
    <w:tmpl w:val="7FC07656"/>
    <w:lvl w:ilvl="0" w:tplc="90B6FE6E">
      <w:numFmt w:val="bullet"/>
      <w:lvlText w:val="-"/>
      <w:lvlJc w:val="left"/>
      <w:pPr>
        <w:ind w:left="720" w:hanging="360"/>
      </w:pPr>
      <w:rPr>
        <w:rFonts w:ascii="Calibri" w:eastAsia="Calibr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791456D1"/>
    <w:multiLevelType w:val="hybridMultilevel"/>
    <w:tmpl w:val="534035B6"/>
    <w:lvl w:ilvl="0" w:tplc="0C0A0003">
      <w:start w:val="1"/>
      <w:numFmt w:val="bullet"/>
      <w:lvlText w:val="o"/>
      <w:lvlJc w:val="left"/>
      <w:pPr>
        <w:ind w:left="720" w:hanging="360"/>
      </w:pPr>
      <w:rPr>
        <w:rFonts w:ascii="Courier New" w:hAnsi="Courier New" w:cs="Courier New"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0"/>
    <w:lvlOverride w:ilvl="0">
      <w:lvl w:ilvl="0">
        <w:numFmt w:val="decimal"/>
        <w:lvlText w:val=""/>
        <w:lvlJc w:val="left"/>
      </w:lvl>
    </w:lvlOverride>
    <w:lvlOverride w:ilvl="1">
      <w:lvl w:ilvl="1">
        <w:numFmt w:val="bullet"/>
        <w:lvlText w:val=""/>
        <w:lvlJc w:val="left"/>
        <w:pPr>
          <w:tabs>
            <w:tab w:val="num" w:pos="1440"/>
          </w:tabs>
          <w:ind w:left="1440" w:hanging="360"/>
        </w:pPr>
        <w:rPr>
          <w:rFonts w:ascii="Symbol" w:hAnsi="Symbol" w:hint="default"/>
          <w:sz w:val="20"/>
        </w:rPr>
      </w:lvl>
    </w:lvlOverride>
  </w:num>
  <w:num w:numId="3">
    <w:abstractNumId w:val="4"/>
  </w:num>
  <w:num w:numId="4">
    <w:abstractNumId w:val="3"/>
  </w:num>
  <w:num w:numId="5">
    <w:abstractNumId w:val="2"/>
  </w:num>
  <w:num w:numId="6">
    <w:abstractNumId w:val="6"/>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8E4"/>
    <w:rsid w:val="0003010D"/>
    <w:rsid w:val="000D1EB7"/>
    <w:rsid w:val="000D58D2"/>
    <w:rsid w:val="000E45DB"/>
    <w:rsid w:val="0010367E"/>
    <w:rsid w:val="00121789"/>
    <w:rsid w:val="00167F77"/>
    <w:rsid w:val="001A3F1F"/>
    <w:rsid w:val="001E65FF"/>
    <w:rsid w:val="001F49A2"/>
    <w:rsid w:val="00224E58"/>
    <w:rsid w:val="00240D3B"/>
    <w:rsid w:val="00271F7D"/>
    <w:rsid w:val="00277149"/>
    <w:rsid w:val="00293BD5"/>
    <w:rsid w:val="00295584"/>
    <w:rsid w:val="002B176A"/>
    <w:rsid w:val="002C39B7"/>
    <w:rsid w:val="002F7AA2"/>
    <w:rsid w:val="00305917"/>
    <w:rsid w:val="0039290B"/>
    <w:rsid w:val="003A5045"/>
    <w:rsid w:val="003A5C66"/>
    <w:rsid w:val="003C1697"/>
    <w:rsid w:val="003D051B"/>
    <w:rsid w:val="003D21A0"/>
    <w:rsid w:val="005046E9"/>
    <w:rsid w:val="00515DF3"/>
    <w:rsid w:val="005559A8"/>
    <w:rsid w:val="0061666C"/>
    <w:rsid w:val="0063552E"/>
    <w:rsid w:val="006B5CA3"/>
    <w:rsid w:val="00747379"/>
    <w:rsid w:val="007A0504"/>
    <w:rsid w:val="007C16C4"/>
    <w:rsid w:val="00802859"/>
    <w:rsid w:val="008145BB"/>
    <w:rsid w:val="008E4F80"/>
    <w:rsid w:val="008F74CA"/>
    <w:rsid w:val="00916C4E"/>
    <w:rsid w:val="00956FFF"/>
    <w:rsid w:val="009577CD"/>
    <w:rsid w:val="00967C74"/>
    <w:rsid w:val="009A56D3"/>
    <w:rsid w:val="009F0375"/>
    <w:rsid w:val="009F0FCB"/>
    <w:rsid w:val="00A61938"/>
    <w:rsid w:val="00A85E74"/>
    <w:rsid w:val="00AA4CBE"/>
    <w:rsid w:val="00AB06C0"/>
    <w:rsid w:val="00AC3310"/>
    <w:rsid w:val="00AF00BB"/>
    <w:rsid w:val="00B319F7"/>
    <w:rsid w:val="00B915FA"/>
    <w:rsid w:val="00BB192B"/>
    <w:rsid w:val="00BB49E5"/>
    <w:rsid w:val="00BE7CDB"/>
    <w:rsid w:val="00BF3CE6"/>
    <w:rsid w:val="00C00AAF"/>
    <w:rsid w:val="00C0144F"/>
    <w:rsid w:val="00C14742"/>
    <w:rsid w:val="00C40C45"/>
    <w:rsid w:val="00C571C1"/>
    <w:rsid w:val="00CE122D"/>
    <w:rsid w:val="00D07468"/>
    <w:rsid w:val="00D12314"/>
    <w:rsid w:val="00D31E6E"/>
    <w:rsid w:val="00D36AFD"/>
    <w:rsid w:val="00D4429F"/>
    <w:rsid w:val="00D652F7"/>
    <w:rsid w:val="00DD7064"/>
    <w:rsid w:val="00E268E4"/>
    <w:rsid w:val="00E40F02"/>
    <w:rsid w:val="00E71596"/>
    <w:rsid w:val="00E861D2"/>
    <w:rsid w:val="00E91557"/>
    <w:rsid w:val="00EA6C24"/>
    <w:rsid w:val="00EB73C2"/>
    <w:rsid w:val="00EC23A8"/>
    <w:rsid w:val="00EC7D21"/>
    <w:rsid w:val="00F02EC9"/>
    <w:rsid w:val="00F913D6"/>
    <w:rsid w:val="00FC64E2"/>
    <w:rsid w:val="00FE07A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00284"/>
  <w15:chartTrackingRefBased/>
  <w15:docId w15:val="{366A2ED9-DC86-4012-81E7-1DE7735B1F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10367E"/>
    <w:pPr>
      <w:ind w:left="720"/>
      <w:contextualSpacing/>
    </w:pPr>
  </w:style>
  <w:style w:type="paragraph" w:styleId="Textonotapie">
    <w:name w:val="footnote text"/>
    <w:basedOn w:val="Normal"/>
    <w:link w:val="TextonotapieCar"/>
    <w:uiPriority w:val="99"/>
    <w:semiHidden/>
    <w:rsid w:val="00C571C1"/>
    <w:pPr>
      <w:spacing w:after="0" w:line="240" w:lineRule="auto"/>
    </w:pPr>
    <w:rPr>
      <w:rFonts w:ascii="Arial" w:eastAsia="Times New Roman" w:hAnsi="Arial" w:cs="Times New Roman"/>
      <w:sz w:val="20"/>
      <w:szCs w:val="20"/>
      <w:lang w:eastAsia="es-ES"/>
    </w:rPr>
  </w:style>
  <w:style w:type="character" w:customStyle="1" w:styleId="TextonotapieCar">
    <w:name w:val="Texto nota pie Car"/>
    <w:basedOn w:val="Fuentedeprrafopredeter"/>
    <w:link w:val="Textonotapie"/>
    <w:uiPriority w:val="99"/>
    <w:semiHidden/>
    <w:rsid w:val="00C571C1"/>
    <w:rPr>
      <w:rFonts w:ascii="Arial" w:eastAsia="Times New Roman" w:hAnsi="Arial" w:cs="Times New Roman"/>
      <w:sz w:val="20"/>
      <w:szCs w:val="20"/>
      <w:lang w:eastAsia="es-ES"/>
    </w:rPr>
  </w:style>
  <w:style w:type="character" w:styleId="Refdenotaalpie">
    <w:name w:val="footnote reference"/>
    <w:uiPriority w:val="99"/>
    <w:semiHidden/>
    <w:rsid w:val="00C571C1"/>
    <w:rPr>
      <w:vertAlign w:val="superscript"/>
    </w:rPr>
  </w:style>
  <w:style w:type="character" w:styleId="Refdecomentario">
    <w:name w:val="annotation reference"/>
    <w:basedOn w:val="Fuentedeprrafopredeter"/>
    <w:uiPriority w:val="99"/>
    <w:semiHidden/>
    <w:unhideWhenUsed/>
    <w:rsid w:val="00240D3B"/>
    <w:rPr>
      <w:sz w:val="16"/>
      <w:szCs w:val="16"/>
    </w:rPr>
  </w:style>
  <w:style w:type="paragraph" w:styleId="Textocomentario">
    <w:name w:val="annotation text"/>
    <w:basedOn w:val="Normal"/>
    <w:link w:val="TextocomentarioCar"/>
    <w:uiPriority w:val="99"/>
    <w:semiHidden/>
    <w:unhideWhenUsed/>
    <w:rsid w:val="00240D3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40D3B"/>
    <w:rPr>
      <w:sz w:val="20"/>
      <w:szCs w:val="20"/>
    </w:rPr>
  </w:style>
  <w:style w:type="paragraph" w:styleId="Asuntodelcomentario">
    <w:name w:val="annotation subject"/>
    <w:basedOn w:val="Textocomentario"/>
    <w:next w:val="Textocomentario"/>
    <w:link w:val="AsuntodelcomentarioCar"/>
    <w:uiPriority w:val="99"/>
    <w:semiHidden/>
    <w:unhideWhenUsed/>
    <w:rsid w:val="00240D3B"/>
    <w:rPr>
      <w:b/>
      <w:bCs/>
    </w:rPr>
  </w:style>
  <w:style w:type="character" w:customStyle="1" w:styleId="AsuntodelcomentarioCar">
    <w:name w:val="Asunto del comentario Car"/>
    <w:basedOn w:val="TextocomentarioCar"/>
    <w:link w:val="Asuntodelcomentario"/>
    <w:uiPriority w:val="99"/>
    <w:semiHidden/>
    <w:rsid w:val="00240D3B"/>
    <w:rPr>
      <w:b/>
      <w:bCs/>
      <w:sz w:val="20"/>
      <w:szCs w:val="20"/>
    </w:rPr>
  </w:style>
  <w:style w:type="paragraph" w:styleId="Textodeglobo">
    <w:name w:val="Balloon Text"/>
    <w:basedOn w:val="Normal"/>
    <w:link w:val="TextodegloboCar"/>
    <w:uiPriority w:val="99"/>
    <w:semiHidden/>
    <w:unhideWhenUsed/>
    <w:rsid w:val="00240D3B"/>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40D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889416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oe.es/buscar/act.php?id=BOE-A-1995-25444" TargetMode="External"/><Relationship Id="rId18" Type="http://schemas.openxmlformats.org/officeDocument/2006/relationships/hyperlink" Target="https://www.boe.es/buscar/act.php?id=BOE-A-1995-25444" TargetMode="External"/><Relationship Id="rId26" Type="http://schemas.openxmlformats.org/officeDocument/2006/relationships/hyperlink" Target="https://www.mpr.gob.es/servicios/participacion/audienciapublica/Paginas/VSGT2020/apl-memoria-democratica.aspx" TargetMode="External"/><Relationship Id="rId39" Type="http://schemas.openxmlformats.org/officeDocument/2006/relationships/customXml" Target="../customXml/item3.xml"/><Relationship Id="rId21" Type="http://schemas.openxmlformats.org/officeDocument/2006/relationships/hyperlink" Target="https://www.boe.es/buscar/act.php?id=BOE-A-1995-25444" TargetMode="External"/><Relationship Id="rId34" Type="http://schemas.openxmlformats.org/officeDocument/2006/relationships/image" Target="media/image2.png"/><Relationship Id="rId7" Type="http://schemas.openxmlformats.org/officeDocument/2006/relationships/hyperlink" Target="https://www.boe.es/buscar/act.php?id=BOE-A-1995-25444" TargetMode="External"/><Relationship Id="rId12" Type="http://schemas.openxmlformats.org/officeDocument/2006/relationships/hyperlink" Target="https://www.boe.es/buscar/act.php?id=BOE-A-1995-25444" TargetMode="External"/><Relationship Id="rId17" Type="http://schemas.openxmlformats.org/officeDocument/2006/relationships/hyperlink" Target="https://www.boe.es/buscar/act.php?id=BOE-A-2015-4606" TargetMode="External"/><Relationship Id="rId25" Type="http://schemas.openxmlformats.org/officeDocument/2006/relationships/hyperlink" Target="https://www.mpr.gob.es/servicios/participacion/consultaprevia/Paginas/2020/LeyMemoriaDemocratica.aspx" TargetMode="External"/><Relationship Id="rId33" Type="http://schemas.openxmlformats.org/officeDocument/2006/relationships/image" Target="media/image1.emf"/><Relationship Id="rId38"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hyperlink" Target="https://www.boe.es/buscar/act.php?id=BOE-A-2015-4606" TargetMode="External"/><Relationship Id="rId20" Type="http://schemas.openxmlformats.org/officeDocument/2006/relationships/hyperlink" Target="https://www.boe.es/buscar/act.php?id=BOE-A-1995-25444" TargetMode="External"/><Relationship Id="rId29" Type="http://schemas.openxmlformats.org/officeDocument/2006/relationships/hyperlink" Target="https://www.boe.es/buscar/act.php?id=BOE-A-1995-2544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boe.es/buscar/act.php?id=BOE-A-1995-25444" TargetMode="External"/><Relationship Id="rId24" Type="http://schemas.openxmlformats.org/officeDocument/2006/relationships/hyperlink" Target="https://www.mpr.gob.es/servicios/publicaciones/Documents/Exhumaciones_Guerra_Civil_accesible_BAJA.pdf" TargetMode="External"/><Relationship Id="rId32" Type="http://schemas.openxmlformats.org/officeDocument/2006/relationships/hyperlink" Target="https://www.mpr.gob.es/memoriademocratica/mapa-de-fosas/Paginas/index.aspx" TargetMode="External"/><Relationship Id="rId37" Type="http://schemas.openxmlformats.org/officeDocument/2006/relationships/customXml" Target="../customXml/item1.xml"/><Relationship Id="rId5" Type="http://schemas.openxmlformats.org/officeDocument/2006/relationships/footnotes" Target="footnotes.xml"/><Relationship Id="rId15" Type="http://schemas.openxmlformats.org/officeDocument/2006/relationships/hyperlink" Target="https://www.boe.es/buscar/act.php?id=BOE-A-1995-25444" TargetMode="External"/><Relationship Id="rId23" Type="http://schemas.openxmlformats.org/officeDocument/2006/relationships/hyperlink" Target="https://www.bonaparte-dvi.com" TargetMode="External"/><Relationship Id="rId28" Type="http://schemas.openxmlformats.org/officeDocument/2006/relationships/hyperlink" Target="https://www.boe.es/buscar/act.php?id=BOE-A-1995-25444" TargetMode="External"/><Relationship Id="rId36" Type="http://schemas.openxmlformats.org/officeDocument/2006/relationships/theme" Target="theme/theme1.xml"/><Relationship Id="rId10" Type="http://schemas.openxmlformats.org/officeDocument/2006/relationships/hyperlink" Target="https://www.boe.es/buscar/act.php?id=BOE-A-1995-25444" TargetMode="External"/><Relationship Id="rId19" Type="http://schemas.openxmlformats.org/officeDocument/2006/relationships/hyperlink" Target="https://www.boe.es/buscar/act.php?id=BOE-A-1995-25444" TargetMode="External"/><Relationship Id="rId31" Type="http://schemas.openxmlformats.org/officeDocument/2006/relationships/hyperlink" Target="https://www.boe.es/buscar/act.php?id=BOE-A-2007-22296" TargetMode="External"/><Relationship Id="rId4" Type="http://schemas.openxmlformats.org/officeDocument/2006/relationships/webSettings" Target="webSettings.xml"/><Relationship Id="rId9" Type="http://schemas.openxmlformats.org/officeDocument/2006/relationships/hyperlink" Target="https://www.boe.es/buscar/act.php?id=BOE-A-1995-25444" TargetMode="External"/><Relationship Id="rId14" Type="http://schemas.openxmlformats.org/officeDocument/2006/relationships/hyperlink" Target="https://www.boe.es/buscar/act.php?id=BOE-A-1995-25444" TargetMode="External"/><Relationship Id="rId22" Type="http://schemas.openxmlformats.org/officeDocument/2006/relationships/hyperlink" Target="https://www.boe.es/buscar/act.php?id=BOE-A-2021-9347" TargetMode="External"/><Relationship Id="rId27" Type="http://schemas.openxmlformats.org/officeDocument/2006/relationships/hyperlink" Target="https://www.poderjudicial.es/search/AN/openCDocument/c5308f76d64f5ce5e33231f5e7338061b0035f38fbfe6b49" TargetMode="External"/><Relationship Id="rId30" Type="http://schemas.openxmlformats.org/officeDocument/2006/relationships/hyperlink" Target="https://www.boe.es/buscar/act.php?id=BOE-A-1995-25444" TargetMode="External"/><Relationship Id="rId35" Type="http://schemas.openxmlformats.org/officeDocument/2006/relationships/fontTable" Target="fontTable.xml"/><Relationship Id="rId8" Type="http://schemas.openxmlformats.org/officeDocument/2006/relationships/hyperlink" Target="https://www.boe.es/buscar/act.php?id=BOE-A-1995-25444" TargetMode="External"/><Relationship Id="rId3"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F862B31-46AA-468C-BD2E-D6B35A4A750A}"/>
</file>

<file path=customXml/itemProps2.xml><?xml version="1.0" encoding="utf-8"?>
<ds:datastoreItem xmlns:ds="http://schemas.openxmlformats.org/officeDocument/2006/customXml" ds:itemID="{64863032-8B6A-4767-B681-FF41A88A1BB0}"/>
</file>

<file path=customXml/itemProps3.xml><?xml version="1.0" encoding="utf-8"?>
<ds:datastoreItem xmlns:ds="http://schemas.openxmlformats.org/officeDocument/2006/customXml" ds:itemID="{5D8F8BEE-6152-47C9-ABFE-A244C5D5E949}"/>
</file>

<file path=docProps/app.xml><?xml version="1.0" encoding="utf-8"?>
<Properties xmlns="http://schemas.openxmlformats.org/officeDocument/2006/extended-properties" xmlns:vt="http://schemas.openxmlformats.org/officeDocument/2006/docPropsVTypes">
  <Template>Normal</Template>
  <TotalTime>18</TotalTime>
  <Pages>28</Pages>
  <Words>11628</Words>
  <Characters>63960</Characters>
  <Application>Microsoft Office Word</Application>
  <DocSecurity>0</DocSecurity>
  <Lines>533</Lines>
  <Paragraphs>150</Paragraphs>
  <ScaleCrop>false</ScaleCrop>
  <HeadingPairs>
    <vt:vector size="2" baseType="variant">
      <vt:variant>
        <vt:lpstr>Título</vt:lpstr>
      </vt:variant>
      <vt:variant>
        <vt:i4>1</vt:i4>
      </vt:variant>
    </vt:vector>
  </HeadingPairs>
  <TitlesOfParts>
    <vt:vector size="1" baseType="lpstr">
      <vt:lpstr/>
    </vt:vector>
  </TitlesOfParts>
  <Company>MAEC</Company>
  <LinksUpToDate>false</LinksUpToDate>
  <CharactersWithSpaces>75438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Díaz Bernárdez, Adela</dc:creator>
  <cp:keywords/>
  <dc:description/>
  <cp:lastModifiedBy>Díaz Bernárdez, Adela</cp:lastModifiedBy>
  <cp:revision>7</cp:revision>
  <dcterms:created xsi:type="dcterms:W3CDTF">2021-07-15T07:16:00Z</dcterms:created>
  <dcterms:modified xsi:type="dcterms:W3CDTF">2021-07-16T09:26:00Z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