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AA70B" w14:textId="085062CF" w:rsidR="004B4C3C" w:rsidRPr="00130DDD" w:rsidRDefault="008D76D9" w:rsidP="002726C3">
      <w:pPr>
        <w:jc w:val="center"/>
        <w:rPr>
          <w:rFonts w:asciiTheme="majorBidi" w:hAnsiTheme="majorBidi" w:cstheme="majorBidi"/>
          <w:b/>
          <w:bCs/>
          <w:color w:val="0070C0"/>
          <w:sz w:val="28"/>
          <w:szCs w:val="28"/>
        </w:rPr>
      </w:pPr>
      <w:r w:rsidRPr="00130DDD">
        <w:rPr>
          <w:rFonts w:asciiTheme="majorBidi" w:hAnsiTheme="majorBidi" w:cstheme="majorBidi"/>
          <w:b/>
          <w:bCs/>
          <w:color w:val="0070C0"/>
          <w:sz w:val="28"/>
          <w:szCs w:val="28"/>
        </w:rPr>
        <w:t xml:space="preserve">A </w:t>
      </w:r>
      <w:r w:rsidR="00130DDD" w:rsidRPr="00130DDD">
        <w:rPr>
          <w:rFonts w:asciiTheme="majorBidi" w:hAnsiTheme="majorBidi" w:cstheme="majorBidi"/>
          <w:b/>
          <w:bCs/>
          <w:color w:val="0070C0"/>
          <w:sz w:val="28"/>
          <w:szCs w:val="28"/>
        </w:rPr>
        <w:t xml:space="preserve">Report Submitted </w:t>
      </w:r>
      <w:r w:rsidRPr="00130DDD">
        <w:rPr>
          <w:rFonts w:asciiTheme="majorBidi" w:hAnsiTheme="majorBidi" w:cstheme="majorBidi"/>
          <w:b/>
          <w:bCs/>
          <w:color w:val="0070C0"/>
          <w:sz w:val="28"/>
          <w:szCs w:val="28"/>
        </w:rPr>
        <w:t xml:space="preserve">by the </w:t>
      </w:r>
      <w:r w:rsidR="007D13F0">
        <w:rPr>
          <w:rFonts w:asciiTheme="majorBidi" w:hAnsiTheme="majorBidi" w:cstheme="majorBidi"/>
          <w:b/>
          <w:bCs/>
          <w:color w:val="0070C0"/>
          <w:sz w:val="28"/>
          <w:szCs w:val="28"/>
        </w:rPr>
        <w:t>Independent Commission</w:t>
      </w:r>
      <w:r w:rsidR="004B4C3C" w:rsidRPr="00130DDD">
        <w:rPr>
          <w:rFonts w:asciiTheme="majorBidi" w:hAnsiTheme="majorBidi" w:cstheme="majorBidi"/>
          <w:b/>
          <w:bCs/>
          <w:color w:val="0070C0"/>
          <w:sz w:val="28"/>
          <w:szCs w:val="28"/>
        </w:rPr>
        <w:t xml:space="preserve"> for Human Rights in North Africa (</w:t>
      </w:r>
      <w:r w:rsidR="008370F4">
        <w:rPr>
          <w:rFonts w:asciiTheme="majorBidi" w:hAnsiTheme="majorBidi" w:cstheme="majorBidi"/>
          <w:b/>
          <w:bCs/>
          <w:color w:val="0070C0"/>
          <w:sz w:val="28"/>
          <w:szCs w:val="28"/>
        </w:rPr>
        <w:t>CIDH</w:t>
      </w:r>
      <w:r w:rsidR="004B4C3C" w:rsidRPr="00130DDD">
        <w:rPr>
          <w:rFonts w:asciiTheme="majorBidi" w:hAnsiTheme="majorBidi" w:cstheme="majorBidi"/>
          <w:b/>
          <w:bCs/>
          <w:color w:val="0070C0"/>
          <w:sz w:val="28"/>
          <w:szCs w:val="28"/>
        </w:rPr>
        <w:t>)</w:t>
      </w:r>
    </w:p>
    <w:p w14:paraId="58FA1BB3" w14:textId="37503F06" w:rsidR="008D76D9" w:rsidRPr="00130DDD" w:rsidRDefault="008D76D9" w:rsidP="002726C3">
      <w:pPr>
        <w:jc w:val="center"/>
        <w:rPr>
          <w:rFonts w:asciiTheme="majorBidi" w:hAnsiTheme="majorBidi" w:cstheme="majorBidi"/>
          <w:b/>
          <w:bCs/>
          <w:color w:val="0070C0"/>
          <w:sz w:val="28"/>
          <w:szCs w:val="28"/>
        </w:rPr>
      </w:pPr>
      <w:r w:rsidRPr="00130DDD">
        <w:rPr>
          <w:rFonts w:asciiTheme="majorBidi" w:hAnsiTheme="majorBidi" w:cstheme="majorBidi"/>
          <w:b/>
          <w:bCs/>
          <w:color w:val="0070C0"/>
          <w:sz w:val="28"/>
          <w:szCs w:val="28"/>
        </w:rPr>
        <w:t>To</w:t>
      </w:r>
      <w:r w:rsidR="00130DDD" w:rsidRPr="00130DDD">
        <w:rPr>
          <w:rFonts w:asciiTheme="majorBidi" w:hAnsiTheme="majorBidi" w:cstheme="majorBidi"/>
          <w:b/>
          <w:bCs/>
          <w:color w:val="0070C0"/>
          <w:sz w:val="28"/>
          <w:szCs w:val="28"/>
        </w:rPr>
        <w:t xml:space="preserve"> t</w:t>
      </w:r>
      <w:r w:rsidRPr="00130DDD">
        <w:rPr>
          <w:rFonts w:asciiTheme="majorBidi" w:hAnsiTheme="majorBidi" w:cstheme="majorBidi"/>
          <w:b/>
          <w:bCs/>
          <w:color w:val="0070C0"/>
          <w:sz w:val="28"/>
          <w:szCs w:val="28"/>
        </w:rPr>
        <w:t>he United Nations Committee against Torture</w:t>
      </w:r>
    </w:p>
    <w:p w14:paraId="0E057580" w14:textId="77777777" w:rsidR="008D76D9" w:rsidRPr="00130DDD" w:rsidRDefault="008D76D9" w:rsidP="002726C3">
      <w:pPr>
        <w:jc w:val="center"/>
        <w:rPr>
          <w:rFonts w:asciiTheme="majorBidi" w:hAnsiTheme="majorBidi" w:cstheme="majorBidi"/>
          <w:b/>
          <w:bCs/>
          <w:color w:val="0070C0"/>
          <w:sz w:val="28"/>
          <w:szCs w:val="28"/>
        </w:rPr>
      </w:pPr>
      <w:r w:rsidRPr="00130DDD">
        <w:rPr>
          <w:rFonts w:asciiTheme="majorBidi" w:hAnsiTheme="majorBidi" w:cstheme="majorBidi"/>
          <w:b/>
          <w:bCs/>
          <w:color w:val="0070C0"/>
          <w:sz w:val="28"/>
          <w:szCs w:val="28"/>
        </w:rPr>
        <w:t>Regarding Egypt</w:t>
      </w:r>
    </w:p>
    <w:p w14:paraId="0FB04F9C" w14:textId="7A43B625" w:rsidR="00345EEF" w:rsidRPr="00345EEF" w:rsidRDefault="00345EEF" w:rsidP="002726C3">
      <w:pPr>
        <w:rPr>
          <w:rFonts w:asciiTheme="majorBidi" w:hAnsiTheme="majorBidi" w:cstheme="majorBidi"/>
          <w:sz w:val="28"/>
          <w:szCs w:val="28"/>
        </w:rPr>
      </w:pPr>
      <w:r w:rsidRPr="00345EEF">
        <w:rPr>
          <w:rFonts w:asciiTheme="majorBidi" w:hAnsiTheme="majorBidi" w:cstheme="majorBidi"/>
          <w:sz w:val="28"/>
          <w:szCs w:val="28"/>
        </w:rPr>
        <w:t xml:space="preserve">The </w:t>
      </w:r>
      <w:r w:rsidR="007D13F0">
        <w:rPr>
          <w:rFonts w:asciiTheme="majorBidi" w:hAnsiTheme="majorBidi" w:cstheme="majorBidi"/>
          <w:sz w:val="28"/>
          <w:szCs w:val="28"/>
        </w:rPr>
        <w:t>Independent Commission</w:t>
      </w:r>
      <w:r w:rsidRPr="00345EEF">
        <w:rPr>
          <w:rFonts w:asciiTheme="majorBidi" w:hAnsiTheme="majorBidi" w:cstheme="majorBidi"/>
          <w:sz w:val="28"/>
          <w:szCs w:val="28"/>
        </w:rPr>
        <w:t xml:space="preserve"> for Human Rights in North Africa</w:t>
      </w:r>
      <w:r w:rsidR="002B15A3">
        <w:rPr>
          <w:rFonts w:asciiTheme="majorBidi" w:hAnsiTheme="majorBidi" w:cstheme="majorBidi"/>
          <w:sz w:val="28"/>
          <w:szCs w:val="28"/>
        </w:rPr>
        <w:t xml:space="preserve"> (</w:t>
      </w:r>
      <w:r w:rsidR="008370F4">
        <w:rPr>
          <w:rFonts w:asciiTheme="majorBidi" w:hAnsiTheme="majorBidi" w:cstheme="majorBidi"/>
          <w:sz w:val="28"/>
          <w:szCs w:val="28"/>
        </w:rPr>
        <w:t>CIDH</w:t>
      </w:r>
      <w:r w:rsidR="002B15A3">
        <w:rPr>
          <w:rFonts w:asciiTheme="majorBidi" w:hAnsiTheme="majorBidi" w:cstheme="majorBidi"/>
          <w:sz w:val="28"/>
          <w:szCs w:val="28"/>
        </w:rPr>
        <w:t>)</w:t>
      </w:r>
      <w:r w:rsidRPr="00345EEF">
        <w:rPr>
          <w:rFonts w:asciiTheme="majorBidi" w:hAnsiTheme="majorBidi" w:cstheme="majorBidi"/>
          <w:sz w:val="28"/>
          <w:szCs w:val="28"/>
        </w:rPr>
        <w:t xml:space="preserve">, </w:t>
      </w:r>
      <w:bookmarkStart w:id="0" w:name="OLE_LINK3"/>
      <w:r w:rsidRPr="00345EEF">
        <w:rPr>
          <w:rFonts w:asciiTheme="majorBidi" w:hAnsiTheme="majorBidi" w:cstheme="majorBidi"/>
          <w:sz w:val="28"/>
          <w:szCs w:val="28"/>
        </w:rPr>
        <w:t>referred to</w:t>
      </w:r>
      <w:r w:rsidR="002B15A3">
        <w:rPr>
          <w:rFonts w:asciiTheme="majorBidi" w:hAnsiTheme="majorBidi" w:cstheme="majorBidi"/>
          <w:sz w:val="28"/>
          <w:szCs w:val="28"/>
        </w:rPr>
        <w:t xml:space="preserve"> hereinafter</w:t>
      </w:r>
      <w:r w:rsidRPr="00345EEF">
        <w:rPr>
          <w:rFonts w:asciiTheme="majorBidi" w:hAnsiTheme="majorBidi" w:cstheme="majorBidi"/>
          <w:sz w:val="28"/>
          <w:szCs w:val="28"/>
        </w:rPr>
        <w:t xml:space="preserve"> as the </w:t>
      </w:r>
      <w:r w:rsidR="002B15A3">
        <w:rPr>
          <w:rFonts w:asciiTheme="majorBidi" w:hAnsiTheme="majorBidi" w:cstheme="majorBidi"/>
          <w:sz w:val="28"/>
          <w:szCs w:val="28"/>
        </w:rPr>
        <w:t>(</w:t>
      </w:r>
      <w:r w:rsidRPr="00345EEF">
        <w:rPr>
          <w:rFonts w:asciiTheme="majorBidi" w:hAnsiTheme="majorBidi" w:cstheme="majorBidi"/>
          <w:sz w:val="28"/>
          <w:szCs w:val="28"/>
        </w:rPr>
        <w:t>"</w:t>
      </w:r>
      <w:bookmarkEnd w:id="0"/>
      <w:r w:rsidR="007D13F0">
        <w:rPr>
          <w:rFonts w:asciiTheme="majorBidi" w:hAnsiTheme="majorBidi" w:cstheme="majorBidi"/>
          <w:sz w:val="28"/>
          <w:szCs w:val="28"/>
        </w:rPr>
        <w:t>Independent Commission</w:t>
      </w:r>
      <w:bookmarkStart w:id="1" w:name="OLE_LINK4"/>
      <w:r w:rsidRPr="00345EEF">
        <w:rPr>
          <w:rFonts w:asciiTheme="majorBidi" w:hAnsiTheme="majorBidi" w:cstheme="majorBidi"/>
          <w:sz w:val="28"/>
          <w:szCs w:val="28"/>
        </w:rPr>
        <w:t>"</w:t>
      </w:r>
      <w:r w:rsidR="002B15A3">
        <w:rPr>
          <w:rFonts w:asciiTheme="majorBidi" w:hAnsiTheme="majorBidi" w:cstheme="majorBidi"/>
          <w:sz w:val="28"/>
          <w:szCs w:val="28"/>
        </w:rPr>
        <w:t>),</w:t>
      </w:r>
      <w:r w:rsidRPr="00345EEF">
        <w:rPr>
          <w:rFonts w:asciiTheme="majorBidi" w:hAnsiTheme="majorBidi" w:cstheme="majorBidi"/>
          <w:sz w:val="28"/>
          <w:szCs w:val="28"/>
        </w:rPr>
        <w:t xml:space="preserve"> </w:t>
      </w:r>
      <w:bookmarkEnd w:id="1"/>
      <w:r w:rsidRPr="00345EEF">
        <w:rPr>
          <w:rFonts w:asciiTheme="majorBidi" w:hAnsiTheme="majorBidi" w:cstheme="majorBidi"/>
          <w:sz w:val="28"/>
          <w:szCs w:val="28"/>
        </w:rPr>
        <w:t>is submitting this report to the Committee against Torture</w:t>
      </w:r>
      <w:r w:rsidR="006B7109">
        <w:rPr>
          <w:rFonts w:asciiTheme="majorBidi" w:hAnsiTheme="majorBidi" w:cstheme="majorBidi"/>
          <w:sz w:val="28"/>
          <w:szCs w:val="28"/>
        </w:rPr>
        <w:t xml:space="preserve"> (CAT), </w:t>
      </w:r>
      <w:r w:rsidR="006B7109" w:rsidRPr="006B7109">
        <w:rPr>
          <w:rFonts w:asciiTheme="majorBidi" w:hAnsiTheme="majorBidi" w:cstheme="majorBidi"/>
          <w:sz w:val="28"/>
          <w:szCs w:val="28"/>
        </w:rPr>
        <w:t>referred to hereinafter as the ("</w:t>
      </w:r>
      <w:r w:rsidR="006B7109">
        <w:rPr>
          <w:rFonts w:asciiTheme="majorBidi" w:hAnsiTheme="majorBidi" w:cstheme="majorBidi"/>
          <w:sz w:val="28"/>
          <w:szCs w:val="28"/>
        </w:rPr>
        <w:t xml:space="preserve">The Committee"), </w:t>
      </w:r>
      <w:r w:rsidRPr="00345EEF">
        <w:rPr>
          <w:rFonts w:asciiTheme="majorBidi" w:hAnsiTheme="majorBidi" w:cstheme="majorBidi"/>
          <w:sz w:val="28"/>
          <w:szCs w:val="28"/>
        </w:rPr>
        <w:t>in preparation for the dialogue between the Egyptian government and the Committee during its 78</w:t>
      </w:r>
      <w:r w:rsidRPr="00354DC0">
        <w:rPr>
          <w:rFonts w:asciiTheme="majorBidi" w:hAnsiTheme="majorBidi" w:cstheme="majorBidi"/>
          <w:sz w:val="28"/>
          <w:szCs w:val="28"/>
          <w:vertAlign w:val="superscript"/>
        </w:rPr>
        <w:t>th</w:t>
      </w:r>
      <w:r w:rsidR="00354DC0">
        <w:rPr>
          <w:rFonts w:asciiTheme="majorBidi" w:hAnsiTheme="majorBidi" w:cstheme="majorBidi"/>
          <w:sz w:val="28"/>
          <w:szCs w:val="28"/>
        </w:rPr>
        <w:t xml:space="preserve"> </w:t>
      </w:r>
      <w:r w:rsidRPr="00345EEF">
        <w:rPr>
          <w:rFonts w:asciiTheme="majorBidi" w:hAnsiTheme="majorBidi" w:cstheme="majorBidi"/>
          <w:sz w:val="28"/>
          <w:szCs w:val="28"/>
        </w:rPr>
        <w:t xml:space="preserve">session, scheduled to take place from </w:t>
      </w:r>
      <w:r w:rsidR="00500034" w:rsidRPr="00345EEF">
        <w:rPr>
          <w:rFonts w:asciiTheme="majorBidi" w:hAnsiTheme="majorBidi" w:cstheme="majorBidi"/>
          <w:sz w:val="28"/>
          <w:szCs w:val="28"/>
        </w:rPr>
        <w:t xml:space="preserve">30 </w:t>
      </w:r>
      <w:r w:rsidRPr="00345EEF">
        <w:rPr>
          <w:rFonts w:asciiTheme="majorBidi" w:hAnsiTheme="majorBidi" w:cstheme="majorBidi"/>
          <w:sz w:val="28"/>
          <w:szCs w:val="28"/>
        </w:rPr>
        <w:t xml:space="preserve">October to </w:t>
      </w:r>
      <w:r w:rsidR="00500034" w:rsidRPr="00345EEF">
        <w:rPr>
          <w:rFonts w:asciiTheme="majorBidi" w:hAnsiTheme="majorBidi" w:cstheme="majorBidi"/>
          <w:sz w:val="28"/>
          <w:szCs w:val="28"/>
        </w:rPr>
        <w:t>24</w:t>
      </w:r>
      <w:r w:rsidR="00500034">
        <w:rPr>
          <w:rFonts w:asciiTheme="majorBidi" w:hAnsiTheme="majorBidi" w:cstheme="majorBidi"/>
          <w:sz w:val="28"/>
          <w:szCs w:val="28"/>
        </w:rPr>
        <w:t xml:space="preserve"> </w:t>
      </w:r>
      <w:r w:rsidRPr="00345EEF">
        <w:rPr>
          <w:rFonts w:asciiTheme="majorBidi" w:hAnsiTheme="majorBidi" w:cstheme="majorBidi"/>
          <w:sz w:val="28"/>
          <w:szCs w:val="28"/>
        </w:rPr>
        <w:t>November</w:t>
      </w:r>
      <w:r w:rsidR="00500034">
        <w:rPr>
          <w:rFonts w:asciiTheme="majorBidi" w:hAnsiTheme="majorBidi" w:cstheme="majorBidi"/>
          <w:sz w:val="28"/>
          <w:szCs w:val="28"/>
        </w:rPr>
        <w:t xml:space="preserve"> </w:t>
      </w:r>
      <w:r w:rsidRPr="00345EEF">
        <w:rPr>
          <w:rFonts w:asciiTheme="majorBidi" w:hAnsiTheme="majorBidi" w:cstheme="majorBidi"/>
          <w:sz w:val="28"/>
          <w:szCs w:val="28"/>
        </w:rPr>
        <w:t>2023.</w:t>
      </w:r>
    </w:p>
    <w:p w14:paraId="79EAD18F" w14:textId="36B59EBE" w:rsidR="00345EEF" w:rsidRPr="00345EEF" w:rsidRDefault="00345EEF" w:rsidP="002726C3">
      <w:pPr>
        <w:ind w:firstLine="720"/>
        <w:rPr>
          <w:rFonts w:asciiTheme="majorBidi" w:hAnsiTheme="majorBidi" w:cstheme="majorBidi"/>
          <w:sz w:val="28"/>
          <w:szCs w:val="28"/>
        </w:rPr>
      </w:pPr>
      <w:r w:rsidRPr="00345EEF">
        <w:rPr>
          <w:rFonts w:asciiTheme="majorBidi" w:hAnsiTheme="majorBidi" w:cstheme="majorBidi"/>
          <w:sz w:val="28"/>
          <w:szCs w:val="28"/>
        </w:rPr>
        <w:t>The Arab Republic of Egypt ratified the Convention against Torture and Other Cruel, Inhuman or Degrading Treatment or Punishment (</w:t>
      </w:r>
      <w:r w:rsidR="00354DC0">
        <w:rPr>
          <w:rFonts w:asciiTheme="majorBidi" w:hAnsiTheme="majorBidi" w:cstheme="majorBidi"/>
          <w:sz w:val="28"/>
          <w:szCs w:val="28"/>
        </w:rPr>
        <w:t>“</w:t>
      </w:r>
      <w:r w:rsidRPr="00345EEF">
        <w:rPr>
          <w:rFonts w:asciiTheme="majorBidi" w:hAnsiTheme="majorBidi" w:cstheme="majorBidi"/>
          <w:sz w:val="28"/>
          <w:szCs w:val="28"/>
        </w:rPr>
        <w:t>Convention against Torture</w:t>
      </w:r>
      <w:r w:rsidR="00354DC0">
        <w:rPr>
          <w:rFonts w:asciiTheme="majorBidi" w:hAnsiTheme="majorBidi" w:cstheme="majorBidi"/>
          <w:sz w:val="28"/>
          <w:szCs w:val="28"/>
        </w:rPr>
        <w:t>”</w:t>
      </w:r>
      <w:r w:rsidRPr="00345EEF">
        <w:rPr>
          <w:rFonts w:asciiTheme="majorBidi" w:hAnsiTheme="majorBidi" w:cstheme="majorBidi"/>
          <w:sz w:val="28"/>
          <w:szCs w:val="28"/>
        </w:rPr>
        <w:t xml:space="preserve">) in 1984. Since then, Egypt has submitted five periodic reports, with the most recent one submitted on </w:t>
      </w:r>
      <w:r w:rsidR="00500034" w:rsidRPr="00345EEF">
        <w:rPr>
          <w:rFonts w:asciiTheme="majorBidi" w:hAnsiTheme="majorBidi" w:cstheme="majorBidi"/>
          <w:sz w:val="28"/>
          <w:szCs w:val="28"/>
        </w:rPr>
        <w:t>11</w:t>
      </w:r>
      <w:r w:rsidR="00500034">
        <w:rPr>
          <w:rFonts w:asciiTheme="majorBidi" w:hAnsiTheme="majorBidi" w:cstheme="majorBidi"/>
          <w:sz w:val="28"/>
          <w:szCs w:val="28"/>
        </w:rPr>
        <w:t xml:space="preserve"> </w:t>
      </w:r>
      <w:r w:rsidRPr="00345EEF">
        <w:rPr>
          <w:rFonts w:asciiTheme="majorBidi" w:hAnsiTheme="majorBidi" w:cstheme="majorBidi"/>
          <w:sz w:val="28"/>
          <w:szCs w:val="28"/>
        </w:rPr>
        <w:t>September 2021. However, it is important to note that Egypt has not yet become a party to the Optional Protocol to the Convention against Torture.</w:t>
      </w:r>
    </w:p>
    <w:p w14:paraId="17C77697" w14:textId="1FE28F9E" w:rsidR="00345EEF" w:rsidRPr="00345EEF" w:rsidRDefault="00345EEF" w:rsidP="002726C3">
      <w:pPr>
        <w:ind w:firstLine="720"/>
        <w:rPr>
          <w:rFonts w:asciiTheme="majorBidi" w:hAnsiTheme="majorBidi" w:cstheme="majorBidi"/>
          <w:sz w:val="28"/>
          <w:szCs w:val="28"/>
        </w:rPr>
      </w:pPr>
      <w:r w:rsidRPr="00345EEF">
        <w:rPr>
          <w:rFonts w:asciiTheme="majorBidi" w:hAnsiTheme="majorBidi" w:cstheme="majorBidi"/>
          <w:sz w:val="28"/>
          <w:szCs w:val="28"/>
        </w:rPr>
        <w:t xml:space="preserve">In this report, the </w:t>
      </w:r>
      <w:r w:rsidR="007D13F0">
        <w:rPr>
          <w:rFonts w:asciiTheme="majorBidi" w:hAnsiTheme="majorBidi" w:cstheme="majorBidi"/>
          <w:sz w:val="28"/>
          <w:szCs w:val="28"/>
        </w:rPr>
        <w:t>Independent Commission</w:t>
      </w:r>
      <w:r w:rsidRPr="00345EEF">
        <w:rPr>
          <w:rFonts w:asciiTheme="majorBidi" w:hAnsiTheme="majorBidi" w:cstheme="majorBidi"/>
          <w:sz w:val="28"/>
          <w:szCs w:val="28"/>
        </w:rPr>
        <w:t xml:space="preserve"> addresses the recent measures taken by Egypt to address the issues raised in the list of concerns submitted by the Committee on </w:t>
      </w:r>
      <w:r w:rsidR="00500034" w:rsidRPr="00345EEF">
        <w:rPr>
          <w:rFonts w:asciiTheme="majorBidi" w:hAnsiTheme="majorBidi" w:cstheme="majorBidi"/>
          <w:sz w:val="28"/>
          <w:szCs w:val="28"/>
        </w:rPr>
        <w:t>12</w:t>
      </w:r>
      <w:r w:rsidR="00500034">
        <w:rPr>
          <w:rFonts w:asciiTheme="majorBidi" w:hAnsiTheme="majorBidi" w:cstheme="majorBidi"/>
          <w:sz w:val="28"/>
          <w:szCs w:val="28"/>
        </w:rPr>
        <w:t xml:space="preserve"> </w:t>
      </w:r>
      <w:r w:rsidRPr="00345EEF">
        <w:rPr>
          <w:rFonts w:asciiTheme="majorBidi" w:hAnsiTheme="majorBidi" w:cstheme="majorBidi"/>
          <w:sz w:val="28"/>
          <w:szCs w:val="28"/>
        </w:rPr>
        <w:t xml:space="preserve">May 2023, as well as the Committee's concluding observations. The report examines the general measures implemented by Egypt to enhance compliance with the Convention and ensure the realization of the rights enshrined within it. Additionally, the report highlights the ongoing concerns and challenges that hinder the full implementation of the </w:t>
      </w:r>
      <w:bookmarkStart w:id="2" w:name="OLE_LINK5"/>
      <w:r w:rsidRPr="00345EEF">
        <w:rPr>
          <w:rFonts w:asciiTheme="majorBidi" w:hAnsiTheme="majorBidi" w:cstheme="majorBidi"/>
          <w:sz w:val="28"/>
          <w:szCs w:val="28"/>
        </w:rPr>
        <w:t xml:space="preserve">Convention's </w:t>
      </w:r>
      <w:bookmarkEnd w:id="2"/>
      <w:r w:rsidRPr="00345EEF">
        <w:rPr>
          <w:rFonts w:asciiTheme="majorBidi" w:hAnsiTheme="majorBidi" w:cstheme="majorBidi"/>
          <w:sz w:val="28"/>
          <w:szCs w:val="28"/>
        </w:rPr>
        <w:t>provisions.</w:t>
      </w:r>
    </w:p>
    <w:p w14:paraId="5D8F7F8F" w14:textId="443498AE" w:rsidR="00AF6513" w:rsidRPr="00AF6513" w:rsidRDefault="00AF6513" w:rsidP="002726C3">
      <w:pPr>
        <w:rPr>
          <w:rFonts w:asciiTheme="majorBidi" w:hAnsiTheme="majorBidi" w:cstheme="majorBidi"/>
          <w:b/>
          <w:bCs/>
          <w:color w:val="0070C0"/>
          <w:sz w:val="28"/>
          <w:szCs w:val="28"/>
        </w:rPr>
      </w:pPr>
      <w:r w:rsidRPr="00AF6513">
        <w:rPr>
          <w:rFonts w:asciiTheme="majorBidi" w:hAnsiTheme="majorBidi" w:cstheme="majorBidi"/>
          <w:b/>
          <w:bCs/>
          <w:color w:val="0070C0"/>
          <w:sz w:val="28"/>
          <w:szCs w:val="28"/>
        </w:rPr>
        <w:t>First: General Measures to Implement the Convention</w:t>
      </w:r>
    </w:p>
    <w:p w14:paraId="7A9CDF61" w14:textId="64340035" w:rsidR="00345EEF" w:rsidRPr="00345EEF" w:rsidRDefault="00345EEF" w:rsidP="002726C3">
      <w:pPr>
        <w:ind w:firstLine="720"/>
        <w:rPr>
          <w:rFonts w:asciiTheme="majorBidi" w:hAnsiTheme="majorBidi" w:cstheme="majorBidi"/>
          <w:sz w:val="28"/>
          <w:szCs w:val="28"/>
        </w:rPr>
      </w:pPr>
      <w:r w:rsidRPr="00345EEF">
        <w:rPr>
          <w:rFonts w:asciiTheme="majorBidi" w:hAnsiTheme="majorBidi" w:cstheme="majorBidi"/>
          <w:sz w:val="28"/>
          <w:szCs w:val="28"/>
        </w:rPr>
        <w:lastRenderedPageBreak/>
        <w:t xml:space="preserve">The </w:t>
      </w:r>
      <w:r w:rsidR="007D13F0">
        <w:rPr>
          <w:rFonts w:asciiTheme="majorBidi" w:hAnsiTheme="majorBidi" w:cstheme="majorBidi"/>
          <w:sz w:val="28"/>
          <w:szCs w:val="28"/>
        </w:rPr>
        <w:t>Independent Commission</w:t>
      </w:r>
      <w:r w:rsidRPr="00345EEF">
        <w:rPr>
          <w:rFonts w:asciiTheme="majorBidi" w:hAnsiTheme="majorBidi" w:cstheme="majorBidi"/>
          <w:sz w:val="28"/>
          <w:szCs w:val="28"/>
        </w:rPr>
        <w:t xml:space="preserve"> acknowledges that the Arab Republic of Egypt has not expressed any reservations to the Convention against Torture.</w:t>
      </w:r>
      <w:r w:rsidR="00B73479">
        <w:rPr>
          <w:rStyle w:val="FootnoteReference"/>
          <w:rFonts w:asciiTheme="majorBidi" w:hAnsiTheme="majorBidi" w:cstheme="majorBidi"/>
          <w:sz w:val="28"/>
          <w:szCs w:val="28"/>
        </w:rPr>
        <w:footnoteReference w:id="1"/>
      </w:r>
      <w:r w:rsidRPr="00345EEF">
        <w:rPr>
          <w:rFonts w:asciiTheme="majorBidi" w:hAnsiTheme="majorBidi" w:cstheme="majorBidi"/>
          <w:sz w:val="28"/>
          <w:szCs w:val="28"/>
        </w:rPr>
        <w:t xml:space="preserve"> However, it is worth mentioning that Egypt has yet to become a party to the Optional Protocol attached to the Convention, which was adopted on </w:t>
      </w:r>
      <w:r w:rsidR="00500034" w:rsidRPr="00345EEF">
        <w:rPr>
          <w:rFonts w:asciiTheme="majorBidi" w:hAnsiTheme="majorBidi" w:cstheme="majorBidi"/>
          <w:sz w:val="28"/>
          <w:szCs w:val="28"/>
        </w:rPr>
        <w:t>18</w:t>
      </w:r>
      <w:r w:rsidR="00500034">
        <w:rPr>
          <w:rFonts w:asciiTheme="majorBidi" w:hAnsiTheme="majorBidi" w:cstheme="majorBidi"/>
          <w:sz w:val="28"/>
          <w:szCs w:val="28"/>
        </w:rPr>
        <w:t xml:space="preserve"> </w:t>
      </w:r>
      <w:r w:rsidRPr="00345EEF">
        <w:rPr>
          <w:rFonts w:asciiTheme="majorBidi" w:hAnsiTheme="majorBidi" w:cstheme="majorBidi"/>
          <w:sz w:val="28"/>
          <w:szCs w:val="28"/>
        </w:rPr>
        <w:t>December 2002, through a General Assembly resolution.</w:t>
      </w:r>
      <w:r w:rsidR="00FD0193">
        <w:rPr>
          <w:rStyle w:val="FootnoteReference"/>
          <w:rFonts w:asciiTheme="majorBidi" w:hAnsiTheme="majorBidi" w:cstheme="majorBidi"/>
          <w:sz w:val="28"/>
          <w:szCs w:val="28"/>
        </w:rPr>
        <w:footnoteReference w:id="2"/>
      </w:r>
      <w:r w:rsidRPr="00345EEF">
        <w:rPr>
          <w:rFonts w:asciiTheme="majorBidi" w:hAnsiTheme="majorBidi" w:cstheme="majorBidi"/>
          <w:sz w:val="28"/>
          <w:szCs w:val="28"/>
        </w:rPr>
        <w:t xml:space="preserve"> Although Egypt accepted a recommendation during the last review under the Universal Periodic Review mechanism, suggesting consideration of joining the Optional Protocol, accession to the Protocol would further enhance the effective implementation of the Convention.</w:t>
      </w:r>
      <w:r w:rsidR="00FD0193">
        <w:rPr>
          <w:rStyle w:val="FootnoteReference"/>
          <w:rFonts w:asciiTheme="majorBidi" w:hAnsiTheme="majorBidi" w:cstheme="majorBidi"/>
          <w:sz w:val="28"/>
          <w:szCs w:val="28"/>
        </w:rPr>
        <w:footnoteReference w:id="3"/>
      </w:r>
      <w:r w:rsidRPr="00345EEF">
        <w:rPr>
          <w:rFonts w:asciiTheme="majorBidi" w:hAnsiTheme="majorBidi" w:cstheme="majorBidi"/>
          <w:sz w:val="28"/>
          <w:szCs w:val="28"/>
        </w:rPr>
        <w:t xml:space="preserve"> It would also contribute to providing technical support to institutions involved in implementing the Convention in Egypt and lead to improvements in the conditions of prisoners.</w:t>
      </w:r>
    </w:p>
    <w:p w14:paraId="1E2DE3DF" w14:textId="502C8631" w:rsidR="00345EEF" w:rsidRDefault="00345EEF" w:rsidP="002726C3">
      <w:pPr>
        <w:ind w:firstLine="720"/>
        <w:rPr>
          <w:rFonts w:asciiTheme="majorBidi" w:hAnsiTheme="majorBidi" w:cstheme="majorBidi"/>
          <w:sz w:val="28"/>
          <w:szCs w:val="28"/>
        </w:rPr>
      </w:pPr>
      <w:r w:rsidRPr="00345EEF">
        <w:rPr>
          <w:rFonts w:asciiTheme="majorBidi" w:hAnsiTheme="majorBidi" w:cstheme="majorBidi"/>
          <w:sz w:val="28"/>
          <w:szCs w:val="28"/>
        </w:rPr>
        <w:t xml:space="preserve">Overall, this </w:t>
      </w:r>
      <w:r w:rsidR="00B73479">
        <w:rPr>
          <w:rFonts w:asciiTheme="majorBidi" w:hAnsiTheme="majorBidi" w:cstheme="majorBidi"/>
          <w:sz w:val="28"/>
          <w:szCs w:val="28"/>
        </w:rPr>
        <w:t>R</w:t>
      </w:r>
      <w:r w:rsidRPr="00345EEF">
        <w:rPr>
          <w:rFonts w:asciiTheme="majorBidi" w:hAnsiTheme="majorBidi" w:cstheme="majorBidi"/>
          <w:sz w:val="28"/>
          <w:szCs w:val="28"/>
        </w:rPr>
        <w:t>eport aims to provide a comprehensive overview of Egypt's efforts to address issues related to the Convention, while also emphasizing the importance of becoming a party to the Optional Protocol for enhanced implementation and progress.</w:t>
      </w:r>
    </w:p>
    <w:p w14:paraId="6032E0B6" w14:textId="7995EBE3" w:rsidR="00345EEF" w:rsidRPr="00345EEF" w:rsidRDefault="00345EEF" w:rsidP="002726C3">
      <w:pPr>
        <w:ind w:firstLine="720"/>
        <w:rPr>
          <w:rFonts w:asciiTheme="majorBidi" w:hAnsiTheme="majorBidi" w:cstheme="majorBidi"/>
          <w:sz w:val="28"/>
          <w:szCs w:val="28"/>
        </w:rPr>
      </w:pPr>
      <w:r w:rsidRPr="00345EEF">
        <w:rPr>
          <w:rFonts w:asciiTheme="majorBidi" w:hAnsiTheme="majorBidi" w:cstheme="majorBidi"/>
          <w:sz w:val="28"/>
          <w:szCs w:val="28"/>
        </w:rPr>
        <w:t xml:space="preserve">In the same context, the </w:t>
      </w:r>
      <w:r w:rsidR="007D13F0">
        <w:rPr>
          <w:rFonts w:asciiTheme="majorBidi" w:hAnsiTheme="majorBidi" w:cstheme="majorBidi"/>
          <w:sz w:val="28"/>
          <w:szCs w:val="28"/>
        </w:rPr>
        <w:t>Independent Commission</w:t>
      </w:r>
      <w:r w:rsidRPr="00345EEF">
        <w:rPr>
          <w:rFonts w:asciiTheme="majorBidi" w:hAnsiTheme="majorBidi" w:cstheme="majorBidi"/>
          <w:sz w:val="28"/>
          <w:szCs w:val="28"/>
        </w:rPr>
        <w:t xml:space="preserve"> has taken note of the Arab Republic of Egypt's responses to communications and letters received from the Special Rapporteurs of the United Nations, particularly those concerning the Special Rapporteur on the right to torture. According to the latest available data announced by the Permanent Mission of Egypt to the United Nations in Geneva, the response rate to correspondence involving the Special Rapporteur on Torture reached 78% of the total. The independent body also urges the Special Rapporteur on </w:t>
      </w:r>
      <w:r w:rsidR="00375C84">
        <w:rPr>
          <w:rFonts w:asciiTheme="majorBidi" w:hAnsiTheme="majorBidi" w:cstheme="majorBidi"/>
          <w:sz w:val="28"/>
          <w:szCs w:val="28"/>
        </w:rPr>
        <w:t>Torture</w:t>
      </w:r>
      <w:r w:rsidRPr="00345EEF">
        <w:rPr>
          <w:rFonts w:asciiTheme="majorBidi" w:hAnsiTheme="majorBidi" w:cstheme="majorBidi"/>
          <w:sz w:val="28"/>
          <w:szCs w:val="28"/>
        </w:rPr>
        <w:t xml:space="preserve"> to engage in meetings with Egyptian female students, as these meetings would further enhance Egypt's efforts in implementing the provisions of the Convention.</w:t>
      </w:r>
      <w:r w:rsidR="00FD0193">
        <w:rPr>
          <w:rStyle w:val="FootnoteReference"/>
          <w:rFonts w:asciiTheme="majorBidi" w:hAnsiTheme="majorBidi" w:cstheme="majorBidi"/>
          <w:sz w:val="28"/>
          <w:szCs w:val="28"/>
        </w:rPr>
        <w:footnoteReference w:id="4"/>
      </w:r>
      <w:r w:rsidRPr="00345EEF">
        <w:rPr>
          <w:rFonts w:asciiTheme="majorBidi" w:hAnsiTheme="majorBidi" w:cstheme="majorBidi"/>
          <w:sz w:val="28"/>
          <w:szCs w:val="28"/>
        </w:rPr>
        <w:t xml:space="preserve"> It is worth mentioning that the Special Rapporteur on </w:t>
      </w:r>
      <w:r w:rsidR="00375C84">
        <w:rPr>
          <w:rFonts w:asciiTheme="majorBidi" w:hAnsiTheme="majorBidi" w:cstheme="majorBidi"/>
          <w:sz w:val="28"/>
          <w:szCs w:val="28"/>
        </w:rPr>
        <w:t>Torture</w:t>
      </w:r>
      <w:r w:rsidRPr="00345EEF">
        <w:rPr>
          <w:rFonts w:asciiTheme="majorBidi" w:hAnsiTheme="majorBidi" w:cstheme="majorBidi"/>
          <w:sz w:val="28"/>
          <w:szCs w:val="28"/>
        </w:rPr>
        <w:t xml:space="preserve"> declined a meeting with </w:t>
      </w:r>
      <w:r w:rsidRPr="00345EEF">
        <w:rPr>
          <w:rFonts w:asciiTheme="majorBidi" w:hAnsiTheme="majorBidi" w:cstheme="majorBidi"/>
          <w:sz w:val="28"/>
          <w:szCs w:val="28"/>
        </w:rPr>
        <w:lastRenderedPageBreak/>
        <w:t>the Assistant Secretary of State for Human Rights and International Social and Humanitarian Issues during the 43rd session of the Human Rights Council.</w:t>
      </w:r>
      <w:r w:rsidR="00FD0193">
        <w:rPr>
          <w:rStyle w:val="FootnoteReference"/>
          <w:rFonts w:asciiTheme="majorBidi" w:hAnsiTheme="majorBidi" w:cstheme="majorBidi"/>
          <w:sz w:val="28"/>
          <w:szCs w:val="28"/>
        </w:rPr>
        <w:footnoteReference w:id="5"/>
      </w:r>
    </w:p>
    <w:p w14:paraId="1AE38401" w14:textId="7D320460" w:rsidR="00345EEF" w:rsidRPr="00345EEF" w:rsidRDefault="00345EEF" w:rsidP="002726C3">
      <w:pPr>
        <w:ind w:firstLine="720"/>
        <w:rPr>
          <w:rFonts w:asciiTheme="majorBidi" w:hAnsiTheme="majorBidi" w:cstheme="majorBidi"/>
          <w:sz w:val="28"/>
          <w:szCs w:val="28"/>
        </w:rPr>
      </w:pPr>
      <w:r w:rsidRPr="00345EEF">
        <w:rPr>
          <w:rFonts w:asciiTheme="majorBidi" w:hAnsiTheme="majorBidi" w:cstheme="majorBidi"/>
          <w:sz w:val="28"/>
          <w:szCs w:val="28"/>
        </w:rPr>
        <w:t xml:space="preserve">Regarding the integration of anti-torture measures and the respect for the right to life and physical integrity in national plans and strategies, the </w:t>
      </w:r>
      <w:r w:rsidR="007D13F0">
        <w:rPr>
          <w:rFonts w:asciiTheme="majorBidi" w:hAnsiTheme="majorBidi" w:cstheme="majorBidi"/>
          <w:sz w:val="28"/>
          <w:szCs w:val="28"/>
        </w:rPr>
        <w:t>Independent Commission</w:t>
      </w:r>
      <w:r w:rsidRPr="00345EEF">
        <w:rPr>
          <w:rFonts w:asciiTheme="majorBidi" w:hAnsiTheme="majorBidi" w:cstheme="majorBidi"/>
          <w:sz w:val="28"/>
          <w:szCs w:val="28"/>
        </w:rPr>
        <w:t xml:space="preserve"> has observed Egypt's launch of the National Human Rights Strategy on </w:t>
      </w:r>
      <w:r w:rsidR="00E32BEC" w:rsidRPr="00345EEF">
        <w:rPr>
          <w:rFonts w:asciiTheme="majorBidi" w:hAnsiTheme="majorBidi" w:cstheme="majorBidi"/>
          <w:sz w:val="28"/>
          <w:szCs w:val="28"/>
        </w:rPr>
        <w:t>11</w:t>
      </w:r>
      <w:r w:rsidR="00E32BEC">
        <w:rPr>
          <w:rFonts w:asciiTheme="majorBidi" w:hAnsiTheme="majorBidi" w:cstheme="majorBidi"/>
          <w:sz w:val="28"/>
          <w:szCs w:val="28"/>
        </w:rPr>
        <w:t xml:space="preserve"> </w:t>
      </w:r>
      <w:r w:rsidRPr="00345EEF">
        <w:rPr>
          <w:rFonts w:asciiTheme="majorBidi" w:hAnsiTheme="majorBidi" w:cstheme="majorBidi"/>
          <w:sz w:val="28"/>
          <w:szCs w:val="28"/>
        </w:rPr>
        <w:t>September 2021.</w:t>
      </w:r>
      <w:r w:rsidR="00E32BEC">
        <w:rPr>
          <w:rStyle w:val="FootnoteReference"/>
          <w:rFonts w:asciiTheme="majorBidi" w:hAnsiTheme="majorBidi" w:cstheme="majorBidi"/>
          <w:sz w:val="28"/>
          <w:szCs w:val="28"/>
        </w:rPr>
        <w:footnoteReference w:id="6"/>
      </w:r>
      <w:r w:rsidRPr="00345EEF">
        <w:rPr>
          <w:rFonts w:asciiTheme="majorBidi" w:hAnsiTheme="majorBidi" w:cstheme="majorBidi"/>
          <w:sz w:val="28"/>
          <w:szCs w:val="28"/>
        </w:rPr>
        <w:t xml:space="preserve"> This </w:t>
      </w:r>
      <w:r w:rsidR="007D13F0">
        <w:rPr>
          <w:rFonts w:asciiTheme="majorBidi" w:hAnsiTheme="majorBidi" w:cstheme="majorBidi"/>
          <w:sz w:val="28"/>
          <w:szCs w:val="28"/>
        </w:rPr>
        <w:t>S</w:t>
      </w:r>
      <w:r w:rsidRPr="00345EEF">
        <w:rPr>
          <w:rFonts w:asciiTheme="majorBidi" w:hAnsiTheme="majorBidi" w:cstheme="majorBidi"/>
          <w:sz w:val="28"/>
          <w:szCs w:val="28"/>
        </w:rPr>
        <w:t xml:space="preserve">trategy includes a specific section dedicated to safeguarding the right to physical integrity and protection against torture. Within this section, the </w:t>
      </w:r>
      <w:r w:rsidR="006144AC">
        <w:rPr>
          <w:rFonts w:asciiTheme="majorBidi" w:hAnsiTheme="majorBidi" w:cstheme="majorBidi"/>
          <w:sz w:val="28"/>
          <w:szCs w:val="28"/>
        </w:rPr>
        <w:t>N</w:t>
      </w:r>
      <w:r w:rsidRPr="00345EEF">
        <w:rPr>
          <w:rFonts w:asciiTheme="majorBidi" w:hAnsiTheme="majorBidi" w:cstheme="majorBidi"/>
          <w:sz w:val="28"/>
          <w:szCs w:val="28"/>
        </w:rPr>
        <w:t xml:space="preserve">ational </w:t>
      </w:r>
      <w:r w:rsidR="006144AC">
        <w:rPr>
          <w:rFonts w:asciiTheme="majorBidi" w:hAnsiTheme="majorBidi" w:cstheme="majorBidi"/>
          <w:sz w:val="28"/>
          <w:szCs w:val="28"/>
        </w:rPr>
        <w:t>S</w:t>
      </w:r>
      <w:r w:rsidRPr="00345EEF">
        <w:rPr>
          <w:rFonts w:asciiTheme="majorBidi" w:hAnsiTheme="majorBidi" w:cstheme="majorBidi"/>
          <w:sz w:val="28"/>
          <w:szCs w:val="28"/>
        </w:rPr>
        <w:t xml:space="preserve">trategy aims to continue the fight against torture, respecting the right to physical integrity, and integrating these aspects into national plans and strategies. This involves addressing torture in all its forms, thoroughly investigating allegations, and ensuring the rights of victims are protected in accordance with the Constitution and Egypt's international obligations. The </w:t>
      </w:r>
      <w:r w:rsidR="006144AC" w:rsidRPr="00345EEF">
        <w:rPr>
          <w:rFonts w:asciiTheme="majorBidi" w:hAnsiTheme="majorBidi" w:cstheme="majorBidi"/>
          <w:sz w:val="28"/>
          <w:szCs w:val="28"/>
        </w:rPr>
        <w:t xml:space="preserve">Strategy </w:t>
      </w:r>
      <w:r w:rsidRPr="00345EEF">
        <w:rPr>
          <w:rFonts w:asciiTheme="majorBidi" w:hAnsiTheme="majorBidi" w:cstheme="majorBidi"/>
          <w:sz w:val="28"/>
          <w:szCs w:val="28"/>
        </w:rPr>
        <w:t>also aims to address any individual practices that violate bodily protection, whether within public or private entities or places.</w:t>
      </w:r>
      <w:r w:rsidR="006144AC">
        <w:rPr>
          <w:rStyle w:val="FootnoteReference"/>
          <w:rFonts w:asciiTheme="majorBidi" w:hAnsiTheme="majorBidi" w:cstheme="majorBidi"/>
          <w:sz w:val="28"/>
          <w:szCs w:val="28"/>
        </w:rPr>
        <w:footnoteReference w:id="7"/>
      </w:r>
      <w:r w:rsidRPr="00345EEF">
        <w:rPr>
          <w:rFonts w:asciiTheme="majorBidi" w:hAnsiTheme="majorBidi" w:cstheme="majorBidi"/>
          <w:sz w:val="28"/>
          <w:szCs w:val="28"/>
        </w:rPr>
        <w:t xml:space="preserve"> The Commission believes that achieving these goals within the National Human Rights Strategy will greatly enhance the implementation of the provisions outlined in the Convention against Torture.</w:t>
      </w:r>
    </w:p>
    <w:p w14:paraId="254BE4B2" w14:textId="65D17720" w:rsidR="00345EEF" w:rsidRPr="00FD0193" w:rsidRDefault="00FD0193" w:rsidP="002726C3">
      <w:pPr>
        <w:rPr>
          <w:rFonts w:asciiTheme="majorBidi" w:hAnsiTheme="majorBidi" w:cstheme="majorBidi"/>
          <w:b/>
          <w:bCs/>
          <w:color w:val="0070C0"/>
          <w:sz w:val="28"/>
          <w:szCs w:val="28"/>
        </w:rPr>
      </w:pPr>
      <w:r w:rsidRPr="00FD0193">
        <w:rPr>
          <w:rFonts w:asciiTheme="majorBidi" w:hAnsiTheme="majorBidi" w:cstheme="majorBidi"/>
          <w:b/>
          <w:bCs/>
          <w:color w:val="0070C0"/>
          <w:sz w:val="28"/>
          <w:szCs w:val="28"/>
        </w:rPr>
        <w:t xml:space="preserve">Second: Disciplinary </w:t>
      </w:r>
      <w:r w:rsidR="00E32BEC" w:rsidRPr="00FD0193">
        <w:rPr>
          <w:rFonts w:asciiTheme="majorBidi" w:hAnsiTheme="majorBidi" w:cstheme="majorBidi"/>
          <w:b/>
          <w:bCs/>
          <w:color w:val="0070C0"/>
          <w:sz w:val="28"/>
          <w:szCs w:val="28"/>
        </w:rPr>
        <w:t xml:space="preserve">Penalties </w:t>
      </w:r>
      <w:r w:rsidRPr="00FD0193">
        <w:rPr>
          <w:rFonts w:asciiTheme="majorBidi" w:hAnsiTheme="majorBidi" w:cstheme="majorBidi"/>
          <w:b/>
          <w:bCs/>
          <w:color w:val="0070C0"/>
          <w:sz w:val="28"/>
          <w:szCs w:val="28"/>
        </w:rPr>
        <w:t xml:space="preserve">against law </w:t>
      </w:r>
      <w:r w:rsidR="00E32BEC" w:rsidRPr="00FD0193">
        <w:rPr>
          <w:rFonts w:asciiTheme="majorBidi" w:hAnsiTheme="majorBidi" w:cstheme="majorBidi"/>
          <w:b/>
          <w:bCs/>
          <w:color w:val="0070C0"/>
          <w:sz w:val="28"/>
          <w:szCs w:val="28"/>
        </w:rPr>
        <w:t xml:space="preserve">Enforcement </w:t>
      </w:r>
      <w:r w:rsidRPr="00FD0193">
        <w:rPr>
          <w:rFonts w:asciiTheme="majorBidi" w:hAnsiTheme="majorBidi" w:cstheme="majorBidi"/>
          <w:b/>
          <w:bCs/>
          <w:color w:val="0070C0"/>
          <w:sz w:val="28"/>
          <w:szCs w:val="28"/>
        </w:rPr>
        <w:t xml:space="preserve">and </w:t>
      </w:r>
      <w:r w:rsidR="00E32BEC" w:rsidRPr="00FD0193">
        <w:rPr>
          <w:rFonts w:asciiTheme="majorBidi" w:hAnsiTheme="majorBidi" w:cstheme="majorBidi"/>
          <w:b/>
          <w:bCs/>
          <w:color w:val="0070C0"/>
          <w:sz w:val="28"/>
          <w:szCs w:val="28"/>
        </w:rPr>
        <w:t>Public Employees</w:t>
      </w:r>
    </w:p>
    <w:p w14:paraId="531C4976" w14:textId="77777777" w:rsidR="00C27606" w:rsidRDefault="00345EEF" w:rsidP="002726C3">
      <w:pPr>
        <w:ind w:firstLine="720"/>
        <w:rPr>
          <w:rFonts w:asciiTheme="majorBidi" w:hAnsiTheme="majorBidi" w:cstheme="majorBidi"/>
          <w:sz w:val="28"/>
          <w:szCs w:val="28"/>
        </w:rPr>
      </w:pPr>
      <w:r w:rsidRPr="00345EEF">
        <w:rPr>
          <w:rFonts w:asciiTheme="majorBidi" w:hAnsiTheme="majorBidi" w:cstheme="majorBidi"/>
          <w:sz w:val="28"/>
          <w:szCs w:val="28"/>
        </w:rPr>
        <w:t>In the list of issues submitted to Egypt, the Committee requested information regarding disciplinary sanctions imposed on law enforcement officials and police personnel, aiming to ensure that these officials respect the basic legal safeguards for individuals in detention.</w:t>
      </w:r>
      <w:r w:rsidR="0029730B">
        <w:rPr>
          <w:rStyle w:val="FootnoteReference"/>
          <w:rFonts w:asciiTheme="majorBidi" w:hAnsiTheme="majorBidi" w:cstheme="majorBidi"/>
          <w:sz w:val="28"/>
          <w:szCs w:val="28"/>
        </w:rPr>
        <w:footnoteReference w:id="8"/>
      </w:r>
      <w:r w:rsidRPr="00345EEF">
        <w:rPr>
          <w:rFonts w:asciiTheme="majorBidi" w:hAnsiTheme="majorBidi" w:cstheme="majorBidi"/>
          <w:sz w:val="28"/>
          <w:szCs w:val="28"/>
        </w:rPr>
        <w:t xml:space="preserve"> In this regard, the Independent Committee acknowledges the limited availability of data concerning disciplinary measures taken against responsible individuals. However, a report reviewed by the </w:t>
      </w:r>
      <w:r w:rsidR="007D13F0">
        <w:rPr>
          <w:rFonts w:asciiTheme="majorBidi" w:hAnsiTheme="majorBidi" w:cstheme="majorBidi"/>
          <w:sz w:val="28"/>
          <w:szCs w:val="28"/>
        </w:rPr>
        <w:t>Independent Commission</w:t>
      </w:r>
      <w:r w:rsidRPr="00345EEF">
        <w:rPr>
          <w:rFonts w:asciiTheme="majorBidi" w:hAnsiTheme="majorBidi" w:cstheme="majorBidi"/>
          <w:sz w:val="28"/>
          <w:szCs w:val="28"/>
        </w:rPr>
        <w:t xml:space="preserve">, within the government's response to the fifteenth annual report of the National Council for Human Rights, stated that the Ministry of Interior conducted investigations into all torture allegations. During the period </w:t>
      </w:r>
      <w:proofErr w:type="gramStart"/>
      <w:r w:rsidRPr="00345EEF">
        <w:rPr>
          <w:rFonts w:asciiTheme="majorBidi" w:hAnsiTheme="majorBidi" w:cstheme="majorBidi"/>
          <w:sz w:val="28"/>
          <w:szCs w:val="28"/>
        </w:rPr>
        <w:t xml:space="preserve">from </w:t>
      </w:r>
      <w:r w:rsidR="0029730B" w:rsidRPr="00345EEF">
        <w:rPr>
          <w:rFonts w:asciiTheme="majorBidi" w:hAnsiTheme="majorBidi" w:cstheme="majorBidi"/>
          <w:sz w:val="28"/>
          <w:szCs w:val="28"/>
        </w:rPr>
        <w:t>10</w:t>
      </w:r>
      <w:r w:rsidR="0029730B">
        <w:rPr>
          <w:rFonts w:asciiTheme="majorBidi" w:hAnsiTheme="majorBidi" w:cstheme="majorBidi"/>
          <w:sz w:val="28"/>
          <w:szCs w:val="28"/>
        </w:rPr>
        <w:t xml:space="preserve"> </w:t>
      </w:r>
      <w:r w:rsidRPr="00345EEF">
        <w:rPr>
          <w:rFonts w:asciiTheme="majorBidi" w:hAnsiTheme="majorBidi" w:cstheme="majorBidi"/>
          <w:sz w:val="28"/>
          <w:szCs w:val="28"/>
        </w:rPr>
        <w:t>November</w:t>
      </w:r>
      <w:r w:rsidR="0029730B">
        <w:rPr>
          <w:rFonts w:asciiTheme="majorBidi" w:hAnsiTheme="majorBidi" w:cstheme="majorBidi"/>
          <w:sz w:val="28"/>
          <w:szCs w:val="28"/>
        </w:rPr>
        <w:t xml:space="preserve"> </w:t>
      </w:r>
      <w:r w:rsidRPr="00345EEF">
        <w:rPr>
          <w:rFonts w:asciiTheme="majorBidi" w:hAnsiTheme="majorBidi" w:cstheme="majorBidi"/>
          <w:sz w:val="28"/>
          <w:szCs w:val="28"/>
        </w:rPr>
        <w:lastRenderedPageBreak/>
        <w:t>2019,</w:t>
      </w:r>
      <w:proofErr w:type="gramEnd"/>
      <w:r w:rsidRPr="00345EEF">
        <w:rPr>
          <w:rFonts w:asciiTheme="majorBidi" w:hAnsiTheme="majorBidi" w:cstheme="majorBidi"/>
          <w:sz w:val="28"/>
          <w:szCs w:val="28"/>
        </w:rPr>
        <w:t xml:space="preserve"> to </w:t>
      </w:r>
      <w:r w:rsidR="0029730B" w:rsidRPr="00345EEF">
        <w:rPr>
          <w:rFonts w:asciiTheme="majorBidi" w:hAnsiTheme="majorBidi" w:cstheme="majorBidi"/>
          <w:sz w:val="28"/>
          <w:szCs w:val="28"/>
        </w:rPr>
        <w:t>15</w:t>
      </w:r>
      <w:r w:rsidR="0029730B">
        <w:rPr>
          <w:rFonts w:asciiTheme="majorBidi" w:hAnsiTheme="majorBidi" w:cstheme="majorBidi"/>
          <w:sz w:val="28"/>
          <w:szCs w:val="28"/>
        </w:rPr>
        <w:t xml:space="preserve"> </w:t>
      </w:r>
      <w:r w:rsidRPr="00345EEF">
        <w:rPr>
          <w:rFonts w:asciiTheme="majorBidi" w:hAnsiTheme="majorBidi" w:cstheme="majorBidi"/>
          <w:sz w:val="28"/>
          <w:szCs w:val="28"/>
        </w:rPr>
        <w:t>September</w:t>
      </w:r>
      <w:r w:rsidR="0029730B">
        <w:rPr>
          <w:rFonts w:asciiTheme="majorBidi" w:hAnsiTheme="majorBidi" w:cstheme="majorBidi"/>
          <w:sz w:val="28"/>
          <w:szCs w:val="28"/>
        </w:rPr>
        <w:t xml:space="preserve"> </w:t>
      </w:r>
      <w:r w:rsidRPr="00345EEF">
        <w:rPr>
          <w:rFonts w:asciiTheme="majorBidi" w:hAnsiTheme="majorBidi" w:cstheme="majorBidi"/>
          <w:sz w:val="28"/>
          <w:szCs w:val="28"/>
        </w:rPr>
        <w:t>2021,</w:t>
      </w:r>
      <w:r w:rsidR="00C27606">
        <w:rPr>
          <w:rStyle w:val="FootnoteReference"/>
          <w:rFonts w:asciiTheme="majorBidi" w:hAnsiTheme="majorBidi" w:cstheme="majorBidi"/>
          <w:sz w:val="28"/>
          <w:szCs w:val="28"/>
        </w:rPr>
        <w:footnoteReference w:id="9"/>
      </w:r>
      <w:r w:rsidRPr="00345EEF">
        <w:rPr>
          <w:rFonts w:asciiTheme="majorBidi" w:hAnsiTheme="majorBidi" w:cstheme="majorBidi"/>
          <w:sz w:val="28"/>
          <w:szCs w:val="28"/>
        </w:rPr>
        <w:t xml:space="preserve"> disciplinary measures were taken against 139 officers, with 101 of them being convicted.</w:t>
      </w:r>
    </w:p>
    <w:p w14:paraId="056847D5" w14:textId="742E1FE5" w:rsidR="00345EEF" w:rsidRPr="00C27606" w:rsidRDefault="00345EEF" w:rsidP="002726C3">
      <w:pPr>
        <w:ind w:firstLine="720"/>
        <w:rPr>
          <w:rFonts w:asciiTheme="majorBidi" w:hAnsiTheme="majorBidi" w:cstheme="majorBidi"/>
          <w:sz w:val="28"/>
          <w:szCs w:val="28"/>
        </w:rPr>
      </w:pPr>
      <w:r w:rsidRPr="00345EEF">
        <w:rPr>
          <w:rFonts w:asciiTheme="majorBidi" w:hAnsiTheme="majorBidi" w:cstheme="majorBidi"/>
          <w:sz w:val="28"/>
          <w:szCs w:val="28"/>
        </w:rPr>
        <w:t xml:space="preserve"> Additionally, the Public Prosecution initiated judicial actions against 54 officers, leading to 16 convictions.</w:t>
      </w:r>
      <w:r w:rsidR="00C27606">
        <w:rPr>
          <w:rStyle w:val="FootnoteReference"/>
          <w:rFonts w:asciiTheme="majorBidi" w:hAnsiTheme="majorBidi" w:cstheme="majorBidi"/>
          <w:sz w:val="28"/>
          <w:szCs w:val="28"/>
        </w:rPr>
        <w:footnoteReference w:id="10"/>
      </w:r>
      <w:r w:rsidRPr="00345EEF">
        <w:rPr>
          <w:rFonts w:asciiTheme="majorBidi" w:hAnsiTheme="majorBidi" w:cstheme="majorBidi"/>
          <w:sz w:val="28"/>
          <w:szCs w:val="28"/>
        </w:rPr>
        <w:t xml:space="preserve"> The Public Prosecution has also continued to exercise its role as granted by national legislation, investigating cases involving acts of cruelty committed by public employees against citizens. These actions have resulted in various disciplinary consequences, including referral to disciplinary trials, suspension from service,</w:t>
      </w:r>
      <w:r w:rsidR="006D3FA2">
        <w:rPr>
          <w:rStyle w:val="FootnoteReference"/>
          <w:rFonts w:asciiTheme="majorBidi" w:hAnsiTheme="majorBidi" w:cstheme="majorBidi"/>
          <w:sz w:val="28"/>
          <w:szCs w:val="28"/>
        </w:rPr>
        <w:footnoteReference w:id="11"/>
      </w:r>
      <w:r w:rsidRPr="00345EEF">
        <w:rPr>
          <w:rFonts w:asciiTheme="majorBidi" w:hAnsiTheme="majorBidi" w:cstheme="majorBidi"/>
          <w:sz w:val="28"/>
          <w:szCs w:val="28"/>
        </w:rPr>
        <w:t xml:space="preserve"> salary deductions, demotions, and, in certain cases, even </w:t>
      </w:r>
      <w:bookmarkStart w:id="5" w:name="OLE_LINK6"/>
      <w:r w:rsidRPr="00345EEF">
        <w:rPr>
          <w:rFonts w:asciiTheme="majorBidi" w:hAnsiTheme="majorBidi" w:cstheme="majorBidi"/>
          <w:sz w:val="28"/>
          <w:szCs w:val="28"/>
        </w:rPr>
        <w:t>pension referrals</w:t>
      </w:r>
      <w:bookmarkEnd w:id="5"/>
      <w:r w:rsidRPr="00345EEF">
        <w:rPr>
          <w:rFonts w:asciiTheme="majorBidi" w:hAnsiTheme="majorBidi" w:cstheme="majorBidi"/>
          <w:sz w:val="28"/>
          <w:szCs w:val="28"/>
        </w:rPr>
        <w:t xml:space="preserve">. The </w:t>
      </w:r>
      <w:r w:rsidR="007D13F0">
        <w:rPr>
          <w:rFonts w:asciiTheme="majorBidi" w:hAnsiTheme="majorBidi" w:cstheme="majorBidi"/>
          <w:sz w:val="28"/>
          <w:szCs w:val="28"/>
        </w:rPr>
        <w:t>Independent Commission</w:t>
      </w:r>
      <w:r w:rsidRPr="00345EEF">
        <w:rPr>
          <w:rFonts w:asciiTheme="majorBidi" w:hAnsiTheme="majorBidi" w:cstheme="majorBidi"/>
          <w:sz w:val="28"/>
          <w:szCs w:val="28"/>
        </w:rPr>
        <w:t xml:space="preserve"> believes that the ongoing criminal prosecutions of police officers engaged in such individual practices will help eradicate this behavior and strengthen Egypt's preventive efforts.</w:t>
      </w:r>
    </w:p>
    <w:p w14:paraId="22C52F02" w14:textId="76C9BAAD" w:rsidR="008D76D9" w:rsidRPr="006D3FA2" w:rsidRDefault="008D76D9" w:rsidP="002726C3">
      <w:pPr>
        <w:rPr>
          <w:rFonts w:asciiTheme="majorBidi" w:hAnsiTheme="majorBidi" w:cstheme="majorBidi"/>
          <w:b/>
          <w:bCs/>
          <w:color w:val="0070C0"/>
          <w:sz w:val="28"/>
          <w:szCs w:val="28"/>
        </w:rPr>
      </w:pPr>
      <w:r w:rsidRPr="006D3FA2">
        <w:rPr>
          <w:rFonts w:asciiTheme="majorBidi" w:hAnsiTheme="majorBidi" w:cstheme="majorBidi"/>
          <w:b/>
          <w:bCs/>
          <w:color w:val="0070C0"/>
          <w:sz w:val="28"/>
          <w:szCs w:val="28"/>
        </w:rPr>
        <w:t xml:space="preserve">Third: Improving </w:t>
      </w:r>
      <w:r w:rsidR="006D3FA2" w:rsidRPr="006D3FA2">
        <w:rPr>
          <w:rFonts w:asciiTheme="majorBidi" w:hAnsiTheme="majorBidi" w:cstheme="majorBidi"/>
          <w:b/>
          <w:bCs/>
          <w:color w:val="0070C0"/>
          <w:sz w:val="28"/>
          <w:szCs w:val="28"/>
        </w:rPr>
        <w:t xml:space="preserve">Detention Conditions </w:t>
      </w:r>
      <w:r w:rsidRPr="006D3FA2">
        <w:rPr>
          <w:rFonts w:asciiTheme="majorBidi" w:hAnsiTheme="majorBidi" w:cstheme="majorBidi"/>
          <w:b/>
          <w:bCs/>
          <w:color w:val="0070C0"/>
          <w:sz w:val="28"/>
          <w:szCs w:val="28"/>
        </w:rPr>
        <w:t xml:space="preserve">to </w:t>
      </w:r>
      <w:r w:rsidR="006D3FA2" w:rsidRPr="006D3FA2">
        <w:rPr>
          <w:rFonts w:asciiTheme="majorBidi" w:hAnsiTheme="majorBidi" w:cstheme="majorBidi"/>
          <w:b/>
          <w:bCs/>
          <w:color w:val="0070C0"/>
          <w:sz w:val="28"/>
          <w:szCs w:val="28"/>
        </w:rPr>
        <w:t>Reduce Torture Practices</w:t>
      </w:r>
    </w:p>
    <w:p w14:paraId="66670ACD" w14:textId="6DDA8513" w:rsidR="00F20E8F" w:rsidRDefault="00C646E9" w:rsidP="002726C3">
      <w:pPr>
        <w:ind w:firstLine="720"/>
        <w:rPr>
          <w:rFonts w:asciiTheme="majorBidi" w:hAnsiTheme="majorBidi" w:cstheme="majorBidi"/>
          <w:sz w:val="28"/>
          <w:szCs w:val="28"/>
        </w:rPr>
      </w:pPr>
      <w:bookmarkStart w:id="6" w:name="OLE_LINK1"/>
      <w:r w:rsidRPr="00C646E9">
        <w:rPr>
          <w:rFonts w:asciiTheme="majorBidi" w:hAnsiTheme="majorBidi" w:cstheme="majorBidi"/>
          <w:sz w:val="28"/>
          <w:szCs w:val="28"/>
        </w:rPr>
        <w:t xml:space="preserve">In its list of concerns, the Committee requested information regarding the conditions of detention in police stations, prisons, and other detention facilities, as well as the steps taken by the state to alleviate overcrowding in these places. After evaluating the measures undertaken by the Egyptian government and identifying certain gaps, the </w:t>
      </w:r>
      <w:r w:rsidR="007D13F0">
        <w:rPr>
          <w:rFonts w:asciiTheme="majorBidi" w:hAnsiTheme="majorBidi" w:cstheme="majorBidi"/>
          <w:sz w:val="28"/>
          <w:szCs w:val="28"/>
        </w:rPr>
        <w:t>Independent Commission</w:t>
      </w:r>
      <w:r w:rsidRPr="00C646E9">
        <w:rPr>
          <w:rFonts w:asciiTheme="majorBidi" w:hAnsiTheme="majorBidi" w:cstheme="majorBidi"/>
          <w:sz w:val="28"/>
          <w:szCs w:val="28"/>
        </w:rPr>
        <w:t xml:space="preserve"> took note of the Ministry of Interior's ongoing implementation of a plan to replace outdated prisons with correctional and rehabilitation centers. To expedite this process and facilitate the transfer of prisoners, the Egyptian Minister of Interior issued Resolution No. 1042 of 2023, which established six new correctional and rehabilitation centers </w:t>
      </w:r>
      <w:r w:rsidR="00375C84">
        <w:rPr>
          <w:rFonts w:asciiTheme="majorBidi" w:hAnsiTheme="majorBidi" w:cstheme="majorBidi"/>
          <w:sz w:val="28"/>
          <w:szCs w:val="28"/>
        </w:rPr>
        <w:t>on</w:t>
      </w:r>
      <w:r w:rsidRPr="00C646E9">
        <w:rPr>
          <w:rFonts w:asciiTheme="majorBidi" w:hAnsiTheme="majorBidi" w:cstheme="majorBidi"/>
          <w:sz w:val="28"/>
          <w:szCs w:val="28"/>
        </w:rPr>
        <w:t xml:space="preserve"> May 15 City, located in the Helwan district of Cairo. As of the writing of this report, the Ministry of Interior has successfully closed over 62% of the old prisons.</w:t>
      </w:r>
      <w:r w:rsidR="00C66DC6">
        <w:rPr>
          <w:rFonts w:asciiTheme="majorBidi" w:hAnsiTheme="majorBidi" w:cstheme="majorBidi"/>
          <w:sz w:val="28"/>
          <w:szCs w:val="28"/>
        </w:rPr>
        <w:t xml:space="preserve"> </w:t>
      </w:r>
    </w:p>
    <w:p w14:paraId="2B89F31B" w14:textId="77777777" w:rsidR="00F20E8F" w:rsidRDefault="00C646E9" w:rsidP="002726C3">
      <w:pPr>
        <w:ind w:firstLine="720"/>
        <w:rPr>
          <w:rFonts w:asciiTheme="majorBidi" w:hAnsiTheme="majorBidi" w:cstheme="majorBidi"/>
          <w:sz w:val="28"/>
          <w:szCs w:val="28"/>
        </w:rPr>
      </w:pPr>
      <w:r w:rsidRPr="00C646E9">
        <w:rPr>
          <w:rFonts w:asciiTheme="majorBidi" w:hAnsiTheme="majorBidi" w:cstheme="majorBidi"/>
          <w:sz w:val="28"/>
          <w:szCs w:val="28"/>
        </w:rPr>
        <w:t xml:space="preserve">Visits conducted by members of the National Council for Human Rights and civil society organizations have demonstrated significant progress in terms of healthcare provisions and exercise facilities within places of detention. These </w:t>
      </w:r>
      <w:r w:rsidRPr="00C646E9">
        <w:rPr>
          <w:rFonts w:asciiTheme="majorBidi" w:hAnsiTheme="majorBidi" w:cstheme="majorBidi"/>
          <w:sz w:val="28"/>
          <w:szCs w:val="28"/>
        </w:rPr>
        <w:lastRenderedPageBreak/>
        <w:t>improvements align with the United Nations Standard Minimum Rules for the Treatment of Prisoners, commonly known as the "Nelson Mandela Rules."</w:t>
      </w:r>
      <w:r w:rsidR="00C66DC6">
        <w:rPr>
          <w:rStyle w:val="FootnoteReference"/>
          <w:rFonts w:asciiTheme="majorBidi" w:hAnsiTheme="majorBidi" w:cstheme="majorBidi"/>
          <w:sz w:val="28"/>
          <w:szCs w:val="28"/>
        </w:rPr>
        <w:footnoteReference w:id="12"/>
      </w:r>
    </w:p>
    <w:p w14:paraId="7536A7CD" w14:textId="078749AC" w:rsidR="00C646E9" w:rsidRPr="00C646E9" w:rsidRDefault="00C646E9" w:rsidP="002726C3">
      <w:pPr>
        <w:ind w:firstLine="720"/>
        <w:rPr>
          <w:rFonts w:asciiTheme="majorBidi" w:hAnsiTheme="majorBidi" w:cstheme="majorBidi"/>
          <w:sz w:val="28"/>
          <w:szCs w:val="28"/>
        </w:rPr>
      </w:pPr>
      <w:r w:rsidRPr="00C646E9">
        <w:rPr>
          <w:rFonts w:asciiTheme="majorBidi" w:hAnsiTheme="majorBidi" w:cstheme="majorBidi"/>
          <w:sz w:val="28"/>
          <w:szCs w:val="28"/>
        </w:rPr>
        <w:t xml:space="preserve">In the same context, the </w:t>
      </w:r>
      <w:r w:rsidR="007D13F0">
        <w:rPr>
          <w:rFonts w:asciiTheme="majorBidi" w:hAnsiTheme="majorBidi" w:cstheme="majorBidi"/>
          <w:sz w:val="28"/>
          <w:szCs w:val="28"/>
        </w:rPr>
        <w:t>Independent Commission</w:t>
      </w:r>
      <w:r w:rsidRPr="00C646E9">
        <w:rPr>
          <w:rFonts w:asciiTheme="majorBidi" w:hAnsiTheme="majorBidi" w:cstheme="majorBidi"/>
          <w:sz w:val="28"/>
          <w:szCs w:val="28"/>
        </w:rPr>
        <w:t xml:space="preserve"> acknowledged the robust legal framework in place, supported by various safeguards, aimed at curbing incidents of torture, </w:t>
      </w:r>
      <w:r w:rsidR="00375C84">
        <w:rPr>
          <w:rFonts w:asciiTheme="majorBidi" w:hAnsiTheme="majorBidi" w:cstheme="majorBidi"/>
          <w:sz w:val="28"/>
          <w:szCs w:val="28"/>
        </w:rPr>
        <w:t xml:space="preserve">and </w:t>
      </w:r>
      <w:r w:rsidRPr="00C646E9">
        <w:rPr>
          <w:rFonts w:asciiTheme="majorBidi" w:hAnsiTheme="majorBidi" w:cstheme="majorBidi"/>
          <w:sz w:val="28"/>
          <w:szCs w:val="28"/>
        </w:rPr>
        <w:t>cruel, or degrading treatment in Egypt. Article 56 of the Constitution places prisons and detention centers under judicial supervision to ensure the dignity and well-being of all prisoners. Furthermore, Article 52 explicitly prohibits torture in all its forms as a crime without a statute of limitations.</w:t>
      </w:r>
      <w:r w:rsidR="00F20E8F">
        <w:rPr>
          <w:rStyle w:val="FootnoteReference"/>
          <w:rFonts w:asciiTheme="majorBidi" w:hAnsiTheme="majorBidi" w:cstheme="majorBidi"/>
          <w:sz w:val="28"/>
          <w:szCs w:val="28"/>
        </w:rPr>
        <w:footnoteReference w:id="13"/>
      </w:r>
    </w:p>
    <w:p w14:paraId="5E52034A" w14:textId="77777777" w:rsidR="00F20E8F" w:rsidRDefault="00C646E9" w:rsidP="002726C3">
      <w:pPr>
        <w:ind w:firstLine="720"/>
        <w:rPr>
          <w:rFonts w:asciiTheme="majorBidi" w:hAnsiTheme="majorBidi" w:cstheme="majorBidi"/>
          <w:sz w:val="28"/>
          <w:szCs w:val="28"/>
        </w:rPr>
      </w:pPr>
      <w:r w:rsidRPr="00C646E9">
        <w:rPr>
          <w:rFonts w:asciiTheme="majorBidi" w:hAnsiTheme="majorBidi" w:cstheme="majorBidi"/>
          <w:sz w:val="28"/>
          <w:szCs w:val="28"/>
        </w:rPr>
        <w:t>Article 55 of the Constitution stipulates that any statement or confession obtained under the duress of torture, intimidation, coercion, physical or moral harm, or any other form of threat cannot be considered reliable. Moreover, Article 40 of the Egyptian Penal Code establishes a general rule that considers an individual an accomplice in the crime of torture if they actively support, collaborate, or assist the perpetrator in any actions leading to, facilitating, or completing the act of torture. Article 41 of the same law prescribes the same penalties for accomplices as those imposed on the primary perpetrators.</w:t>
      </w:r>
      <w:r w:rsidR="00F20E8F">
        <w:rPr>
          <w:rStyle w:val="FootnoteReference"/>
          <w:rFonts w:asciiTheme="majorBidi" w:hAnsiTheme="majorBidi" w:cstheme="majorBidi"/>
          <w:sz w:val="28"/>
          <w:szCs w:val="28"/>
        </w:rPr>
        <w:footnoteReference w:id="14"/>
      </w:r>
    </w:p>
    <w:p w14:paraId="33AB6479" w14:textId="137FC8A2" w:rsidR="00F20E8F" w:rsidRDefault="00C646E9" w:rsidP="002726C3">
      <w:pPr>
        <w:ind w:firstLine="720"/>
        <w:rPr>
          <w:rFonts w:asciiTheme="majorBidi" w:hAnsiTheme="majorBidi" w:cstheme="majorBidi"/>
          <w:sz w:val="28"/>
          <w:szCs w:val="28"/>
        </w:rPr>
      </w:pPr>
      <w:r w:rsidRPr="00C646E9">
        <w:rPr>
          <w:rFonts w:asciiTheme="majorBidi" w:hAnsiTheme="majorBidi" w:cstheme="majorBidi"/>
          <w:sz w:val="28"/>
          <w:szCs w:val="28"/>
        </w:rPr>
        <w:t>Under Article 42 of the Code of Criminal Procedure, members of the Public Prosecution, as well as heads of first instance and appellate courts, possess the right to visit prisons.</w:t>
      </w:r>
      <w:r w:rsidR="0085168B">
        <w:rPr>
          <w:rStyle w:val="FootnoteReference"/>
          <w:rFonts w:asciiTheme="majorBidi" w:hAnsiTheme="majorBidi" w:cstheme="majorBidi"/>
          <w:sz w:val="28"/>
          <w:szCs w:val="28"/>
        </w:rPr>
        <w:footnoteReference w:id="15"/>
      </w:r>
      <w:r w:rsidRPr="00C646E9">
        <w:rPr>
          <w:rFonts w:asciiTheme="majorBidi" w:hAnsiTheme="majorBidi" w:cstheme="majorBidi"/>
          <w:sz w:val="28"/>
          <w:szCs w:val="28"/>
        </w:rPr>
        <w:t xml:space="preserve"> They are tasked with ensuring that no individual is unlawfully detained, reviewing prison records, </w:t>
      </w:r>
      <w:proofErr w:type="gramStart"/>
      <w:r w:rsidRPr="00C646E9">
        <w:rPr>
          <w:rFonts w:asciiTheme="majorBidi" w:hAnsiTheme="majorBidi" w:cstheme="majorBidi"/>
          <w:sz w:val="28"/>
          <w:szCs w:val="28"/>
        </w:rPr>
        <w:t>arrest</w:t>
      </w:r>
      <w:proofErr w:type="gramEnd"/>
      <w:r w:rsidRPr="00C646E9">
        <w:rPr>
          <w:rFonts w:asciiTheme="majorBidi" w:hAnsiTheme="majorBidi" w:cstheme="majorBidi"/>
          <w:sz w:val="28"/>
          <w:szCs w:val="28"/>
        </w:rPr>
        <w:t xml:space="preserve"> and detention orders, and having the opportunity to communicate with any accused person and address their complaints. The prison authorities are obligated to provide all necessary assistance to facilitate the requested information.</w:t>
      </w:r>
      <w:r w:rsidR="0085168B">
        <w:rPr>
          <w:rStyle w:val="FootnoteReference"/>
          <w:rFonts w:asciiTheme="majorBidi" w:hAnsiTheme="majorBidi" w:cstheme="majorBidi"/>
          <w:sz w:val="28"/>
          <w:szCs w:val="28"/>
        </w:rPr>
        <w:footnoteReference w:id="16"/>
      </w:r>
      <w:r w:rsidRPr="00C646E9">
        <w:rPr>
          <w:rFonts w:asciiTheme="majorBidi" w:hAnsiTheme="majorBidi" w:cstheme="majorBidi"/>
          <w:sz w:val="28"/>
          <w:szCs w:val="28"/>
        </w:rPr>
        <w:t xml:space="preserve"> Additionally, Article 85 of the Prison Organization Law, as amended in March 2022, grants the Public Prosecution the authority to </w:t>
      </w:r>
      <w:r w:rsidRPr="00C646E9">
        <w:rPr>
          <w:rFonts w:asciiTheme="majorBidi" w:hAnsiTheme="majorBidi" w:cstheme="majorBidi"/>
          <w:sz w:val="28"/>
          <w:szCs w:val="28"/>
        </w:rPr>
        <w:lastRenderedPageBreak/>
        <w:t>conduct investigations and enter prisons at any time. Prisoners are also entitled to submit complaints, which the Public Prosecution is obliged to consider.</w:t>
      </w:r>
      <w:r w:rsidR="0085168B">
        <w:rPr>
          <w:rStyle w:val="FootnoteReference"/>
          <w:rFonts w:asciiTheme="majorBidi" w:hAnsiTheme="majorBidi" w:cstheme="majorBidi"/>
          <w:sz w:val="28"/>
          <w:szCs w:val="28"/>
        </w:rPr>
        <w:footnoteReference w:id="17"/>
      </w:r>
    </w:p>
    <w:p w14:paraId="4CABE439" w14:textId="59190665" w:rsidR="00C646E9" w:rsidRPr="00130DDD" w:rsidRDefault="00C646E9" w:rsidP="002726C3">
      <w:pPr>
        <w:ind w:firstLine="720"/>
        <w:rPr>
          <w:rFonts w:asciiTheme="majorBidi" w:hAnsiTheme="majorBidi" w:cstheme="majorBidi"/>
          <w:sz w:val="28"/>
          <w:szCs w:val="28"/>
        </w:rPr>
      </w:pPr>
      <w:r w:rsidRPr="00C646E9">
        <w:rPr>
          <w:rFonts w:asciiTheme="majorBidi" w:hAnsiTheme="majorBidi" w:cstheme="majorBidi"/>
          <w:sz w:val="28"/>
          <w:szCs w:val="28"/>
        </w:rPr>
        <w:t>Article 160 of the General Instructions for Public Prosecutions emphasizes the importance of respecting the dignity of the accused during interrogations, prohibiting any methods or expressions that offend human dignity. Furthermore, this article strictly forbids the use of torture to obtain confessions.</w:t>
      </w:r>
      <w:r w:rsidR="00004391">
        <w:rPr>
          <w:rStyle w:val="FootnoteReference"/>
          <w:rFonts w:asciiTheme="majorBidi" w:hAnsiTheme="majorBidi" w:cstheme="majorBidi"/>
          <w:sz w:val="28"/>
          <w:szCs w:val="28"/>
        </w:rPr>
        <w:footnoteReference w:id="18"/>
      </w:r>
      <w:r w:rsidRPr="00C646E9">
        <w:rPr>
          <w:rFonts w:asciiTheme="majorBidi" w:hAnsiTheme="majorBidi" w:cstheme="majorBidi"/>
          <w:sz w:val="28"/>
          <w:szCs w:val="28"/>
        </w:rPr>
        <w:t xml:space="preserve"> Notably, an amendment to Article 3 of Law No. 197 of 2017 established the National Council for Human Rights, granting it the right to inspect prisons, detention facilities, and prison hospitals. The Council is also authorized to visit detainees, listen to their grievances, and ensure their enjoyment of all legal rights. As per the amendment, the National Council for Human Rights is required to prepare a report after each prison visit, containing observations and recommendations to enhance detention conditions. However, it is worth noting that in most cases, the Council only issues brief press releases instead of comprehensive reports following these visits. The </w:t>
      </w:r>
      <w:r w:rsidR="007D13F0">
        <w:rPr>
          <w:rFonts w:asciiTheme="majorBidi" w:hAnsiTheme="majorBidi" w:cstheme="majorBidi"/>
          <w:sz w:val="28"/>
          <w:szCs w:val="28"/>
        </w:rPr>
        <w:t>Independent Commission</w:t>
      </w:r>
      <w:r w:rsidRPr="00C646E9">
        <w:rPr>
          <w:rFonts w:asciiTheme="majorBidi" w:hAnsiTheme="majorBidi" w:cstheme="majorBidi"/>
          <w:sz w:val="28"/>
          <w:szCs w:val="28"/>
        </w:rPr>
        <w:t xml:space="preserve"> did not come across any information regarding complaints related to the exposure of prisoners in correctional and rehabilitation centers to torture, cruel, or degrading treatment. This may indicate the sincerity of the state's efforts to prevent individual practices involving such abuses.</w:t>
      </w:r>
    </w:p>
    <w:p w14:paraId="56DF368B" w14:textId="4B697362" w:rsidR="008D76D9" w:rsidRPr="00E33ADB" w:rsidRDefault="008D76D9" w:rsidP="002726C3">
      <w:pPr>
        <w:rPr>
          <w:rFonts w:asciiTheme="majorBidi" w:hAnsiTheme="majorBidi" w:cstheme="majorBidi"/>
          <w:b/>
          <w:bCs/>
          <w:color w:val="0070C0"/>
          <w:sz w:val="28"/>
          <w:szCs w:val="28"/>
        </w:rPr>
      </w:pPr>
      <w:bookmarkStart w:id="7" w:name="OLE_LINK2"/>
      <w:bookmarkEnd w:id="6"/>
      <w:r w:rsidRPr="00E33ADB">
        <w:rPr>
          <w:rFonts w:asciiTheme="majorBidi" w:hAnsiTheme="majorBidi" w:cstheme="majorBidi"/>
          <w:b/>
          <w:bCs/>
          <w:color w:val="0070C0"/>
          <w:sz w:val="28"/>
          <w:szCs w:val="28"/>
        </w:rPr>
        <w:t xml:space="preserve">Fourth: Pretrial </w:t>
      </w:r>
      <w:r w:rsidR="00E33ADB" w:rsidRPr="00E33ADB">
        <w:rPr>
          <w:rFonts w:asciiTheme="majorBidi" w:hAnsiTheme="majorBidi" w:cstheme="majorBidi"/>
          <w:b/>
          <w:bCs/>
          <w:color w:val="0070C0"/>
          <w:sz w:val="28"/>
          <w:szCs w:val="28"/>
        </w:rPr>
        <w:t>Detention</w:t>
      </w:r>
    </w:p>
    <w:p w14:paraId="668FA063" w14:textId="26B999B6" w:rsidR="0049428E" w:rsidRPr="0049428E" w:rsidRDefault="0049428E" w:rsidP="002726C3">
      <w:pPr>
        <w:ind w:firstLine="720"/>
        <w:rPr>
          <w:rFonts w:asciiTheme="majorBidi" w:hAnsiTheme="majorBidi" w:cstheme="majorBidi"/>
          <w:sz w:val="28"/>
          <w:szCs w:val="28"/>
        </w:rPr>
      </w:pPr>
      <w:r w:rsidRPr="0049428E">
        <w:rPr>
          <w:rFonts w:asciiTheme="majorBidi" w:hAnsiTheme="majorBidi" w:cstheme="majorBidi"/>
          <w:sz w:val="28"/>
          <w:szCs w:val="28"/>
        </w:rPr>
        <w:t>The Committee raised concerns about pretrial detention and requested additional information from the Arab Republic of Egypt</w:t>
      </w:r>
      <w:r w:rsidR="00BC7E90">
        <w:rPr>
          <w:rFonts w:asciiTheme="majorBidi" w:hAnsiTheme="majorBidi" w:cstheme="majorBidi"/>
          <w:sz w:val="28"/>
          <w:szCs w:val="28"/>
        </w:rPr>
        <w:t xml:space="preserve"> in the list of issues it submitted</w:t>
      </w:r>
      <w:r w:rsidRPr="0049428E">
        <w:rPr>
          <w:rFonts w:asciiTheme="majorBidi" w:hAnsiTheme="majorBidi" w:cstheme="majorBidi"/>
          <w:sz w:val="28"/>
          <w:szCs w:val="28"/>
        </w:rPr>
        <w:t xml:space="preserve">. Pretrial detention is a precautionary measure used by investigating authorities or the competent court for a specific period, following certain controls. The </w:t>
      </w:r>
      <w:r w:rsidR="007D13F0">
        <w:rPr>
          <w:rFonts w:asciiTheme="majorBidi" w:hAnsiTheme="majorBidi" w:cstheme="majorBidi"/>
          <w:sz w:val="28"/>
          <w:szCs w:val="28"/>
        </w:rPr>
        <w:t>Independent Commission</w:t>
      </w:r>
      <w:r w:rsidRPr="0049428E">
        <w:rPr>
          <w:rFonts w:asciiTheme="majorBidi" w:hAnsiTheme="majorBidi" w:cstheme="majorBidi"/>
          <w:sz w:val="28"/>
          <w:szCs w:val="28"/>
        </w:rPr>
        <w:t xml:space="preserve"> regrets that this issue was not addressed in the outcomes of the first phase of the Egyptian national dialogue.</w:t>
      </w:r>
    </w:p>
    <w:p w14:paraId="027D27F7" w14:textId="4122F975" w:rsidR="0049428E" w:rsidRPr="0049428E" w:rsidRDefault="0049428E" w:rsidP="002726C3">
      <w:pPr>
        <w:ind w:firstLine="720"/>
        <w:rPr>
          <w:rFonts w:asciiTheme="majorBidi" w:hAnsiTheme="majorBidi" w:cstheme="majorBidi"/>
          <w:sz w:val="28"/>
          <w:szCs w:val="28"/>
        </w:rPr>
      </w:pPr>
      <w:r w:rsidRPr="0049428E">
        <w:rPr>
          <w:rFonts w:asciiTheme="majorBidi" w:hAnsiTheme="majorBidi" w:cstheme="majorBidi"/>
          <w:sz w:val="28"/>
          <w:szCs w:val="28"/>
        </w:rPr>
        <w:t xml:space="preserve">However, there has been progress in addressing pretrial detention. The reactivation of the Presidential Pardon Committee, which includes independent </w:t>
      </w:r>
      <w:r w:rsidRPr="0049428E">
        <w:rPr>
          <w:rFonts w:asciiTheme="majorBidi" w:hAnsiTheme="majorBidi" w:cstheme="majorBidi"/>
          <w:sz w:val="28"/>
          <w:szCs w:val="28"/>
        </w:rPr>
        <w:lastRenderedPageBreak/>
        <w:t>figures, has led to the release of 1,400 defendants who were detained pending trial or had judicial rulings against them.</w:t>
      </w:r>
      <w:r w:rsidR="003056D7">
        <w:rPr>
          <w:rStyle w:val="FootnoteReference"/>
          <w:rFonts w:asciiTheme="majorBidi" w:hAnsiTheme="majorBidi" w:cstheme="majorBidi"/>
          <w:sz w:val="28"/>
          <w:szCs w:val="28"/>
        </w:rPr>
        <w:footnoteReference w:id="19"/>
      </w:r>
      <w:r w:rsidRPr="0049428E">
        <w:rPr>
          <w:rFonts w:asciiTheme="majorBidi" w:hAnsiTheme="majorBidi" w:cstheme="majorBidi"/>
          <w:sz w:val="28"/>
          <w:szCs w:val="28"/>
        </w:rPr>
        <w:t xml:space="preserve"> While the </w:t>
      </w:r>
      <w:r w:rsidR="007D13F0">
        <w:rPr>
          <w:rFonts w:asciiTheme="majorBidi" w:hAnsiTheme="majorBidi" w:cstheme="majorBidi"/>
          <w:sz w:val="28"/>
          <w:szCs w:val="28"/>
        </w:rPr>
        <w:t>Independent Commission</w:t>
      </w:r>
      <w:r w:rsidRPr="0049428E">
        <w:rPr>
          <w:rFonts w:asciiTheme="majorBidi" w:hAnsiTheme="majorBidi" w:cstheme="majorBidi"/>
          <w:sz w:val="28"/>
          <w:szCs w:val="28"/>
        </w:rPr>
        <w:t xml:space="preserve"> commends this step, it emphasizes the need for further solutions to be developed.</w:t>
      </w:r>
    </w:p>
    <w:p w14:paraId="237699D7" w14:textId="77777777" w:rsidR="00E87306" w:rsidRDefault="0049428E" w:rsidP="002726C3">
      <w:pPr>
        <w:ind w:firstLine="720"/>
        <w:rPr>
          <w:rFonts w:asciiTheme="majorBidi" w:hAnsiTheme="majorBidi" w:cstheme="majorBidi"/>
          <w:sz w:val="28"/>
          <w:szCs w:val="28"/>
        </w:rPr>
      </w:pPr>
      <w:r w:rsidRPr="0049428E">
        <w:rPr>
          <w:rFonts w:asciiTheme="majorBidi" w:hAnsiTheme="majorBidi" w:cstheme="majorBidi"/>
          <w:sz w:val="28"/>
          <w:szCs w:val="28"/>
        </w:rPr>
        <w:t>The National Human Rights Strategy has called for the establishment of controls for justifying pretrial detention and the exploration of advanced alternatives. Additionally, a system other than pretrial detention should be developed for individuals above the age of 15, as the current legal framework allows for the pretrial detention of children beyond that age.</w:t>
      </w:r>
    </w:p>
    <w:p w14:paraId="2DABC216" w14:textId="7D13240B" w:rsidR="0049428E" w:rsidRPr="0049428E" w:rsidRDefault="0049428E" w:rsidP="002726C3">
      <w:pPr>
        <w:ind w:firstLine="720"/>
        <w:rPr>
          <w:rFonts w:asciiTheme="majorBidi" w:hAnsiTheme="majorBidi" w:cstheme="majorBidi"/>
          <w:sz w:val="28"/>
          <w:szCs w:val="28"/>
        </w:rPr>
      </w:pPr>
      <w:r w:rsidRPr="0049428E">
        <w:rPr>
          <w:rFonts w:asciiTheme="majorBidi" w:hAnsiTheme="majorBidi" w:cstheme="majorBidi"/>
          <w:sz w:val="28"/>
          <w:szCs w:val="28"/>
        </w:rPr>
        <w:t>It is worth noting that there have been no legislative amendments to the provisions regarding pretrial detention in the Criminal Procedure Law since September 2013. Draft laws and discussions proposed by some members of the House of Representatives have not resulted in any amendments thus far.</w:t>
      </w:r>
    </w:p>
    <w:p w14:paraId="3B58DA2D" w14:textId="487A4A08" w:rsidR="0049428E" w:rsidRPr="00E87306" w:rsidRDefault="0049428E" w:rsidP="002726C3">
      <w:pPr>
        <w:rPr>
          <w:rFonts w:asciiTheme="majorBidi" w:hAnsiTheme="majorBidi" w:cstheme="majorBidi"/>
          <w:b/>
          <w:bCs/>
          <w:color w:val="0070C0"/>
          <w:sz w:val="28"/>
          <w:szCs w:val="28"/>
        </w:rPr>
      </w:pPr>
      <w:r w:rsidRPr="00E87306">
        <w:rPr>
          <w:rFonts w:asciiTheme="majorBidi" w:hAnsiTheme="majorBidi" w:cstheme="majorBidi"/>
          <w:b/>
          <w:bCs/>
          <w:color w:val="0070C0"/>
          <w:sz w:val="28"/>
          <w:szCs w:val="28"/>
        </w:rPr>
        <w:t xml:space="preserve">Fifth: Measures </w:t>
      </w:r>
      <w:r w:rsidR="002726C3">
        <w:rPr>
          <w:rFonts w:asciiTheme="majorBidi" w:hAnsiTheme="majorBidi" w:cstheme="majorBidi"/>
          <w:b/>
          <w:bCs/>
          <w:color w:val="0070C0"/>
          <w:sz w:val="28"/>
          <w:szCs w:val="28"/>
        </w:rPr>
        <w:t>Adopted</w:t>
      </w:r>
      <w:r w:rsidR="00E87306" w:rsidRPr="00E87306">
        <w:rPr>
          <w:rFonts w:asciiTheme="majorBidi" w:hAnsiTheme="majorBidi" w:cstheme="majorBidi"/>
          <w:b/>
          <w:bCs/>
          <w:color w:val="0070C0"/>
          <w:sz w:val="28"/>
          <w:szCs w:val="28"/>
        </w:rPr>
        <w:t xml:space="preserve"> </w:t>
      </w:r>
      <w:r w:rsidRPr="00E87306">
        <w:rPr>
          <w:rFonts w:asciiTheme="majorBidi" w:hAnsiTheme="majorBidi" w:cstheme="majorBidi"/>
          <w:b/>
          <w:bCs/>
          <w:color w:val="0070C0"/>
          <w:sz w:val="28"/>
          <w:szCs w:val="28"/>
        </w:rPr>
        <w:t xml:space="preserve">during the COVID-19 </w:t>
      </w:r>
      <w:r w:rsidR="00E87306" w:rsidRPr="00E87306">
        <w:rPr>
          <w:rFonts w:asciiTheme="majorBidi" w:hAnsiTheme="majorBidi" w:cstheme="majorBidi"/>
          <w:b/>
          <w:bCs/>
          <w:color w:val="0070C0"/>
          <w:sz w:val="28"/>
          <w:szCs w:val="28"/>
        </w:rPr>
        <w:t xml:space="preserve">Pandemic </w:t>
      </w:r>
      <w:r w:rsidRPr="00E87306">
        <w:rPr>
          <w:rFonts w:asciiTheme="majorBidi" w:hAnsiTheme="majorBidi" w:cstheme="majorBidi"/>
          <w:b/>
          <w:bCs/>
          <w:color w:val="0070C0"/>
          <w:sz w:val="28"/>
          <w:szCs w:val="28"/>
        </w:rPr>
        <w:t xml:space="preserve">and </w:t>
      </w:r>
      <w:r w:rsidR="00E87306" w:rsidRPr="00E87306">
        <w:rPr>
          <w:rFonts w:asciiTheme="majorBidi" w:hAnsiTheme="majorBidi" w:cstheme="majorBidi"/>
          <w:b/>
          <w:bCs/>
          <w:color w:val="0070C0"/>
          <w:sz w:val="28"/>
          <w:szCs w:val="28"/>
        </w:rPr>
        <w:t>Afterward</w:t>
      </w:r>
    </w:p>
    <w:p w14:paraId="339B242A" w14:textId="15144C93" w:rsidR="00E87306" w:rsidRDefault="0049428E" w:rsidP="002726C3">
      <w:pPr>
        <w:ind w:firstLine="720"/>
        <w:rPr>
          <w:rFonts w:asciiTheme="majorBidi" w:hAnsiTheme="majorBidi" w:cstheme="majorBidi"/>
          <w:sz w:val="28"/>
          <w:szCs w:val="28"/>
        </w:rPr>
      </w:pPr>
      <w:r w:rsidRPr="0049428E">
        <w:rPr>
          <w:rFonts w:asciiTheme="majorBidi" w:hAnsiTheme="majorBidi" w:cstheme="majorBidi"/>
          <w:sz w:val="28"/>
          <w:szCs w:val="28"/>
        </w:rPr>
        <w:t xml:space="preserve">The Committee requested information on the steps taken by Egypt during the COVID-19 pandemic to ensure consistency between state policies and actions and its obligations under the Convention. The </w:t>
      </w:r>
      <w:r w:rsidR="007D13F0">
        <w:rPr>
          <w:rFonts w:asciiTheme="majorBidi" w:hAnsiTheme="majorBidi" w:cstheme="majorBidi"/>
          <w:sz w:val="28"/>
          <w:szCs w:val="28"/>
        </w:rPr>
        <w:t>Independent Commission</w:t>
      </w:r>
      <w:r w:rsidRPr="0049428E">
        <w:rPr>
          <w:rFonts w:asciiTheme="majorBidi" w:hAnsiTheme="majorBidi" w:cstheme="majorBidi"/>
          <w:sz w:val="28"/>
          <w:szCs w:val="28"/>
        </w:rPr>
        <w:t xml:space="preserve"> acknowledges a directive issued by the Minister of Interior to vaccinate prisoners against COVID-19, aiming to provide comprehensive healthcare to inmates.</w:t>
      </w:r>
      <w:r w:rsidR="00684D28">
        <w:rPr>
          <w:rStyle w:val="FootnoteReference"/>
          <w:rFonts w:asciiTheme="majorBidi" w:hAnsiTheme="majorBidi" w:cstheme="majorBidi"/>
          <w:sz w:val="28"/>
          <w:szCs w:val="28"/>
        </w:rPr>
        <w:footnoteReference w:id="20"/>
      </w:r>
      <w:r w:rsidR="00684D28">
        <w:rPr>
          <w:rFonts w:asciiTheme="majorBidi" w:hAnsiTheme="majorBidi" w:cstheme="majorBidi"/>
          <w:sz w:val="28"/>
          <w:szCs w:val="28"/>
        </w:rPr>
        <w:t xml:space="preserve"> </w:t>
      </w:r>
      <w:r w:rsidRPr="0049428E">
        <w:rPr>
          <w:rFonts w:asciiTheme="majorBidi" w:hAnsiTheme="majorBidi" w:cstheme="majorBidi"/>
          <w:sz w:val="28"/>
          <w:szCs w:val="28"/>
        </w:rPr>
        <w:t>As of May 2021, official data reported that almost all prison inmates in Egypt had received their first dose of the vaccine.</w:t>
      </w:r>
      <w:r w:rsidR="00684D28">
        <w:rPr>
          <w:rStyle w:val="FootnoteReference"/>
          <w:rFonts w:asciiTheme="majorBidi" w:hAnsiTheme="majorBidi" w:cstheme="majorBidi"/>
          <w:sz w:val="28"/>
          <w:szCs w:val="28"/>
        </w:rPr>
        <w:footnoteReference w:id="21"/>
      </w:r>
      <w:r w:rsidRPr="0049428E">
        <w:rPr>
          <w:rFonts w:asciiTheme="majorBidi" w:hAnsiTheme="majorBidi" w:cstheme="majorBidi"/>
          <w:sz w:val="28"/>
          <w:szCs w:val="28"/>
        </w:rPr>
        <w:t xml:space="preserve"> It is noteworthy that there were no major infections recorded among the prison population in Egypt.</w:t>
      </w:r>
    </w:p>
    <w:p w14:paraId="221457B4" w14:textId="54ECC473" w:rsidR="0049428E" w:rsidRPr="00130DDD" w:rsidRDefault="0049428E" w:rsidP="002726C3">
      <w:pPr>
        <w:ind w:firstLine="720"/>
        <w:rPr>
          <w:rFonts w:asciiTheme="majorBidi" w:hAnsiTheme="majorBidi" w:cstheme="majorBidi"/>
          <w:sz w:val="28"/>
          <w:szCs w:val="28"/>
        </w:rPr>
      </w:pPr>
      <w:r w:rsidRPr="0049428E">
        <w:rPr>
          <w:rFonts w:asciiTheme="majorBidi" w:hAnsiTheme="majorBidi" w:cstheme="majorBidi"/>
          <w:sz w:val="28"/>
          <w:szCs w:val="28"/>
        </w:rPr>
        <w:t xml:space="preserve">However, while measures were taken to mitigate the spread of COVID-19, some of them resulted in restrictions on the rights granted to prisoners under </w:t>
      </w:r>
      <w:r w:rsidRPr="0049428E">
        <w:rPr>
          <w:rFonts w:asciiTheme="majorBidi" w:hAnsiTheme="majorBidi" w:cstheme="majorBidi"/>
          <w:sz w:val="28"/>
          <w:szCs w:val="28"/>
        </w:rPr>
        <w:lastRenderedPageBreak/>
        <w:t>international treaties and agreements.</w:t>
      </w:r>
      <w:r w:rsidR="00F442F9">
        <w:rPr>
          <w:rStyle w:val="FootnoteReference"/>
          <w:rFonts w:asciiTheme="majorBidi" w:hAnsiTheme="majorBidi" w:cstheme="majorBidi"/>
          <w:sz w:val="28"/>
          <w:szCs w:val="28"/>
        </w:rPr>
        <w:footnoteReference w:id="22"/>
      </w:r>
      <w:r w:rsidRPr="0049428E">
        <w:rPr>
          <w:rFonts w:asciiTheme="majorBidi" w:hAnsiTheme="majorBidi" w:cstheme="majorBidi"/>
          <w:sz w:val="28"/>
          <w:szCs w:val="28"/>
        </w:rPr>
        <w:t xml:space="preserve"> For example, all family visits were initially banned by the Ministry of Interior from </w:t>
      </w:r>
      <w:r w:rsidR="0060586A" w:rsidRPr="0049428E">
        <w:rPr>
          <w:rFonts w:asciiTheme="majorBidi" w:hAnsiTheme="majorBidi" w:cstheme="majorBidi"/>
          <w:sz w:val="28"/>
          <w:szCs w:val="28"/>
        </w:rPr>
        <w:t>10</w:t>
      </w:r>
      <w:r w:rsidR="0060586A">
        <w:rPr>
          <w:rFonts w:asciiTheme="majorBidi" w:hAnsiTheme="majorBidi" w:cstheme="majorBidi"/>
          <w:sz w:val="28"/>
          <w:szCs w:val="28"/>
        </w:rPr>
        <w:t xml:space="preserve"> </w:t>
      </w:r>
      <w:r w:rsidRPr="0049428E">
        <w:rPr>
          <w:rFonts w:asciiTheme="majorBidi" w:hAnsiTheme="majorBidi" w:cstheme="majorBidi"/>
          <w:sz w:val="28"/>
          <w:szCs w:val="28"/>
        </w:rPr>
        <w:t xml:space="preserve">March 2020. Family visits resumed on </w:t>
      </w:r>
      <w:r w:rsidR="0060586A" w:rsidRPr="0049428E">
        <w:rPr>
          <w:rFonts w:asciiTheme="majorBidi" w:hAnsiTheme="majorBidi" w:cstheme="majorBidi"/>
          <w:sz w:val="28"/>
          <w:szCs w:val="28"/>
        </w:rPr>
        <w:t>22</w:t>
      </w:r>
      <w:r w:rsidR="0060586A">
        <w:rPr>
          <w:rFonts w:asciiTheme="majorBidi" w:hAnsiTheme="majorBidi" w:cstheme="majorBidi"/>
          <w:sz w:val="28"/>
          <w:szCs w:val="28"/>
        </w:rPr>
        <w:t xml:space="preserve"> </w:t>
      </w:r>
      <w:r w:rsidRPr="0049428E">
        <w:rPr>
          <w:rFonts w:asciiTheme="majorBidi" w:hAnsiTheme="majorBidi" w:cstheme="majorBidi"/>
          <w:sz w:val="28"/>
          <w:szCs w:val="28"/>
        </w:rPr>
        <w:t>August</w:t>
      </w:r>
      <w:r w:rsidR="0060586A">
        <w:rPr>
          <w:rFonts w:asciiTheme="majorBidi" w:hAnsiTheme="majorBidi" w:cstheme="majorBidi"/>
          <w:sz w:val="28"/>
          <w:szCs w:val="28"/>
        </w:rPr>
        <w:t xml:space="preserve"> </w:t>
      </w:r>
      <w:r w:rsidRPr="0049428E">
        <w:rPr>
          <w:rFonts w:asciiTheme="majorBidi" w:hAnsiTheme="majorBidi" w:cstheme="majorBidi"/>
          <w:sz w:val="28"/>
          <w:szCs w:val="28"/>
        </w:rPr>
        <w:t>2020. Reports also indicated that families of inmates faced challenges in providing food and sanitary medicines to their imprisoned relatives. Additionally, pretrial detention was sometimes automatically renewed in accordance with opinions adopted by the Working Group on Arbitrary Detention in September 2022.</w:t>
      </w:r>
      <w:r w:rsidR="00004391">
        <w:rPr>
          <w:rStyle w:val="FootnoteReference"/>
          <w:rFonts w:asciiTheme="majorBidi" w:hAnsiTheme="majorBidi" w:cstheme="majorBidi"/>
          <w:sz w:val="28"/>
          <w:szCs w:val="28"/>
        </w:rPr>
        <w:footnoteReference w:id="23"/>
      </w:r>
    </w:p>
    <w:bookmarkEnd w:id="7"/>
    <w:p w14:paraId="395083C8" w14:textId="2BB8437D" w:rsidR="008D76D9" w:rsidRPr="00004391" w:rsidRDefault="008D76D9" w:rsidP="002726C3">
      <w:pPr>
        <w:rPr>
          <w:rFonts w:asciiTheme="majorBidi" w:hAnsiTheme="majorBidi" w:cstheme="majorBidi"/>
          <w:b/>
          <w:bCs/>
          <w:color w:val="0070C0"/>
          <w:sz w:val="28"/>
          <w:szCs w:val="28"/>
        </w:rPr>
      </w:pPr>
      <w:r w:rsidRPr="00004391">
        <w:rPr>
          <w:rFonts w:asciiTheme="majorBidi" w:hAnsiTheme="majorBidi" w:cstheme="majorBidi"/>
          <w:b/>
          <w:bCs/>
          <w:color w:val="0070C0"/>
          <w:sz w:val="28"/>
          <w:szCs w:val="28"/>
        </w:rPr>
        <w:t xml:space="preserve">The </w:t>
      </w:r>
      <w:r w:rsidR="007D13F0" w:rsidRPr="00004391">
        <w:rPr>
          <w:rFonts w:asciiTheme="majorBidi" w:hAnsiTheme="majorBidi" w:cstheme="majorBidi"/>
          <w:b/>
          <w:bCs/>
          <w:color w:val="0070C0"/>
          <w:sz w:val="28"/>
          <w:szCs w:val="28"/>
        </w:rPr>
        <w:t>Independent Commission</w:t>
      </w:r>
      <w:r w:rsidRPr="00004391">
        <w:rPr>
          <w:rFonts w:asciiTheme="majorBidi" w:hAnsiTheme="majorBidi" w:cstheme="majorBidi"/>
          <w:b/>
          <w:bCs/>
          <w:color w:val="0070C0"/>
          <w:sz w:val="28"/>
          <w:szCs w:val="28"/>
        </w:rPr>
        <w:t xml:space="preserve"> for Human Rights in North Africa recommends the following:</w:t>
      </w:r>
    </w:p>
    <w:p w14:paraId="60DC5F3A" w14:textId="6CD24670" w:rsidR="008D76D9" w:rsidRPr="00A15C5D" w:rsidRDefault="008D76D9" w:rsidP="002726C3">
      <w:pPr>
        <w:pStyle w:val="ListParagraph"/>
        <w:numPr>
          <w:ilvl w:val="0"/>
          <w:numId w:val="2"/>
        </w:numPr>
        <w:rPr>
          <w:rFonts w:asciiTheme="majorBidi" w:hAnsiTheme="majorBidi" w:cstheme="majorBidi"/>
          <w:sz w:val="28"/>
          <w:szCs w:val="28"/>
        </w:rPr>
      </w:pPr>
      <w:r w:rsidRPr="00A15C5D">
        <w:rPr>
          <w:rFonts w:asciiTheme="majorBidi" w:hAnsiTheme="majorBidi" w:cstheme="majorBidi"/>
          <w:sz w:val="28"/>
          <w:szCs w:val="28"/>
        </w:rPr>
        <w:t xml:space="preserve">Consider accelerating the pace of work to achieve the targeted results related to the fight against torture in the National Human Rights </w:t>
      </w:r>
      <w:r w:rsidR="00A15C5D">
        <w:rPr>
          <w:rFonts w:asciiTheme="majorBidi" w:hAnsiTheme="majorBidi" w:cstheme="majorBidi"/>
          <w:sz w:val="28"/>
          <w:szCs w:val="28"/>
        </w:rPr>
        <w:t>Strategy;</w:t>
      </w:r>
    </w:p>
    <w:p w14:paraId="013E3088" w14:textId="464CFF0B" w:rsidR="008D76D9" w:rsidRPr="00A15C5D" w:rsidRDefault="008D76D9" w:rsidP="002726C3">
      <w:pPr>
        <w:pStyle w:val="ListParagraph"/>
        <w:numPr>
          <w:ilvl w:val="0"/>
          <w:numId w:val="2"/>
        </w:numPr>
        <w:rPr>
          <w:rFonts w:asciiTheme="majorBidi" w:hAnsiTheme="majorBidi" w:cstheme="majorBidi"/>
          <w:sz w:val="28"/>
          <w:szCs w:val="28"/>
        </w:rPr>
      </w:pPr>
      <w:r w:rsidRPr="00A15C5D">
        <w:rPr>
          <w:rFonts w:asciiTheme="majorBidi" w:hAnsiTheme="majorBidi" w:cstheme="majorBidi"/>
          <w:sz w:val="28"/>
          <w:szCs w:val="28"/>
        </w:rPr>
        <w:t>Consider amending the Code of Criminal Procedure by adding articles that tighten controls on justifications for pretrial detention and add more advanced alternatives to this practice in accordance with what is stated in the National Human Rights Strategy</w:t>
      </w:r>
      <w:r w:rsidR="00A15C5D">
        <w:rPr>
          <w:rFonts w:asciiTheme="majorBidi" w:hAnsiTheme="majorBidi" w:cstheme="majorBidi"/>
          <w:sz w:val="28"/>
          <w:szCs w:val="28"/>
        </w:rPr>
        <w:t>;</w:t>
      </w:r>
    </w:p>
    <w:p w14:paraId="49D87991" w14:textId="57414D8F" w:rsidR="008D76D9" w:rsidRPr="00A15C5D" w:rsidRDefault="008D76D9" w:rsidP="002726C3">
      <w:pPr>
        <w:pStyle w:val="ListParagraph"/>
        <w:numPr>
          <w:ilvl w:val="0"/>
          <w:numId w:val="2"/>
        </w:numPr>
        <w:rPr>
          <w:rFonts w:asciiTheme="majorBidi" w:hAnsiTheme="majorBidi" w:cstheme="majorBidi"/>
          <w:sz w:val="28"/>
          <w:szCs w:val="28"/>
        </w:rPr>
      </w:pPr>
      <w:r w:rsidRPr="00A15C5D">
        <w:rPr>
          <w:rFonts w:asciiTheme="majorBidi" w:hAnsiTheme="majorBidi" w:cstheme="majorBidi"/>
          <w:sz w:val="28"/>
          <w:szCs w:val="28"/>
        </w:rPr>
        <w:t>Consider constantly updating official data related to disciplinary penalties for law enforcement forces and police personnel who practice any form of torture or ill-treatment</w:t>
      </w:r>
      <w:r w:rsidR="00A15C5D">
        <w:rPr>
          <w:rFonts w:asciiTheme="majorBidi" w:hAnsiTheme="majorBidi" w:cstheme="majorBidi"/>
          <w:sz w:val="28"/>
          <w:szCs w:val="28"/>
        </w:rPr>
        <w:t>;</w:t>
      </w:r>
    </w:p>
    <w:p w14:paraId="0E16A899" w14:textId="3E2C3C1F" w:rsidR="008D76D9" w:rsidRPr="00A15C5D" w:rsidRDefault="008D76D9" w:rsidP="002726C3">
      <w:pPr>
        <w:pStyle w:val="ListParagraph"/>
        <w:numPr>
          <w:ilvl w:val="0"/>
          <w:numId w:val="2"/>
        </w:numPr>
        <w:rPr>
          <w:rFonts w:asciiTheme="majorBidi" w:hAnsiTheme="majorBidi" w:cstheme="majorBidi"/>
          <w:sz w:val="28"/>
          <w:szCs w:val="28"/>
        </w:rPr>
      </w:pPr>
      <w:r w:rsidRPr="00A15C5D">
        <w:rPr>
          <w:rFonts w:asciiTheme="majorBidi" w:hAnsiTheme="majorBidi" w:cstheme="majorBidi"/>
          <w:sz w:val="28"/>
          <w:szCs w:val="28"/>
        </w:rPr>
        <w:t>Consider joining the Optional Protocol to the Convention against Torture.</w:t>
      </w:r>
    </w:p>
    <w:sectPr w:rsidR="008D76D9" w:rsidRPr="00A15C5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38F34" w14:textId="77777777" w:rsidR="0061606C" w:rsidRDefault="0061606C" w:rsidP="00B73479">
      <w:pPr>
        <w:spacing w:before="0" w:after="0"/>
      </w:pPr>
      <w:r>
        <w:separator/>
      </w:r>
    </w:p>
  </w:endnote>
  <w:endnote w:type="continuationSeparator" w:id="0">
    <w:p w14:paraId="669CB198" w14:textId="77777777" w:rsidR="0061606C" w:rsidRDefault="0061606C" w:rsidP="00B7347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E7125" w14:textId="77777777" w:rsidR="0061606C" w:rsidRDefault="0061606C" w:rsidP="00B73479">
      <w:pPr>
        <w:spacing w:before="0" w:after="0"/>
      </w:pPr>
      <w:r>
        <w:separator/>
      </w:r>
    </w:p>
  </w:footnote>
  <w:footnote w:type="continuationSeparator" w:id="0">
    <w:p w14:paraId="0F63BF8E" w14:textId="77777777" w:rsidR="0061606C" w:rsidRDefault="0061606C" w:rsidP="00B73479">
      <w:pPr>
        <w:spacing w:before="0" w:after="0"/>
      </w:pPr>
      <w:r>
        <w:continuationSeparator/>
      </w:r>
    </w:p>
  </w:footnote>
  <w:footnote w:id="1">
    <w:p w14:paraId="5CB28873" w14:textId="00078B6A" w:rsidR="00B73479" w:rsidRPr="002726C3" w:rsidRDefault="00B73479" w:rsidP="002726C3">
      <w:pPr>
        <w:pStyle w:val="FootnoteText"/>
        <w:jc w:val="left"/>
        <w:rPr>
          <w:lang w:bidi="ar-EG"/>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2726C3" w:rsidRPr="00D10A13">
        <w:t>Convention against Torture and Other Cruel, Inhuman or Degrading Treatment or Punishment</w:t>
      </w:r>
      <w:r w:rsidR="002726C3">
        <w:t xml:space="preserve">, </w:t>
      </w:r>
      <w:r w:rsidR="002726C3">
        <w:rPr>
          <w:lang w:bidi="ar-EG"/>
        </w:rPr>
        <w:t xml:space="preserve">page 1, </w:t>
      </w:r>
      <w:hyperlink r:id="rId1" w:history="1">
        <w:r w:rsidR="002726C3" w:rsidRPr="00436A47">
          <w:rPr>
            <w:rStyle w:val="Hyperlink"/>
          </w:rPr>
          <w:t>https://treaties.un.org/doc/Publication/MTDSG/Volume%20I/Chapter%20IV/IV-9.en.pdf</w:t>
        </w:r>
      </w:hyperlink>
      <w:r w:rsidR="002726C3">
        <w:t xml:space="preserve"> </w:t>
      </w:r>
    </w:p>
  </w:footnote>
  <w:footnote w:id="2">
    <w:p w14:paraId="45DBB318" w14:textId="4483DBC1" w:rsidR="00FD0193" w:rsidRPr="002726C3" w:rsidRDefault="00FD0193"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2726C3" w:rsidRPr="00D55323">
        <w:t>Optional Protocol to the Convention against Torture and Other Cruel, Inhuman or Degrading Treatment or Punishment</w:t>
      </w:r>
      <w:r w:rsidR="002726C3">
        <w:t xml:space="preserve">, </w:t>
      </w:r>
      <w:hyperlink r:id="rId2" w:history="1">
        <w:r w:rsidR="002726C3" w:rsidRPr="00436A47">
          <w:rPr>
            <w:rStyle w:val="Hyperlink"/>
          </w:rPr>
          <w:t>https://treaties.un.org/pages/ViewDetails.aspx?src=TREATY&amp;mtdsg_no=IV-9-b&amp;chapter=4&amp;clang=_en</w:t>
        </w:r>
      </w:hyperlink>
    </w:p>
  </w:footnote>
  <w:footnote w:id="3">
    <w:p w14:paraId="5A45FBE3" w14:textId="24E9667C" w:rsidR="00FD0193" w:rsidRPr="002726C3" w:rsidRDefault="00FD0193"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bookmarkStart w:id="3" w:name="_Hlk146705517"/>
      <w:r w:rsidR="002726C3" w:rsidRPr="002726C3">
        <w:rPr>
          <w:rFonts w:asciiTheme="majorBidi" w:hAnsiTheme="majorBidi" w:cstheme="majorBidi"/>
        </w:rPr>
        <w:t xml:space="preserve">Report of the Working Group on the Universal Periodic Review, </w:t>
      </w:r>
      <w:hyperlink r:id="rId3" w:history="1">
        <w:r w:rsidR="002726C3" w:rsidRPr="002726C3">
          <w:rPr>
            <w:rStyle w:val="Hyperlink"/>
            <w:rFonts w:asciiTheme="majorBidi" w:hAnsiTheme="majorBidi" w:cstheme="majorBidi"/>
          </w:rPr>
          <w:t>https://www.upr-info.org/sites/default/files/documents/2020-05/addendum_egypt-_english.pdf</w:t>
        </w:r>
      </w:hyperlink>
      <w:bookmarkEnd w:id="3"/>
    </w:p>
  </w:footnote>
  <w:footnote w:id="4">
    <w:p w14:paraId="756A5F02" w14:textId="45C8FAB2" w:rsidR="00FD0193" w:rsidRPr="002726C3" w:rsidRDefault="00FD0193"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bookmarkStart w:id="4" w:name="_Hlk146705511"/>
      <w:r w:rsidR="002726C3" w:rsidRPr="002726C3">
        <w:rPr>
          <w:rFonts w:asciiTheme="majorBidi" w:hAnsiTheme="majorBidi" w:cstheme="majorBidi"/>
          <w:lang w:bidi="ar-EG"/>
        </w:rPr>
        <w:t xml:space="preserve">See this link: </w:t>
      </w:r>
      <w:hyperlink r:id="rId4" w:history="1">
        <w:r w:rsidR="002726C3" w:rsidRPr="002726C3">
          <w:rPr>
            <w:rStyle w:val="Hyperlink"/>
            <w:rFonts w:asciiTheme="majorBidi" w:hAnsiTheme="majorBidi" w:cstheme="majorBidi"/>
            <w:lang w:bidi="ar-EG"/>
          </w:rPr>
          <w:t>https://www.ohchr.org/sites/default/files/Documents/Issues/Torture/CFI_Effectiveness_of_States/States/Egypt</w:t>
        </w:r>
      </w:hyperlink>
      <w:bookmarkEnd w:id="4"/>
    </w:p>
  </w:footnote>
  <w:footnote w:id="5">
    <w:p w14:paraId="1C4E85AA" w14:textId="562EF65D" w:rsidR="00FD0193" w:rsidRPr="002726C3" w:rsidRDefault="00FD0193"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EB57FF" w:rsidRPr="002726C3">
        <w:rPr>
          <w:rFonts w:asciiTheme="majorBidi" w:hAnsiTheme="majorBidi" w:cstheme="majorBidi"/>
          <w:lang w:bidi="ar-EG"/>
        </w:rPr>
        <w:t>Ibid</w:t>
      </w:r>
    </w:p>
  </w:footnote>
  <w:footnote w:id="6">
    <w:p w14:paraId="2BC1F8D1" w14:textId="4C478054" w:rsidR="00E32BEC" w:rsidRPr="002726C3" w:rsidRDefault="00E32BEC"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EB57FF" w:rsidRPr="002726C3">
        <w:rPr>
          <w:rFonts w:asciiTheme="majorBidi" w:hAnsiTheme="majorBidi" w:cstheme="majorBidi"/>
        </w:rPr>
        <w:t xml:space="preserve">National Human Rights Strategy, page 20, </w:t>
      </w:r>
      <w:hyperlink r:id="rId5" w:history="1">
        <w:r w:rsidR="00EB57FF" w:rsidRPr="002726C3">
          <w:rPr>
            <w:rStyle w:val="Hyperlink"/>
            <w:rFonts w:asciiTheme="majorBidi" w:hAnsiTheme="majorBidi" w:cstheme="majorBidi"/>
          </w:rPr>
          <w:t>https://sschr.gov.eg/media/gapb5bq4/national-human-rights-strategy.pdf</w:t>
        </w:r>
      </w:hyperlink>
    </w:p>
  </w:footnote>
  <w:footnote w:id="7">
    <w:p w14:paraId="1A2DF113" w14:textId="2495F290" w:rsidR="006144AC" w:rsidRPr="002726C3" w:rsidRDefault="006144AC"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EB57FF" w:rsidRPr="002726C3">
        <w:rPr>
          <w:rFonts w:asciiTheme="majorBidi" w:hAnsiTheme="majorBidi" w:cstheme="majorBidi"/>
          <w:lang w:bidi="ar-EG"/>
        </w:rPr>
        <w:t xml:space="preserve">Ibid, </w:t>
      </w:r>
      <w:hyperlink r:id="rId6" w:history="1">
        <w:r w:rsidR="00EB57FF" w:rsidRPr="002726C3">
          <w:rPr>
            <w:rStyle w:val="Hyperlink"/>
            <w:rFonts w:asciiTheme="majorBidi" w:hAnsiTheme="majorBidi" w:cstheme="majorBidi"/>
            <w:lang w:bidi="ar-EG"/>
          </w:rPr>
          <w:t>https://sschr.gov.eg/media/gapb5bq4/national-human-rights-strategy.pdf</w:t>
        </w:r>
      </w:hyperlink>
    </w:p>
  </w:footnote>
  <w:footnote w:id="8">
    <w:p w14:paraId="04BBADCE" w14:textId="446A8C54" w:rsidR="0029730B" w:rsidRPr="002726C3" w:rsidRDefault="0029730B"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EB57FF" w:rsidRPr="002726C3">
        <w:rPr>
          <w:rFonts w:asciiTheme="majorBidi" w:hAnsiTheme="majorBidi" w:cstheme="majorBidi"/>
        </w:rPr>
        <w:t xml:space="preserve">List of issues in relation to the fifth periodic report of Egypt, </w:t>
      </w:r>
      <w:hyperlink r:id="rId7" w:history="1">
        <w:r w:rsidR="00EB57FF" w:rsidRPr="002726C3">
          <w:rPr>
            <w:rStyle w:val="Hyperlink"/>
            <w:rFonts w:asciiTheme="majorBidi" w:hAnsiTheme="majorBidi" w:cstheme="majorBidi"/>
          </w:rPr>
          <w:t>https://tinyurl.com/3h2hmrtx</w:t>
        </w:r>
      </w:hyperlink>
      <w:r w:rsidR="00EB57FF" w:rsidRPr="002726C3">
        <w:rPr>
          <w:rStyle w:val="Hyperlink"/>
          <w:rFonts w:asciiTheme="majorBidi" w:hAnsiTheme="majorBidi" w:cstheme="majorBidi"/>
        </w:rPr>
        <w:t xml:space="preserve"> </w:t>
      </w:r>
    </w:p>
  </w:footnote>
  <w:footnote w:id="9">
    <w:p w14:paraId="2E34C54F" w14:textId="5A59B961" w:rsidR="00C27606" w:rsidRPr="002726C3" w:rsidRDefault="00C27606"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5233A6" w:rsidRPr="002726C3">
        <w:rPr>
          <w:rFonts w:asciiTheme="majorBidi" w:hAnsiTheme="majorBidi" w:cstheme="majorBidi"/>
        </w:rPr>
        <w:t>The government's comment on the 15</w:t>
      </w:r>
      <w:r w:rsidR="005233A6" w:rsidRPr="002726C3">
        <w:rPr>
          <w:rFonts w:asciiTheme="majorBidi" w:hAnsiTheme="majorBidi" w:cstheme="majorBidi"/>
          <w:vertAlign w:val="superscript"/>
        </w:rPr>
        <w:t>th</w:t>
      </w:r>
      <w:r w:rsidR="005233A6" w:rsidRPr="002726C3">
        <w:rPr>
          <w:rFonts w:asciiTheme="majorBidi" w:hAnsiTheme="majorBidi" w:cstheme="majorBidi"/>
        </w:rPr>
        <w:t xml:space="preserve"> annual report of the National </w:t>
      </w:r>
      <w:r w:rsidR="00EB57FF" w:rsidRPr="002726C3">
        <w:rPr>
          <w:rFonts w:asciiTheme="majorBidi" w:hAnsiTheme="majorBidi" w:cstheme="majorBidi"/>
        </w:rPr>
        <w:t>Council</w:t>
      </w:r>
      <w:r w:rsidR="005233A6" w:rsidRPr="002726C3">
        <w:rPr>
          <w:rFonts w:asciiTheme="majorBidi" w:hAnsiTheme="majorBidi" w:cstheme="majorBidi"/>
        </w:rPr>
        <w:t xml:space="preserve"> for Human Rights, p. 18, </w:t>
      </w:r>
      <w:hyperlink r:id="rId8" w:history="1">
        <w:r w:rsidR="005233A6" w:rsidRPr="002726C3">
          <w:rPr>
            <w:rStyle w:val="Hyperlink"/>
            <w:rFonts w:asciiTheme="majorBidi" w:hAnsiTheme="majorBidi" w:cstheme="majorBidi"/>
          </w:rPr>
          <w:t>https://sschr.gov.eg/media/XGRHRHSWYG/NHRHR2019-2020.pdf</w:t>
        </w:r>
      </w:hyperlink>
      <w:r w:rsidR="005233A6" w:rsidRPr="002726C3">
        <w:rPr>
          <w:rFonts w:asciiTheme="majorBidi" w:hAnsiTheme="majorBidi" w:cstheme="majorBidi"/>
        </w:rPr>
        <w:t xml:space="preserve"> </w:t>
      </w:r>
    </w:p>
  </w:footnote>
  <w:footnote w:id="10">
    <w:p w14:paraId="1E7A8BEB" w14:textId="6B545A14" w:rsidR="00C27606" w:rsidRPr="002726C3" w:rsidRDefault="00C27606"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5233A6" w:rsidRPr="002726C3">
        <w:rPr>
          <w:rFonts w:asciiTheme="majorBidi" w:hAnsiTheme="majorBidi" w:cstheme="majorBidi"/>
        </w:rPr>
        <w:t>Ibid.</w:t>
      </w:r>
    </w:p>
  </w:footnote>
  <w:footnote w:id="11">
    <w:p w14:paraId="288A8D34" w14:textId="10D737DB" w:rsidR="006D3FA2" w:rsidRPr="002726C3" w:rsidRDefault="006D3FA2"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5233A6" w:rsidRPr="002726C3">
        <w:rPr>
          <w:rFonts w:asciiTheme="majorBidi" w:hAnsiTheme="majorBidi" w:cstheme="majorBidi"/>
        </w:rPr>
        <w:t xml:space="preserve">The final ruling on a criminal lawsuit of an employee dismissal case from the service, </w:t>
      </w:r>
      <w:hyperlink r:id="rId9" w:history="1">
        <w:r w:rsidR="005233A6" w:rsidRPr="002726C3">
          <w:rPr>
            <w:rStyle w:val="Hyperlink"/>
            <w:rFonts w:asciiTheme="majorBidi" w:hAnsiTheme="majorBidi" w:cstheme="majorBidi"/>
          </w:rPr>
          <w:t>https://tinyurl.com/55HM2BAX</w:t>
        </w:r>
      </w:hyperlink>
      <w:r w:rsidR="005233A6" w:rsidRPr="002726C3">
        <w:rPr>
          <w:rFonts w:asciiTheme="majorBidi" w:hAnsiTheme="majorBidi" w:cstheme="majorBidi"/>
        </w:rPr>
        <w:t xml:space="preserve"> </w:t>
      </w:r>
    </w:p>
  </w:footnote>
  <w:footnote w:id="12">
    <w:p w14:paraId="50CB0237" w14:textId="74548EC9" w:rsidR="00C66DC6" w:rsidRPr="002726C3" w:rsidRDefault="00C66DC6"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9E4BFF" w:rsidRPr="002726C3">
        <w:rPr>
          <w:rFonts w:asciiTheme="majorBidi" w:hAnsiTheme="majorBidi" w:cstheme="majorBidi"/>
        </w:rPr>
        <w:t>Reform and Rehabilitation Centers: abandoning the thought of punishment and adoption of the philosophy of rehabilitat</w:t>
      </w:r>
      <w:r w:rsidR="005233A6" w:rsidRPr="002726C3">
        <w:rPr>
          <w:rFonts w:asciiTheme="majorBidi" w:hAnsiTheme="majorBidi" w:cstheme="majorBidi"/>
        </w:rPr>
        <w:t>ion</w:t>
      </w:r>
      <w:r w:rsidR="009E4BFF" w:rsidRPr="002726C3">
        <w:rPr>
          <w:rFonts w:asciiTheme="majorBidi" w:hAnsiTheme="majorBidi" w:cstheme="majorBidi"/>
        </w:rPr>
        <w:t xml:space="preserve">, </w:t>
      </w:r>
      <w:hyperlink r:id="rId10" w:history="1">
        <w:r w:rsidR="009E4BFF" w:rsidRPr="002726C3">
          <w:rPr>
            <w:rStyle w:val="Hyperlink"/>
            <w:rFonts w:asciiTheme="majorBidi" w:hAnsiTheme="majorBidi" w:cstheme="majorBidi"/>
          </w:rPr>
          <w:t>https://marsad.ecss.com.eg/76358/</w:t>
        </w:r>
      </w:hyperlink>
      <w:r w:rsidR="009E4BFF" w:rsidRPr="002726C3">
        <w:rPr>
          <w:rFonts w:asciiTheme="majorBidi" w:hAnsiTheme="majorBidi" w:cstheme="majorBidi"/>
        </w:rPr>
        <w:t xml:space="preserve"> </w:t>
      </w:r>
    </w:p>
  </w:footnote>
  <w:footnote w:id="13">
    <w:p w14:paraId="44BBE7F9" w14:textId="2909969C" w:rsidR="00F20E8F" w:rsidRPr="002726C3" w:rsidRDefault="00F20E8F"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9E4BFF" w:rsidRPr="002726C3">
        <w:rPr>
          <w:rFonts w:asciiTheme="majorBidi" w:hAnsiTheme="majorBidi" w:cstheme="majorBidi"/>
        </w:rPr>
        <w:t xml:space="preserve">Amended Egyptian Constitution, Article 55, </w:t>
      </w:r>
      <w:hyperlink r:id="rId11" w:history="1">
        <w:r w:rsidR="009E4BFF" w:rsidRPr="002726C3">
          <w:rPr>
            <w:rStyle w:val="Hyperlink"/>
            <w:rFonts w:asciiTheme="majorBidi" w:hAnsiTheme="majorBidi" w:cstheme="majorBidi"/>
          </w:rPr>
          <w:t>https://manshurat.org/node/14675</w:t>
        </w:r>
      </w:hyperlink>
      <w:r w:rsidR="009E4BFF" w:rsidRPr="002726C3">
        <w:rPr>
          <w:rFonts w:asciiTheme="majorBidi" w:hAnsiTheme="majorBidi" w:cstheme="majorBidi"/>
        </w:rPr>
        <w:t xml:space="preserve"> </w:t>
      </w:r>
    </w:p>
  </w:footnote>
  <w:footnote w:id="14">
    <w:p w14:paraId="4E1B8A6F" w14:textId="2963A98B" w:rsidR="00F20E8F" w:rsidRPr="002726C3" w:rsidRDefault="00F20E8F"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9E4BFF" w:rsidRPr="002726C3">
        <w:rPr>
          <w:rFonts w:asciiTheme="majorBidi" w:hAnsiTheme="majorBidi" w:cstheme="majorBidi"/>
        </w:rPr>
        <w:t xml:space="preserve">Penal Code, </w:t>
      </w:r>
      <w:hyperlink r:id="rId12" w:history="1">
        <w:r w:rsidR="009E4BFF" w:rsidRPr="002726C3">
          <w:rPr>
            <w:rStyle w:val="Hyperlink"/>
            <w:rFonts w:asciiTheme="majorBidi" w:hAnsiTheme="majorBidi" w:cstheme="majorBidi"/>
          </w:rPr>
          <w:t>https://manshurat.org/node/14677</w:t>
        </w:r>
      </w:hyperlink>
      <w:r w:rsidR="009E4BFF" w:rsidRPr="002726C3">
        <w:rPr>
          <w:rFonts w:asciiTheme="majorBidi" w:hAnsiTheme="majorBidi" w:cstheme="majorBidi"/>
        </w:rPr>
        <w:t xml:space="preserve"> </w:t>
      </w:r>
    </w:p>
  </w:footnote>
  <w:footnote w:id="15">
    <w:p w14:paraId="695760FD" w14:textId="1969024A" w:rsidR="0085168B" w:rsidRPr="002726C3" w:rsidRDefault="0085168B"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9E4BFF" w:rsidRPr="002726C3">
        <w:rPr>
          <w:rFonts w:asciiTheme="majorBidi" w:hAnsiTheme="majorBidi" w:cstheme="majorBidi"/>
        </w:rPr>
        <w:t xml:space="preserve">Criminal Procedure Law, Article 42, </w:t>
      </w:r>
      <w:hyperlink r:id="rId13" w:history="1">
        <w:r w:rsidR="009E4BFF" w:rsidRPr="002726C3">
          <w:rPr>
            <w:rStyle w:val="Hyperlink"/>
            <w:rFonts w:asciiTheme="majorBidi" w:hAnsiTheme="majorBidi" w:cstheme="majorBidi"/>
          </w:rPr>
          <w:t>https://manshurat.org/node/14676</w:t>
        </w:r>
      </w:hyperlink>
      <w:r w:rsidR="009E4BFF" w:rsidRPr="002726C3">
        <w:rPr>
          <w:rFonts w:asciiTheme="majorBidi" w:hAnsiTheme="majorBidi" w:cstheme="majorBidi"/>
        </w:rPr>
        <w:t xml:space="preserve"> </w:t>
      </w:r>
    </w:p>
  </w:footnote>
  <w:footnote w:id="16">
    <w:p w14:paraId="10D396DF" w14:textId="7D943B68" w:rsidR="0085168B" w:rsidRPr="002726C3" w:rsidRDefault="0085168B"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9E4BFF" w:rsidRPr="002726C3">
        <w:rPr>
          <w:rFonts w:asciiTheme="majorBidi" w:hAnsiTheme="majorBidi" w:cstheme="majorBidi"/>
        </w:rPr>
        <w:t>Ibid.</w:t>
      </w:r>
    </w:p>
  </w:footnote>
  <w:footnote w:id="17">
    <w:p w14:paraId="2840B925" w14:textId="2F41184E" w:rsidR="0085168B" w:rsidRPr="002726C3" w:rsidRDefault="0085168B"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9E4BFF" w:rsidRPr="002726C3">
        <w:rPr>
          <w:rFonts w:asciiTheme="majorBidi" w:hAnsiTheme="majorBidi" w:cstheme="majorBidi"/>
        </w:rPr>
        <w:t xml:space="preserve">Law No. 396 of 1956 regarding prison regulation (according to the latest amendment issued on March 20, 2022), </w:t>
      </w:r>
      <w:hyperlink r:id="rId14" w:history="1">
        <w:r w:rsidR="009E4BFF" w:rsidRPr="002726C3">
          <w:rPr>
            <w:rStyle w:val="Hyperlink"/>
            <w:rFonts w:asciiTheme="majorBidi" w:hAnsiTheme="majorBidi" w:cstheme="majorBidi"/>
          </w:rPr>
          <w:t>https://www.cc.gov.eg/Legislation_Single?id=406872</w:t>
        </w:r>
      </w:hyperlink>
      <w:r w:rsidR="009E4BFF" w:rsidRPr="002726C3">
        <w:rPr>
          <w:rFonts w:asciiTheme="majorBidi" w:hAnsiTheme="majorBidi" w:cstheme="majorBidi"/>
        </w:rPr>
        <w:t xml:space="preserve"> </w:t>
      </w:r>
    </w:p>
  </w:footnote>
  <w:footnote w:id="18">
    <w:p w14:paraId="30173D30" w14:textId="7637BA20" w:rsidR="00004391" w:rsidRPr="002726C3" w:rsidRDefault="00004391"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2D4F74" w:rsidRPr="002726C3">
        <w:rPr>
          <w:rFonts w:asciiTheme="majorBidi" w:hAnsiTheme="majorBidi" w:cstheme="majorBidi"/>
        </w:rPr>
        <w:t xml:space="preserve">The Egyptian Public Prosecution responses to the questions </w:t>
      </w:r>
      <w:r w:rsidR="009E4BFF" w:rsidRPr="002726C3">
        <w:rPr>
          <w:rFonts w:asciiTheme="majorBidi" w:hAnsiTheme="majorBidi" w:cstheme="majorBidi"/>
        </w:rPr>
        <w:t>raised in</w:t>
      </w:r>
      <w:r w:rsidR="002D4F74" w:rsidRPr="002726C3">
        <w:rPr>
          <w:rFonts w:asciiTheme="majorBidi" w:hAnsiTheme="majorBidi" w:cstheme="majorBidi"/>
        </w:rPr>
        <w:t xml:space="preserve"> the comprehensive periodic review mechanism November 2019, </w:t>
      </w:r>
      <w:hyperlink r:id="rId15" w:history="1">
        <w:r w:rsidR="002D4F74" w:rsidRPr="002726C3">
          <w:rPr>
            <w:rStyle w:val="Hyperlink"/>
            <w:rFonts w:asciiTheme="majorBidi" w:hAnsiTheme="majorBidi" w:cstheme="majorBidi"/>
          </w:rPr>
          <w:t>https://tinyurl.com/4w98utak</w:t>
        </w:r>
      </w:hyperlink>
      <w:r w:rsidR="002D4F74" w:rsidRPr="002726C3">
        <w:rPr>
          <w:rFonts w:asciiTheme="majorBidi" w:hAnsiTheme="majorBidi" w:cstheme="majorBidi"/>
        </w:rPr>
        <w:t xml:space="preserve"> </w:t>
      </w:r>
    </w:p>
  </w:footnote>
  <w:footnote w:id="19">
    <w:p w14:paraId="75C8C1B0" w14:textId="18021E33" w:rsidR="003056D7" w:rsidRPr="002726C3" w:rsidRDefault="003056D7"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2D4F74" w:rsidRPr="002726C3">
        <w:rPr>
          <w:rFonts w:asciiTheme="majorBidi" w:hAnsiTheme="majorBidi" w:cstheme="majorBidi"/>
        </w:rPr>
        <w:t xml:space="preserve">"Amnesty Committee": the release of more than 1400 prisoners and unprecedented presidential support ... and human rights development, </w:t>
      </w:r>
      <w:hyperlink r:id="rId16" w:history="1">
        <w:r w:rsidR="002D4F74" w:rsidRPr="002726C3">
          <w:rPr>
            <w:rStyle w:val="Hyperlink"/>
            <w:rFonts w:asciiTheme="majorBidi" w:hAnsiTheme="majorBidi" w:cstheme="majorBidi"/>
          </w:rPr>
          <w:t>https://www.elwatannews.com/news/details/6695441</w:t>
        </w:r>
      </w:hyperlink>
      <w:r w:rsidR="002D4F74" w:rsidRPr="002726C3">
        <w:rPr>
          <w:rFonts w:asciiTheme="majorBidi" w:hAnsiTheme="majorBidi" w:cstheme="majorBidi"/>
        </w:rPr>
        <w:t xml:space="preserve"> </w:t>
      </w:r>
    </w:p>
  </w:footnote>
  <w:footnote w:id="20">
    <w:p w14:paraId="470440AF" w14:textId="002F66C8" w:rsidR="00684D28" w:rsidRPr="002726C3" w:rsidRDefault="00684D28"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2D4F74" w:rsidRPr="002726C3">
        <w:rPr>
          <w:rFonts w:asciiTheme="majorBidi" w:hAnsiTheme="majorBidi" w:cstheme="majorBidi"/>
        </w:rPr>
        <w:t xml:space="preserve">Government to start vaccinating all prisoners against coronavirus soon: Health minister, </w:t>
      </w:r>
      <w:hyperlink r:id="rId17" w:history="1">
        <w:r w:rsidR="002D4F74" w:rsidRPr="002726C3">
          <w:rPr>
            <w:rStyle w:val="Hyperlink"/>
            <w:rFonts w:asciiTheme="majorBidi" w:hAnsiTheme="majorBidi" w:cstheme="majorBidi"/>
          </w:rPr>
          <w:t>https://english.ahram.org.eg/NewsContent/1/64/411273/Egypt/Politics-/Government-to-start-vaccinating-all-prisoners-agai.aspx</w:t>
        </w:r>
      </w:hyperlink>
    </w:p>
  </w:footnote>
  <w:footnote w:id="21">
    <w:p w14:paraId="46CA5814" w14:textId="447BD76B" w:rsidR="00684D28" w:rsidRPr="002726C3" w:rsidRDefault="00684D28"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F442F9" w:rsidRPr="002726C3">
        <w:rPr>
          <w:rFonts w:asciiTheme="majorBidi" w:hAnsiTheme="majorBidi" w:cstheme="majorBidi"/>
        </w:rPr>
        <w:t xml:space="preserve">Assistant Minister of the Interior for Prisons: We are near completion of inmates ’vaccination by the first dose of the vaccine, </w:t>
      </w:r>
      <w:hyperlink r:id="rId18" w:history="1">
        <w:r w:rsidR="00F442F9" w:rsidRPr="002726C3">
          <w:rPr>
            <w:rStyle w:val="Hyperlink"/>
            <w:rFonts w:asciiTheme="majorBidi" w:hAnsiTheme="majorBidi" w:cstheme="majorBidi"/>
          </w:rPr>
          <w:t>https://www.almasryalyoum.com/news/details/2338182</w:t>
        </w:r>
      </w:hyperlink>
      <w:r w:rsidR="00F442F9" w:rsidRPr="002726C3">
        <w:rPr>
          <w:rFonts w:asciiTheme="majorBidi" w:hAnsiTheme="majorBidi" w:cstheme="majorBidi"/>
        </w:rPr>
        <w:t xml:space="preserve"> </w:t>
      </w:r>
    </w:p>
  </w:footnote>
  <w:footnote w:id="22">
    <w:p w14:paraId="1F8C0E08" w14:textId="38A24946" w:rsidR="00F442F9" w:rsidRPr="002726C3" w:rsidRDefault="00F442F9"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Opinions adopted by the Working Group on Arbitrary Detention at its ninety-fourth session, </w:t>
      </w:r>
      <w:r w:rsidRPr="002726C3">
        <w:rPr>
          <w:rFonts w:asciiTheme="majorBidi" w:hAnsiTheme="majorBidi" w:cstheme="majorBidi"/>
          <w:lang w:bidi="ar-EG"/>
        </w:rPr>
        <w:t xml:space="preserve">page 5, </w:t>
      </w:r>
      <w:hyperlink r:id="rId19" w:history="1">
        <w:r w:rsidRPr="002726C3">
          <w:rPr>
            <w:rStyle w:val="Hyperlink"/>
            <w:rFonts w:asciiTheme="majorBidi" w:hAnsiTheme="majorBidi" w:cstheme="majorBidi"/>
            <w:lang w:bidi="ar-EG"/>
          </w:rPr>
          <w:t>https://www.ohchr.org/sites/default/files/documents/issues/detention-wg/opinions/session94/2022-11-11/A-HRC-WGAD-2022-60-Egypt-AEV.pdf</w:t>
        </w:r>
      </w:hyperlink>
    </w:p>
  </w:footnote>
  <w:footnote w:id="23">
    <w:p w14:paraId="7CCC3A9B" w14:textId="1B0667D8" w:rsidR="00004391" w:rsidRPr="002726C3" w:rsidRDefault="00004391" w:rsidP="002726C3">
      <w:pPr>
        <w:pStyle w:val="FootnoteText"/>
        <w:spacing w:beforeAutospacing="0" w:afterAutospacing="0"/>
        <w:jc w:val="left"/>
        <w:rPr>
          <w:rFonts w:asciiTheme="majorBidi" w:hAnsiTheme="majorBidi" w:cstheme="majorBidi"/>
        </w:rPr>
      </w:pPr>
      <w:r w:rsidRPr="002726C3">
        <w:rPr>
          <w:rStyle w:val="FootnoteReference"/>
          <w:rFonts w:asciiTheme="majorBidi" w:hAnsiTheme="majorBidi" w:cstheme="majorBidi"/>
        </w:rPr>
        <w:footnoteRef/>
      </w:r>
      <w:r w:rsidRPr="002726C3">
        <w:rPr>
          <w:rFonts w:asciiTheme="majorBidi" w:hAnsiTheme="majorBidi" w:cstheme="majorBidi"/>
        </w:rPr>
        <w:t xml:space="preserve"> </w:t>
      </w:r>
      <w:r w:rsidR="00F442F9" w:rsidRPr="002726C3">
        <w:rPr>
          <w:rFonts w:asciiTheme="majorBidi" w:hAnsiTheme="majorBidi" w:cstheme="majorBidi"/>
        </w:rPr>
        <w:t xml:space="preserve">Opinions adopted by the Working Group on Arbitrary Detention at its ninety-fourth session, 29 August–2 September 2022, </w:t>
      </w:r>
      <w:hyperlink r:id="rId20" w:history="1">
        <w:r w:rsidR="00F442F9" w:rsidRPr="002726C3">
          <w:rPr>
            <w:rStyle w:val="Hyperlink"/>
            <w:rFonts w:asciiTheme="majorBidi" w:hAnsiTheme="majorBidi" w:cstheme="majorBidi"/>
          </w:rPr>
          <w:t>https://www.ohchr.org/sites/default/files/documents/issues/detention-wg/opinions/session94/2022-10-28/A-HRC-WGAD-2022-53-Egypt-Advance-Edited-Version.pdf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CCC0A" w14:textId="4F81A1DA" w:rsidR="00375C84" w:rsidRDefault="00375C84" w:rsidP="00375C84">
    <w:pPr>
      <w:pStyle w:val="Header"/>
      <w:jc w:val="left"/>
    </w:pPr>
    <w:r w:rsidRPr="00285C1E">
      <w:rPr>
        <w:rFonts w:ascii="Dubai" w:hAnsi="Dubai" w:cs="Dubai"/>
        <w:noProof/>
        <w:lang w:val="fr-FR" w:eastAsia="fr-FR"/>
      </w:rPr>
      <w:drawing>
        <wp:inline distT="0" distB="0" distL="0" distR="0" wp14:anchorId="3B2B0F72" wp14:editId="4EA50438">
          <wp:extent cx="1299845" cy="1148316"/>
          <wp:effectExtent l="0" t="0" r="0" b="0"/>
          <wp:docPr id="1784163544" name="Picture 1" descr="لا يتوفر وصف للصور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لا يتوفر وصف للصورة."/>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36423" cy="11806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203FF"/>
    <w:multiLevelType w:val="hybridMultilevel"/>
    <w:tmpl w:val="DADC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9F4DD6"/>
    <w:multiLevelType w:val="hybridMultilevel"/>
    <w:tmpl w:val="0BDA26A8"/>
    <w:lvl w:ilvl="0" w:tplc="107A602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7489739">
    <w:abstractNumId w:val="0"/>
  </w:num>
  <w:num w:numId="2" w16cid:durableId="650670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6D9"/>
    <w:rsid w:val="00004391"/>
    <w:rsid w:val="00130DDD"/>
    <w:rsid w:val="002726C3"/>
    <w:rsid w:val="0029730B"/>
    <w:rsid w:val="002B15A3"/>
    <w:rsid w:val="002D4F74"/>
    <w:rsid w:val="003056D7"/>
    <w:rsid w:val="00345EEF"/>
    <w:rsid w:val="00353DC5"/>
    <w:rsid w:val="00354DC0"/>
    <w:rsid w:val="00375C84"/>
    <w:rsid w:val="0049003B"/>
    <w:rsid w:val="0049428E"/>
    <w:rsid w:val="004B4C3C"/>
    <w:rsid w:val="00500034"/>
    <w:rsid w:val="005164B3"/>
    <w:rsid w:val="005233A6"/>
    <w:rsid w:val="0060586A"/>
    <w:rsid w:val="006144AC"/>
    <w:rsid w:val="0061606C"/>
    <w:rsid w:val="00684D28"/>
    <w:rsid w:val="006B7109"/>
    <w:rsid w:val="006D3FA2"/>
    <w:rsid w:val="007B1846"/>
    <w:rsid w:val="007D13F0"/>
    <w:rsid w:val="007E029A"/>
    <w:rsid w:val="008370F4"/>
    <w:rsid w:val="0085168B"/>
    <w:rsid w:val="008D76D9"/>
    <w:rsid w:val="009E4BFF"/>
    <w:rsid w:val="00A15C5D"/>
    <w:rsid w:val="00A16977"/>
    <w:rsid w:val="00AF6513"/>
    <w:rsid w:val="00B73479"/>
    <w:rsid w:val="00BC7E90"/>
    <w:rsid w:val="00C27606"/>
    <w:rsid w:val="00C646E9"/>
    <w:rsid w:val="00C66DC6"/>
    <w:rsid w:val="00E22D4C"/>
    <w:rsid w:val="00E32BEC"/>
    <w:rsid w:val="00E33ADB"/>
    <w:rsid w:val="00E87306"/>
    <w:rsid w:val="00EA4A72"/>
    <w:rsid w:val="00EB57FF"/>
    <w:rsid w:val="00F20E8F"/>
    <w:rsid w:val="00F442F9"/>
    <w:rsid w:val="00FD01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A5086F"/>
  <w15:chartTrackingRefBased/>
  <w15:docId w15:val="{833076AE-50EA-4126-A3FA-712401FFB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73479"/>
    <w:pPr>
      <w:spacing w:before="0" w:after="0"/>
    </w:pPr>
    <w:rPr>
      <w:sz w:val="20"/>
      <w:szCs w:val="20"/>
    </w:rPr>
  </w:style>
  <w:style w:type="character" w:customStyle="1" w:styleId="FootnoteTextChar">
    <w:name w:val="Footnote Text Char"/>
    <w:basedOn w:val="DefaultParagraphFont"/>
    <w:link w:val="FootnoteText"/>
    <w:uiPriority w:val="99"/>
    <w:semiHidden/>
    <w:rsid w:val="00B73479"/>
    <w:rPr>
      <w:sz w:val="20"/>
      <w:szCs w:val="20"/>
    </w:rPr>
  </w:style>
  <w:style w:type="character" w:styleId="FootnoteReference">
    <w:name w:val="footnote reference"/>
    <w:basedOn w:val="DefaultParagraphFont"/>
    <w:uiPriority w:val="99"/>
    <w:semiHidden/>
    <w:unhideWhenUsed/>
    <w:rsid w:val="00B73479"/>
    <w:rPr>
      <w:vertAlign w:val="superscript"/>
    </w:rPr>
  </w:style>
  <w:style w:type="paragraph" w:styleId="ListParagraph">
    <w:name w:val="List Paragraph"/>
    <w:basedOn w:val="Normal"/>
    <w:uiPriority w:val="34"/>
    <w:qFormat/>
    <w:rsid w:val="00A15C5D"/>
    <w:pPr>
      <w:ind w:left="720"/>
      <w:contextualSpacing/>
    </w:pPr>
  </w:style>
  <w:style w:type="character" w:styleId="Hyperlink">
    <w:name w:val="Hyperlink"/>
    <w:basedOn w:val="DefaultParagraphFont"/>
    <w:uiPriority w:val="99"/>
    <w:unhideWhenUsed/>
    <w:rsid w:val="00F442F9"/>
    <w:rPr>
      <w:color w:val="0563C1" w:themeColor="hyperlink"/>
      <w:u w:val="single"/>
    </w:rPr>
  </w:style>
  <w:style w:type="character" w:customStyle="1" w:styleId="UnresolvedMention1">
    <w:name w:val="Unresolved Mention1"/>
    <w:basedOn w:val="DefaultParagraphFont"/>
    <w:uiPriority w:val="99"/>
    <w:semiHidden/>
    <w:unhideWhenUsed/>
    <w:rsid w:val="00F442F9"/>
    <w:rPr>
      <w:color w:val="605E5C"/>
      <w:shd w:val="clear" w:color="auto" w:fill="E1DFDD"/>
    </w:rPr>
  </w:style>
  <w:style w:type="paragraph" w:styleId="Header">
    <w:name w:val="header"/>
    <w:basedOn w:val="Normal"/>
    <w:link w:val="HeaderChar"/>
    <w:uiPriority w:val="99"/>
    <w:unhideWhenUsed/>
    <w:rsid w:val="005233A6"/>
    <w:pPr>
      <w:tabs>
        <w:tab w:val="center" w:pos="4680"/>
        <w:tab w:val="right" w:pos="9360"/>
      </w:tabs>
      <w:spacing w:before="0" w:after="0"/>
    </w:pPr>
  </w:style>
  <w:style w:type="character" w:customStyle="1" w:styleId="HeaderChar">
    <w:name w:val="Header Char"/>
    <w:basedOn w:val="DefaultParagraphFont"/>
    <w:link w:val="Header"/>
    <w:uiPriority w:val="99"/>
    <w:rsid w:val="005233A6"/>
  </w:style>
  <w:style w:type="paragraph" w:styleId="Footer">
    <w:name w:val="footer"/>
    <w:basedOn w:val="Normal"/>
    <w:link w:val="FooterChar"/>
    <w:uiPriority w:val="99"/>
    <w:unhideWhenUsed/>
    <w:rsid w:val="005233A6"/>
    <w:pPr>
      <w:tabs>
        <w:tab w:val="center" w:pos="4680"/>
        <w:tab w:val="right" w:pos="9360"/>
      </w:tabs>
      <w:spacing w:before="0" w:after="0"/>
    </w:pPr>
  </w:style>
  <w:style w:type="character" w:customStyle="1" w:styleId="FooterChar">
    <w:name w:val="Footer Char"/>
    <w:basedOn w:val="DefaultParagraphFont"/>
    <w:link w:val="Footer"/>
    <w:uiPriority w:val="99"/>
    <w:rsid w:val="00523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schr.gov.eg/media/XGRHRHSWYG/NHRHR2019-2020.pdf" TargetMode="External"/><Relationship Id="rId13" Type="http://schemas.openxmlformats.org/officeDocument/2006/relationships/hyperlink" Target="https://manshurat.org/node/14676" TargetMode="External"/><Relationship Id="rId18" Type="http://schemas.openxmlformats.org/officeDocument/2006/relationships/hyperlink" Target="https://www.almasryalyoum.com/news/details/2338182" TargetMode="External"/><Relationship Id="rId3" Type="http://schemas.openxmlformats.org/officeDocument/2006/relationships/hyperlink" Target="https://www.upr-info.org/sites/default/files/documents/2020-05/addendum_egypt-_english.pdf" TargetMode="External"/><Relationship Id="rId7" Type="http://schemas.openxmlformats.org/officeDocument/2006/relationships/hyperlink" Target="https://tinyurl.com/3h2hmrtx" TargetMode="External"/><Relationship Id="rId12" Type="http://schemas.openxmlformats.org/officeDocument/2006/relationships/hyperlink" Target="https://manshurat.org/node/14677" TargetMode="External"/><Relationship Id="rId17" Type="http://schemas.openxmlformats.org/officeDocument/2006/relationships/hyperlink" Target="https://english.ahram.org.eg/NewsContent/1/64/411273/Egypt/Politics-/Government-to-start-vaccinating-all-prisoners-agai.aspx" TargetMode="External"/><Relationship Id="rId2" Type="http://schemas.openxmlformats.org/officeDocument/2006/relationships/hyperlink" Target="https://treaties.un.org/pages/ViewDetails.aspx?src=TREATY&amp;mtdsg_no=IV-9-b&amp;chapter=4&amp;clang=_en" TargetMode="External"/><Relationship Id="rId16" Type="http://schemas.openxmlformats.org/officeDocument/2006/relationships/hyperlink" Target="https://www.elwatannews.com/news/details/6695441" TargetMode="External"/><Relationship Id="rId20" Type="http://schemas.openxmlformats.org/officeDocument/2006/relationships/hyperlink" Target="https://www.ohchr.org/sites/default/files/documents/issues/detention-wg/opinions/session94/2022-10-28/A-HRC-WGAD-2022-53-Egypt-Advance-Edited-Version.pdf" TargetMode="External"/><Relationship Id="rId1" Type="http://schemas.openxmlformats.org/officeDocument/2006/relationships/hyperlink" Target="https://treaties.un.org/doc/Publication/MTDSG/Volume%20I/Chapter%20IV/IV-9.en.pdf" TargetMode="External"/><Relationship Id="rId6" Type="http://schemas.openxmlformats.org/officeDocument/2006/relationships/hyperlink" Target="https://sschr.gov.eg/media/gapb5bq4/national-human-rights-strategy.pdf" TargetMode="External"/><Relationship Id="rId11" Type="http://schemas.openxmlformats.org/officeDocument/2006/relationships/hyperlink" Target="https://manshurat.org/node/14675" TargetMode="External"/><Relationship Id="rId5" Type="http://schemas.openxmlformats.org/officeDocument/2006/relationships/hyperlink" Target="https://sschr.gov.eg/media/gapb5bq4/national-human-rights-strategy.pdf" TargetMode="External"/><Relationship Id="rId15" Type="http://schemas.openxmlformats.org/officeDocument/2006/relationships/hyperlink" Target="https://tinyurl.com/4w98utak" TargetMode="External"/><Relationship Id="rId10" Type="http://schemas.openxmlformats.org/officeDocument/2006/relationships/hyperlink" Target="https://marsad.ecss.com.eg/76358/" TargetMode="External"/><Relationship Id="rId19" Type="http://schemas.openxmlformats.org/officeDocument/2006/relationships/hyperlink" Target="https://www.ohchr.org/sites/default/files/documents/issues/detention-wg/opinions/session94/2022-11-11/A-HRC-WGAD-2022-60-Egypt-AEV.pdf" TargetMode="External"/><Relationship Id="rId4" Type="http://schemas.openxmlformats.org/officeDocument/2006/relationships/hyperlink" Target="https://www.ohchr.org/sites/default/files/Documents/Issues/Torture/CFI_Effectiveness_of_States/States/Egypt" TargetMode="External"/><Relationship Id="rId9" Type="http://schemas.openxmlformats.org/officeDocument/2006/relationships/hyperlink" Target="https://tinyurl.com/55HM2BAX" TargetMode="External"/><Relationship Id="rId14" Type="http://schemas.openxmlformats.org/officeDocument/2006/relationships/hyperlink" Target="https://www.cc.gov.eg/Legislation_Single?id=40687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D8EF2-1AE3-468B-9625-16FB2459C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2158</Words>
  <Characters>12305</Characters>
  <Application>Microsoft Office Word</Application>
  <DocSecurity>0</DocSecurity>
  <Lines>102</Lines>
  <Paragraphs>28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Youssef Hamdan</cp:lastModifiedBy>
  <cp:revision>2</cp:revision>
  <dcterms:created xsi:type="dcterms:W3CDTF">2023-10-17T18:20:00Z</dcterms:created>
  <dcterms:modified xsi:type="dcterms:W3CDTF">2023-10-17T18:20:00Z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aff20d10-8286-44e0-9bbf-1cabaee91fdc</vt:lpwstr>
  </property>
</Properties>
</file>