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68BDD" w14:textId="77777777" w:rsidR="00F30025" w:rsidRPr="00C61D31" w:rsidRDefault="00F30025" w:rsidP="00F30025">
      <w:pPr>
        <w:spacing w:line="240" w:lineRule="auto"/>
        <w:jc w:val="both"/>
        <w:rPr>
          <w:rFonts w:ascii="Times New Roman" w:eastAsia="Times New Roman" w:hAnsi="Times New Roman" w:cs="Times New Roman"/>
          <w:b/>
          <w:bCs/>
          <w:sz w:val="44"/>
          <w:szCs w:val="44"/>
          <w:lang w:val="en-GB"/>
        </w:rPr>
      </w:pPr>
      <w:r w:rsidRPr="00C61D31">
        <w:rPr>
          <w:noProof/>
          <w:lang w:val="en-GB"/>
        </w:rPr>
        <w:drawing>
          <wp:anchor distT="0" distB="0" distL="114300" distR="114300" simplePos="0" relativeHeight="251659264" behindDoc="0" locked="0" layoutInCell="1" hidden="0" allowOverlap="1" wp14:anchorId="33911F6F" wp14:editId="616FC1DC">
            <wp:simplePos x="0" y="0"/>
            <wp:positionH relativeFrom="column">
              <wp:posOffset>542925</wp:posOffset>
            </wp:positionH>
            <wp:positionV relativeFrom="paragraph">
              <wp:posOffset>0</wp:posOffset>
            </wp:positionV>
            <wp:extent cx="1433195" cy="936625"/>
            <wp:effectExtent l="0" t="0" r="0" b="0"/>
            <wp:wrapNone/>
            <wp:docPr id="2" name="image2.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close up of a sign&#10;&#10;Description automatically generated"/>
                    <pic:cNvPicPr preferRelativeResize="0"/>
                  </pic:nvPicPr>
                  <pic:blipFill>
                    <a:blip r:embed="rId6"/>
                    <a:srcRect/>
                    <a:stretch>
                      <a:fillRect/>
                    </a:stretch>
                  </pic:blipFill>
                  <pic:spPr>
                    <a:xfrm>
                      <a:off x="0" y="0"/>
                      <a:ext cx="1433195" cy="936625"/>
                    </a:xfrm>
                    <a:prstGeom prst="rect">
                      <a:avLst/>
                    </a:prstGeom>
                    <a:ln/>
                  </pic:spPr>
                </pic:pic>
              </a:graphicData>
            </a:graphic>
          </wp:anchor>
        </w:drawing>
      </w:r>
      <w:r w:rsidRPr="00C61D31">
        <w:rPr>
          <w:noProof/>
          <w:lang w:val="en-GB"/>
        </w:rPr>
        <w:drawing>
          <wp:anchor distT="0" distB="0" distL="114300" distR="114300" simplePos="0" relativeHeight="251660288" behindDoc="0" locked="0" layoutInCell="1" hidden="0" allowOverlap="1" wp14:anchorId="176CFB47" wp14:editId="4AF08AEA">
            <wp:simplePos x="0" y="0"/>
            <wp:positionH relativeFrom="column">
              <wp:posOffset>3105150</wp:posOffset>
            </wp:positionH>
            <wp:positionV relativeFrom="paragraph">
              <wp:posOffset>0</wp:posOffset>
            </wp:positionV>
            <wp:extent cx="1852894" cy="990600"/>
            <wp:effectExtent l="0" t="0" r="0" b="0"/>
            <wp:wrapSquare wrapText="bothSides" distT="0" distB="0" distL="114300" distR="114300"/>
            <wp:docPr id="1" name="image1.png" descr="Imagen que contiene señal,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magen que contiene señal, dibujo&#10;&#10;Descripción generada automáticamente"/>
                    <pic:cNvPicPr preferRelativeResize="0"/>
                  </pic:nvPicPr>
                  <pic:blipFill>
                    <a:blip r:embed="rId7"/>
                    <a:srcRect t="22478" b="19481"/>
                    <a:stretch>
                      <a:fillRect/>
                    </a:stretch>
                  </pic:blipFill>
                  <pic:spPr>
                    <a:xfrm>
                      <a:off x="0" y="0"/>
                      <a:ext cx="1852894" cy="990600"/>
                    </a:xfrm>
                    <a:prstGeom prst="rect">
                      <a:avLst/>
                    </a:prstGeom>
                    <a:ln/>
                  </pic:spPr>
                </pic:pic>
              </a:graphicData>
            </a:graphic>
          </wp:anchor>
        </w:drawing>
      </w:r>
    </w:p>
    <w:p w14:paraId="2480649E" w14:textId="77777777" w:rsidR="00F30025" w:rsidRPr="00C61D31" w:rsidRDefault="00F30025" w:rsidP="00F30025">
      <w:pPr>
        <w:spacing w:line="240" w:lineRule="auto"/>
        <w:jc w:val="both"/>
        <w:rPr>
          <w:rFonts w:ascii="Times New Roman" w:eastAsia="Times New Roman" w:hAnsi="Times New Roman" w:cs="Times New Roman"/>
          <w:b/>
          <w:bCs/>
          <w:sz w:val="44"/>
          <w:szCs w:val="44"/>
          <w:lang w:val="en-GB"/>
        </w:rPr>
      </w:pPr>
    </w:p>
    <w:p w14:paraId="6CA0D83D" w14:textId="77777777" w:rsidR="00F30025" w:rsidRPr="00C61D31" w:rsidRDefault="00F30025" w:rsidP="00F30025">
      <w:pPr>
        <w:spacing w:line="240" w:lineRule="auto"/>
        <w:jc w:val="both"/>
        <w:rPr>
          <w:rFonts w:ascii="Times New Roman" w:eastAsia="Times New Roman" w:hAnsi="Times New Roman" w:cs="Times New Roman"/>
          <w:b/>
          <w:bCs/>
          <w:sz w:val="28"/>
          <w:szCs w:val="28"/>
          <w:lang w:val="en-GB"/>
        </w:rPr>
      </w:pPr>
    </w:p>
    <w:p w14:paraId="2BF96380" w14:textId="13CF06DD" w:rsidR="00F30025" w:rsidRPr="00B206C7" w:rsidRDefault="00BC16CB" w:rsidP="00F30025">
      <w:pPr>
        <w:spacing w:line="240" w:lineRule="auto"/>
        <w:ind w:right="430"/>
        <w:jc w:val="center"/>
        <w:rPr>
          <w:rFonts w:ascii="Calibri" w:eastAsia="Calibri" w:hAnsi="Calibri" w:cs="Calibri"/>
          <w:b/>
          <w:bCs/>
          <w:sz w:val="40"/>
          <w:szCs w:val="40"/>
          <w:lang w:val="en-GB"/>
        </w:rPr>
      </w:pPr>
      <w:r w:rsidRPr="00B206C7">
        <w:rPr>
          <w:rFonts w:ascii="Calibri" w:eastAsia="Calibri" w:hAnsi="Calibri" w:cs="Calibri"/>
          <w:b/>
          <w:bCs/>
          <w:sz w:val="40"/>
          <w:szCs w:val="40"/>
          <w:lang w:val="en-GB"/>
        </w:rPr>
        <w:t xml:space="preserve">Considerations to the Committee regarding drug policy and its impact </w:t>
      </w:r>
      <w:r w:rsidR="00B206C7">
        <w:rPr>
          <w:rFonts w:ascii="Calibri" w:eastAsia="Calibri" w:hAnsi="Calibri" w:cs="Calibri"/>
          <w:b/>
          <w:bCs/>
          <w:sz w:val="40"/>
          <w:szCs w:val="40"/>
          <w:lang w:val="en-GB"/>
        </w:rPr>
        <w:t>o</w:t>
      </w:r>
      <w:r w:rsidRPr="00B206C7">
        <w:rPr>
          <w:rFonts w:ascii="Calibri" w:eastAsia="Calibri" w:hAnsi="Calibri" w:cs="Calibri"/>
          <w:b/>
          <w:bCs/>
          <w:sz w:val="40"/>
          <w:szCs w:val="40"/>
          <w:lang w:val="en-GB"/>
        </w:rPr>
        <w:t>n the economic, social and cultural rights of people who use drugs in</w:t>
      </w:r>
      <w:r w:rsidR="00F30025" w:rsidRPr="00B206C7">
        <w:rPr>
          <w:rFonts w:ascii="Calibri" w:eastAsia="Calibri" w:hAnsi="Calibri" w:cs="Calibri"/>
          <w:b/>
          <w:bCs/>
          <w:sz w:val="40"/>
          <w:szCs w:val="40"/>
          <w:lang w:val="en-GB"/>
        </w:rPr>
        <w:t xml:space="preserve"> Uruguay</w:t>
      </w:r>
    </w:p>
    <w:p w14:paraId="34A24E84" w14:textId="02DCF606" w:rsidR="00F30025" w:rsidRPr="00B206C7" w:rsidRDefault="00EA3D34" w:rsidP="00EA3D34">
      <w:pPr>
        <w:spacing w:line="240" w:lineRule="auto"/>
        <w:ind w:right="430"/>
        <w:jc w:val="center"/>
        <w:rPr>
          <w:rFonts w:ascii="Calibri" w:eastAsia="Calibri" w:hAnsi="Calibri" w:cs="Calibri"/>
          <w:b/>
          <w:bCs/>
          <w:sz w:val="32"/>
          <w:szCs w:val="32"/>
          <w:lang w:val="en-GB"/>
        </w:rPr>
      </w:pPr>
      <w:r w:rsidRPr="00B206C7">
        <w:rPr>
          <w:rFonts w:ascii="Calibri" w:eastAsia="Calibri" w:hAnsi="Calibri" w:cs="Calibri"/>
          <w:b/>
          <w:bCs/>
          <w:sz w:val="32"/>
          <w:szCs w:val="32"/>
          <w:lang w:val="en-GB"/>
        </w:rPr>
        <w:t>S</w:t>
      </w:r>
      <w:r w:rsidR="00BC16CB" w:rsidRPr="00B206C7">
        <w:rPr>
          <w:rFonts w:ascii="Calibri" w:eastAsia="Calibri" w:hAnsi="Calibri" w:cs="Calibri"/>
          <w:b/>
          <w:bCs/>
          <w:sz w:val="32"/>
          <w:szCs w:val="32"/>
          <w:lang w:val="en-GB"/>
        </w:rPr>
        <w:t xml:space="preserve">ixth periodic </w:t>
      </w:r>
      <w:r w:rsidR="00B206C7" w:rsidRPr="00B206C7">
        <w:rPr>
          <w:rFonts w:ascii="Calibri" w:eastAsia="Calibri" w:hAnsi="Calibri" w:cs="Calibri"/>
          <w:b/>
          <w:bCs/>
          <w:sz w:val="32"/>
          <w:szCs w:val="32"/>
          <w:lang w:val="en-GB"/>
        </w:rPr>
        <w:t>report</w:t>
      </w:r>
      <w:r w:rsidR="00BC16CB" w:rsidRPr="00B206C7">
        <w:rPr>
          <w:rFonts w:ascii="Calibri" w:eastAsia="Calibri" w:hAnsi="Calibri" w:cs="Calibri"/>
          <w:b/>
          <w:bCs/>
          <w:sz w:val="32"/>
          <w:szCs w:val="32"/>
          <w:lang w:val="en-GB"/>
        </w:rPr>
        <w:t xml:space="preserve"> </w:t>
      </w:r>
      <w:r w:rsidR="00B206C7" w:rsidRPr="00B206C7">
        <w:rPr>
          <w:rFonts w:ascii="Calibri" w:eastAsia="Calibri" w:hAnsi="Calibri" w:cs="Calibri"/>
          <w:b/>
          <w:bCs/>
          <w:sz w:val="32"/>
          <w:szCs w:val="32"/>
          <w:lang w:val="en-GB"/>
        </w:rPr>
        <w:t>o</w:t>
      </w:r>
      <w:r w:rsidR="00BC16CB" w:rsidRPr="00B206C7">
        <w:rPr>
          <w:rFonts w:ascii="Calibri" w:eastAsia="Calibri" w:hAnsi="Calibri" w:cs="Calibri"/>
          <w:b/>
          <w:bCs/>
          <w:sz w:val="32"/>
          <w:szCs w:val="32"/>
          <w:lang w:val="en-GB"/>
        </w:rPr>
        <w:t>f Uruguay at the 79th ses</w:t>
      </w:r>
      <w:r w:rsidR="00B206C7" w:rsidRPr="00B206C7">
        <w:rPr>
          <w:rFonts w:ascii="Calibri" w:eastAsia="Calibri" w:hAnsi="Calibri" w:cs="Calibri"/>
          <w:b/>
          <w:bCs/>
          <w:sz w:val="32"/>
          <w:szCs w:val="32"/>
          <w:lang w:val="en-GB"/>
        </w:rPr>
        <w:t>sio</w:t>
      </w:r>
      <w:r w:rsidR="00BC16CB" w:rsidRPr="00B206C7">
        <w:rPr>
          <w:rFonts w:ascii="Calibri" w:eastAsia="Calibri" w:hAnsi="Calibri" w:cs="Calibri"/>
          <w:b/>
          <w:bCs/>
          <w:sz w:val="32"/>
          <w:szCs w:val="32"/>
          <w:lang w:val="en-GB"/>
        </w:rPr>
        <w:t xml:space="preserve">n of the </w:t>
      </w:r>
      <w:r w:rsidRPr="00B206C7">
        <w:rPr>
          <w:rFonts w:ascii="Calibri" w:eastAsia="Calibri" w:hAnsi="Calibri" w:cs="Calibri"/>
          <w:b/>
          <w:bCs/>
          <w:sz w:val="32"/>
          <w:szCs w:val="32"/>
          <w:lang w:val="en-GB"/>
        </w:rPr>
        <w:t>CESCR</w:t>
      </w:r>
    </w:p>
    <w:p w14:paraId="51AAF9F7" w14:textId="77777777" w:rsidR="00F30025" w:rsidRDefault="00F30025" w:rsidP="00F30025">
      <w:pPr>
        <w:spacing w:line="240" w:lineRule="auto"/>
        <w:ind w:right="430"/>
        <w:jc w:val="both"/>
        <w:rPr>
          <w:rFonts w:ascii="Times New Roman" w:eastAsia="Times New Roman" w:hAnsi="Times New Roman" w:cs="Times New Roman"/>
          <w:sz w:val="28"/>
          <w:szCs w:val="28"/>
          <w:lang w:val="en-GB"/>
        </w:rPr>
      </w:pPr>
    </w:p>
    <w:p w14:paraId="5FDC0EB6" w14:textId="77777777" w:rsidR="00B206C7" w:rsidRPr="00C61D31" w:rsidRDefault="00B206C7" w:rsidP="00F30025">
      <w:pPr>
        <w:spacing w:line="240" w:lineRule="auto"/>
        <w:ind w:right="430"/>
        <w:jc w:val="both"/>
        <w:rPr>
          <w:rFonts w:ascii="Times New Roman" w:eastAsia="Times New Roman" w:hAnsi="Times New Roman" w:cs="Times New Roman"/>
          <w:sz w:val="28"/>
          <w:szCs w:val="28"/>
          <w:lang w:val="en-GB"/>
        </w:rPr>
      </w:pPr>
    </w:p>
    <w:p w14:paraId="0370F918" w14:textId="3EC29AD2" w:rsidR="00F30025" w:rsidRPr="00C61D31" w:rsidRDefault="00BC16CB" w:rsidP="00F30025">
      <w:pPr>
        <w:spacing w:after="120"/>
        <w:ind w:right="430"/>
        <w:jc w:val="both"/>
        <w:rPr>
          <w:rFonts w:ascii="Calibri" w:eastAsia="Calibri" w:hAnsi="Calibri" w:cs="Calibri"/>
          <w:b/>
          <w:bCs/>
          <w:sz w:val="26"/>
          <w:szCs w:val="26"/>
          <w:lang w:val="en-GB"/>
        </w:rPr>
      </w:pPr>
      <w:r w:rsidRPr="00C61D31">
        <w:rPr>
          <w:rFonts w:ascii="Calibri" w:eastAsia="Calibri" w:hAnsi="Calibri" w:cs="Calibri"/>
          <w:b/>
          <w:bCs/>
          <w:sz w:val="26"/>
          <w:szCs w:val="26"/>
          <w:lang w:val="en-GB"/>
        </w:rPr>
        <w:t>Organisations presenting this report:</w:t>
      </w:r>
    </w:p>
    <w:p w14:paraId="2010C073" w14:textId="77777777" w:rsidR="00F30025" w:rsidRPr="00C61D31" w:rsidRDefault="00F30025" w:rsidP="00F30025">
      <w:pPr>
        <w:spacing w:line="240" w:lineRule="auto"/>
        <w:ind w:right="430"/>
        <w:jc w:val="both"/>
        <w:rPr>
          <w:rFonts w:ascii="Calibri" w:eastAsia="Calibri" w:hAnsi="Calibri" w:cs="Calibri"/>
          <w:b/>
          <w:bCs/>
          <w:sz w:val="26"/>
          <w:szCs w:val="26"/>
          <w:lang w:val="en-GB"/>
        </w:rPr>
      </w:pPr>
    </w:p>
    <w:p w14:paraId="3316D90B" w14:textId="77777777" w:rsidR="00DE406A" w:rsidRDefault="00DE406A" w:rsidP="00F30025">
      <w:pPr>
        <w:spacing w:line="240" w:lineRule="auto"/>
        <w:ind w:right="430"/>
        <w:jc w:val="both"/>
        <w:rPr>
          <w:rFonts w:ascii="Calibri" w:eastAsia="Calibri" w:hAnsi="Calibri" w:cs="Calibri"/>
          <w:b/>
          <w:bCs/>
          <w:sz w:val="26"/>
          <w:szCs w:val="26"/>
          <w:lang w:val="en-GB"/>
        </w:rPr>
      </w:pPr>
    </w:p>
    <w:p w14:paraId="1C1C6B6A" w14:textId="77777777" w:rsidR="00B206C7" w:rsidRPr="00C61D31" w:rsidRDefault="00B206C7" w:rsidP="00F30025">
      <w:pPr>
        <w:spacing w:line="240" w:lineRule="auto"/>
        <w:ind w:right="430"/>
        <w:jc w:val="both"/>
        <w:rPr>
          <w:rFonts w:ascii="Calibri" w:eastAsia="Calibri" w:hAnsi="Calibri" w:cs="Calibri"/>
          <w:b/>
          <w:bCs/>
          <w:sz w:val="26"/>
          <w:szCs w:val="26"/>
          <w:lang w:val="en-GB"/>
        </w:rPr>
      </w:pPr>
    </w:p>
    <w:tbl>
      <w:tblPr>
        <w:tblpPr w:leftFromText="180" w:rightFromText="180" w:topFromText="180" w:bottomFromText="180" w:vertAnchor="text"/>
        <w:tblW w:w="9540" w:type="dxa"/>
        <w:tblLayout w:type="fixed"/>
        <w:tblLook w:val="0400" w:firstRow="0" w:lastRow="0" w:firstColumn="0" w:lastColumn="0" w:noHBand="0" w:noVBand="1"/>
      </w:tblPr>
      <w:tblGrid>
        <w:gridCol w:w="2760"/>
        <w:gridCol w:w="6780"/>
      </w:tblGrid>
      <w:tr w:rsidR="00F30025" w:rsidRPr="00B206C7" w14:paraId="2FAE4C5C" w14:textId="77777777" w:rsidTr="003D2B33">
        <w:trPr>
          <w:trHeight w:val="3403"/>
        </w:trPr>
        <w:tc>
          <w:tcPr>
            <w:tcW w:w="2760" w:type="dxa"/>
          </w:tcPr>
          <w:p w14:paraId="312C043A" w14:textId="5BA452DD" w:rsidR="00F30025" w:rsidRPr="00C61D31" w:rsidRDefault="00A21018" w:rsidP="00306360">
            <w:pPr>
              <w:spacing w:line="240" w:lineRule="auto"/>
              <w:ind w:right="430"/>
              <w:rPr>
                <w:rFonts w:ascii="Calibri" w:eastAsia="Calibri" w:hAnsi="Calibri" w:cs="Calibri"/>
                <w:b/>
                <w:bCs/>
                <w:sz w:val="26"/>
                <w:szCs w:val="26"/>
                <w:lang w:val="en-GB"/>
              </w:rPr>
            </w:pPr>
            <w:r w:rsidRPr="00C61D31">
              <w:rPr>
                <w:rFonts w:ascii="Calibri" w:eastAsia="Calibri" w:hAnsi="Calibri" w:cs="Calibri"/>
                <w:b/>
                <w:bCs/>
                <w:sz w:val="26"/>
                <w:szCs w:val="26"/>
                <w:lang w:val="en-GB"/>
              </w:rPr>
              <w:t>Latin American and Caribbean Network of People Who Use Drugs (LANPUD)</w:t>
            </w:r>
          </w:p>
        </w:tc>
        <w:tc>
          <w:tcPr>
            <w:tcW w:w="6780" w:type="dxa"/>
          </w:tcPr>
          <w:p w14:paraId="00AAEF8E" w14:textId="1BBBBD3F" w:rsidR="00F30025" w:rsidRPr="00C61D31" w:rsidRDefault="00A21018" w:rsidP="00A94BA7">
            <w:pPr>
              <w:spacing w:line="240" w:lineRule="auto"/>
              <w:ind w:right="-3"/>
              <w:jc w:val="both"/>
              <w:rPr>
                <w:rFonts w:ascii="Calibri" w:eastAsia="Calibri" w:hAnsi="Calibri" w:cs="Calibri"/>
                <w:sz w:val="26"/>
                <w:szCs w:val="26"/>
                <w:lang w:val="en-GB"/>
              </w:rPr>
            </w:pPr>
            <w:r w:rsidRPr="00C61D31">
              <w:rPr>
                <w:rFonts w:ascii="Calibri" w:eastAsia="Calibri" w:hAnsi="Calibri" w:cs="Calibri"/>
                <w:sz w:val="26"/>
                <w:szCs w:val="26"/>
                <w:lang w:val="en-GB"/>
              </w:rPr>
              <w:t>LANPUD is a regional organisation composed of people who use drugs, acting as a platform for mutual support and advocacy to promote public policies grounded in human rights, the elimination of stigma, and the reduction of criminalisation</w:t>
            </w:r>
            <w:r w:rsidR="00F30025" w:rsidRPr="00C61D31">
              <w:rPr>
                <w:rFonts w:ascii="Calibri" w:eastAsia="Calibri" w:hAnsi="Calibri" w:cs="Calibri"/>
                <w:sz w:val="26"/>
                <w:szCs w:val="26"/>
                <w:lang w:val="en-GB"/>
              </w:rPr>
              <w:t>.</w:t>
            </w:r>
          </w:p>
          <w:p w14:paraId="38B4BCD4" w14:textId="77777777" w:rsidR="00F30025" w:rsidRPr="00B206C7" w:rsidRDefault="00F30025" w:rsidP="00A94BA7">
            <w:pPr>
              <w:spacing w:line="240" w:lineRule="auto"/>
              <w:ind w:right="-3"/>
              <w:jc w:val="both"/>
              <w:rPr>
                <w:rFonts w:ascii="Calibri" w:eastAsia="Calibri" w:hAnsi="Calibri" w:cs="Calibri"/>
                <w:sz w:val="26"/>
                <w:szCs w:val="26"/>
                <w:lang w:val="es-CR"/>
              </w:rPr>
            </w:pPr>
            <w:r w:rsidRPr="00B206C7">
              <w:rPr>
                <w:rFonts w:ascii="Calibri" w:eastAsia="Calibri" w:hAnsi="Calibri" w:cs="Calibri"/>
                <w:sz w:val="26"/>
                <w:szCs w:val="26"/>
                <w:lang w:val="es-CR"/>
              </w:rPr>
              <w:t xml:space="preserve">Uruguay: Laura Blanco </w:t>
            </w:r>
            <w:hyperlink r:id="rId8">
              <w:r w:rsidRPr="00B206C7">
                <w:rPr>
                  <w:rFonts w:ascii="Calibri" w:eastAsia="Calibri" w:hAnsi="Calibri" w:cs="Calibri"/>
                  <w:color w:val="1155CC"/>
                  <w:sz w:val="26"/>
                  <w:szCs w:val="26"/>
                  <w:u w:val="single"/>
                  <w:lang w:val="es-CR"/>
                </w:rPr>
                <w:t>laura.blancodeleon@gmail.com</w:t>
              </w:r>
            </w:hyperlink>
          </w:p>
          <w:p w14:paraId="08BCEB3C" w14:textId="7646D0F5" w:rsidR="00F30025" w:rsidRPr="00B206C7" w:rsidRDefault="00F30025" w:rsidP="00A94BA7">
            <w:pPr>
              <w:spacing w:line="240" w:lineRule="auto"/>
              <w:ind w:right="-3"/>
              <w:jc w:val="both"/>
              <w:rPr>
                <w:rFonts w:ascii="Calibri" w:eastAsia="Calibri" w:hAnsi="Calibri" w:cs="Calibri"/>
                <w:sz w:val="26"/>
                <w:szCs w:val="26"/>
                <w:lang w:val="es-CR"/>
              </w:rPr>
            </w:pPr>
            <w:proofErr w:type="spellStart"/>
            <w:r w:rsidRPr="00B206C7">
              <w:rPr>
                <w:rFonts w:ascii="Calibri" w:eastAsia="Calibri" w:hAnsi="Calibri" w:cs="Calibri"/>
                <w:sz w:val="26"/>
                <w:szCs w:val="26"/>
                <w:lang w:val="es-CR"/>
              </w:rPr>
              <w:t>Secretaria</w:t>
            </w:r>
            <w:r w:rsidR="00A21018" w:rsidRPr="00B206C7">
              <w:rPr>
                <w:rFonts w:ascii="Calibri" w:eastAsia="Calibri" w:hAnsi="Calibri" w:cs="Calibri"/>
                <w:sz w:val="26"/>
                <w:szCs w:val="26"/>
                <w:lang w:val="es-CR"/>
              </w:rPr>
              <w:t>t</w:t>
            </w:r>
            <w:proofErr w:type="spellEnd"/>
            <w:r w:rsidRPr="00B206C7">
              <w:rPr>
                <w:rFonts w:ascii="Calibri" w:eastAsia="Calibri" w:hAnsi="Calibri" w:cs="Calibri"/>
                <w:sz w:val="26"/>
                <w:szCs w:val="26"/>
                <w:lang w:val="es-CR"/>
              </w:rPr>
              <w:t xml:space="preserve">: Ernesto Cortés </w:t>
            </w:r>
            <w:hyperlink r:id="rId9">
              <w:r w:rsidRPr="00B206C7">
                <w:rPr>
                  <w:rFonts w:ascii="Calibri" w:eastAsia="Calibri" w:hAnsi="Calibri" w:cs="Calibri"/>
                  <w:color w:val="1155CC"/>
                  <w:sz w:val="26"/>
                  <w:szCs w:val="26"/>
                  <w:u w:val="single"/>
                  <w:lang w:val="es-CR"/>
                </w:rPr>
                <w:t>inforedlanpud@gmail.com</w:t>
              </w:r>
            </w:hyperlink>
            <w:r w:rsidRPr="00B206C7">
              <w:rPr>
                <w:rFonts w:ascii="Calibri" w:eastAsia="Calibri" w:hAnsi="Calibri" w:cs="Calibri"/>
                <w:sz w:val="26"/>
                <w:szCs w:val="26"/>
                <w:lang w:val="es-CR"/>
              </w:rPr>
              <w:t xml:space="preserve"> </w:t>
            </w:r>
          </w:p>
          <w:p w14:paraId="686CC429" w14:textId="77777777" w:rsidR="00F30025" w:rsidRPr="00B206C7" w:rsidRDefault="00F30025" w:rsidP="00A94BA7">
            <w:pPr>
              <w:spacing w:line="240" w:lineRule="auto"/>
              <w:ind w:right="-3"/>
              <w:jc w:val="both"/>
              <w:rPr>
                <w:rFonts w:ascii="Calibri" w:eastAsia="Calibri" w:hAnsi="Calibri" w:cs="Calibri"/>
                <w:sz w:val="26"/>
                <w:szCs w:val="26"/>
                <w:lang w:val="es-CR"/>
              </w:rPr>
            </w:pPr>
          </w:p>
        </w:tc>
      </w:tr>
      <w:tr w:rsidR="00F30025" w:rsidRPr="00C61D31" w14:paraId="040449D5" w14:textId="77777777" w:rsidTr="00630AAD">
        <w:trPr>
          <w:trHeight w:val="979"/>
        </w:trPr>
        <w:tc>
          <w:tcPr>
            <w:tcW w:w="2760" w:type="dxa"/>
          </w:tcPr>
          <w:p w14:paraId="0D2E770A" w14:textId="1CF49007" w:rsidR="00F30025" w:rsidRPr="00C61D31" w:rsidRDefault="00A21018" w:rsidP="00306360">
            <w:pPr>
              <w:spacing w:line="240" w:lineRule="auto"/>
              <w:ind w:right="430"/>
              <w:rPr>
                <w:rFonts w:ascii="Calibri" w:eastAsia="Calibri" w:hAnsi="Calibri" w:cs="Calibri"/>
                <w:sz w:val="26"/>
                <w:szCs w:val="26"/>
                <w:lang w:val="en-GB"/>
              </w:rPr>
            </w:pPr>
            <w:r w:rsidRPr="00C61D31">
              <w:rPr>
                <w:rFonts w:ascii="Calibri" w:eastAsia="Calibri" w:hAnsi="Calibri" w:cs="Calibri"/>
                <w:b/>
                <w:bCs/>
                <w:sz w:val="26"/>
                <w:szCs w:val="26"/>
                <w:lang w:val="en-GB"/>
              </w:rPr>
              <w:t>International Drug Policy Consortium (IDPC)</w:t>
            </w:r>
          </w:p>
          <w:p w14:paraId="5F485F0D" w14:textId="52E9DBE4" w:rsidR="00630AAD" w:rsidRPr="00C61D31" w:rsidRDefault="00630AAD" w:rsidP="00306360">
            <w:pPr>
              <w:spacing w:line="240" w:lineRule="auto"/>
              <w:ind w:right="430"/>
              <w:rPr>
                <w:rFonts w:ascii="Calibri" w:eastAsia="Calibri" w:hAnsi="Calibri" w:cs="Calibri"/>
                <w:sz w:val="26"/>
                <w:szCs w:val="26"/>
                <w:lang w:val="en-GB"/>
              </w:rPr>
            </w:pPr>
          </w:p>
        </w:tc>
        <w:tc>
          <w:tcPr>
            <w:tcW w:w="6780" w:type="dxa"/>
          </w:tcPr>
          <w:p w14:paraId="45D35E87" w14:textId="7A70C8F0" w:rsidR="00F30025" w:rsidRPr="00C61D31" w:rsidRDefault="00DE406A" w:rsidP="00A94BA7">
            <w:pPr>
              <w:spacing w:line="240" w:lineRule="auto"/>
              <w:ind w:right="-3"/>
              <w:jc w:val="both"/>
              <w:rPr>
                <w:rFonts w:ascii="Calibri" w:eastAsia="Calibri" w:hAnsi="Calibri" w:cs="Calibri"/>
                <w:sz w:val="26"/>
                <w:szCs w:val="26"/>
                <w:lang w:val="en-GB"/>
              </w:rPr>
            </w:pPr>
            <w:r w:rsidRPr="00C61D31">
              <w:rPr>
                <w:rFonts w:ascii="Calibri" w:eastAsia="Calibri" w:hAnsi="Calibri" w:cs="Calibri"/>
                <w:sz w:val="26"/>
                <w:szCs w:val="26"/>
                <w:lang w:val="en-GB"/>
              </w:rPr>
              <w:t xml:space="preserve">IDPC is a global network </w:t>
            </w:r>
            <w:r w:rsidR="0052241C" w:rsidRPr="00C61D31">
              <w:rPr>
                <w:rFonts w:ascii="Calibri" w:eastAsia="Calibri" w:hAnsi="Calibri" w:cs="Calibri"/>
                <w:sz w:val="26"/>
                <w:szCs w:val="26"/>
                <w:lang w:val="en-GB"/>
              </w:rPr>
              <w:t xml:space="preserve">advocating for drug policies that advance social justice </w:t>
            </w:r>
            <w:r w:rsidRPr="00C61D31">
              <w:rPr>
                <w:rFonts w:ascii="Calibri" w:eastAsia="Calibri" w:hAnsi="Calibri" w:cs="Calibri"/>
                <w:sz w:val="26"/>
                <w:szCs w:val="26"/>
                <w:lang w:val="en-GB"/>
              </w:rPr>
              <w:t xml:space="preserve">and </w:t>
            </w:r>
            <w:r w:rsidR="0052241C" w:rsidRPr="00C61D31">
              <w:rPr>
                <w:rFonts w:ascii="Calibri" w:eastAsia="Calibri" w:hAnsi="Calibri" w:cs="Calibri"/>
                <w:sz w:val="26"/>
                <w:szCs w:val="26"/>
                <w:lang w:val="en-GB"/>
              </w:rPr>
              <w:t xml:space="preserve">human rights </w:t>
            </w:r>
            <w:r w:rsidRPr="00C61D31">
              <w:rPr>
                <w:rFonts w:ascii="Calibri" w:eastAsia="Calibri" w:hAnsi="Calibri" w:cs="Calibri"/>
                <w:sz w:val="26"/>
                <w:szCs w:val="26"/>
                <w:lang w:val="en-GB"/>
              </w:rPr>
              <w:t xml:space="preserve">at national, regional and international levels. </w:t>
            </w:r>
          </w:p>
          <w:p w14:paraId="58DE4BAA" w14:textId="6F4315EC" w:rsidR="00F30025" w:rsidRPr="00B206C7" w:rsidRDefault="00F30025" w:rsidP="00A94BA7">
            <w:pPr>
              <w:spacing w:line="240" w:lineRule="auto"/>
              <w:ind w:right="-3"/>
              <w:jc w:val="both"/>
              <w:rPr>
                <w:rFonts w:ascii="Calibri" w:eastAsia="Calibri" w:hAnsi="Calibri" w:cs="Calibri"/>
                <w:sz w:val="26"/>
                <w:szCs w:val="26"/>
                <w:lang w:val="en-GB"/>
              </w:rPr>
            </w:pPr>
            <w:r w:rsidRPr="00B206C7">
              <w:rPr>
                <w:rFonts w:ascii="Calibri" w:eastAsia="Calibri" w:hAnsi="Calibri" w:cs="Calibri"/>
                <w:sz w:val="26"/>
                <w:szCs w:val="26"/>
                <w:lang w:val="en-GB"/>
              </w:rPr>
              <w:t xml:space="preserve">Contact: Marie Nougier </w:t>
            </w:r>
            <w:hyperlink r:id="rId10">
              <w:r w:rsidRPr="00B206C7">
                <w:rPr>
                  <w:rFonts w:ascii="Calibri" w:eastAsia="Calibri" w:hAnsi="Calibri" w:cs="Calibri"/>
                  <w:color w:val="0563C1"/>
                  <w:sz w:val="26"/>
                  <w:szCs w:val="26"/>
                  <w:u w:val="single"/>
                  <w:lang w:val="en-GB"/>
                </w:rPr>
                <w:t>mnougier@idpc.net</w:t>
              </w:r>
            </w:hyperlink>
          </w:p>
          <w:p w14:paraId="6309A4CD" w14:textId="77777777" w:rsidR="00F30025" w:rsidRPr="00B206C7" w:rsidRDefault="00F30025" w:rsidP="00A94BA7">
            <w:pPr>
              <w:spacing w:line="240" w:lineRule="auto"/>
              <w:ind w:right="-3"/>
              <w:jc w:val="both"/>
              <w:rPr>
                <w:rFonts w:ascii="Calibri" w:eastAsia="Calibri" w:hAnsi="Calibri" w:cs="Calibri"/>
                <w:sz w:val="26"/>
                <w:szCs w:val="26"/>
                <w:lang w:val="en-GB"/>
              </w:rPr>
            </w:pPr>
          </w:p>
        </w:tc>
      </w:tr>
    </w:tbl>
    <w:p w14:paraId="6897790E" w14:textId="5DA5093E" w:rsidR="00BA1872" w:rsidRPr="00C61D31" w:rsidRDefault="00DE406A" w:rsidP="00BA1872">
      <w:pPr>
        <w:pStyle w:val="Ttulo1"/>
        <w:rPr>
          <w:lang w:val="en-GB"/>
        </w:rPr>
      </w:pPr>
      <w:bookmarkStart w:id="0" w:name="_Toc220067507"/>
      <w:r w:rsidRPr="00C61D31">
        <w:rPr>
          <w:lang w:val="en-GB"/>
        </w:rPr>
        <w:lastRenderedPageBreak/>
        <w:t>Content</w:t>
      </w:r>
      <w:bookmarkEnd w:id="0"/>
    </w:p>
    <w:p w14:paraId="7D431432" w14:textId="76F66275" w:rsidR="0081028F" w:rsidRPr="00C61D31" w:rsidRDefault="00BA1872">
      <w:pPr>
        <w:pStyle w:val="TDC1"/>
        <w:tabs>
          <w:tab w:val="right" w:leader="dot" w:pos="9350"/>
        </w:tabs>
        <w:rPr>
          <w:rFonts w:eastAsiaTheme="minorEastAsia"/>
          <w:noProof/>
          <w:lang w:val="en-GB" w:eastAsia="en-GB"/>
        </w:rPr>
      </w:pPr>
      <w:r w:rsidRPr="00C61D31">
        <w:rPr>
          <w:lang w:val="en-GB"/>
        </w:rPr>
        <w:fldChar w:fldCharType="begin"/>
      </w:r>
      <w:r w:rsidRPr="00C61D31">
        <w:rPr>
          <w:lang w:val="en-GB"/>
        </w:rPr>
        <w:instrText xml:space="preserve"> TOC \o "1-2" \h \z \u </w:instrText>
      </w:r>
      <w:r w:rsidRPr="00C61D31">
        <w:rPr>
          <w:lang w:val="en-GB"/>
        </w:rPr>
        <w:fldChar w:fldCharType="separate"/>
      </w:r>
      <w:hyperlink w:anchor="_Toc220067507" w:history="1">
        <w:r w:rsidR="0081028F" w:rsidRPr="00C61D31">
          <w:rPr>
            <w:rStyle w:val="Hipervnculo"/>
            <w:noProof/>
            <w:lang w:val="en-GB"/>
          </w:rPr>
          <w:t>Content</w:t>
        </w:r>
        <w:r w:rsidR="0081028F" w:rsidRPr="00C61D31">
          <w:rPr>
            <w:noProof/>
            <w:webHidden/>
            <w:lang w:val="en-GB"/>
          </w:rPr>
          <w:tab/>
        </w:r>
        <w:r w:rsidR="0081028F" w:rsidRPr="00C61D31">
          <w:rPr>
            <w:noProof/>
            <w:webHidden/>
            <w:lang w:val="en-GB"/>
          </w:rPr>
          <w:fldChar w:fldCharType="begin"/>
        </w:r>
        <w:r w:rsidR="0081028F" w:rsidRPr="00C61D31">
          <w:rPr>
            <w:noProof/>
            <w:webHidden/>
            <w:lang w:val="en-GB"/>
          </w:rPr>
          <w:instrText xml:space="preserve"> PAGEREF _Toc220067507 \h </w:instrText>
        </w:r>
        <w:r w:rsidR="0081028F" w:rsidRPr="00C61D31">
          <w:rPr>
            <w:noProof/>
            <w:webHidden/>
            <w:lang w:val="en-GB"/>
          </w:rPr>
        </w:r>
        <w:r w:rsidR="0081028F" w:rsidRPr="00C61D31">
          <w:rPr>
            <w:noProof/>
            <w:webHidden/>
            <w:lang w:val="en-GB"/>
          </w:rPr>
          <w:fldChar w:fldCharType="separate"/>
        </w:r>
        <w:r w:rsidR="00D517AF">
          <w:rPr>
            <w:noProof/>
            <w:webHidden/>
            <w:lang w:val="en-GB"/>
          </w:rPr>
          <w:t>2</w:t>
        </w:r>
        <w:r w:rsidR="0081028F" w:rsidRPr="00C61D31">
          <w:rPr>
            <w:noProof/>
            <w:webHidden/>
            <w:lang w:val="en-GB"/>
          </w:rPr>
          <w:fldChar w:fldCharType="end"/>
        </w:r>
      </w:hyperlink>
    </w:p>
    <w:p w14:paraId="116AC212" w14:textId="33B4EF0E" w:rsidR="0081028F" w:rsidRPr="00C61D31" w:rsidRDefault="0081028F">
      <w:pPr>
        <w:pStyle w:val="TDC1"/>
        <w:tabs>
          <w:tab w:val="right" w:leader="dot" w:pos="9350"/>
        </w:tabs>
        <w:rPr>
          <w:rFonts w:eastAsiaTheme="minorEastAsia"/>
          <w:noProof/>
          <w:lang w:val="en-GB" w:eastAsia="en-GB"/>
        </w:rPr>
      </w:pPr>
      <w:hyperlink w:anchor="_Toc220067508" w:history="1">
        <w:r w:rsidRPr="00C61D31">
          <w:rPr>
            <w:rStyle w:val="Hipervnculo"/>
            <w:noProof/>
            <w:lang w:val="en-GB"/>
          </w:rPr>
          <w:t>1. Executive Summary</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_Toc220067508 \h </w:instrText>
        </w:r>
        <w:r w:rsidRPr="00C61D31">
          <w:rPr>
            <w:noProof/>
            <w:webHidden/>
            <w:lang w:val="en-GB"/>
          </w:rPr>
        </w:r>
        <w:r w:rsidRPr="00C61D31">
          <w:rPr>
            <w:noProof/>
            <w:webHidden/>
            <w:lang w:val="en-GB"/>
          </w:rPr>
          <w:fldChar w:fldCharType="separate"/>
        </w:r>
        <w:r w:rsidR="00D517AF">
          <w:rPr>
            <w:noProof/>
            <w:webHidden/>
            <w:lang w:val="en-GB"/>
          </w:rPr>
          <w:t>3</w:t>
        </w:r>
        <w:r w:rsidRPr="00C61D31">
          <w:rPr>
            <w:noProof/>
            <w:webHidden/>
            <w:lang w:val="en-GB"/>
          </w:rPr>
          <w:fldChar w:fldCharType="end"/>
        </w:r>
      </w:hyperlink>
    </w:p>
    <w:p w14:paraId="47A3E26A" w14:textId="30A50940" w:rsidR="0081028F" w:rsidRPr="00C61D31" w:rsidRDefault="0081028F">
      <w:pPr>
        <w:pStyle w:val="TDC1"/>
        <w:tabs>
          <w:tab w:val="right" w:leader="dot" w:pos="9350"/>
        </w:tabs>
        <w:rPr>
          <w:rFonts w:eastAsiaTheme="minorEastAsia"/>
          <w:noProof/>
          <w:lang w:val="en-GB" w:eastAsia="en-GB"/>
        </w:rPr>
      </w:pPr>
      <w:hyperlink w:anchor="_Toc220067509" w:history="1">
        <w:r w:rsidRPr="00C61D31">
          <w:rPr>
            <w:rStyle w:val="Hipervnculo"/>
            <w:noProof/>
            <w:lang w:val="en-GB"/>
          </w:rPr>
          <w:t>2. Introduction and human rights framework</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_Toc220067509 \h </w:instrText>
        </w:r>
        <w:r w:rsidRPr="00C61D31">
          <w:rPr>
            <w:noProof/>
            <w:webHidden/>
            <w:lang w:val="en-GB"/>
          </w:rPr>
        </w:r>
        <w:r w:rsidRPr="00C61D31">
          <w:rPr>
            <w:noProof/>
            <w:webHidden/>
            <w:lang w:val="en-GB"/>
          </w:rPr>
          <w:fldChar w:fldCharType="separate"/>
        </w:r>
        <w:r w:rsidR="00D517AF">
          <w:rPr>
            <w:noProof/>
            <w:webHidden/>
            <w:lang w:val="en-GB"/>
          </w:rPr>
          <w:t>3</w:t>
        </w:r>
        <w:r w:rsidRPr="00C61D31">
          <w:rPr>
            <w:noProof/>
            <w:webHidden/>
            <w:lang w:val="en-GB"/>
          </w:rPr>
          <w:fldChar w:fldCharType="end"/>
        </w:r>
      </w:hyperlink>
    </w:p>
    <w:p w14:paraId="7531C6FC" w14:textId="4CA3115A" w:rsidR="0081028F" w:rsidRPr="00C61D31" w:rsidRDefault="0081028F">
      <w:pPr>
        <w:pStyle w:val="TDC1"/>
        <w:tabs>
          <w:tab w:val="right" w:leader="dot" w:pos="9350"/>
        </w:tabs>
        <w:rPr>
          <w:rFonts w:eastAsiaTheme="minorEastAsia"/>
          <w:noProof/>
          <w:lang w:val="en-GB" w:eastAsia="en-GB"/>
        </w:rPr>
      </w:pPr>
      <w:hyperlink w:anchor="_Toc220067510" w:history="1">
        <w:r w:rsidRPr="00C61D31">
          <w:rPr>
            <w:rStyle w:val="Hipervnculo"/>
            <w:noProof/>
            <w:lang w:val="en-GB"/>
          </w:rPr>
          <w:t>3. Drug Use in Uruguay: Context and State Responses</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_Toc220067510 \h </w:instrText>
        </w:r>
        <w:r w:rsidRPr="00C61D31">
          <w:rPr>
            <w:noProof/>
            <w:webHidden/>
            <w:lang w:val="en-GB"/>
          </w:rPr>
        </w:r>
        <w:r w:rsidRPr="00C61D31">
          <w:rPr>
            <w:noProof/>
            <w:webHidden/>
            <w:lang w:val="en-GB"/>
          </w:rPr>
          <w:fldChar w:fldCharType="separate"/>
        </w:r>
        <w:r w:rsidR="00D517AF">
          <w:rPr>
            <w:noProof/>
            <w:webHidden/>
            <w:lang w:val="en-GB"/>
          </w:rPr>
          <w:t>4</w:t>
        </w:r>
        <w:r w:rsidRPr="00C61D31">
          <w:rPr>
            <w:noProof/>
            <w:webHidden/>
            <w:lang w:val="en-GB"/>
          </w:rPr>
          <w:fldChar w:fldCharType="end"/>
        </w:r>
      </w:hyperlink>
    </w:p>
    <w:p w14:paraId="11ABA085" w14:textId="74B58D25" w:rsidR="0081028F" w:rsidRPr="00C61D31" w:rsidRDefault="0081028F">
      <w:pPr>
        <w:pStyle w:val="TDC2"/>
        <w:tabs>
          <w:tab w:val="right" w:leader="dot" w:pos="9350"/>
        </w:tabs>
        <w:rPr>
          <w:rFonts w:eastAsiaTheme="minorEastAsia"/>
          <w:noProof/>
          <w:lang w:val="en-GB" w:eastAsia="en-GB"/>
        </w:rPr>
      </w:pPr>
      <w:hyperlink w:anchor="_Toc220067511" w:history="1">
        <w:r w:rsidRPr="00C61D31">
          <w:rPr>
            <w:rStyle w:val="Hipervnculo"/>
            <w:noProof/>
            <w:lang w:val="en-GB"/>
          </w:rPr>
          <w:t>3.1 Levels of Drug Use</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_Toc220067511 \h </w:instrText>
        </w:r>
        <w:r w:rsidRPr="00C61D31">
          <w:rPr>
            <w:noProof/>
            <w:webHidden/>
            <w:lang w:val="en-GB"/>
          </w:rPr>
        </w:r>
        <w:r w:rsidRPr="00C61D31">
          <w:rPr>
            <w:noProof/>
            <w:webHidden/>
            <w:lang w:val="en-GB"/>
          </w:rPr>
          <w:fldChar w:fldCharType="separate"/>
        </w:r>
        <w:r w:rsidR="00D517AF">
          <w:rPr>
            <w:noProof/>
            <w:webHidden/>
            <w:lang w:val="en-GB"/>
          </w:rPr>
          <w:t>4</w:t>
        </w:r>
        <w:r w:rsidRPr="00C61D31">
          <w:rPr>
            <w:noProof/>
            <w:webHidden/>
            <w:lang w:val="en-GB"/>
          </w:rPr>
          <w:fldChar w:fldCharType="end"/>
        </w:r>
      </w:hyperlink>
    </w:p>
    <w:p w14:paraId="0039C23F" w14:textId="287F76C3" w:rsidR="0081028F" w:rsidRPr="00C61D31" w:rsidRDefault="0081028F">
      <w:pPr>
        <w:pStyle w:val="TDC2"/>
        <w:tabs>
          <w:tab w:val="right" w:leader="dot" w:pos="9350"/>
        </w:tabs>
        <w:rPr>
          <w:rFonts w:eastAsiaTheme="minorEastAsia"/>
          <w:noProof/>
          <w:lang w:val="en-GB" w:eastAsia="en-GB"/>
        </w:rPr>
      </w:pPr>
      <w:hyperlink w:anchor="_Toc220067512" w:history="1">
        <w:r w:rsidRPr="00C61D31">
          <w:rPr>
            <w:rStyle w:val="Hipervnculo"/>
            <w:noProof/>
            <w:lang w:val="en-GB"/>
          </w:rPr>
          <w:t>3.2 Drug use treatment and care</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_Toc220067512 \h </w:instrText>
        </w:r>
        <w:r w:rsidRPr="00C61D31">
          <w:rPr>
            <w:noProof/>
            <w:webHidden/>
            <w:lang w:val="en-GB"/>
          </w:rPr>
        </w:r>
        <w:r w:rsidRPr="00C61D31">
          <w:rPr>
            <w:noProof/>
            <w:webHidden/>
            <w:lang w:val="en-GB"/>
          </w:rPr>
          <w:fldChar w:fldCharType="separate"/>
        </w:r>
        <w:r w:rsidR="00D517AF">
          <w:rPr>
            <w:noProof/>
            <w:webHidden/>
            <w:lang w:val="en-GB"/>
          </w:rPr>
          <w:t>5</w:t>
        </w:r>
        <w:r w:rsidRPr="00C61D31">
          <w:rPr>
            <w:noProof/>
            <w:webHidden/>
            <w:lang w:val="en-GB"/>
          </w:rPr>
          <w:fldChar w:fldCharType="end"/>
        </w:r>
      </w:hyperlink>
    </w:p>
    <w:p w14:paraId="42DD99A4" w14:textId="24D79462" w:rsidR="0081028F" w:rsidRPr="00C61D31" w:rsidRDefault="0081028F">
      <w:pPr>
        <w:pStyle w:val="TDC2"/>
        <w:tabs>
          <w:tab w:val="right" w:leader="dot" w:pos="9350"/>
        </w:tabs>
        <w:rPr>
          <w:rFonts w:eastAsiaTheme="minorEastAsia"/>
          <w:noProof/>
          <w:lang w:val="en-GB" w:eastAsia="en-GB"/>
        </w:rPr>
      </w:pPr>
      <w:hyperlink w:anchor="_Toc220067513" w:history="1">
        <w:r w:rsidRPr="00C61D31">
          <w:rPr>
            <w:rStyle w:val="Hipervnculo"/>
            <w:noProof/>
            <w:lang w:val="en-GB"/>
          </w:rPr>
          <w:t>3.3 Medical and therapeutical cannabis</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_Toc220067513 \h </w:instrText>
        </w:r>
        <w:r w:rsidRPr="00C61D31">
          <w:rPr>
            <w:noProof/>
            <w:webHidden/>
            <w:lang w:val="en-GB"/>
          </w:rPr>
        </w:r>
        <w:r w:rsidRPr="00C61D31">
          <w:rPr>
            <w:noProof/>
            <w:webHidden/>
            <w:lang w:val="en-GB"/>
          </w:rPr>
          <w:fldChar w:fldCharType="separate"/>
        </w:r>
        <w:r w:rsidR="00D517AF">
          <w:rPr>
            <w:noProof/>
            <w:webHidden/>
            <w:lang w:val="en-GB"/>
          </w:rPr>
          <w:t>6</w:t>
        </w:r>
        <w:r w:rsidRPr="00C61D31">
          <w:rPr>
            <w:noProof/>
            <w:webHidden/>
            <w:lang w:val="en-GB"/>
          </w:rPr>
          <w:fldChar w:fldCharType="end"/>
        </w:r>
      </w:hyperlink>
    </w:p>
    <w:p w14:paraId="4A5C0F9B" w14:textId="685DC9B7" w:rsidR="0081028F" w:rsidRPr="00C61D31" w:rsidRDefault="0081028F">
      <w:pPr>
        <w:pStyle w:val="TDC1"/>
        <w:tabs>
          <w:tab w:val="right" w:leader="dot" w:pos="9350"/>
        </w:tabs>
        <w:rPr>
          <w:rFonts w:eastAsiaTheme="minorEastAsia"/>
          <w:noProof/>
          <w:lang w:val="en-GB" w:eastAsia="en-GB"/>
        </w:rPr>
      </w:pPr>
      <w:hyperlink w:anchor="_Toc220067514" w:history="1">
        <w:r w:rsidRPr="00C61D31">
          <w:rPr>
            <w:rStyle w:val="Hipervnculo"/>
            <w:noProof/>
            <w:lang w:val="en-GB"/>
          </w:rPr>
          <w:t>4. Stigma, criminalisation and their impact on the right to health</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_Toc220067514 \h </w:instrText>
        </w:r>
        <w:r w:rsidRPr="00C61D31">
          <w:rPr>
            <w:noProof/>
            <w:webHidden/>
            <w:lang w:val="en-GB"/>
          </w:rPr>
        </w:r>
        <w:r w:rsidRPr="00C61D31">
          <w:rPr>
            <w:noProof/>
            <w:webHidden/>
            <w:lang w:val="en-GB"/>
          </w:rPr>
          <w:fldChar w:fldCharType="separate"/>
        </w:r>
        <w:r w:rsidR="00D517AF">
          <w:rPr>
            <w:noProof/>
            <w:webHidden/>
            <w:lang w:val="en-GB"/>
          </w:rPr>
          <w:t>7</w:t>
        </w:r>
        <w:r w:rsidRPr="00C61D31">
          <w:rPr>
            <w:noProof/>
            <w:webHidden/>
            <w:lang w:val="en-GB"/>
          </w:rPr>
          <w:fldChar w:fldCharType="end"/>
        </w:r>
      </w:hyperlink>
    </w:p>
    <w:p w14:paraId="48CF8C2B" w14:textId="02FE4790" w:rsidR="0081028F" w:rsidRPr="00C61D31" w:rsidRDefault="0081028F">
      <w:pPr>
        <w:pStyle w:val="TDC2"/>
        <w:tabs>
          <w:tab w:val="right" w:leader="dot" w:pos="9350"/>
        </w:tabs>
        <w:rPr>
          <w:rFonts w:eastAsiaTheme="minorEastAsia"/>
          <w:noProof/>
          <w:lang w:val="en-GB" w:eastAsia="en-GB"/>
        </w:rPr>
      </w:pPr>
      <w:hyperlink w:anchor="_Toc220067515" w:history="1">
        <w:r w:rsidRPr="00C61D31">
          <w:rPr>
            <w:rStyle w:val="Hipervnculo"/>
            <w:noProof/>
            <w:lang w:val="en-GB"/>
          </w:rPr>
          <w:t>4.1 Structural and institutional stigma</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_Toc220067515 \h </w:instrText>
        </w:r>
        <w:r w:rsidRPr="00C61D31">
          <w:rPr>
            <w:noProof/>
            <w:webHidden/>
            <w:lang w:val="en-GB"/>
          </w:rPr>
        </w:r>
        <w:r w:rsidRPr="00C61D31">
          <w:rPr>
            <w:noProof/>
            <w:webHidden/>
            <w:lang w:val="en-GB"/>
          </w:rPr>
          <w:fldChar w:fldCharType="separate"/>
        </w:r>
        <w:r w:rsidR="00D517AF">
          <w:rPr>
            <w:noProof/>
            <w:webHidden/>
            <w:lang w:val="en-GB"/>
          </w:rPr>
          <w:t>7</w:t>
        </w:r>
        <w:r w:rsidRPr="00C61D31">
          <w:rPr>
            <w:noProof/>
            <w:webHidden/>
            <w:lang w:val="en-GB"/>
          </w:rPr>
          <w:fldChar w:fldCharType="end"/>
        </w:r>
      </w:hyperlink>
    </w:p>
    <w:p w14:paraId="5D4125CF" w14:textId="5614912A" w:rsidR="0081028F" w:rsidRPr="00C61D31" w:rsidRDefault="0081028F">
      <w:pPr>
        <w:pStyle w:val="TDC2"/>
        <w:tabs>
          <w:tab w:val="right" w:leader="dot" w:pos="9350"/>
        </w:tabs>
        <w:rPr>
          <w:rFonts w:eastAsiaTheme="minorEastAsia"/>
          <w:noProof/>
          <w:lang w:val="en-GB" w:eastAsia="en-GB"/>
        </w:rPr>
      </w:pPr>
      <w:hyperlink w:anchor="_Toc220067516" w:history="1">
        <w:r w:rsidRPr="00C61D31">
          <w:rPr>
            <w:rStyle w:val="Hipervnculo"/>
            <w:noProof/>
            <w:lang w:val="en-GB"/>
          </w:rPr>
          <w:t>4.2 Indirect criminalisation and criminal justice policy</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_Toc220067516 \h </w:instrText>
        </w:r>
        <w:r w:rsidRPr="00C61D31">
          <w:rPr>
            <w:noProof/>
            <w:webHidden/>
            <w:lang w:val="en-GB"/>
          </w:rPr>
        </w:r>
        <w:r w:rsidRPr="00C61D31">
          <w:rPr>
            <w:noProof/>
            <w:webHidden/>
            <w:lang w:val="en-GB"/>
          </w:rPr>
          <w:fldChar w:fldCharType="separate"/>
        </w:r>
        <w:r w:rsidR="00D517AF">
          <w:rPr>
            <w:noProof/>
            <w:webHidden/>
            <w:lang w:val="en-GB"/>
          </w:rPr>
          <w:t>8</w:t>
        </w:r>
        <w:r w:rsidRPr="00C61D31">
          <w:rPr>
            <w:noProof/>
            <w:webHidden/>
            <w:lang w:val="en-GB"/>
          </w:rPr>
          <w:fldChar w:fldCharType="end"/>
        </w:r>
      </w:hyperlink>
    </w:p>
    <w:p w14:paraId="27546E63" w14:textId="0FDDCB2E" w:rsidR="0081028F" w:rsidRPr="00C61D31" w:rsidRDefault="0081028F">
      <w:pPr>
        <w:pStyle w:val="TDC2"/>
        <w:tabs>
          <w:tab w:val="right" w:leader="dot" w:pos="9350"/>
        </w:tabs>
        <w:rPr>
          <w:rFonts w:eastAsiaTheme="minorEastAsia"/>
          <w:noProof/>
          <w:lang w:val="en-GB" w:eastAsia="en-GB"/>
        </w:rPr>
      </w:pPr>
      <w:hyperlink w:anchor="_Toc220067517" w:history="1">
        <w:r w:rsidRPr="00C61D31">
          <w:rPr>
            <w:rStyle w:val="Hipervnculo"/>
            <w:noProof/>
            <w:lang w:val="en-GB"/>
          </w:rPr>
          <w:t>4.3 Persons deprived of their liberty</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_Toc220067517 \h </w:instrText>
        </w:r>
        <w:r w:rsidRPr="00C61D31">
          <w:rPr>
            <w:noProof/>
            <w:webHidden/>
            <w:lang w:val="en-GB"/>
          </w:rPr>
        </w:r>
        <w:r w:rsidRPr="00C61D31">
          <w:rPr>
            <w:noProof/>
            <w:webHidden/>
            <w:lang w:val="en-GB"/>
          </w:rPr>
          <w:fldChar w:fldCharType="separate"/>
        </w:r>
        <w:r w:rsidR="00D517AF">
          <w:rPr>
            <w:noProof/>
            <w:webHidden/>
            <w:lang w:val="en-GB"/>
          </w:rPr>
          <w:t>8</w:t>
        </w:r>
        <w:r w:rsidRPr="00C61D31">
          <w:rPr>
            <w:noProof/>
            <w:webHidden/>
            <w:lang w:val="en-GB"/>
          </w:rPr>
          <w:fldChar w:fldCharType="end"/>
        </w:r>
      </w:hyperlink>
    </w:p>
    <w:p w14:paraId="6D1B8CED" w14:textId="05E6815A" w:rsidR="0081028F" w:rsidRPr="00C61D31" w:rsidRDefault="0081028F">
      <w:pPr>
        <w:pStyle w:val="TDC2"/>
        <w:tabs>
          <w:tab w:val="right" w:leader="dot" w:pos="9350"/>
        </w:tabs>
        <w:rPr>
          <w:rFonts w:eastAsiaTheme="minorEastAsia"/>
          <w:noProof/>
          <w:lang w:val="en-GB" w:eastAsia="en-GB"/>
        </w:rPr>
      </w:pPr>
      <w:hyperlink w:anchor="_Toc220067518" w:history="1">
        <w:r w:rsidRPr="00C61D31">
          <w:rPr>
            <w:rStyle w:val="Hipervnculo"/>
            <w:noProof/>
            <w:lang w:val="en-GB"/>
          </w:rPr>
          <w:t>4.4 Differentiated impacts on vulnerable population</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_Toc220067518 \h </w:instrText>
        </w:r>
        <w:r w:rsidRPr="00C61D31">
          <w:rPr>
            <w:noProof/>
            <w:webHidden/>
            <w:lang w:val="en-GB"/>
          </w:rPr>
        </w:r>
        <w:r w:rsidRPr="00C61D31">
          <w:rPr>
            <w:noProof/>
            <w:webHidden/>
            <w:lang w:val="en-GB"/>
          </w:rPr>
          <w:fldChar w:fldCharType="separate"/>
        </w:r>
        <w:r w:rsidR="00D517AF">
          <w:rPr>
            <w:noProof/>
            <w:webHidden/>
            <w:lang w:val="en-GB"/>
          </w:rPr>
          <w:t>9</w:t>
        </w:r>
        <w:r w:rsidRPr="00C61D31">
          <w:rPr>
            <w:noProof/>
            <w:webHidden/>
            <w:lang w:val="en-GB"/>
          </w:rPr>
          <w:fldChar w:fldCharType="end"/>
        </w:r>
      </w:hyperlink>
    </w:p>
    <w:p w14:paraId="54FA4C71" w14:textId="0584E9DA" w:rsidR="0081028F" w:rsidRPr="00C61D31" w:rsidRDefault="0081028F">
      <w:pPr>
        <w:pStyle w:val="TDC1"/>
        <w:tabs>
          <w:tab w:val="right" w:leader="dot" w:pos="9350"/>
        </w:tabs>
        <w:rPr>
          <w:rFonts w:eastAsiaTheme="minorEastAsia"/>
          <w:noProof/>
          <w:lang w:val="en-GB" w:eastAsia="en-GB"/>
        </w:rPr>
      </w:pPr>
      <w:hyperlink w:anchor="_Toc220067519" w:history="1">
        <w:r w:rsidRPr="00C61D31">
          <w:rPr>
            <w:rStyle w:val="Hipervnculo"/>
            <w:noProof/>
            <w:lang w:val="en-GB"/>
          </w:rPr>
          <w:t>5. Conclusions</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_Toc220067519 \h </w:instrText>
        </w:r>
        <w:r w:rsidRPr="00C61D31">
          <w:rPr>
            <w:noProof/>
            <w:webHidden/>
            <w:lang w:val="en-GB"/>
          </w:rPr>
        </w:r>
        <w:r w:rsidRPr="00C61D31">
          <w:rPr>
            <w:noProof/>
            <w:webHidden/>
            <w:lang w:val="en-GB"/>
          </w:rPr>
          <w:fldChar w:fldCharType="separate"/>
        </w:r>
        <w:r w:rsidR="00D517AF">
          <w:rPr>
            <w:noProof/>
            <w:webHidden/>
            <w:lang w:val="en-GB"/>
          </w:rPr>
          <w:t>10</w:t>
        </w:r>
        <w:r w:rsidRPr="00C61D31">
          <w:rPr>
            <w:noProof/>
            <w:webHidden/>
            <w:lang w:val="en-GB"/>
          </w:rPr>
          <w:fldChar w:fldCharType="end"/>
        </w:r>
      </w:hyperlink>
    </w:p>
    <w:p w14:paraId="21537DEB" w14:textId="4E71E361" w:rsidR="0081028F" w:rsidRPr="00C61D31" w:rsidRDefault="0081028F">
      <w:pPr>
        <w:pStyle w:val="TDC1"/>
        <w:tabs>
          <w:tab w:val="right" w:leader="dot" w:pos="9350"/>
        </w:tabs>
        <w:rPr>
          <w:rFonts w:eastAsiaTheme="minorEastAsia"/>
          <w:noProof/>
          <w:lang w:val="en-GB" w:eastAsia="en-GB"/>
        </w:rPr>
      </w:pPr>
      <w:hyperlink w:anchor="_Toc220067520" w:history="1">
        <w:r w:rsidRPr="00C61D31">
          <w:rPr>
            <w:rStyle w:val="Hipervnculo"/>
            <w:noProof/>
            <w:lang w:val="en-GB"/>
          </w:rPr>
          <w:t>6. Recommendations to the Committee</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_Toc220067520 \h </w:instrText>
        </w:r>
        <w:r w:rsidRPr="00C61D31">
          <w:rPr>
            <w:noProof/>
            <w:webHidden/>
            <w:lang w:val="en-GB"/>
          </w:rPr>
        </w:r>
        <w:r w:rsidRPr="00C61D31">
          <w:rPr>
            <w:noProof/>
            <w:webHidden/>
            <w:lang w:val="en-GB"/>
          </w:rPr>
          <w:fldChar w:fldCharType="separate"/>
        </w:r>
        <w:r w:rsidR="00D517AF">
          <w:rPr>
            <w:noProof/>
            <w:webHidden/>
            <w:lang w:val="en-GB"/>
          </w:rPr>
          <w:t>11</w:t>
        </w:r>
        <w:r w:rsidRPr="00C61D31">
          <w:rPr>
            <w:noProof/>
            <w:webHidden/>
            <w:lang w:val="en-GB"/>
          </w:rPr>
          <w:fldChar w:fldCharType="end"/>
        </w:r>
      </w:hyperlink>
    </w:p>
    <w:p w14:paraId="1B12654F" w14:textId="4D695DB5" w:rsidR="0081028F" w:rsidRPr="00C61D31" w:rsidRDefault="0081028F">
      <w:pPr>
        <w:pStyle w:val="TDC2"/>
        <w:tabs>
          <w:tab w:val="left" w:pos="960"/>
          <w:tab w:val="right" w:leader="dot" w:pos="9350"/>
        </w:tabs>
        <w:rPr>
          <w:rFonts w:eastAsiaTheme="minorEastAsia"/>
          <w:noProof/>
          <w:lang w:val="en-GB" w:eastAsia="en-GB"/>
        </w:rPr>
      </w:pPr>
      <w:hyperlink w:anchor="_Toc220067521" w:history="1">
        <w:r w:rsidRPr="00C61D31">
          <w:rPr>
            <w:rStyle w:val="Hipervnculo"/>
            <w:noProof/>
            <w:lang w:val="en-GB"/>
          </w:rPr>
          <w:t>6.1</w:t>
        </w:r>
        <w:r w:rsidR="00D517AF">
          <w:rPr>
            <w:rFonts w:eastAsiaTheme="minorEastAsia"/>
            <w:noProof/>
            <w:lang w:val="en-GB" w:eastAsia="en-GB"/>
          </w:rPr>
          <w:t xml:space="preserve"> </w:t>
        </w:r>
        <w:r w:rsidRPr="00C61D31">
          <w:rPr>
            <w:rStyle w:val="Hipervnculo"/>
            <w:noProof/>
            <w:lang w:val="en-GB"/>
          </w:rPr>
          <w:t>Drug policy and legal framework</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_Toc220067521 \h </w:instrText>
        </w:r>
        <w:r w:rsidRPr="00C61D31">
          <w:rPr>
            <w:noProof/>
            <w:webHidden/>
            <w:lang w:val="en-GB"/>
          </w:rPr>
        </w:r>
        <w:r w:rsidRPr="00C61D31">
          <w:rPr>
            <w:noProof/>
            <w:webHidden/>
            <w:lang w:val="en-GB"/>
          </w:rPr>
          <w:fldChar w:fldCharType="separate"/>
        </w:r>
        <w:r w:rsidR="00D517AF">
          <w:rPr>
            <w:noProof/>
            <w:webHidden/>
            <w:lang w:val="en-GB"/>
          </w:rPr>
          <w:t>11</w:t>
        </w:r>
        <w:r w:rsidRPr="00C61D31">
          <w:rPr>
            <w:noProof/>
            <w:webHidden/>
            <w:lang w:val="en-GB"/>
          </w:rPr>
          <w:fldChar w:fldCharType="end"/>
        </w:r>
      </w:hyperlink>
    </w:p>
    <w:p w14:paraId="2BC53F5F" w14:textId="126C00A4" w:rsidR="0081028F" w:rsidRPr="00C61D31" w:rsidRDefault="0081028F">
      <w:pPr>
        <w:pStyle w:val="TDC2"/>
        <w:tabs>
          <w:tab w:val="right" w:leader="dot" w:pos="9350"/>
        </w:tabs>
        <w:rPr>
          <w:rFonts w:eastAsiaTheme="minorEastAsia"/>
          <w:noProof/>
          <w:lang w:val="en-GB" w:eastAsia="en-GB"/>
        </w:rPr>
      </w:pPr>
      <w:hyperlink w:anchor="_Toc220067522" w:history="1">
        <w:r w:rsidRPr="00C61D31">
          <w:rPr>
            <w:rStyle w:val="Hipervnculo"/>
            <w:noProof/>
            <w:lang w:val="en-GB"/>
          </w:rPr>
          <w:t>6.2 Right to health</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_Toc220067522 \h </w:instrText>
        </w:r>
        <w:r w:rsidRPr="00C61D31">
          <w:rPr>
            <w:noProof/>
            <w:webHidden/>
            <w:lang w:val="en-GB"/>
          </w:rPr>
        </w:r>
        <w:r w:rsidRPr="00C61D31">
          <w:rPr>
            <w:noProof/>
            <w:webHidden/>
            <w:lang w:val="en-GB"/>
          </w:rPr>
          <w:fldChar w:fldCharType="separate"/>
        </w:r>
        <w:r w:rsidR="00D517AF">
          <w:rPr>
            <w:noProof/>
            <w:webHidden/>
            <w:lang w:val="en-GB"/>
          </w:rPr>
          <w:t>11</w:t>
        </w:r>
        <w:r w:rsidRPr="00C61D31">
          <w:rPr>
            <w:noProof/>
            <w:webHidden/>
            <w:lang w:val="en-GB"/>
          </w:rPr>
          <w:fldChar w:fldCharType="end"/>
        </w:r>
      </w:hyperlink>
    </w:p>
    <w:p w14:paraId="491CF7C7" w14:textId="7A785A48" w:rsidR="0081028F" w:rsidRPr="00C61D31" w:rsidRDefault="0081028F">
      <w:pPr>
        <w:pStyle w:val="TDC2"/>
        <w:tabs>
          <w:tab w:val="right" w:leader="dot" w:pos="9350"/>
        </w:tabs>
        <w:rPr>
          <w:rFonts w:eastAsiaTheme="minorEastAsia"/>
          <w:noProof/>
          <w:lang w:val="en-GB" w:eastAsia="en-GB"/>
        </w:rPr>
      </w:pPr>
      <w:hyperlink w:anchor="_Toc220067523" w:history="1">
        <w:r w:rsidRPr="00C61D31">
          <w:rPr>
            <w:rStyle w:val="Hipervnculo"/>
            <w:noProof/>
            <w:lang w:val="en-GB"/>
          </w:rPr>
          <w:t>6.3 Stigma and discrimination</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_Toc220067523 \h </w:instrText>
        </w:r>
        <w:r w:rsidRPr="00C61D31">
          <w:rPr>
            <w:noProof/>
            <w:webHidden/>
            <w:lang w:val="en-GB"/>
          </w:rPr>
        </w:r>
        <w:r w:rsidRPr="00C61D31">
          <w:rPr>
            <w:noProof/>
            <w:webHidden/>
            <w:lang w:val="en-GB"/>
          </w:rPr>
          <w:fldChar w:fldCharType="separate"/>
        </w:r>
        <w:r w:rsidR="00D517AF">
          <w:rPr>
            <w:noProof/>
            <w:webHidden/>
            <w:lang w:val="en-GB"/>
          </w:rPr>
          <w:t>11</w:t>
        </w:r>
        <w:r w:rsidRPr="00C61D31">
          <w:rPr>
            <w:noProof/>
            <w:webHidden/>
            <w:lang w:val="en-GB"/>
          </w:rPr>
          <w:fldChar w:fldCharType="end"/>
        </w:r>
      </w:hyperlink>
    </w:p>
    <w:p w14:paraId="775A6614" w14:textId="78CC1DE4" w:rsidR="0081028F" w:rsidRPr="00C61D31" w:rsidRDefault="0081028F">
      <w:pPr>
        <w:pStyle w:val="TDC2"/>
        <w:tabs>
          <w:tab w:val="right" w:leader="dot" w:pos="9350"/>
        </w:tabs>
        <w:rPr>
          <w:rFonts w:eastAsiaTheme="minorEastAsia"/>
          <w:noProof/>
          <w:lang w:val="en-GB" w:eastAsia="en-GB"/>
        </w:rPr>
      </w:pPr>
      <w:hyperlink w:anchor="_Toc220067524" w:history="1">
        <w:r w:rsidRPr="00C61D31">
          <w:rPr>
            <w:rStyle w:val="Hipervnculo"/>
            <w:noProof/>
            <w:lang w:val="en-GB"/>
          </w:rPr>
          <w:t>6.4 Vulnerable populations</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_Toc220067524 \h </w:instrText>
        </w:r>
        <w:r w:rsidRPr="00C61D31">
          <w:rPr>
            <w:noProof/>
            <w:webHidden/>
            <w:lang w:val="en-GB"/>
          </w:rPr>
        </w:r>
        <w:r w:rsidRPr="00C61D31">
          <w:rPr>
            <w:noProof/>
            <w:webHidden/>
            <w:lang w:val="en-GB"/>
          </w:rPr>
          <w:fldChar w:fldCharType="separate"/>
        </w:r>
        <w:r w:rsidR="00D517AF">
          <w:rPr>
            <w:noProof/>
            <w:webHidden/>
            <w:lang w:val="en-GB"/>
          </w:rPr>
          <w:t>12</w:t>
        </w:r>
        <w:r w:rsidRPr="00C61D31">
          <w:rPr>
            <w:noProof/>
            <w:webHidden/>
            <w:lang w:val="en-GB"/>
          </w:rPr>
          <w:fldChar w:fldCharType="end"/>
        </w:r>
      </w:hyperlink>
    </w:p>
    <w:p w14:paraId="620B16D5" w14:textId="515F4121" w:rsidR="0081028F" w:rsidRPr="00C61D31" w:rsidRDefault="0081028F">
      <w:pPr>
        <w:pStyle w:val="TDC1"/>
        <w:tabs>
          <w:tab w:val="right" w:leader="dot" w:pos="9350"/>
        </w:tabs>
        <w:rPr>
          <w:rFonts w:eastAsiaTheme="minorEastAsia"/>
          <w:noProof/>
          <w:lang w:val="en-GB" w:eastAsia="en-GB"/>
        </w:rPr>
      </w:pPr>
      <w:hyperlink w:anchor="_Toc220067525" w:history="1">
        <w:r w:rsidRPr="00C61D31">
          <w:rPr>
            <w:rStyle w:val="Hipervnculo"/>
            <w:noProof/>
            <w:lang w:val="en-GB"/>
          </w:rPr>
          <w:t>7. References</w:t>
        </w:r>
        <w:r w:rsidRPr="00C61D31">
          <w:rPr>
            <w:noProof/>
            <w:webHidden/>
            <w:lang w:val="en-GB"/>
          </w:rPr>
          <w:tab/>
        </w:r>
        <w:r w:rsidRPr="00C61D31">
          <w:rPr>
            <w:noProof/>
            <w:webHidden/>
            <w:lang w:val="en-GB"/>
          </w:rPr>
          <w:fldChar w:fldCharType="begin"/>
        </w:r>
        <w:r w:rsidRPr="00C61D31">
          <w:rPr>
            <w:noProof/>
            <w:webHidden/>
            <w:lang w:val="en-GB"/>
          </w:rPr>
          <w:instrText xml:space="preserve"> PAGEREF _Toc220067525 \h </w:instrText>
        </w:r>
        <w:r w:rsidRPr="00C61D31">
          <w:rPr>
            <w:noProof/>
            <w:webHidden/>
            <w:lang w:val="en-GB"/>
          </w:rPr>
        </w:r>
        <w:r w:rsidRPr="00C61D31">
          <w:rPr>
            <w:noProof/>
            <w:webHidden/>
            <w:lang w:val="en-GB"/>
          </w:rPr>
          <w:fldChar w:fldCharType="separate"/>
        </w:r>
        <w:r w:rsidR="00D517AF">
          <w:rPr>
            <w:noProof/>
            <w:webHidden/>
            <w:lang w:val="en-GB"/>
          </w:rPr>
          <w:t>12</w:t>
        </w:r>
        <w:r w:rsidRPr="00C61D31">
          <w:rPr>
            <w:noProof/>
            <w:webHidden/>
            <w:lang w:val="en-GB"/>
          </w:rPr>
          <w:fldChar w:fldCharType="end"/>
        </w:r>
      </w:hyperlink>
    </w:p>
    <w:p w14:paraId="52F4A771" w14:textId="28A001EE" w:rsidR="00BA1872" w:rsidRDefault="00BA1872" w:rsidP="00BA1872">
      <w:pPr>
        <w:rPr>
          <w:lang w:val="en-GB"/>
        </w:rPr>
      </w:pPr>
      <w:r w:rsidRPr="00C61D31">
        <w:rPr>
          <w:lang w:val="en-GB"/>
        </w:rPr>
        <w:fldChar w:fldCharType="end"/>
      </w:r>
    </w:p>
    <w:p w14:paraId="19E700D6" w14:textId="77777777" w:rsidR="00B206C7" w:rsidRDefault="00B206C7" w:rsidP="00BA1872">
      <w:pPr>
        <w:rPr>
          <w:lang w:val="en-GB"/>
        </w:rPr>
      </w:pPr>
    </w:p>
    <w:p w14:paraId="01D5FCEF" w14:textId="77777777" w:rsidR="00B206C7" w:rsidRDefault="00B206C7" w:rsidP="00BA1872">
      <w:pPr>
        <w:rPr>
          <w:lang w:val="en-GB"/>
        </w:rPr>
      </w:pPr>
    </w:p>
    <w:p w14:paraId="6F894EED" w14:textId="77777777" w:rsidR="00B206C7" w:rsidRDefault="00B206C7" w:rsidP="00BA1872">
      <w:pPr>
        <w:rPr>
          <w:lang w:val="en-GB"/>
        </w:rPr>
      </w:pPr>
    </w:p>
    <w:p w14:paraId="3C068DF2" w14:textId="77777777" w:rsidR="00B206C7" w:rsidRDefault="00B206C7" w:rsidP="00BA1872">
      <w:pPr>
        <w:rPr>
          <w:lang w:val="en-GB"/>
        </w:rPr>
      </w:pPr>
    </w:p>
    <w:p w14:paraId="13F9DB73" w14:textId="77777777" w:rsidR="00B206C7" w:rsidRDefault="00B206C7" w:rsidP="00BA1872">
      <w:pPr>
        <w:rPr>
          <w:lang w:val="en-GB"/>
        </w:rPr>
      </w:pPr>
    </w:p>
    <w:p w14:paraId="01339518" w14:textId="77777777" w:rsidR="00B206C7" w:rsidRDefault="00B206C7" w:rsidP="00BA1872">
      <w:pPr>
        <w:rPr>
          <w:lang w:val="en-GB"/>
        </w:rPr>
      </w:pPr>
    </w:p>
    <w:p w14:paraId="0930E73E" w14:textId="77777777" w:rsidR="00B206C7" w:rsidRPr="00C61D31" w:rsidRDefault="00B206C7" w:rsidP="00BA1872">
      <w:pPr>
        <w:rPr>
          <w:lang w:val="en-GB"/>
        </w:rPr>
      </w:pPr>
    </w:p>
    <w:p w14:paraId="62DCB823" w14:textId="49BD1BFD" w:rsidR="002179F7" w:rsidRPr="00C61D31" w:rsidRDefault="002179F7" w:rsidP="008553F0">
      <w:pPr>
        <w:pStyle w:val="Ttulo1"/>
        <w:rPr>
          <w:lang w:val="en-GB"/>
        </w:rPr>
      </w:pPr>
      <w:bookmarkStart w:id="1" w:name="_Toc220067508"/>
      <w:r w:rsidRPr="00C61D31">
        <w:rPr>
          <w:lang w:val="en-GB"/>
        </w:rPr>
        <w:lastRenderedPageBreak/>
        <w:t xml:space="preserve">1. </w:t>
      </w:r>
      <w:r w:rsidR="008C5884" w:rsidRPr="00C61D31">
        <w:rPr>
          <w:lang w:val="en-GB"/>
        </w:rPr>
        <w:t>Executive Summary</w:t>
      </w:r>
      <w:bookmarkEnd w:id="1"/>
    </w:p>
    <w:p w14:paraId="7B21AA7C" w14:textId="3A849944" w:rsidR="00515AEF" w:rsidRPr="00C61D31" w:rsidRDefault="00515AEF" w:rsidP="00515AEF">
      <w:pPr>
        <w:jc w:val="both"/>
        <w:rPr>
          <w:lang w:val="en-GB"/>
        </w:rPr>
      </w:pPr>
      <w:r w:rsidRPr="00C61D31">
        <w:rPr>
          <w:lang w:val="en-GB"/>
        </w:rPr>
        <w:t xml:space="preserve">This </w:t>
      </w:r>
      <w:r w:rsidR="00406BDD" w:rsidRPr="00C61D31">
        <w:rPr>
          <w:lang w:val="en-GB"/>
        </w:rPr>
        <w:t xml:space="preserve">shadow </w:t>
      </w:r>
      <w:r w:rsidRPr="00C61D31">
        <w:rPr>
          <w:lang w:val="en-GB"/>
        </w:rPr>
        <w:t>report examines the impact of drug policies on the enjoyment of the highest attainable standard of physical and mental health by people who use drugs in Uruguay, in accordance with Article 12 of the International Covenant on Economic, Social and Cultural Rights (ICESCR), within the framework of the periodic review of the sixth report submitted by the Uruguayan State to the Committee on Economic, Social and Cultural Rights (CESCR).</w:t>
      </w:r>
    </w:p>
    <w:p w14:paraId="55965A05" w14:textId="5D0D3DA8" w:rsidR="00515AEF" w:rsidRPr="00C61D31" w:rsidRDefault="00515AEF" w:rsidP="00515AEF">
      <w:pPr>
        <w:jc w:val="both"/>
        <w:rPr>
          <w:lang w:val="en-GB"/>
        </w:rPr>
      </w:pPr>
      <w:r w:rsidRPr="00C61D31">
        <w:rPr>
          <w:lang w:val="en-GB"/>
        </w:rPr>
        <w:t xml:space="preserve">While Uruguay has made significant normative </w:t>
      </w:r>
      <w:r w:rsidR="00406BDD" w:rsidRPr="00C61D31">
        <w:rPr>
          <w:lang w:val="en-GB"/>
        </w:rPr>
        <w:t xml:space="preserve">progress </w:t>
      </w:r>
      <w:r w:rsidR="0052241C" w:rsidRPr="00C61D31">
        <w:rPr>
          <w:lang w:val="en-GB"/>
        </w:rPr>
        <w:t>regarding</w:t>
      </w:r>
      <w:r w:rsidRPr="00C61D31">
        <w:rPr>
          <w:lang w:val="en-GB"/>
        </w:rPr>
        <w:t xml:space="preserve"> the decriminalisation of drug possession for personal use and the regulation of cannabis for adult use</w:t>
      </w:r>
      <w:r w:rsidR="0052241C" w:rsidRPr="00C61D31">
        <w:rPr>
          <w:lang w:val="en-GB"/>
        </w:rPr>
        <w:t xml:space="preserve">, there are still structural barriers </w:t>
      </w:r>
      <w:r w:rsidRPr="00C61D31">
        <w:rPr>
          <w:lang w:val="en-GB"/>
        </w:rPr>
        <w:t>that directly affect effective access to prevention, treatment, and harm reduction services.</w:t>
      </w:r>
    </w:p>
    <w:p w14:paraId="04085F24" w14:textId="77777777" w:rsidR="00515AEF" w:rsidRPr="00C61D31" w:rsidRDefault="00515AEF" w:rsidP="00515AEF">
      <w:pPr>
        <w:jc w:val="both"/>
        <w:rPr>
          <w:lang w:val="en-GB"/>
        </w:rPr>
      </w:pPr>
      <w:r w:rsidRPr="00C61D31">
        <w:rPr>
          <w:lang w:val="en-GB"/>
        </w:rPr>
        <w:t>Institutional stigma, the targeted criminalisation of certain vulnerable populations, and gaps between the normative framework and its practical implementation continue to undermine the enjoyment of the right to health, with disproportionate impacts on women, LGBTIQ+ persons, people living in poverty, persons deprived of liberty, and people experiencing homelessness.</w:t>
      </w:r>
    </w:p>
    <w:p w14:paraId="50369C14" w14:textId="77777777" w:rsidR="00515AEF" w:rsidRPr="00C61D31" w:rsidRDefault="00515AEF" w:rsidP="00515AEF">
      <w:pPr>
        <w:jc w:val="both"/>
        <w:rPr>
          <w:lang w:val="en-GB"/>
        </w:rPr>
      </w:pPr>
      <w:r w:rsidRPr="00C61D31">
        <w:rPr>
          <w:lang w:val="en-GB"/>
        </w:rPr>
        <w:t>This report concludes that the Uruguayan State faces multiple challenges in fully complying with its obligations to respect, protect, and fulfil the right to health of people who use drugs, and puts forward concrete recommendations for the Committee’s consideration.</w:t>
      </w:r>
    </w:p>
    <w:p w14:paraId="0285C5BF" w14:textId="2DDC6529" w:rsidR="002179F7" w:rsidRPr="00C61D31" w:rsidRDefault="002179F7" w:rsidP="002419FD">
      <w:pPr>
        <w:jc w:val="both"/>
        <w:rPr>
          <w:lang w:val="en-GB"/>
        </w:rPr>
      </w:pPr>
    </w:p>
    <w:p w14:paraId="551763F8" w14:textId="0E220F17" w:rsidR="002179F7" w:rsidRPr="00C61D31" w:rsidRDefault="002179F7" w:rsidP="008553F0">
      <w:pPr>
        <w:pStyle w:val="Ttulo1"/>
        <w:rPr>
          <w:lang w:val="en-GB"/>
        </w:rPr>
      </w:pPr>
      <w:bookmarkStart w:id="2" w:name="_Toc220067509"/>
      <w:r w:rsidRPr="00C61D31">
        <w:rPr>
          <w:lang w:val="en-GB"/>
        </w:rPr>
        <w:t xml:space="preserve">2. </w:t>
      </w:r>
      <w:r w:rsidR="00515AEF" w:rsidRPr="00C61D31">
        <w:rPr>
          <w:lang w:val="en-GB"/>
        </w:rPr>
        <w:t>Introduction and human rights framework</w:t>
      </w:r>
      <w:bookmarkEnd w:id="2"/>
    </w:p>
    <w:p w14:paraId="02E35247" w14:textId="60034047" w:rsidR="00515AEF" w:rsidRPr="00C61D31" w:rsidRDefault="00515AEF" w:rsidP="00515AEF">
      <w:pPr>
        <w:jc w:val="both"/>
        <w:rPr>
          <w:lang w:val="en-GB"/>
        </w:rPr>
      </w:pPr>
      <w:r w:rsidRPr="00C61D31">
        <w:rPr>
          <w:lang w:val="en-GB"/>
        </w:rPr>
        <w:t xml:space="preserve">The Latin American and Caribbean Network of People Who Use Drugs (LANPUD) and the International Drug Policy Consortium (IDPC) submit this </w:t>
      </w:r>
      <w:r w:rsidR="00406BDD" w:rsidRPr="00C61D31">
        <w:rPr>
          <w:lang w:val="en-GB"/>
        </w:rPr>
        <w:t xml:space="preserve">shadow </w:t>
      </w:r>
      <w:r w:rsidRPr="00C61D31">
        <w:rPr>
          <w:lang w:val="en-GB"/>
        </w:rPr>
        <w:t>report to the Committee on Economic, Social and Cultural Rights (CESCR) in the context of the periodic review of the sixth report of the Uruguayan State, examined during the Committee’s 79th Session.</w:t>
      </w:r>
    </w:p>
    <w:p w14:paraId="65D82217" w14:textId="77777777" w:rsidR="00515AEF" w:rsidRPr="00C61D31" w:rsidRDefault="00515AEF" w:rsidP="00515AEF">
      <w:pPr>
        <w:jc w:val="both"/>
        <w:rPr>
          <w:lang w:val="en-GB"/>
        </w:rPr>
      </w:pPr>
      <w:r w:rsidRPr="00C61D31">
        <w:rPr>
          <w:lang w:val="en-GB"/>
        </w:rPr>
        <w:t>The right to health should not be understood narrowly as the right to be healthy, but rather as the right to the enjoyment of the highest attainable standard of physical and mental health. This right encompasses the availability, accessibility, acceptability, and quality of health services, as well as the underlying social determinants of health, including housing, food, working conditions, and freedom from discrimination and arbitrary detention.</w:t>
      </w:r>
    </w:p>
    <w:p w14:paraId="2FA0C452" w14:textId="77777777" w:rsidR="00515AEF" w:rsidRPr="00C61D31" w:rsidRDefault="00515AEF" w:rsidP="00515AEF">
      <w:pPr>
        <w:jc w:val="both"/>
        <w:rPr>
          <w:lang w:val="en-GB"/>
        </w:rPr>
      </w:pPr>
      <w:r w:rsidRPr="00C61D31">
        <w:rPr>
          <w:lang w:val="en-GB"/>
        </w:rPr>
        <w:t>The report is based on a mixed-methods methodology that includes a desk review of relevant legislation, public policies, and State plans; analysis of official data drawn from national surveys and administrative records; informal conversations with authorities and health system professionals; and consultations with people who use drugs, conducted primarily in Montevideo.</w:t>
      </w:r>
    </w:p>
    <w:p w14:paraId="51BFB386" w14:textId="6A374471" w:rsidR="00E158F3" w:rsidRPr="00C61D31" w:rsidRDefault="00515AEF" w:rsidP="00A94BA7">
      <w:pPr>
        <w:jc w:val="both"/>
        <w:rPr>
          <w:lang w:val="en-GB"/>
        </w:rPr>
      </w:pPr>
      <w:r w:rsidRPr="00C61D31">
        <w:rPr>
          <w:lang w:val="en-GB"/>
        </w:rPr>
        <w:lastRenderedPageBreak/>
        <w:t>The CESCR has repeatedly underscored that States must adopt appropriate measures to ensure the adequate provision of prevention, treatment, and harm reduction services for people who use drugs, and that criminalisation and stigma may constitute structural barriers to the enjoyment of the right to health. This report assesses Uruguay’s compliance with these international obligations, with particular attention to the gaps between the normative framework and the lived realities of people who use drugs.</w:t>
      </w:r>
    </w:p>
    <w:p w14:paraId="067961A3" w14:textId="77777777" w:rsidR="008C5884" w:rsidRPr="00C61D31" w:rsidRDefault="008C5884" w:rsidP="00A94BA7">
      <w:pPr>
        <w:jc w:val="both"/>
        <w:rPr>
          <w:lang w:val="en-GB"/>
        </w:rPr>
      </w:pPr>
    </w:p>
    <w:p w14:paraId="689D19AC" w14:textId="7FC71AB3" w:rsidR="002179F7" w:rsidRPr="00C61D31" w:rsidRDefault="002179F7" w:rsidP="008553F0">
      <w:pPr>
        <w:pStyle w:val="Ttulo1"/>
        <w:rPr>
          <w:lang w:val="en-GB"/>
        </w:rPr>
      </w:pPr>
      <w:bookmarkStart w:id="3" w:name="_Toc220067510"/>
      <w:r w:rsidRPr="00C61D31">
        <w:rPr>
          <w:lang w:val="en-GB"/>
        </w:rPr>
        <w:t xml:space="preserve">3. </w:t>
      </w:r>
      <w:r w:rsidR="00515AEF" w:rsidRPr="00C61D31">
        <w:rPr>
          <w:lang w:val="en-GB"/>
        </w:rPr>
        <w:t>Drug Use in Uruguay: Context and State Responses</w:t>
      </w:r>
      <w:bookmarkEnd w:id="3"/>
    </w:p>
    <w:p w14:paraId="6DEEC654" w14:textId="7E055ED2" w:rsidR="002179F7" w:rsidRPr="00C61D31" w:rsidRDefault="002179F7" w:rsidP="00AC3413">
      <w:pPr>
        <w:pStyle w:val="Ttulo2"/>
        <w:rPr>
          <w:lang w:val="en-GB"/>
        </w:rPr>
      </w:pPr>
      <w:bookmarkStart w:id="4" w:name="_Toc220067511"/>
      <w:r w:rsidRPr="00C61D31">
        <w:rPr>
          <w:lang w:val="en-GB"/>
        </w:rPr>
        <w:t xml:space="preserve">3.1 </w:t>
      </w:r>
      <w:r w:rsidR="00515AEF" w:rsidRPr="00C61D31">
        <w:rPr>
          <w:lang w:val="en-GB"/>
        </w:rPr>
        <w:t>Levels of Drug Use</w:t>
      </w:r>
      <w:bookmarkEnd w:id="4"/>
    </w:p>
    <w:p w14:paraId="75406736" w14:textId="61D77DDA" w:rsidR="00C71F29" w:rsidRPr="00C61D31" w:rsidRDefault="00C71F29" w:rsidP="00C71F29">
      <w:pPr>
        <w:jc w:val="both"/>
        <w:rPr>
          <w:lang w:val="en-GB"/>
        </w:rPr>
      </w:pPr>
      <w:r w:rsidRPr="00C61D31">
        <w:rPr>
          <w:lang w:val="en-GB"/>
        </w:rPr>
        <w:t>According to the VIII National Survey on Drug Use in the General Population (JND 2025a), alcohol remains the most widely used substance, with a 12-month prevalence of 71.4%, followed by tobacco (27.8%), cannabis (12.3%), tranquillizers (10.5%), antidepressants (7.3%), hypnotics (6%), and opioids (5.5%). All these substances are legally regulated under different normative frameworks and policy regimes, either for adult use or for medical purposes.</w:t>
      </w:r>
    </w:p>
    <w:p w14:paraId="42C4690B" w14:textId="77777777" w:rsidR="00C71F29" w:rsidRPr="00C61D31" w:rsidRDefault="00C71F29" w:rsidP="00C71F29">
      <w:pPr>
        <w:jc w:val="both"/>
        <w:rPr>
          <w:lang w:val="en-GB"/>
        </w:rPr>
      </w:pPr>
      <w:r w:rsidRPr="00C61D31">
        <w:rPr>
          <w:lang w:val="en-GB"/>
        </w:rPr>
        <w:t>Other substances classified as illegal show significantly lower levels of use, including cocaine (1.6%), ecstasy (1%), hallucinogens (0.9%), stimulants (0.6%), methamphetamines (0.4%), cocaine base paste (pasta base) (0.3%), and amphetamines (0.2%). These data demonstrate that public narratives framing drug use as a widespread threat to public security are not consistent with the actual prevalence of illicit substance use (JND 2025a).</w:t>
      </w:r>
    </w:p>
    <w:p w14:paraId="03FEB087" w14:textId="77777777" w:rsidR="00C71F29" w:rsidRPr="00C61D31" w:rsidRDefault="00C71F29" w:rsidP="00C71F29">
      <w:pPr>
        <w:jc w:val="both"/>
        <w:rPr>
          <w:lang w:val="en-GB"/>
        </w:rPr>
      </w:pPr>
      <w:r w:rsidRPr="00C61D31">
        <w:rPr>
          <w:lang w:val="en-GB"/>
        </w:rPr>
        <w:t>Available data reveal differentiated patterns of drug use according to sociodemographic variables, which is critical for the design of effective public health policies. In Uruguay, men present significantly higher prevalence rates of alcohol and cannabis use compared to women, while individuals residing in Montevideo report consumption levels above the national average. Cannabis use is also more concentrated among young people and young adults, with an average age of initiation close to 20 years.</w:t>
      </w:r>
    </w:p>
    <w:p w14:paraId="5CC6E33D" w14:textId="65C1F660" w:rsidR="00C71F29" w:rsidRPr="00C61D31" w:rsidRDefault="00C71F29" w:rsidP="00C71F29">
      <w:pPr>
        <w:jc w:val="both"/>
        <w:rPr>
          <w:lang w:val="en-GB"/>
        </w:rPr>
      </w:pPr>
      <w:r w:rsidRPr="00C61D31">
        <w:rPr>
          <w:lang w:val="en-GB"/>
        </w:rPr>
        <w:t>Similarly, the National Youth Survey indicates that alcohol and energy drinks are the substances commonly used by young people, posing specific challenges in terms of prevention and regulation. However, these forms of use are culturally normalised and receive significantly less public attention than other forms of drug use that are subject to higher levels of stigmatisation (JND 2025b).</w:t>
      </w:r>
    </w:p>
    <w:p w14:paraId="55087DD7" w14:textId="77C5D35C" w:rsidR="00C71F29" w:rsidRPr="00C61D31" w:rsidRDefault="00C71F29" w:rsidP="00C71F29">
      <w:pPr>
        <w:jc w:val="both"/>
        <w:rPr>
          <w:lang w:val="en-GB"/>
        </w:rPr>
      </w:pPr>
      <w:r w:rsidRPr="00C61D31">
        <w:rPr>
          <w:lang w:val="en-GB"/>
        </w:rPr>
        <w:t xml:space="preserve">At the same time, a significant proportion of people who use synthetic substances such as MDMA or ecstasy report care practices before or during use, suggesting the existence of informal harm reduction strategies. These findings underscore the importance of public policies that recognise </w:t>
      </w:r>
      <w:r w:rsidRPr="00C61D31">
        <w:rPr>
          <w:lang w:val="en-GB"/>
        </w:rPr>
        <w:lastRenderedPageBreak/>
        <w:t>and strengthen such practices, rather than rendering them invisible or criminalising them, and that ensure access to evidence-based information, prevention, and harm reduction services.</w:t>
      </w:r>
    </w:p>
    <w:p w14:paraId="41D08369" w14:textId="1CE133DD" w:rsidR="00C71F29" w:rsidRPr="00C61D31" w:rsidRDefault="00C71F29" w:rsidP="00C71F29">
      <w:pPr>
        <w:jc w:val="both"/>
        <w:rPr>
          <w:lang w:val="en-GB"/>
        </w:rPr>
      </w:pPr>
      <w:r w:rsidRPr="00C61D31">
        <w:rPr>
          <w:lang w:val="en-GB"/>
        </w:rPr>
        <w:t>The use of illicitly sourced foreign cannabis (“pressed” cannabis) has declined sharply in Uruguay, decreasing from 58% of the market in 2014 to just 6% in 2024, according to official data. This reduction is closely linked to the implementation of the cannabis regulation model, which expanded legal access channels and reduced reliance on illicit markets. The decline in pressed cannabis (associated with higher health risks due to the absence of quality controls) demonstrates the positive impact of regulation on the protection of the right to health and on harm reduction (JND 2025a).</w:t>
      </w:r>
    </w:p>
    <w:p w14:paraId="662CD4B3" w14:textId="07A2D4DD" w:rsidR="002179F7" w:rsidRPr="00C61D31" w:rsidRDefault="002179F7" w:rsidP="00AC3413">
      <w:pPr>
        <w:pStyle w:val="Ttulo2"/>
        <w:rPr>
          <w:lang w:val="en-GB"/>
        </w:rPr>
      </w:pPr>
      <w:bookmarkStart w:id="5" w:name="_Toc220067512"/>
      <w:r w:rsidRPr="00C61D31">
        <w:rPr>
          <w:lang w:val="en-GB"/>
        </w:rPr>
        <w:t xml:space="preserve">3.2 </w:t>
      </w:r>
      <w:r w:rsidR="00C71F29" w:rsidRPr="00C61D31">
        <w:rPr>
          <w:lang w:val="en-GB"/>
        </w:rPr>
        <w:t>Drug use treatment and care</w:t>
      </w:r>
      <w:bookmarkEnd w:id="5"/>
    </w:p>
    <w:p w14:paraId="1B360074" w14:textId="6EB8FF5C" w:rsidR="00C71F29" w:rsidRPr="00C61D31" w:rsidRDefault="00C71F29" w:rsidP="00C71F29">
      <w:pPr>
        <w:jc w:val="both"/>
        <w:rPr>
          <w:lang w:val="en-GB"/>
        </w:rPr>
      </w:pPr>
      <w:r w:rsidRPr="00C61D31">
        <w:rPr>
          <w:lang w:val="en-GB"/>
        </w:rPr>
        <w:t>The National Network for Drug Treatment and Care, known as RENADRO and operating under the National Drug Board (JND), constitutes the main State mechanism for addressing problematic drug use in Uruguay. The network includes community</w:t>
      </w:r>
      <w:r w:rsidR="00406BDD" w:rsidRPr="00C61D31">
        <w:rPr>
          <w:lang w:val="en-GB"/>
        </w:rPr>
        <w:t>-</w:t>
      </w:r>
      <w:r w:rsidRPr="00C61D31">
        <w:rPr>
          <w:lang w:val="en-GB"/>
        </w:rPr>
        <w:t>based, outpatient, residential and mobile services, and is presented as a central component of the State’s health response to drug use</w:t>
      </w:r>
      <w:r w:rsidR="00406BDD" w:rsidRPr="00C61D31">
        <w:rPr>
          <w:lang w:val="en-GB"/>
        </w:rPr>
        <w:t>-</w:t>
      </w:r>
      <w:r w:rsidRPr="00C61D31">
        <w:rPr>
          <w:lang w:val="en-GB"/>
        </w:rPr>
        <w:t>related harms (JND 2026).</w:t>
      </w:r>
      <w:r w:rsidR="00A21018" w:rsidRPr="00C61D31">
        <w:rPr>
          <w:lang w:val="en-GB"/>
        </w:rPr>
        <w:t xml:space="preserve"> </w:t>
      </w:r>
    </w:p>
    <w:p w14:paraId="01BC323E" w14:textId="4A295AA4" w:rsidR="00C71F29" w:rsidRPr="00C61D31" w:rsidRDefault="00C71F29" w:rsidP="00C71F29">
      <w:pPr>
        <w:jc w:val="both"/>
        <w:rPr>
          <w:lang w:val="en-GB"/>
        </w:rPr>
      </w:pPr>
      <w:r w:rsidRPr="00C61D31">
        <w:rPr>
          <w:lang w:val="en-GB"/>
        </w:rPr>
        <w:t>Despite the existence of the National Integrated Health System (SNIS), which provides broad nationwide coverage, drug treatment and care services continue to face persistent structural limitations. Interinstitutional coordination remains weak, hindering effective complementarity between the various ministries and social services involved, including health, social development and justice, which is essential to ensure comprehensive and continuous interventions. In addition, funding for service provision is insufficient in relation to actual population needs, reducing the availability of continuous care, follow up programmes and long-term support strategies for people experiencing problematic drug use (JND 2023).</w:t>
      </w:r>
    </w:p>
    <w:p w14:paraId="2BE02EAB" w14:textId="0E456AB9" w:rsidR="00C71F29" w:rsidRPr="00C61D31" w:rsidRDefault="00C71F29" w:rsidP="00C71F29">
      <w:pPr>
        <w:jc w:val="both"/>
        <w:rPr>
          <w:lang w:val="en-GB"/>
        </w:rPr>
      </w:pPr>
      <w:r w:rsidRPr="00C61D31">
        <w:rPr>
          <w:lang w:val="en-GB"/>
        </w:rPr>
        <w:t>Uruguay has explicitly incorporated risk management and harm reduction as part of its comprehensive drug policy approach. The National Drug Strategy 2021–2025 establishes the integration of harm reduction and risk management perspectives into the design and evaluation of public actions related to problematic drug use, health and human rights (JND 2021). However, despite the time elapsed since its adoption, the effective implementation of harm reduction remains limited and uneven, with significant gaps in the availability, coverage and sustainability of concrete services and interventions.</w:t>
      </w:r>
    </w:p>
    <w:p w14:paraId="526B2E2A" w14:textId="3935425B" w:rsidR="00C71F29" w:rsidRPr="00C61D31" w:rsidRDefault="00C71F29" w:rsidP="00C71F29">
      <w:pPr>
        <w:jc w:val="both"/>
        <w:rPr>
          <w:lang w:val="en-GB"/>
        </w:rPr>
      </w:pPr>
      <w:r w:rsidRPr="00C61D31">
        <w:rPr>
          <w:lang w:val="en-GB"/>
        </w:rPr>
        <w:t xml:space="preserve">Significant territorial disparities also persist, particularly in departments outside the capital, where the supply of specialised services is more limited and trained human resources are insufficient. In some areas, individuals must travel long distances to access care, face prolonged waiting lists, or rely on services that are not adequately adapted to their needs and contexts (JND </w:t>
      </w:r>
      <w:r w:rsidRPr="00C61D31">
        <w:rPr>
          <w:lang w:val="en-GB"/>
        </w:rPr>
        <w:lastRenderedPageBreak/>
        <w:t>2023). These conditions generate inequalities in access to timely and appropriate treatment, in contrast with the principles of equity and accessibility that underpin the right to health.</w:t>
      </w:r>
    </w:p>
    <w:p w14:paraId="6D31E332" w14:textId="6EEC909C" w:rsidR="002179F7" w:rsidRPr="00C61D31" w:rsidRDefault="00C71F29" w:rsidP="000618BC">
      <w:pPr>
        <w:jc w:val="both"/>
        <w:rPr>
          <w:lang w:val="en-GB"/>
        </w:rPr>
      </w:pPr>
      <w:r w:rsidRPr="00C61D31">
        <w:rPr>
          <w:lang w:val="en-GB"/>
        </w:rPr>
        <w:t>Additionally, the predominance of abstinence</w:t>
      </w:r>
      <w:r w:rsidR="00406BDD" w:rsidRPr="00C61D31">
        <w:rPr>
          <w:lang w:val="en-GB"/>
        </w:rPr>
        <w:t>-</w:t>
      </w:r>
      <w:r w:rsidRPr="00C61D31">
        <w:rPr>
          <w:lang w:val="en-GB"/>
        </w:rPr>
        <w:t>based and highly medicalised approaches, combined with the limited availability of harm reduction services, reduces the acceptability of care among people who use drugs. Many do not identify with these models of care and therefore avoid engaging with the health system or discontin</w:t>
      </w:r>
      <w:r w:rsidR="00406BDD" w:rsidRPr="00C61D31">
        <w:rPr>
          <w:lang w:val="en-GB"/>
        </w:rPr>
        <w:t>ue</w:t>
      </w:r>
      <w:r w:rsidRPr="00C61D31">
        <w:rPr>
          <w:lang w:val="en-GB"/>
        </w:rPr>
        <w:t xml:space="preserve"> their treatment processes.</w:t>
      </w:r>
      <w:r w:rsidR="003516C5" w:rsidRPr="00C61D31">
        <w:rPr>
          <w:lang w:val="en-GB"/>
        </w:rPr>
        <w:t xml:space="preserve"> </w:t>
      </w:r>
    </w:p>
    <w:p w14:paraId="2DE5F212" w14:textId="753B720F" w:rsidR="002179F7" w:rsidRPr="00C61D31" w:rsidRDefault="002179F7" w:rsidP="00AC3413">
      <w:pPr>
        <w:pStyle w:val="Ttulo2"/>
        <w:rPr>
          <w:lang w:val="en-GB"/>
        </w:rPr>
      </w:pPr>
      <w:bookmarkStart w:id="6" w:name="_Toc220067513"/>
      <w:r w:rsidRPr="00C61D31">
        <w:rPr>
          <w:lang w:val="en-GB"/>
        </w:rPr>
        <w:t xml:space="preserve">3.3 </w:t>
      </w:r>
      <w:r w:rsidR="00C71F29" w:rsidRPr="00C61D31">
        <w:rPr>
          <w:lang w:val="en-GB"/>
        </w:rPr>
        <w:t>Medical and therapeutical cannabis</w:t>
      </w:r>
      <w:bookmarkEnd w:id="6"/>
    </w:p>
    <w:p w14:paraId="3A5050EC" w14:textId="047493F5" w:rsidR="00C71F29" w:rsidRPr="00C61D31" w:rsidRDefault="00C71F29" w:rsidP="00C71F29">
      <w:pPr>
        <w:jc w:val="both"/>
        <w:rPr>
          <w:lang w:val="en-GB"/>
        </w:rPr>
      </w:pPr>
      <w:r w:rsidRPr="00C61D31">
        <w:rPr>
          <w:lang w:val="en-GB"/>
        </w:rPr>
        <w:t>Cannabis regulation in Uruguay, established by Law No. 19.172 of 2013, was complemented by Law No. 19.847 of 2014, which declares actions aimed at promoting access to cannabis</w:t>
      </w:r>
      <w:r w:rsidR="00C61D31" w:rsidRPr="00C61D31">
        <w:rPr>
          <w:lang w:val="en-GB"/>
        </w:rPr>
        <w:t>-</w:t>
      </w:r>
      <w:r w:rsidRPr="00C61D31">
        <w:rPr>
          <w:lang w:val="en-GB"/>
        </w:rPr>
        <w:t xml:space="preserve">based medicinal products to be of public interest. Access to cannabis is provided through three registered channels: home cultivation of up to six flowering plants (11,036 registered individuals), membership in a cannabis club with an annual dispensing limit of 480 grams (16,693 registered individuals), and </w:t>
      </w:r>
      <w:r w:rsidR="00A21018" w:rsidRPr="00C61D31">
        <w:rPr>
          <w:lang w:val="en-GB"/>
        </w:rPr>
        <w:t>pharmacy-based</w:t>
      </w:r>
      <w:r w:rsidRPr="00C61D31">
        <w:rPr>
          <w:lang w:val="en-GB"/>
        </w:rPr>
        <w:t xml:space="preserve"> dispensing of up to 10 grams per week (80,804 registered individuals) (IRCCA 2025).</w:t>
      </w:r>
    </w:p>
    <w:p w14:paraId="363D53DD" w14:textId="34A46178" w:rsidR="00C71F29" w:rsidRPr="00C61D31" w:rsidRDefault="00C71F29" w:rsidP="00C71F29">
      <w:pPr>
        <w:jc w:val="both"/>
        <w:rPr>
          <w:lang w:val="en-GB"/>
        </w:rPr>
      </w:pPr>
      <w:r w:rsidRPr="00C61D31">
        <w:rPr>
          <w:lang w:val="en-GB"/>
        </w:rPr>
        <w:t xml:space="preserve">Nevertheless, effective access to medicinal cannabis remains limited for </w:t>
      </w:r>
      <w:r w:rsidR="00A21018" w:rsidRPr="00C61D31">
        <w:rPr>
          <w:lang w:val="en-GB"/>
        </w:rPr>
        <w:t>most</w:t>
      </w:r>
      <w:r w:rsidRPr="00C61D31">
        <w:rPr>
          <w:lang w:val="en-GB"/>
        </w:rPr>
        <w:t xml:space="preserve"> patients. Legally available medicines are costly and, in many cases, imported, which restricts their economic accessibility. Furthermore, the active pharmacovigilance </w:t>
      </w:r>
      <w:r w:rsidR="00A21018" w:rsidRPr="00C61D31">
        <w:rPr>
          <w:lang w:val="en-GB"/>
        </w:rPr>
        <w:t>system provided</w:t>
      </w:r>
      <w:r w:rsidR="0057036B" w:rsidRPr="00C61D31">
        <w:rPr>
          <w:lang w:val="en-GB"/>
        </w:rPr>
        <w:t xml:space="preserve"> </w:t>
      </w:r>
      <w:r w:rsidRPr="00C61D31">
        <w:rPr>
          <w:lang w:val="en-GB"/>
        </w:rPr>
        <w:t>by law is not operational, creating risks for patient safety and limiting the evaluation of treatment outcomes.</w:t>
      </w:r>
    </w:p>
    <w:p w14:paraId="69C70EDD" w14:textId="77777777" w:rsidR="00C71F29" w:rsidRPr="00C61D31" w:rsidRDefault="00C71F29" w:rsidP="00C71F29">
      <w:pPr>
        <w:jc w:val="both"/>
        <w:rPr>
          <w:lang w:val="en-GB"/>
        </w:rPr>
      </w:pPr>
      <w:r w:rsidRPr="00C61D31">
        <w:rPr>
          <w:lang w:val="en-GB"/>
        </w:rPr>
        <w:t>The Technical Advisory Committee of the Ministry of Public Health’s Medicinal Cannabis Programme, established by decree in 2019, was convened for the first time only in April 2025, reflecting the low priority assigned to this policy area. At the same time, civil society associations that support patients lack a clear regulatory framework and adequate oversight, despite playing a fundamental role in facilitating access to treatment.</w:t>
      </w:r>
    </w:p>
    <w:p w14:paraId="14921C5D" w14:textId="77777777" w:rsidR="00C71F29" w:rsidRDefault="00C71F29" w:rsidP="00C71F29">
      <w:pPr>
        <w:jc w:val="both"/>
        <w:rPr>
          <w:lang w:val="en-GB"/>
        </w:rPr>
      </w:pPr>
      <w:r w:rsidRPr="00C61D31">
        <w:rPr>
          <w:lang w:val="en-GB"/>
        </w:rPr>
        <w:t>According to statements referenced in the State report, the Chamber of Medicinal Cannabis Companies and the Uruguayan Association of Cannabis Producers informed parliamentary bodies that national production is virtually paralysed due to the absence of State policies to facilitate market integration. As a result, the export of raw material is prioritised while domestic access to medicines remains limited, directly affecting the right to health (Chamber of Representatives of Parliament 2023).</w:t>
      </w:r>
    </w:p>
    <w:p w14:paraId="35DDDCDD" w14:textId="77777777" w:rsidR="00B206C7" w:rsidRDefault="00B206C7" w:rsidP="00C71F29">
      <w:pPr>
        <w:jc w:val="both"/>
        <w:rPr>
          <w:lang w:val="en-GB"/>
        </w:rPr>
      </w:pPr>
    </w:p>
    <w:p w14:paraId="62D73407" w14:textId="77777777" w:rsidR="00B206C7" w:rsidRDefault="00B206C7" w:rsidP="00C71F29">
      <w:pPr>
        <w:jc w:val="both"/>
        <w:rPr>
          <w:lang w:val="en-GB"/>
        </w:rPr>
      </w:pPr>
    </w:p>
    <w:p w14:paraId="4BC9B3AE" w14:textId="77777777" w:rsidR="00B206C7" w:rsidRPr="00C61D31" w:rsidRDefault="00B206C7" w:rsidP="00C71F29">
      <w:pPr>
        <w:jc w:val="both"/>
        <w:rPr>
          <w:lang w:val="en-GB"/>
        </w:rPr>
      </w:pPr>
    </w:p>
    <w:p w14:paraId="2FB54046" w14:textId="77777777" w:rsidR="00E158F3" w:rsidRPr="00C61D31" w:rsidRDefault="00E158F3" w:rsidP="002179F7">
      <w:pPr>
        <w:rPr>
          <w:lang w:val="en-GB"/>
        </w:rPr>
      </w:pPr>
    </w:p>
    <w:p w14:paraId="014F9A8A" w14:textId="4B31B27B" w:rsidR="002179F7" w:rsidRPr="00C61D31" w:rsidRDefault="002179F7" w:rsidP="008553F0">
      <w:pPr>
        <w:pStyle w:val="Ttulo1"/>
        <w:rPr>
          <w:lang w:val="en-GB"/>
        </w:rPr>
      </w:pPr>
      <w:bookmarkStart w:id="7" w:name="_Toc220067514"/>
      <w:r w:rsidRPr="00C61D31">
        <w:rPr>
          <w:lang w:val="en-GB"/>
        </w:rPr>
        <w:lastRenderedPageBreak/>
        <w:t xml:space="preserve">4. </w:t>
      </w:r>
      <w:r w:rsidR="00A21018" w:rsidRPr="00C61D31">
        <w:rPr>
          <w:lang w:val="en-GB"/>
        </w:rPr>
        <w:t>Stigma, criminalisation and their impact on the right to health</w:t>
      </w:r>
      <w:bookmarkEnd w:id="7"/>
      <w:r w:rsidR="00A21018" w:rsidRPr="00C61D31">
        <w:rPr>
          <w:lang w:val="en-GB"/>
        </w:rPr>
        <w:t xml:space="preserve"> </w:t>
      </w:r>
    </w:p>
    <w:p w14:paraId="099578CF" w14:textId="77777777" w:rsidR="00A21018" w:rsidRPr="00C61D31" w:rsidRDefault="00A21018" w:rsidP="00A21018">
      <w:pPr>
        <w:jc w:val="both"/>
        <w:rPr>
          <w:lang w:val="en-GB"/>
        </w:rPr>
      </w:pPr>
      <w:r w:rsidRPr="00C61D31">
        <w:rPr>
          <w:lang w:val="en-GB"/>
        </w:rPr>
        <w:t>People who use drugs in Uruguay continue to face institutional stigma and other forms of indirect criminalisation, even though drug use and possession for personal use are not considered criminal offences. In many cases, interventions by the police or other institutions are based on prejudice or moral criteria rather than legal standards, resulting in arbitrary stops, unjustified searches, and transfers to police facilities.</w:t>
      </w:r>
    </w:p>
    <w:p w14:paraId="464853AC" w14:textId="77777777" w:rsidR="00A21018" w:rsidRPr="00C61D31" w:rsidRDefault="00A21018" w:rsidP="00A21018">
      <w:pPr>
        <w:jc w:val="both"/>
        <w:rPr>
          <w:lang w:val="en-GB"/>
        </w:rPr>
      </w:pPr>
      <w:r w:rsidRPr="00C61D31">
        <w:rPr>
          <w:lang w:val="en-GB"/>
        </w:rPr>
        <w:t>Stigma associated with drug use reinforces these dynamics and has a direct impact on access to basic rights, particularly the right to health. Many individuals avoid seeking health services out of fear of mistreatment, judgement, or being reported, especially in relation to mental health care or services addressing problematic drug use. This environment of discrimination and distrust undermines prevention, treatment, and harm reduction efforts, and contributes to the exclusion of people who use drugs from public policies.</w:t>
      </w:r>
    </w:p>
    <w:p w14:paraId="635CFA6B" w14:textId="0A335B1F" w:rsidR="00F43C4D" w:rsidRPr="00C61D31" w:rsidRDefault="00A21018" w:rsidP="005C32EB">
      <w:pPr>
        <w:jc w:val="both"/>
        <w:rPr>
          <w:lang w:val="en-GB"/>
        </w:rPr>
      </w:pPr>
      <w:r w:rsidRPr="00C61D31">
        <w:rPr>
          <w:lang w:val="en-GB"/>
        </w:rPr>
        <w:t>These norms and practices of criminalisation and stigmatisation are observed more frequently outside Montevideo and disproportionately affect people living in poverty, young people, and other socially excluded groups</w:t>
      </w:r>
      <w:r w:rsidR="00D34BF7" w:rsidRPr="00C61D31">
        <w:rPr>
          <w:lang w:val="en-GB"/>
        </w:rPr>
        <w:t>.</w:t>
      </w:r>
    </w:p>
    <w:p w14:paraId="65E857CD" w14:textId="146851BB" w:rsidR="002179F7" w:rsidRPr="00C61D31" w:rsidRDefault="002179F7" w:rsidP="00AC3413">
      <w:pPr>
        <w:pStyle w:val="Ttulo2"/>
        <w:rPr>
          <w:lang w:val="en-GB"/>
        </w:rPr>
      </w:pPr>
      <w:bookmarkStart w:id="8" w:name="_Toc220067515"/>
      <w:r w:rsidRPr="00C61D31">
        <w:rPr>
          <w:lang w:val="en-GB"/>
        </w:rPr>
        <w:t xml:space="preserve">4.1 </w:t>
      </w:r>
      <w:r w:rsidR="00DE406A" w:rsidRPr="00C61D31">
        <w:rPr>
          <w:lang w:val="en-GB"/>
        </w:rPr>
        <w:t>Structural and institutional stigma</w:t>
      </w:r>
      <w:bookmarkEnd w:id="8"/>
    </w:p>
    <w:p w14:paraId="4D4787ED" w14:textId="77777777" w:rsidR="00DE406A" w:rsidRPr="00C61D31" w:rsidRDefault="00DE406A" w:rsidP="00DE406A">
      <w:pPr>
        <w:jc w:val="both"/>
        <w:rPr>
          <w:lang w:val="en-GB"/>
        </w:rPr>
      </w:pPr>
      <w:r w:rsidRPr="00C61D31">
        <w:rPr>
          <w:lang w:val="en-GB"/>
        </w:rPr>
        <w:t>Stigma against people who use drugs in Uruguay manifests itself across multiple areas of the country’s social and institutional life. This includes the health system, the education system, the labour market, social protection services, and the criminal justice system. Such stigma is not limited to individual attitudes, but is embedded in norms, administrative practices, public discourse, and policy decisions that reproduce exclusion and discrimination.</w:t>
      </w:r>
    </w:p>
    <w:p w14:paraId="4C367FB7" w14:textId="77777777" w:rsidR="00DE406A" w:rsidRPr="00C61D31" w:rsidRDefault="00DE406A" w:rsidP="00DE406A">
      <w:pPr>
        <w:jc w:val="both"/>
        <w:rPr>
          <w:lang w:val="en-GB"/>
        </w:rPr>
      </w:pPr>
      <w:r w:rsidRPr="00C61D31">
        <w:rPr>
          <w:lang w:val="en-GB"/>
        </w:rPr>
        <w:t>People who use drugs report experiences of mistreatment, moral judgement, and care models centred on abstinence that do not incorporate a harm reduction approach. Within the health sector, stigma is expressed through the denial or postponement of care, breaches of confidentiality, and the pathologisation of drug use, even when substance use is not the primary reason for seeking care (</w:t>
      </w:r>
      <w:proofErr w:type="spellStart"/>
      <w:r w:rsidRPr="00C61D31">
        <w:rPr>
          <w:lang w:val="en-GB"/>
        </w:rPr>
        <w:t>Bardazano</w:t>
      </w:r>
      <w:proofErr w:type="spellEnd"/>
      <w:r w:rsidRPr="00C61D31">
        <w:rPr>
          <w:lang w:val="en-GB"/>
        </w:rPr>
        <w:t xml:space="preserve"> 2014).</w:t>
      </w:r>
    </w:p>
    <w:p w14:paraId="61CE698B" w14:textId="77777777" w:rsidR="00DE406A" w:rsidRPr="00C61D31" w:rsidRDefault="00DE406A" w:rsidP="00DE406A">
      <w:pPr>
        <w:jc w:val="both"/>
        <w:rPr>
          <w:lang w:val="en-GB"/>
        </w:rPr>
      </w:pPr>
      <w:r w:rsidRPr="00C61D31">
        <w:rPr>
          <w:lang w:val="en-GB"/>
        </w:rPr>
        <w:t>An important concern is the limited participation of people who use drugs and civil society organisations in the design, implementation, and evaluation of public policies that directly affect them. This exclusion runs counter to the principle of participation enshrined in the ICESCR and reduces the effectiveness of interventions by failing to incorporate the knowledge and lived experience of those most directly impacted.</w:t>
      </w:r>
    </w:p>
    <w:p w14:paraId="49061537" w14:textId="6B7E2BD4" w:rsidR="002179F7" w:rsidRPr="00C61D31" w:rsidRDefault="00DE406A" w:rsidP="005C32EB">
      <w:pPr>
        <w:jc w:val="both"/>
        <w:rPr>
          <w:lang w:val="en-GB"/>
        </w:rPr>
      </w:pPr>
      <w:r w:rsidRPr="00C61D31">
        <w:rPr>
          <w:lang w:val="en-GB"/>
        </w:rPr>
        <w:t xml:space="preserve">These practices directly affect the acceptability of health services and generate mistrust towards the health system, leading many individuals to delay or avoid seeking medical care. This situation </w:t>
      </w:r>
      <w:r w:rsidRPr="00C61D31">
        <w:rPr>
          <w:lang w:val="en-GB"/>
        </w:rPr>
        <w:lastRenderedPageBreak/>
        <w:t>constitutes a structural barrier to equitable access to quality health services and a form of indirect discrimination based on the social and economic status of people who use drugs.</w:t>
      </w:r>
    </w:p>
    <w:p w14:paraId="11DD5E16" w14:textId="2AD10AF2" w:rsidR="002179F7" w:rsidRPr="00C61D31" w:rsidRDefault="002179F7" w:rsidP="00AC3413">
      <w:pPr>
        <w:pStyle w:val="Ttulo2"/>
        <w:rPr>
          <w:lang w:val="en-GB"/>
        </w:rPr>
      </w:pPr>
      <w:bookmarkStart w:id="9" w:name="_Toc220067516"/>
      <w:r w:rsidRPr="00C61D31">
        <w:rPr>
          <w:lang w:val="en-GB"/>
        </w:rPr>
        <w:t xml:space="preserve">4.2 </w:t>
      </w:r>
      <w:r w:rsidR="00EB385A" w:rsidRPr="00C61D31">
        <w:rPr>
          <w:lang w:val="en-GB"/>
        </w:rPr>
        <w:t xml:space="preserve">Indirect </w:t>
      </w:r>
      <w:r w:rsidR="00D63D2A" w:rsidRPr="00C61D31">
        <w:rPr>
          <w:lang w:val="en-GB"/>
        </w:rPr>
        <w:t>c</w:t>
      </w:r>
      <w:r w:rsidR="00EB385A" w:rsidRPr="00C61D31">
        <w:rPr>
          <w:lang w:val="en-GB"/>
        </w:rPr>
        <w:t xml:space="preserve">riminalisation and </w:t>
      </w:r>
      <w:r w:rsidR="00D63D2A" w:rsidRPr="00C61D31">
        <w:rPr>
          <w:lang w:val="en-GB"/>
        </w:rPr>
        <w:t>c</w:t>
      </w:r>
      <w:r w:rsidR="00EB385A" w:rsidRPr="00C61D31">
        <w:rPr>
          <w:lang w:val="en-GB"/>
        </w:rPr>
        <w:t>riminal</w:t>
      </w:r>
      <w:r w:rsidR="00D63D2A" w:rsidRPr="00C61D31">
        <w:rPr>
          <w:lang w:val="en-GB"/>
        </w:rPr>
        <w:t xml:space="preserve"> justice policy</w:t>
      </w:r>
      <w:bookmarkEnd w:id="9"/>
    </w:p>
    <w:p w14:paraId="17F36960" w14:textId="77777777" w:rsidR="00186921" w:rsidRPr="00C61D31" w:rsidRDefault="00186921" w:rsidP="00186921">
      <w:pPr>
        <w:jc w:val="both"/>
        <w:rPr>
          <w:lang w:val="en-GB"/>
        </w:rPr>
      </w:pPr>
      <w:r w:rsidRPr="00C61D31">
        <w:rPr>
          <w:lang w:val="en-GB"/>
        </w:rPr>
        <w:t>Although drug use and possession for personal use are not considered criminal offences, the current legal framework and institutional practices generate mechanisms of indirect criminalisation that disproportionately affect people who use drugs, particularly those who use illegal substances or who live in situations of heightened vulnerability.</w:t>
      </w:r>
    </w:p>
    <w:p w14:paraId="701E5679" w14:textId="6736C7E3" w:rsidR="00186921" w:rsidRPr="00C61D31" w:rsidRDefault="00186921" w:rsidP="00186921">
      <w:pPr>
        <w:jc w:val="both"/>
        <w:rPr>
          <w:lang w:val="en-GB"/>
        </w:rPr>
      </w:pPr>
      <w:r w:rsidRPr="00C61D31">
        <w:rPr>
          <w:lang w:val="en-GB"/>
        </w:rPr>
        <w:t xml:space="preserve">The approach adopted by the Uruguayan State </w:t>
      </w:r>
      <w:r w:rsidR="006E3F65" w:rsidRPr="00C61D31">
        <w:rPr>
          <w:lang w:val="en-GB"/>
        </w:rPr>
        <w:t>around</w:t>
      </w:r>
      <w:r w:rsidRPr="00C61D31">
        <w:rPr>
          <w:lang w:val="en-GB"/>
        </w:rPr>
        <w:t xml:space="preserve"> public security continues to prioritise punitive responses to drug</w:t>
      </w:r>
      <w:r w:rsidR="00C61D31" w:rsidRPr="00C61D31">
        <w:rPr>
          <w:lang w:val="en-GB"/>
        </w:rPr>
        <w:t>-</w:t>
      </w:r>
      <w:r w:rsidRPr="00C61D31">
        <w:rPr>
          <w:lang w:val="en-GB"/>
        </w:rPr>
        <w:t xml:space="preserve">related phenomena, </w:t>
      </w:r>
      <w:r w:rsidR="000756A2" w:rsidRPr="00C61D31">
        <w:rPr>
          <w:lang w:val="en-GB"/>
        </w:rPr>
        <w:t>favouring</w:t>
      </w:r>
      <w:r w:rsidRPr="00C61D31">
        <w:rPr>
          <w:lang w:val="en-GB"/>
        </w:rPr>
        <w:t xml:space="preserve"> criminal prosecution, policing, and incarceration over public health interventions. This punitive orientation is clearly reflected in the National Public Security Plan 2025, in which human rights and public health approaches appear only marginally or instrumentally, thereby reinforcing mechanisms of selective criminalisation and deepening barriers to access care services for people who use drugs. The implementation of these policies is not uniform across the national territory and tends to concentrate on specific population profiles, such as young people, individuals living in poverty, and residents of peripheral neighbo</w:t>
      </w:r>
      <w:r w:rsidR="00C61D31" w:rsidRPr="00C61D31">
        <w:rPr>
          <w:lang w:val="en-GB"/>
        </w:rPr>
        <w:t>u</w:t>
      </w:r>
      <w:r w:rsidRPr="00C61D31">
        <w:rPr>
          <w:lang w:val="en-GB"/>
        </w:rPr>
        <w:t>rhoods (</w:t>
      </w:r>
      <w:proofErr w:type="spellStart"/>
      <w:r w:rsidRPr="00C61D31">
        <w:rPr>
          <w:lang w:val="en-GB"/>
        </w:rPr>
        <w:t>Gobierno</w:t>
      </w:r>
      <w:proofErr w:type="spellEnd"/>
      <w:r w:rsidRPr="00C61D31">
        <w:rPr>
          <w:lang w:val="en-GB"/>
        </w:rPr>
        <w:t xml:space="preserve"> de Uruguay 2025).</w:t>
      </w:r>
    </w:p>
    <w:p w14:paraId="56E8658E" w14:textId="77777777" w:rsidR="00186921" w:rsidRPr="00C61D31" w:rsidRDefault="00186921" w:rsidP="00186921">
      <w:pPr>
        <w:jc w:val="both"/>
        <w:rPr>
          <w:lang w:val="en-GB"/>
        </w:rPr>
      </w:pPr>
      <w:r w:rsidRPr="00C61D31">
        <w:rPr>
          <w:lang w:val="en-GB"/>
        </w:rPr>
        <w:t>For example, the law does not clearly define what constitutes a reasonable quantity for personal use, leaving broad discretionary power to police officers, prosecutors, and judges. This lack of legal clarity generates legal uncertainty and allows situations related to personal use to be treated as criminal offences, particularly in cases involving substances other than cannabis (</w:t>
      </w:r>
      <w:proofErr w:type="spellStart"/>
      <w:r w:rsidRPr="00C61D31">
        <w:rPr>
          <w:lang w:val="en-GB"/>
        </w:rPr>
        <w:t>Bardazano</w:t>
      </w:r>
      <w:proofErr w:type="spellEnd"/>
      <w:r w:rsidRPr="00C61D31">
        <w:rPr>
          <w:lang w:val="en-GB"/>
        </w:rPr>
        <w:t xml:space="preserve"> 2014).</w:t>
      </w:r>
    </w:p>
    <w:p w14:paraId="2C8CCD55" w14:textId="66EFE73F" w:rsidR="00186921" w:rsidRPr="00C61D31" w:rsidRDefault="00186921" w:rsidP="00186921">
      <w:pPr>
        <w:jc w:val="both"/>
        <w:rPr>
          <w:lang w:val="en-GB"/>
        </w:rPr>
      </w:pPr>
      <w:r w:rsidRPr="00C61D31">
        <w:rPr>
          <w:lang w:val="en-GB"/>
        </w:rPr>
        <w:t xml:space="preserve">Another aspect of this legal ambivalence is the Law of Urgent Consideration adopted in 2020, which introduced changes to drug policy through increased penalties for drug trafficking offences, expanded use of pretrial detention, restrictions on access to alternatives to imprisonment, and limitations on prisoners’ rights (Plataforma de </w:t>
      </w:r>
      <w:proofErr w:type="spellStart"/>
      <w:r w:rsidRPr="00C61D31">
        <w:rPr>
          <w:lang w:val="en-GB"/>
        </w:rPr>
        <w:t>Clubes</w:t>
      </w:r>
      <w:proofErr w:type="spellEnd"/>
      <w:r w:rsidRPr="00C61D31">
        <w:rPr>
          <w:lang w:val="en-GB"/>
        </w:rPr>
        <w:t xml:space="preserve"> 2021). These legal changes have primarily impacted people with low incomes and those with links to the illicit drug market.</w:t>
      </w:r>
    </w:p>
    <w:p w14:paraId="6B48ED5C" w14:textId="46B02095" w:rsidR="002179F7" w:rsidRPr="00C61D31" w:rsidRDefault="00186921" w:rsidP="008F762F">
      <w:pPr>
        <w:jc w:val="both"/>
        <w:rPr>
          <w:lang w:val="en-GB"/>
        </w:rPr>
      </w:pPr>
      <w:r w:rsidRPr="00C61D31">
        <w:rPr>
          <w:lang w:val="en-GB"/>
        </w:rPr>
        <w:t>Indirect criminalisation has deterrent effects on access to social and health services. Fear of criminalisation, police intervention, and legal consequences associated with drug use discourages people who use drugs from seeking care or engaging in treatment programmes, particularly where abstinence is the sole objective of the rehabilitation process.</w:t>
      </w:r>
      <w:r w:rsidR="002179F7" w:rsidRPr="00C61D31">
        <w:rPr>
          <w:lang w:val="en-GB"/>
        </w:rPr>
        <w:t xml:space="preserve"> </w:t>
      </w:r>
    </w:p>
    <w:p w14:paraId="67C6DE5A" w14:textId="57ACF02B" w:rsidR="002179F7" w:rsidRPr="00C61D31" w:rsidRDefault="002179F7" w:rsidP="00AC3413">
      <w:pPr>
        <w:pStyle w:val="Ttulo2"/>
        <w:rPr>
          <w:lang w:val="en-GB"/>
        </w:rPr>
      </w:pPr>
      <w:bookmarkStart w:id="10" w:name="_Toc220067517"/>
      <w:r w:rsidRPr="00C61D31">
        <w:rPr>
          <w:lang w:val="en-GB"/>
        </w:rPr>
        <w:t>4.3 Person</w:t>
      </w:r>
      <w:r w:rsidR="006E3F65" w:rsidRPr="00C61D31">
        <w:rPr>
          <w:lang w:val="en-GB"/>
        </w:rPr>
        <w:t>s deprived of their liberty</w:t>
      </w:r>
      <w:bookmarkEnd w:id="10"/>
      <w:r w:rsidRPr="00C61D31">
        <w:rPr>
          <w:lang w:val="en-GB"/>
        </w:rPr>
        <w:t xml:space="preserve"> </w:t>
      </w:r>
    </w:p>
    <w:p w14:paraId="50826D31" w14:textId="6CF76B65" w:rsidR="006E3F65" w:rsidRPr="00C61D31" w:rsidRDefault="006E3F65" w:rsidP="006E3F65">
      <w:pPr>
        <w:jc w:val="both"/>
        <w:rPr>
          <w:lang w:val="en-GB"/>
        </w:rPr>
      </w:pPr>
      <w:r w:rsidRPr="00C61D31">
        <w:rPr>
          <w:lang w:val="en-GB"/>
        </w:rPr>
        <w:t xml:space="preserve">Uruguay has one of the highest incarceration rates in Latin America, with a sustained increase in the prison population over the past two decades (WPB 2025). This trend has resulted in overcrowding levels of approximately 130%, directly affecting access to health services, </w:t>
      </w:r>
      <w:r w:rsidRPr="00C61D31">
        <w:rPr>
          <w:lang w:val="en-GB"/>
        </w:rPr>
        <w:lastRenderedPageBreak/>
        <w:t>infrastructure, and the human resources required to meet the needs of all the incarcerated population.</w:t>
      </w:r>
    </w:p>
    <w:p w14:paraId="36A3C77E" w14:textId="478A6958" w:rsidR="006E3F65" w:rsidRPr="00C61D31" w:rsidRDefault="006E3F65" w:rsidP="006E3F65">
      <w:pPr>
        <w:jc w:val="both"/>
        <w:rPr>
          <w:lang w:val="en-GB"/>
        </w:rPr>
      </w:pPr>
      <w:r w:rsidRPr="00C61D31">
        <w:rPr>
          <w:lang w:val="en-GB"/>
        </w:rPr>
        <w:t>Drug</w:t>
      </w:r>
      <w:r w:rsidR="00242C58">
        <w:rPr>
          <w:lang w:val="en-GB"/>
        </w:rPr>
        <w:t>-</w:t>
      </w:r>
      <w:r w:rsidRPr="00C61D31">
        <w:rPr>
          <w:lang w:val="en-GB"/>
        </w:rPr>
        <w:t>related offences represent a significant proportion of cases within the Uruguayan criminal justice system. According to the Office of the Attorney General, between 2020 and 2024 a total of 85,876 individuals were sentenced, of whom 7,012 were convicted of drug</w:t>
      </w:r>
      <w:r w:rsidR="00242C58">
        <w:rPr>
          <w:lang w:val="en-GB"/>
        </w:rPr>
        <w:t>-</w:t>
      </w:r>
      <w:r w:rsidRPr="00C61D31">
        <w:rPr>
          <w:lang w:val="en-GB"/>
        </w:rPr>
        <w:t>related offences, with a proportionally higher incidence among women than in the general prison population (Government of Uruguay n.d.). This situation reflects a well-documented regional pattern in which many women involved in micro</w:t>
      </w:r>
      <w:r w:rsidR="00242C58">
        <w:rPr>
          <w:lang w:val="en-GB"/>
        </w:rPr>
        <w:t>-</w:t>
      </w:r>
      <w:r w:rsidRPr="00C61D31">
        <w:rPr>
          <w:lang w:val="en-GB"/>
        </w:rPr>
        <w:t>level drug trafficking do so in contexts of poverty, coercion, or economic dependence (WOLA 2023).</w:t>
      </w:r>
    </w:p>
    <w:p w14:paraId="44290CAF" w14:textId="68D858F8" w:rsidR="006E3F65" w:rsidRPr="00C61D31" w:rsidRDefault="006E3F65" w:rsidP="006E3F65">
      <w:pPr>
        <w:jc w:val="both"/>
        <w:rPr>
          <w:lang w:val="en-GB"/>
        </w:rPr>
      </w:pPr>
      <w:r w:rsidRPr="00C61D31">
        <w:rPr>
          <w:lang w:val="en-GB"/>
        </w:rPr>
        <w:t xml:space="preserve">Prison statistics show that a significant proportion of people deprived of liberty are serving sentences for non-violent drug related offences, often linked to poverty, problematic drug use, and social exclusion. Recent studies further indicate that 57% of incarcerated women who reported using cocaine base paste had done so prior to committing the offence, demonstrating the direct impact of problematic drug use on criminal </w:t>
      </w:r>
      <w:r w:rsidR="00841500" w:rsidRPr="00C61D31">
        <w:rPr>
          <w:lang w:val="en-GB"/>
        </w:rPr>
        <w:t>behavio</w:t>
      </w:r>
      <w:r w:rsidR="002E266A">
        <w:rPr>
          <w:lang w:val="en-GB"/>
        </w:rPr>
        <w:t>u</w:t>
      </w:r>
      <w:r w:rsidR="00841500" w:rsidRPr="00C61D31">
        <w:rPr>
          <w:lang w:val="en-GB"/>
        </w:rPr>
        <w:t>r</w:t>
      </w:r>
      <w:r w:rsidRPr="00C61D31">
        <w:rPr>
          <w:lang w:val="en-GB"/>
        </w:rPr>
        <w:t>, while only 29% reported that the offence preceded drug use (CERES 2024).</w:t>
      </w:r>
    </w:p>
    <w:p w14:paraId="75D85C3B" w14:textId="23F829DD" w:rsidR="006E3F65" w:rsidRPr="00C61D31" w:rsidRDefault="006E3F65" w:rsidP="006E3F65">
      <w:pPr>
        <w:jc w:val="both"/>
        <w:rPr>
          <w:lang w:val="en-GB"/>
        </w:rPr>
      </w:pPr>
      <w:r w:rsidRPr="00C61D31">
        <w:rPr>
          <w:lang w:val="en-GB"/>
        </w:rPr>
        <w:t>The sustained growth of the prison population, largely associated with drug</w:t>
      </w:r>
      <w:r w:rsidR="0037084D">
        <w:rPr>
          <w:lang w:val="en-GB"/>
        </w:rPr>
        <w:t>-</w:t>
      </w:r>
      <w:r w:rsidRPr="00C61D31">
        <w:rPr>
          <w:lang w:val="en-GB"/>
        </w:rPr>
        <w:t xml:space="preserve">related offences, has placed structural strain on the Uruguayan penitentiary system, with direct negative impacts on conditions of detention and effective access to physical and mental health services (Government of Uruguay 2025). Detention conditions in numerous penitentiary facilities severely undermine the right to physical and mental health of </w:t>
      </w:r>
      <w:r w:rsidR="00841500" w:rsidRPr="00C61D31">
        <w:rPr>
          <w:lang w:val="en-GB"/>
        </w:rPr>
        <w:t>people</w:t>
      </w:r>
      <w:r w:rsidRPr="00C61D31">
        <w:rPr>
          <w:lang w:val="en-GB"/>
        </w:rPr>
        <w:t xml:space="preserve"> deprived of liberty, due to overcrowding, lack of regular access to medical services, and shortages of professionals specialised in mental health and drug use (Amnesty International 2025).</w:t>
      </w:r>
    </w:p>
    <w:p w14:paraId="288BA0F3" w14:textId="026AD569" w:rsidR="002179F7" w:rsidRPr="00C61D31" w:rsidRDefault="006E3F65" w:rsidP="002567C3">
      <w:pPr>
        <w:jc w:val="both"/>
        <w:rPr>
          <w:lang w:val="en-GB"/>
        </w:rPr>
      </w:pPr>
      <w:r w:rsidRPr="00C61D31">
        <w:rPr>
          <w:lang w:val="en-GB"/>
        </w:rPr>
        <w:t>In this context, people who use drugs while deprived of liberty face multiple obstacles to receiving adequate care, including interruptions in treatment, the absence of harm reduction services, and limited access to mental healthcare (Government of Uruguay 2024). From a human rights perspective, the State has an obligation to guarantee the health of persons deprived of liberty, who depend almost entirely on State provided services to meet their basic needs.</w:t>
      </w:r>
    </w:p>
    <w:p w14:paraId="0FAA5FB3" w14:textId="07C070AB" w:rsidR="002179F7" w:rsidRPr="00C61D31" w:rsidRDefault="002179F7" w:rsidP="00AC3413">
      <w:pPr>
        <w:pStyle w:val="Ttulo2"/>
        <w:rPr>
          <w:lang w:val="en-GB"/>
        </w:rPr>
      </w:pPr>
      <w:bookmarkStart w:id="11" w:name="_Toc220067518"/>
      <w:r w:rsidRPr="00C61D31">
        <w:rPr>
          <w:lang w:val="en-GB"/>
        </w:rPr>
        <w:t xml:space="preserve">4.4 </w:t>
      </w:r>
      <w:r w:rsidR="00841500" w:rsidRPr="00C61D31">
        <w:rPr>
          <w:lang w:val="en-GB"/>
        </w:rPr>
        <w:t>Differentiated impacts on vulnerable population</w:t>
      </w:r>
      <w:bookmarkEnd w:id="11"/>
      <w:r w:rsidR="00841500" w:rsidRPr="00C61D31">
        <w:rPr>
          <w:lang w:val="en-GB"/>
        </w:rPr>
        <w:t xml:space="preserve"> </w:t>
      </w:r>
    </w:p>
    <w:p w14:paraId="17A7F57A" w14:textId="5D883043" w:rsidR="00841500" w:rsidRPr="00C61D31" w:rsidRDefault="00841500" w:rsidP="00841500">
      <w:pPr>
        <w:jc w:val="both"/>
        <w:rPr>
          <w:lang w:val="en-GB"/>
        </w:rPr>
      </w:pPr>
      <w:r w:rsidRPr="00C61D31">
        <w:rPr>
          <w:lang w:val="en-GB"/>
        </w:rPr>
        <w:t>Women who use drugs face specific forms of stigmatisation and criminalisation that intersect with structural gender inequalities. In Uruguay, women deprived of liberty for drug</w:t>
      </w:r>
      <w:r w:rsidR="0037084D">
        <w:rPr>
          <w:lang w:val="en-GB"/>
        </w:rPr>
        <w:t>-</w:t>
      </w:r>
      <w:r w:rsidRPr="00C61D31">
        <w:rPr>
          <w:lang w:val="en-GB"/>
        </w:rPr>
        <w:t>related offences often come from contexts of poverty, assume unpaid caregiving roles, and have experienced gender-based violence. The lack of gender</w:t>
      </w:r>
      <w:r w:rsidR="0037084D">
        <w:rPr>
          <w:lang w:val="en-GB"/>
        </w:rPr>
        <w:t>-</w:t>
      </w:r>
      <w:r w:rsidRPr="00C61D31">
        <w:rPr>
          <w:lang w:val="en-GB"/>
        </w:rPr>
        <w:t xml:space="preserve">responsive health services </w:t>
      </w:r>
      <w:proofErr w:type="gramStart"/>
      <w:r w:rsidRPr="00C61D31">
        <w:rPr>
          <w:lang w:val="en-GB"/>
        </w:rPr>
        <w:t>exacerbates</w:t>
      </w:r>
      <w:proofErr w:type="gramEnd"/>
      <w:r w:rsidRPr="00C61D31">
        <w:rPr>
          <w:lang w:val="en-GB"/>
        </w:rPr>
        <w:t xml:space="preserve"> these inequalities and limits access to appropriate care (</w:t>
      </w:r>
      <w:proofErr w:type="spellStart"/>
      <w:r w:rsidRPr="00C61D31">
        <w:rPr>
          <w:lang w:val="en-GB"/>
        </w:rPr>
        <w:t>Nómade</w:t>
      </w:r>
      <w:proofErr w:type="spellEnd"/>
      <w:r w:rsidRPr="00C61D31">
        <w:rPr>
          <w:lang w:val="en-GB"/>
        </w:rPr>
        <w:t xml:space="preserve"> 2023).</w:t>
      </w:r>
    </w:p>
    <w:p w14:paraId="21811719" w14:textId="4D012974" w:rsidR="00841500" w:rsidRPr="00C61D31" w:rsidRDefault="00841500" w:rsidP="00841500">
      <w:pPr>
        <w:jc w:val="both"/>
        <w:rPr>
          <w:lang w:val="en-GB"/>
        </w:rPr>
      </w:pPr>
      <w:r w:rsidRPr="00C61D31">
        <w:rPr>
          <w:lang w:val="en-GB"/>
        </w:rPr>
        <w:t xml:space="preserve">LGBTIQ+ people who use drugs experience multiple forms of discrimination and a lack of culturally appropriate services. Insufficient training of health care personnel and the absence of </w:t>
      </w:r>
      <w:r w:rsidRPr="00C61D31">
        <w:rPr>
          <w:lang w:val="en-GB"/>
        </w:rPr>
        <w:lastRenderedPageBreak/>
        <w:t>inclusive protocols create additional barriers to accessing comprehensive care, particularly around mental health.</w:t>
      </w:r>
    </w:p>
    <w:p w14:paraId="705FE263" w14:textId="77777777" w:rsidR="00841500" w:rsidRPr="00C61D31" w:rsidRDefault="00841500" w:rsidP="00841500">
      <w:pPr>
        <w:jc w:val="both"/>
        <w:rPr>
          <w:lang w:val="en-GB"/>
        </w:rPr>
      </w:pPr>
      <w:r w:rsidRPr="00C61D31">
        <w:rPr>
          <w:lang w:val="en-GB"/>
        </w:rPr>
        <w:t>People experiencing homelessness, who present high rates of problematic drug use, face near total exclusion from the formal health system. The limited availability of low threshold services, the absence of comprehensive housing policies, and the lack of community level strategies (CERES 2024) further deepen violations of the right to health and perpetuate cycles of exclusion affecting people who use drugs, particularly women, young people, persons deprived of liberty, and people experiencing homelessness.</w:t>
      </w:r>
    </w:p>
    <w:p w14:paraId="2439486E" w14:textId="77777777" w:rsidR="00E158F3" w:rsidRPr="00C61D31" w:rsidRDefault="00E158F3" w:rsidP="002179F7">
      <w:pPr>
        <w:rPr>
          <w:lang w:val="en-GB"/>
        </w:rPr>
      </w:pPr>
    </w:p>
    <w:p w14:paraId="7954D6B4" w14:textId="7BAE1095" w:rsidR="002179F7" w:rsidRPr="00C61D31" w:rsidRDefault="00F16C05" w:rsidP="00EF5CC2">
      <w:pPr>
        <w:pStyle w:val="Ttulo1"/>
        <w:rPr>
          <w:lang w:val="en-GB"/>
        </w:rPr>
      </w:pPr>
      <w:bookmarkStart w:id="12" w:name="_Toc220067519"/>
      <w:r w:rsidRPr="00C61D31">
        <w:rPr>
          <w:lang w:val="en-GB"/>
        </w:rPr>
        <w:t>5</w:t>
      </w:r>
      <w:r w:rsidR="002179F7" w:rsidRPr="00C61D31">
        <w:rPr>
          <w:lang w:val="en-GB"/>
        </w:rPr>
        <w:t>. Conclusion</w:t>
      </w:r>
      <w:r w:rsidR="00841500" w:rsidRPr="00C61D31">
        <w:rPr>
          <w:lang w:val="en-GB"/>
        </w:rPr>
        <w:t>s</w:t>
      </w:r>
      <w:bookmarkEnd w:id="12"/>
    </w:p>
    <w:p w14:paraId="7B8DEAF2" w14:textId="77777777" w:rsidR="00841500" w:rsidRPr="00C61D31" w:rsidRDefault="00841500" w:rsidP="00841500">
      <w:pPr>
        <w:jc w:val="both"/>
        <w:rPr>
          <w:lang w:val="en-GB"/>
        </w:rPr>
      </w:pPr>
      <w:r w:rsidRPr="00C61D31">
        <w:rPr>
          <w:lang w:val="en-GB"/>
        </w:rPr>
        <w:t>Uruguay has a normative framework that incorporates progressive elements in the areas of health, human rights, and drug policy, including cannabis regulation, mental health legislation, and the formal recognition of harm reduction as a relevant approach. Nevertheless, structural obstacles persist that prevent the full and effective enjoyment of the right to physical and mental health by people who use drugs.</w:t>
      </w:r>
    </w:p>
    <w:p w14:paraId="0E7B4179" w14:textId="4115B751" w:rsidR="00841500" w:rsidRPr="00C61D31" w:rsidRDefault="00841500" w:rsidP="00841500">
      <w:pPr>
        <w:jc w:val="both"/>
        <w:rPr>
          <w:lang w:val="en-GB"/>
        </w:rPr>
      </w:pPr>
      <w:r w:rsidRPr="00C61D31">
        <w:rPr>
          <w:lang w:val="en-GB"/>
        </w:rPr>
        <w:t>Structural and institutional stigma continues to operate as a negative social determinant of health, directly affecting the acceptability and accessibility of health services. Discriminatory practices, moralising approaches, and the persistence of exclusionary abstinence-based models generate mistrust towards the health system and contribute to the disengagement of people who use drugs.</w:t>
      </w:r>
    </w:p>
    <w:p w14:paraId="298B86AA" w14:textId="77777777" w:rsidR="00841500" w:rsidRPr="00C61D31" w:rsidRDefault="00841500" w:rsidP="00841500">
      <w:pPr>
        <w:jc w:val="both"/>
        <w:rPr>
          <w:lang w:val="en-GB"/>
        </w:rPr>
      </w:pPr>
      <w:r w:rsidRPr="00C61D31">
        <w:rPr>
          <w:lang w:val="en-GB"/>
        </w:rPr>
        <w:t>Indirect criminalisation and the predominance of punitive responses reinforce processes of social exclusion, increase the prison population, and discourage the seeking of health care. These dynamics are incompatible with the international obligations assumed by the Uruguayan State under the ICESCR, particularly the duty to respect and protect the right to health without discrimination.</w:t>
      </w:r>
    </w:p>
    <w:p w14:paraId="68B9FB13" w14:textId="55EEA2B5" w:rsidR="00841500" w:rsidRPr="00C61D31" w:rsidRDefault="00841500" w:rsidP="00841500">
      <w:pPr>
        <w:jc w:val="both"/>
        <w:rPr>
          <w:lang w:val="en-GB"/>
        </w:rPr>
      </w:pPr>
      <w:r w:rsidRPr="00C61D31">
        <w:rPr>
          <w:lang w:val="en-GB"/>
        </w:rPr>
        <w:t>At the same time, criminal policy and policing practices continue to focus disproportionately on illicit substances and socially marginalised populations. This misalignment between evidence and public policy has direct consequences for the right to health, as it reinforces stigma, discourages access to care, and prioritises punitive responses over health-based interventions.</w:t>
      </w:r>
    </w:p>
    <w:p w14:paraId="41E20781" w14:textId="53F6C323" w:rsidR="00841500" w:rsidRPr="00C61D31" w:rsidRDefault="00841500" w:rsidP="00841500">
      <w:pPr>
        <w:jc w:val="both"/>
        <w:rPr>
          <w:lang w:val="en-GB"/>
        </w:rPr>
      </w:pPr>
      <w:r w:rsidRPr="00C61D31">
        <w:rPr>
          <w:lang w:val="en-GB"/>
        </w:rPr>
        <w:t>Existing territorial disparities within the country, and deficiencies on how prevention, treatment and harm reduction services are delivered undermine the availability, accessibility, and quality of care. These shortcomings disproportionately affect most vulnerable populations, deepening preexisting inequalities and generating long term negative impacts.</w:t>
      </w:r>
    </w:p>
    <w:p w14:paraId="7608EA0D" w14:textId="10B8061F" w:rsidR="002179F7" w:rsidRPr="00C61D31" w:rsidRDefault="00841500" w:rsidP="00D406A7">
      <w:pPr>
        <w:jc w:val="both"/>
        <w:rPr>
          <w:lang w:val="en-GB"/>
        </w:rPr>
      </w:pPr>
      <w:r w:rsidRPr="00C61D31">
        <w:rPr>
          <w:lang w:val="en-GB"/>
        </w:rPr>
        <w:lastRenderedPageBreak/>
        <w:t xml:space="preserve">From the perspective of Article 12 of the ICESCR, the Uruguayan State has an obligation to adopt deliberate, concrete, and targeted measures, using the maximum of available resources, to ensure the right to health. This requires a critical review of the punitive orientation of drug policy, the strengthening of health and </w:t>
      </w:r>
      <w:r w:rsidR="00D70250" w:rsidRPr="00C61D31">
        <w:rPr>
          <w:lang w:val="en-GB"/>
        </w:rPr>
        <w:t>harm reduction services</w:t>
      </w:r>
      <w:r w:rsidRPr="00C61D31">
        <w:rPr>
          <w:lang w:val="en-GB"/>
        </w:rPr>
        <w:t>, and the adoption of approaches grounded in scientific evidence, human rights, and meaningful social participation</w:t>
      </w:r>
      <w:r w:rsidR="002179F7" w:rsidRPr="00C61D31">
        <w:rPr>
          <w:lang w:val="en-GB"/>
        </w:rPr>
        <w:t>.</w:t>
      </w:r>
    </w:p>
    <w:p w14:paraId="6667D9A8" w14:textId="77777777" w:rsidR="00EF5CC2" w:rsidRPr="00D517AF" w:rsidRDefault="00EF5CC2" w:rsidP="00D406A7">
      <w:pPr>
        <w:jc w:val="both"/>
        <w:rPr>
          <w:lang w:val="es-CR"/>
        </w:rPr>
      </w:pPr>
    </w:p>
    <w:p w14:paraId="7E82C2E5" w14:textId="401135DE" w:rsidR="002179F7" w:rsidRPr="00C61D31" w:rsidRDefault="00F16C05" w:rsidP="00D517AF">
      <w:pPr>
        <w:pStyle w:val="Ttulo1"/>
        <w:jc w:val="both"/>
        <w:rPr>
          <w:lang w:val="en-GB"/>
        </w:rPr>
      </w:pPr>
      <w:bookmarkStart w:id="13" w:name="_Toc220067520"/>
      <w:r w:rsidRPr="00C61D31">
        <w:rPr>
          <w:lang w:val="en-GB"/>
        </w:rPr>
        <w:t>6</w:t>
      </w:r>
      <w:r w:rsidR="002179F7" w:rsidRPr="00C61D31">
        <w:rPr>
          <w:lang w:val="en-GB"/>
        </w:rPr>
        <w:t xml:space="preserve">. </w:t>
      </w:r>
      <w:r w:rsidR="00061689" w:rsidRPr="00C61D31">
        <w:rPr>
          <w:lang w:val="en-GB"/>
        </w:rPr>
        <w:t>Recommendations to the Committee</w:t>
      </w:r>
      <w:bookmarkEnd w:id="13"/>
    </w:p>
    <w:p w14:paraId="54D1A19A" w14:textId="5E47898A" w:rsidR="0037084D" w:rsidRDefault="0037084D" w:rsidP="00D517AF">
      <w:pPr>
        <w:jc w:val="both"/>
        <w:rPr>
          <w:lang w:val="en-GB"/>
        </w:rPr>
      </w:pPr>
      <w:r>
        <w:rPr>
          <w:lang w:val="en-GB"/>
        </w:rPr>
        <w:t>We recommend that the Committee on Economic, Social and Cultural Rights calls on the Uruguayan State to adopt the following measures:</w:t>
      </w:r>
    </w:p>
    <w:p w14:paraId="7237CD9C" w14:textId="3841AC75" w:rsidR="00F87753" w:rsidRPr="00C61D31" w:rsidRDefault="000C3223" w:rsidP="00D517AF">
      <w:pPr>
        <w:pStyle w:val="Ttulo2"/>
        <w:numPr>
          <w:ilvl w:val="1"/>
          <w:numId w:val="20"/>
        </w:numPr>
        <w:spacing w:before="0"/>
        <w:rPr>
          <w:lang w:val="en-GB"/>
        </w:rPr>
      </w:pPr>
      <w:bookmarkStart w:id="14" w:name="_Toc220067521"/>
      <w:r w:rsidRPr="00C61D31">
        <w:rPr>
          <w:lang w:val="en-GB"/>
        </w:rPr>
        <w:t>Drug policy and legal framework</w:t>
      </w:r>
      <w:bookmarkEnd w:id="14"/>
      <w:r w:rsidRPr="00C61D31">
        <w:rPr>
          <w:lang w:val="en-GB"/>
        </w:rPr>
        <w:t xml:space="preserve"> </w:t>
      </w:r>
    </w:p>
    <w:p w14:paraId="5D1DC43A" w14:textId="5F3669C0" w:rsidR="000C3223" w:rsidRPr="00C61D31" w:rsidRDefault="000C3223" w:rsidP="00D517AF">
      <w:pPr>
        <w:pStyle w:val="Prrafodelista"/>
        <w:numPr>
          <w:ilvl w:val="0"/>
          <w:numId w:val="19"/>
        </w:numPr>
        <w:spacing w:before="120"/>
        <w:jc w:val="both"/>
        <w:rPr>
          <w:lang w:val="en-GB"/>
        </w:rPr>
      </w:pPr>
      <w:r w:rsidRPr="00C61D31">
        <w:rPr>
          <w:lang w:val="en-GB"/>
        </w:rPr>
        <w:t xml:space="preserve">Adopt a </w:t>
      </w:r>
      <w:r w:rsidR="00D70250" w:rsidRPr="00C61D31">
        <w:rPr>
          <w:lang w:val="en-GB"/>
        </w:rPr>
        <w:t xml:space="preserve">more </w:t>
      </w:r>
      <w:r w:rsidRPr="00C61D31">
        <w:rPr>
          <w:lang w:val="en-GB"/>
        </w:rPr>
        <w:t xml:space="preserve">comprehensive </w:t>
      </w:r>
      <w:r w:rsidR="00D70250" w:rsidRPr="00C61D31">
        <w:rPr>
          <w:lang w:val="en-GB"/>
        </w:rPr>
        <w:t xml:space="preserve">national </w:t>
      </w:r>
      <w:r w:rsidRPr="00C61D31">
        <w:rPr>
          <w:lang w:val="en-GB"/>
        </w:rPr>
        <w:t>drug policy grounded in human rights, with a public health and harm reduction approach, including clear objectives, verifiable indicators, defined timelines, and sufficient budgetary allocation.</w:t>
      </w:r>
    </w:p>
    <w:p w14:paraId="7B1DEDF0" w14:textId="3280C1B3" w:rsidR="000C3223" w:rsidRPr="00C61D31" w:rsidRDefault="000C3223" w:rsidP="00D517AF">
      <w:pPr>
        <w:pStyle w:val="Prrafodelista"/>
        <w:numPr>
          <w:ilvl w:val="0"/>
          <w:numId w:val="19"/>
        </w:numPr>
        <w:spacing w:before="120"/>
        <w:jc w:val="both"/>
        <w:rPr>
          <w:lang w:val="en-GB"/>
        </w:rPr>
      </w:pPr>
      <w:r w:rsidRPr="00C61D31">
        <w:rPr>
          <w:lang w:val="en-GB"/>
        </w:rPr>
        <w:t>Review criminal legislation related to drugs to ensure the proportionality of sentencing, reduce the use of pretrial detention, and expand the application of alternatives to deprivation of liberty for non-violent offences.</w:t>
      </w:r>
    </w:p>
    <w:p w14:paraId="4FBD9581" w14:textId="77777777" w:rsidR="000C3223" w:rsidRPr="00C61D31" w:rsidRDefault="000C3223" w:rsidP="00D517AF">
      <w:pPr>
        <w:pStyle w:val="Prrafodelista"/>
        <w:numPr>
          <w:ilvl w:val="0"/>
          <w:numId w:val="19"/>
        </w:numPr>
        <w:spacing w:before="120"/>
        <w:jc w:val="both"/>
        <w:rPr>
          <w:b/>
          <w:bCs/>
          <w:lang w:val="en-GB"/>
        </w:rPr>
      </w:pPr>
      <w:r w:rsidRPr="00C61D31">
        <w:rPr>
          <w:lang w:val="en-GB"/>
        </w:rPr>
        <w:t>Strengthen systems for data collection, monitoring, transparency, and accountability in relation to drug policies and the right to health, ensuring that data are disaggregated by gender, age, territory, and the socioeconomic situation of people who use drugs.</w:t>
      </w:r>
    </w:p>
    <w:p w14:paraId="04BBA561" w14:textId="4EAD8CE9" w:rsidR="002179F7" w:rsidRPr="00C61D31" w:rsidRDefault="00E94F52" w:rsidP="00D517AF">
      <w:pPr>
        <w:pStyle w:val="Ttulo2"/>
        <w:spacing w:before="0"/>
        <w:rPr>
          <w:lang w:val="en-GB"/>
        </w:rPr>
      </w:pPr>
      <w:bookmarkStart w:id="15" w:name="_Toc220067522"/>
      <w:r w:rsidRPr="00C61D31">
        <w:rPr>
          <w:lang w:val="en-GB"/>
        </w:rPr>
        <w:t>6.2</w:t>
      </w:r>
      <w:r w:rsidR="002179F7" w:rsidRPr="00C61D31">
        <w:rPr>
          <w:lang w:val="en-GB"/>
        </w:rPr>
        <w:t xml:space="preserve"> </w:t>
      </w:r>
      <w:r w:rsidR="000C3223" w:rsidRPr="00C61D31">
        <w:rPr>
          <w:lang w:val="en-GB"/>
        </w:rPr>
        <w:t>Right to health</w:t>
      </w:r>
      <w:bookmarkEnd w:id="15"/>
      <w:r w:rsidR="000C3223" w:rsidRPr="00C61D31">
        <w:rPr>
          <w:lang w:val="en-GB"/>
        </w:rPr>
        <w:t xml:space="preserve"> </w:t>
      </w:r>
    </w:p>
    <w:p w14:paraId="4E9D64B2" w14:textId="5DE3FF95" w:rsidR="00D70250" w:rsidRPr="00C61D31" w:rsidRDefault="00D70250" w:rsidP="00D517AF">
      <w:pPr>
        <w:numPr>
          <w:ilvl w:val="0"/>
          <w:numId w:val="18"/>
        </w:numPr>
        <w:jc w:val="both"/>
        <w:rPr>
          <w:lang w:val="en-GB"/>
        </w:rPr>
      </w:pPr>
      <w:r w:rsidRPr="00C61D31">
        <w:rPr>
          <w:lang w:val="en-GB"/>
        </w:rPr>
        <w:t>Ensure the adequate</w:t>
      </w:r>
      <w:r w:rsidR="00FD378B">
        <w:rPr>
          <w:lang w:val="en-GB"/>
        </w:rPr>
        <w:t xml:space="preserve"> and</w:t>
      </w:r>
      <w:r w:rsidRPr="00C61D31">
        <w:rPr>
          <w:lang w:val="en-GB"/>
        </w:rPr>
        <w:t xml:space="preserve"> accessible provision of </w:t>
      </w:r>
      <w:r w:rsidR="00FD378B">
        <w:rPr>
          <w:lang w:val="en-GB"/>
        </w:rPr>
        <w:t xml:space="preserve">quality </w:t>
      </w:r>
      <w:r w:rsidR="00781072">
        <w:rPr>
          <w:lang w:val="en-GB"/>
        </w:rPr>
        <w:t xml:space="preserve">age and gender-appropriate </w:t>
      </w:r>
      <w:r w:rsidRPr="00C61D31">
        <w:rPr>
          <w:lang w:val="en-GB"/>
        </w:rPr>
        <w:t>prevention, treatment, and harm reduction services throughout the national territory, with particular attention to rural areas and regions outside the capital.</w:t>
      </w:r>
    </w:p>
    <w:p w14:paraId="5CCA8F6D" w14:textId="3036AEBC" w:rsidR="00D70250" w:rsidRPr="00C61D31" w:rsidRDefault="00D70250" w:rsidP="00D517AF">
      <w:pPr>
        <w:numPr>
          <w:ilvl w:val="0"/>
          <w:numId w:val="18"/>
        </w:numPr>
        <w:jc w:val="both"/>
        <w:rPr>
          <w:lang w:val="en-GB"/>
        </w:rPr>
      </w:pPr>
      <w:r w:rsidRPr="00C61D31">
        <w:rPr>
          <w:lang w:val="en-GB"/>
        </w:rPr>
        <w:t>Integrate and strengthen mental health and problematic drug use services within the National Integrated Health System, ensuring continuity of care, community-based approaches, and non-discriminatory models of service delivery.</w:t>
      </w:r>
    </w:p>
    <w:p w14:paraId="2DC42F97" w14:textId="21D23277" w:rsidR="002179F7" w:rsidRPr="00C61D31" w:rsidRDefault="00D70250" w:rsidP="00D517AF">
      <w:pPr>
        <w:numPr>
          <w:ilvl w:val="0"/>
          <w:numId w:val="18"/>
        </w:numPr>
        <w:jc w:val="both"/>
        <w:rPr>
          <w:lang w:val="en-GB"/>
        </w:rPr>
      </w:pPr>
      <w:r w:rsidRPr="00C61D31">
        <w:rPr>
          <w:lang w:val="en-GB"/>
        </w:rPr>
        <w:t xml:space="preserve">Ensure the full and effective implementation of policies related to medicinal cannabis, guaranteeing equitable, affordable, and safe access to treatments, as well as robust pharmacovigilance mechanisms. </w:t>
      </w:r>
    </w:p>
    <w:p w14:paraId="1301ED3F" w14:textId="4906B81E" w:rsidR="002179F7" w:rsidRPr="00C61D31" w:rsidRDefault="00E94F52" w:rsidP="00D517AF">
      <w:pPr>
        <w:pStyle w:val="Ttulo2"/>
        <w:spacing w:before="0"/>
        <w:rPr>
          <w:lang w:val="en-GB"/>
        </w:rPr>
      </w:pPr>
      <w:bookmarkStart w:id="16" w:name="_Toc220067523"/>
      <w:r w:rsidRPr="00C61D31">
        <w:rPr>
          <w:lang w:val="en-GB"/>
        </w:rPr>
        <w:t xml:space="preserve">6.3 </w:t>
      </w:r>
      <w:r w:rsidR="00D70250" w:rsidRPr="00C61D31">
        <w:rPr>
          <w:lang w:val="en-GB"/>
        </w:rPr>
        <w:t>Stigma and discrimination</w:t>
      </w:r>
      <w:bookmarkEnd w:id="16"/>
      <w:r w:rsidR="00D70250" w:rsidRPr="00C61D31">
        <w:rPr>
          <w:lang w:val="en-GB"/>
        </w:rPr>
        <w:t xml:space="preserve"> </w:t>
      </w:r>
    </w:p>
    <w:p w14:paraId="13A9E74F" w14:textId="7FF6ECFB" w:rsidR="004E351B" w:rsidRPr="00C61D31" w:rsidRDefault="004E351B" w:rsidP="00D517AF">
      <w:pPr>
        <w:numPr>
          <w:ilvl w:val="0"/>
          <w:numId w:val="11"/>
        </w:numPr>
        <w:jc w:val="both"/>
        <w:rPr>
          <w:lang w:val="en-GB"/>
        </w:rPr>
      </w:pPr>
      <w:r w:rsidRPr="00C61D31">
        <w:rPr>
          <w:lang w:val="en-GB"/>
        </w:rPr>
        <w:t xml:space="preserve">Create and strengthen institutional spaces for political participation that guarantee the meaningful involvement of people who use drugs and civil society organisations </w:t>
      </w:r>
      <w:r w:rsidRPr="00C61D31">
        <w:rPr>
          <w:lang w:val="en-GB"/>
        </w:rPr>
        <w:lastRenderedPageBreak/>
        <w:t>representing them in the design, implementation, and evaluation of drug, health, and human rights policies.</w:t>
      </w:r>
    </w:p>
    <w:p w14:paraId="507E5506" w14:textId="55E59F5F" w:rsidR="004E351B" w:rsidRPr="00C61D31" w:rsidRDefault="004E351B" w:rsidP="00D517AF">
      <w:pPr>
        <w:numPr>
          <w:ilvl w:val="0"/>
          <w:numId w:val="11"/>
        </w:numPr>
        <w:jc w:val="both"/>
        <w:rPr>
          <w:lang w:val="en-GB"/>
        </w:rPr>
      </w:pPr>
      <w:r w:rsidRPr="00C61D31">
        <w:rPr>
          <w:lang w:val="en-GB"/>
        </w:rPr>
        <w:t>Adopt legislative, administrative, and educational measures to prevent and eliminate stigma and discrimination against people who use drugs within health services, the justice system, and other institutional settings, including mandatory training programmes for public officials.</w:t>
      </w:r>
    </w:p>
    <w:p w14:paraId="68EB3415" w14:textId="04629375" w:rsidR="002179F7" w:rsidRPr="00C61D31" w:rsidRDefault="00577264" w:rsidP="00D517AF">
      <w:pPr>
        <w:pStyle w:val="Ttulo2"/>
        <w:spacing w:before="0"/>
        <w:rPr>
          <w:lang w:val="en-GB"/>
        </w:rPr>
      </w:pPr>
      <w:bookmarkStart w:id="17" w:name="_Toc220067524"/>
      <w:r w:rsidRPr="00C61D31">
        <w:rPr>
          <w:lang w:val="en-GB"/>
        </w:rPr>
        <w:t xml:space="preserve">6.4 </w:t>
      </w:r>
      <w:r w:rsidR="004E351B" w:rsidRPr="00C61D31">
        <w:rPr>
          <w:lang w:val="en-GB"/>
        </w:rPr>
        <w:t>Vulnerable populations</w:t>
      </w:r>
      <w:bookmarkEnd w:id="17"/>
      <w:r w:rsidR="004E351B" w:rsidRPr="00C61D31">
        <w:rPr>
          <w:lang w:val="en-GB"/>
        </w:rPr>
        <w:t xml:space="preserve"> </w:t>
      </w:r>
    </w:p>
    <w:p w14:paraId="139B4556" w14:textId="348E2E24" w:rsidR="004E351B" w:rsidRPr="00C61D31" w:rsidRDefault="004E351B" w:rsidP="00D517AF">
      <w:pPr>
        <w:numPr>
          <w:ilvl w:val="0"/>
          <w:numId w:val="12"/>
        </w:numPr>
        <w:jc w:val="both"/>
        <w:rPr>
          <w:lang w:val="en-GB"/>
        </w:rPr>
      </w:pPr>
      <w:r w:rsidRPr="00C61D31">
        <w:rPr>
          <w:lang w:val="en-GB"/>
        </w:rPr>
        <w:t xml:space="preserve">Develop and implement specific policies and services for </w:t>
      </w:r>
      <w:r w:rsidR="00781072">
        <w:rPr>
          <w:lang w:val="en-GB"/>
        </w:rPr>
        <w:t xml:space="preserve">young people, </w:t>
      </w:r>
      <w:r w:rsidRPr="00C61D31">
        <w:rPr>
          <w:lang w:val="en-GB"/>
        </w:rPr>
        <w:t>women, LGBTIQ+ people, and people experiencing homelessness who use drugs, incorporating gender responsive, intersectional, and culturally appropriate approaches.</w:t>
      </w:r>
    </w:p>
    <w:p w14:paraId="13EBA126" w14:textId="2D2BA258" w:rsidR="004E351B" w:rsidRPr="00C61D31" w:rsidRDefault="004E351B" w:rsidP="00D517AF">
      <w:pPr>
        <w:numPr>
          <w:ilvl w:val="0"/>
          <w:numId w:val="12"/>
        </w:numPr>
        <w:jc w:val="both"/>
        <w:rPr>
          <w:lang w:val="en-GB"/>
        </w:rPr>
      </w:pPr>
      <w:r w:rsidRPr="00C61D31">
        <w:rPr>
          <w:lang w:val="en-GB"/>
        </w:rPr>
        <w:t xml:space="preserve">Guarantee the right to health of persons deprived of their liberty by ensuring access to adequate services for problematic drug use, harm reduction programmes, and continuity of care following release. </w:t>
      </w:r>
    </w:p>
    <w:p w14:paraId="2E1CD918" w14:textId="77777777" w:rsidR="00D96DC8" w:rsidRPr="00C61D31" w:rsidRDefault="00D96DC8" w:rsidP="00D96DC8">
      <w:pPr>
        <w:ind w:left="720"/>
        <w:rPr>
          <w:lang w:val="en-GB"/>
        </w:rPr>
      </w:pPr>
    </w:p>
    <w:p w14:paraId="2CD4B4B5" w14:textId="3049AFB0" w:rsidR="00F87753" w:rsidRPr="00C61D31" w:rsidRDefault="00F16C05" w:rsidP="005E239E">
      <w:pPr>
        <w:pStyle w:val="Ttulo1"/>
        <w:rPr>
          <w:lang w:val="en-GB"/>
        </w:rPr>
      </w:pPr>
      <w:bookmarkStart w:id="18" w:name="_Toc220067525"/>
      <w:r w:rsidRPr="00C61D31">
        <w:rPr>
          <w:lang w:val="en-GB"/>
        </w:rPr>
        <w:t>7</w:t>
      </w:r>
      <w:r w:rsidR="005E239E" w:rsidRPr="00C61D31">
        <w:rPr>
          <w:lang w:val="en-GB"/>
        </w:rPr>
        <w:t xml:space="preserve">. </w:t>
      </w:r>
      <w:r w:rsidR="004E351B" w:rsidRPr="00C61D31">
        <w:rPr>
          <w:lang w:val="en-GB"/>
        </w:rPr>
        <w:t>References</w:t>
      </w:r>
      <w:bookmarkEnd w:id="18"/>
    </w:p>
    <w:p w14:paraId="3A468B6A" w14:textId="77777777" w:rsidR="00061689" w:rsidRPr="00B206C7" w:rsidRDefault="00061689" w:rsidP="00061689">
      <w:pPr>
        <w:spacing w:before="120" w:line="240" w:lineRule="auto"/>
        <w:rPr>
          <w:lang w:val="es-CR"/>
        </w:rPr>
      </w:pPr>
      <w:r w:rsidRPr="00B206C7">
        <w:rPr>
          <w:lang w:val="es-CR"/>
        </w:rPr>
        <w:t xml:space="preserve">Amnistía Internacional. (2025.). </w:t>
      </w:r>
      <w:r w:rsidRPr="00B206C7">
        <w:rPr>
          <w:i/>
          <w:iCs/>
          <w:lang w:val="es-CR"/>
        </w:rPr>
        <w:t>Uruguay: Informe sobre derechos humanos</w:t>
      </w:r>
      <w:r w:rsidRPr="00B206C7">
        <w:rPr>
          <w:lang w:val="es-CR"/>
        </w:rPr>
        <w:t xml:space="preserve">. Recuperado el 12 de diciembre de 2025 </w:t>
      </w:r>
      <w:hyperlink r:id="rId11" w:tgtFrame="_new" w:history="1">
        <w:r w:rsidRPr="00B206C7">
          <w:rPr>
            <w:rStyle w:val="Hipervnculo"/>
            <w:lang w:val="es-CR"/>
          </w:rPr>
          <w:t>https://www.amnesty.org/es/location/americas/south-america/uruguay/report-uruguay/</w:t>
        </w:r>
      </w:hyperlink>
    </w:p>
    <w:p w14:paraId="1900868A" w14:textId="5D63618D" w:rsidR="00BC6D88" w:rsidRPr="00B206C7" w:rsidRDefault="00BC6D88" w:rsidP="002C6DD7">
      <w:pPr>
        <w:spacing w:before="120" w:line="240" w:lineRule="auto"/>
        <w:rPr>
          <w:lang w:val="es-CR"/>
        </w:rPr>
      </w:pPr>
      <w:proofErr w:type="spellStart"/>
      <w:r w:rsidRPr="00B206C7">
        <w:rPr>
          <w:lang w:val="es-CR"/>
        </w:rPr>
        <w:t>Bardazano</w:t>
      </w:r>
      <w:proofErr w:type="spellEnd"/>
      <w:r w:rsidRPr="00B206C7">
        <w:rPr>
          <w:lang w:val="es-CR"/>
        </w:rPr>
        <w:t xml:space="preserve">, </w:t>
      </w:r>
      <w:r w:rsidR="001E6770" w:rsidRPr="00B206C7">
        <w:rPr>
          <w:lang w:val="es-CR"/>
        </w:rPr>
        <w:t>G</w:t>
      </w:r>
      <w:r w:rsidRPr="00B206C7">
        <w:rPr>
          <w:lang w:val="es-CR"/>
        </w:rPr>
        <w:t xml:space="preserve">. y </w:t>
      </w:r>
      <w:proofErr w:type="spellStart"/>
      <w:r w:rsidRPr="00B206C7">
        <w:rPr>
          <w:lang w:val="es-CR"/>
        </w:rPr>
        <w:t>Salamano</w:t>
      </w:r>
      <w:proofErr w:type="spellEnd"/>
      <w:r w:rsidRPr="00B206C7">
        <w:rPr>
          <w:lang w:val="es-CR"/>
        </w:rPr>
        <w:t xml:space="preserve">, I. (2016). </w:t>
      </w:r>
      <w:r w:rsidRPr="00B206C7">
        <w:rPr>
          <w:i/>
          <w:iCs/>
          <w:lang w:val="es-CR"/>
        </w:rPr>
        <w:t>Por el lado más fino: privación de libertad y legislación sobre drogas en Uruguay</w:t>
      </w:r>
      <w:r w:rsidRPr="00B206C7">
        <w:rPr>
          <w:lang w:val="es-CR"/>
        </w:rPr>
        <w:t>.</w:t>
      </w:r>
      <w:r w:rsidR="001E6770" w:rsidRPr="00B206C7">
        <w:rPr>
          <w:lang w:val="es-CR"/>
        </w:rPr>
        <w:t xml:space="preserve"> </w:t>
      </w:r>
      <w:r w:rsidR="00C54A52" w:rsidRPr="00B206C7">
        <w:rPr>
          <w:lang w:val="es-CR"/>
        </w:rPr>
        <w:t xml:space="preserve">Colectivo de Estudios de Drogas y Derecho (CEDD) </w:t>
      </w:r>
      <w:hyperlink r:id="rId12" w:history="1">
        <w:r w:rsidR="00C54A52" w:rsidRPr="00B206C7">
          <w:rPr>
            <w:rStyle w:val="Hipervnculo"/>
            <w:lang w:val="es-CR"/>
          </w:rPr>
          <w:t>https://www.dejusticia.org/wp-content/uploads/2023/10/Por-el-lado-mas-fino-Privacion-de-libertad-y-legislacion-sobre-drogas-en-Uruguay.pdf</w:t>
        </w:r>
      </w:hyperlink>
      <w:r w:rsidR="00C54A52" w:rsidRPr="00B206C7">
        <w:rPr>
          <w:lang w:val="es-CR"/>
        </w:rPr>
        <w:t xml:space="preserve"> </w:t>
      </w:r>
    </w:p>
    <w:p w14:paraId="30C75713" w14:textId="4622680A" w:rsidR="00F33836" w:rsidRPr="00B206C7" w:rsidRDefault="00885D5A" w:rsidP="002C6DD7">
      <w:pPr>
        <w:spacing w:before="120" w:line="240" w:lineRule="auto"/>
        <w:rPr>
          <w:lang w:val="es-CR"/>
        </w:rPr>
      </w:pPr>
      <w:proofErr w:type="spellStart"/>
      <w:r w:rsidRPr="00B206C7">
        <w:rPr>
          <w:lang w:val="es-CR"/>
        </w:rPr>
        <w:t>Bardazano</w:t>
      </w:r>
      <w:proofErr w:type="spellEnd"/>
      <w:r w:rsidRPr="00B206C7">
        <w:rPr>
          <w:lang w:val="es-CR"/>
        </w:rPr>
        <w:t xml:space="preserve">, G. (2014). </w:t>
      </w:r>
      <w:r w:rsidRPr="00B206C7">
        <w:rPr>
          <w:i/>
          <w:iCs/>
          <w:lang w:val="es-CR"/>
        </w:rPr>
        <w:t>Respuestas estatales a los usuarios de sustancias psicoactivas en Uruguay: entre la alternativa y la profundización de la guerra contra las drogas.</w:t>
      </w:r>
      <w:r w:rsidRPr="00B206C7">
        <w:rPr>
          <w:lang w:val="es-CR"/>
        </w:rPr>
        <w:t xml:space="preserve"> Colectivo de Estudios de Drogas y Derecho (CEDD) </w:t>
      </w:r>
      <w:hyperlink r:id="rId13" w:history="1">
        <w:r w:rsidR="00132B14" w:rsidRPr="00B206C7">
          <w:rPr>
            <w:rStyle w:val="Hipervnculo"/>
            <w:lang w:val="es-CR"/>
          </w:rPr>
          <w:t>https://studylib.es/doc/5497852/respuestas-estatales-a-los-usuarios-de-sustancias</w:t>
        </w:r>
      </w:hyperlink>
      <w:r w:rsidR="00132B14" w:rsidRPr="00B206C7">
        <w:rPr>
          <w:lang w:val="es-CR"/>
        </w:rPr>
        <w:t xml:space="preserve"> </w:t>
      </w:r>
    </w:p>
    <w:p w14:paraId="02ED4FE7" w14:textId="49FA0E39" w:rsidR="001539B7" w:rsidRPr="00B206C7" w:rsidRDefault="001539B7" w:rsidP="002C6DD7">
      <w:pPr>
        <w:spacing w:before="120" w:line="240" w:lineRule="auto"/>
        <w:rPr>
          <w:lang w:val="es-CR"/>
        </w:rPr>
      </w:pPr>
      <w:r w:rsidRPr="00B206C7">
        <w:rPr>
          <w:lang w:val="es-CR"/>
        </w:rPr>
        <w:t xml:space="preserve">Cámara de Representantes del Uruguay (2023). </w:t>
      </w:r>
      <w:r w:rsidRPr="00B206C7">
        <w:rPr>
          <w:i/>
          <w:iCs/>
          <w:lang w:val="es-CR"/>
        </w:rPr>
        <w:t>Cámara de Empresas Cannabis Medicinal (CECAM) y Asociación Uruguaya de Productores de Cannabis: Versión taquigráfica de la reunión realizada el 1.º de junio de 2023</w:t>
      </w:r>
      <w:r w:rsidRPr="00B206C7">
        <w:rPr>
          <w:lang w:val="es-CR"/>
        </w:rPr>
        <w:t xml:space="preserve"> (Departamento Procesadora de Documentos, </w:t>
      </w:r>
      <w:proofErr w:type="spellStart"/>
      <w:r w:rsidRPr="00B206C7">
        <w:rPr>
          <w:lang w:val="es-CR"/>
        </w:rPr>
        <w:t>Nº</w:t>
      </w:r>
      <w:proofErr w:type="spellEnd"/>
      <w:r w:rsidRPr="00B206C7">
        <w:rPr>
          <w:lang w:val="es-CR"/>
        </w:rPr>
        <w:t xml:space="preserve"> 1376 de 2023, XLIX Legislatura, Comisión Especial con fines legislativos de transparencia, lucha contra el lavado de activos y el crimen organizado). </w:t>
      </w:r>
      <w:hyperlink r:id="rId14" w:tgtFrame="_new" w:history="1">
        <w:r w:rsidRPr="00B206C7">
          <w:rPr>
            <w:rStyle w:val="Hipervnculo"/>
            <w:lang w:val="es-CR"/>
          </w:rPr>
          <w:t>http://www.diputados.gub.uy/wp-content/uploads/2023/07/1376.pdf</w:t>
        </w:r>
      </w:hyperlink>
    </w:p>
    <w:p w14:paraId="0EAA2C7B" w14:textId="1679A0E9" w:rsidR="005C4B3D" w:rsidRPr="00B206C7" w:rsidRDefault="005C4B3D" w:rsidP="002C6DD7">
      <w:pPr>
        <w:spacing w:before="120" w:line="240" w:lineRule="auto"/>
        <w:rPr>
          <w:lang w:val="es-CR"/>
        </w:rPr>
      </w:pPr>
      <w:r w:rsidRPr="00B206C7">
        <w:rPr>
          <w:lang w:val="es-CR"/>
        </w:rPr>
        <w:t>Centro de Estudios Sociales (202</w:t>
      </w:r>
      <w:r w:rsidR="00A34976" w:rsidRPr="00B206C7">
        <w:rPr>
          <w:lang w:val="es-CR"/>
        </w:rPr>
        <w:t>4</w:t>
      </w:r>
      <w:r w:rsidRPr="00B206C7">
        <w:rPr>
          <w:lang w:val="es-CR"/>
        </w:rPr>
        <w:t xml:space="preserve">). </w:t>
      </w:r>
      <w:r w:rsidRPr="00B206C7">
        <w:rPr>
          <w:i/>
          <w:iCs/>
          <w:lang w:val="es-CR"/>
        </w:rPr>
        <w:t>El consumo problemático de drogas en Uruguay: alcohol, cannabis y cocaína</w:t>
      </w:r>
      <w:r w:rsidRPr="00B206C7">
        <w:rPr>
          <w:lang w:val="es-CR"/>
        </w:rPr>
        <w:t xml:space="preserve">. </w:t>
      </w:r>
      <w:r w:rsidR="001171DA" w:rsidRPr="00B206C7">
        <w:rPr>
          <w:lang w:val="es-CR"/>
        </w:rPr>
        <w:t xml:space="preserve">Consultado el 5 de enero 2026 </w:t>
      </w:r>
      <w:hyperlink r:id="rId15" w:tgtFrame="_new" w:history="1">
        <w:r w:rsidRPr="00B206C7">
          <w:rPr>
            <w:rStyle w:val="Hipervnculo"/>
            <w:lang w:val="es-CR"/>
          </w:rPr>
          <w:t>https://ceres.uy/index.php/estudios/ficha_estudio/145</w:t>
        </w:r>
      </w:hyperlink>
    </w:p>
    <w:p w14:paraId="03C19FC4" w14:textId="080EA418" w:rsidR="00021484" w:rsidRPr="00B206C7" w:rsidRDefault="00021484" w:rsidP="002C6DD7">
      <w:pPr>
        <w:spacing w:before="120" w:line="240" w:lineRule="auto"/>
        <w:rPr>
          <w:lang w:val="en-GB"/>
        </w:rPr>
      </w:pPr>
      <w:r w:rsidRPr="00B206C7">
        <w:rPr>
          <w:lang w:val="es-CR"/>
        </w:rPr>
        <w:lastRenderedPageBreak/>
        <w:t xml:space="preserve">Gobierno de Uruguay (s. f.). </w:t>
      </w:r>
      <w:r w:rsidRPr="00B206C7">
        <w:rPr>
          <w:i/>
          <w:iCs/>
          <w:lang w:val="es-CR"/>
        </w:rPr>
        <w:t>Visualizador de datos — Fiscalía: Datos</w:t>
      </w:r>
      <w:r w:rsidR="00633734" w:rsidRPr="00B206C7">
        <w:rPr>
          <w:i/>
          <w:iCs/>
          <w:lang w:val="es-CR"/>
        </w:rPr>
        <w:t xml:space="preserve"> Fiscalía</w:t>
      </w:r>
      <w:r w:rsidRPr="00B206C7">
        <w:rPr>
          <w:lang w:val="es-CR"/>
        </w:rPr>
        <w:t xml:space="preserve">. Consultado el 15 de </w:t>
      </w:r>
      <w:r w:rsidR="00400BE1" w:rsidRPr="00B206C7">
        <w:rPr>
          <w:lang w:val="es-CR"/>
        </w:rPr>
        <w:t>septiembre de</w:t>
      </w:r>
      <w:r w:rsidRPr="00B206C7">
        <w:rPr>
          <w:lang w:val="es-CR"/>
        </w:rPr>
        <w:t xml:space="preserve"> 2025</w:t>
      </w:r>
      <w:r w:rsidR="00400BE1" w:rsidRPr="00B206C7">
        <w:rPr>
          <w:lang w:val="es-CR"/>
        </w:rPr>
        <w:t>.</w:t>
      </w:r>
      <w:r w:rsidRPr="00B206C7">
        <w:rPr>
          <w:lang w:val="es-CR"/>
        </w:rPr>
        <w:t xml:space="preserve"> </w:t>
      </w:r>
      <w:hyperlink r:id="rId16" w:tgtFrame="_new" w:history="1">
        <w:r w:rsidRPr="00B206C7">
          <w:rPr>
            <w:rStyle w:val="Hipervnculo"/>
            <w:lang w:val="en-GB"/>
          </w:rPr>
          <w:t>https://visualizador.gobiernoabierto.gub.uy/visualizador/api/repos/%3Apublic%3Aorganismos%3Afiscalia%3ADatos_fiscalia.wcdf/generatedContent</w:t>
        </w:r>
      </w:hyperlink>
    </w:p>
    <w:p w14:paraId="31A2123D" w14:textId="50EBFB25" w:rsidR="00395D6A" w:rsidRPr="00B206C7" w:rsidRDefault="00395D6A" w:rsidP="002C6DD7">
      <w:pPr>
        <w:spacing w:before="120" w:line="240" w:lineRule="auto"/>
        <w:rPr>
          <w:lang w:val="es-CR"/>
        </w:rPr>
      </w:pPr>
      <w:r w:rsidRPr="00B206C7">
        <w:rPr>
          <w:lang w:val="es-CR"/>
        </w:rPr>
        <w:t xml:space="preserve">Gobierno de Uruguay (2025). </w:t>
      </w:r>
      <w:r w:rsidR="00955158" w:rsidRPr="00B206C7">
        <w:rPr>
          <w:i/>
          <w:iCs/>
          <w:lang w:val="es-CR"/>
        </w:rPr>
        <w:t xml:space="preserve">Complemento del Diagnóstico general de la criminalidad y la violencia en Uruguay: Facilitadores, respuesta penal y percepción ciudadana </w:t>
      </w:r>
      <w:r w:rsidRPr="00B206C7">
        <w:rPr>
          <w:i/>
          <w:iCs/>
          <w:lang w:val="es-CR"/>
        </w:rPr>
        <w:t>– Plan Nacional de Seguridad Pública (PNSP 2025)</w:t>
      </w:r>
      <w:r w:rsidRPr="00B206C7">
        <w:rPr>
          <w:lang w:val="es-CR"/>
        </w:rPr>
        <w:t xml:space="preserve">. </w:t>
      </w:r>
      <w:r w:rsidR="0059402F" w:rsidRPr="00B206C7">
        <w:rPr>
          <w:lang w:val="es-CR"/>
        </w:rPr>
        <w:t>Montevideo, Uruguay</w:t>
      </w:r>
      <w:r w:rsidRPr="00B206C7">
        <w:rPr>
          <w:lang w:val="es-CR"/>
        </w:rPr>
        <w:t xml:space="preserve"> </w:t>
      </w:r>
      <w:hyperlink r:id="rId17" w:tgtFrame="_new" w:history="1">
        <w:r w:rsidRPr="00B206C7">
          <w:rPr>
            <w:rStyle w:val="Hipervnculo"/>
            <w:lang w:val="es-CR"/>
          </w:rPr>
          <w:t>https://www.gub.uy/sites/gubuy/files/2025-10/2_Complemento%20Diagnostico%20%28PNSP%202025%29.pdf</w:t>
        </w:r>
      </w:hyperlink>
    </w:p>
    <w:p w14:paraId="79980800" w14:textId="77104E89" w:rsidR="00680CEA" w:rsidRPr="00B206C7" w:rsidRDefault="00680CEA" w:rsidP="002C6DD7">
      <w:pPr>
        <w:spacing w:before="120" w:line="240" w:lineRule="auto"/>
        <w:rPr>
          <w:lang w:val="en-GB"/>
        </w:rPr>
      </w:pPr>
      <w:r w:rsidRPr="00B206C7">
        <w:rPr>
          <w:lang w:val="es-CR"/>
        </w:rPr>
        <w:t xml:space="preserve">Gobierno de Uruguay (2024). </w:t>
      </w:r>
      <w:r w:rsidRPr="00B206C7">
        <w:rPr>
          <w:i/>
          <w:iCs/>
          <w:lang w:val="es-CR"/>
        </w:rPr>
        <w:t>Plan nacional para el abordaje del uso problemático de drogas en personas adultas sujetas a sanciones penales en Uruguay.</w:t>
      </w:r>
      <w:r w:rsidR="00930935" w:rsidRPr="00B206C7">
        <w:rPr>
          <w:i/>
          <w:iCs/>
          <w:lang w:val="es-CR"/>
        </w:rPr>
        <w:t xml:space="preserve"> </w:t>
      </w:r>
      <w:r w:rsidR="00930935" w:rsidRPr="00B206C7">
        <w:rPr>
          <w:lang w:val="es-CR"/>
        </w:rPr>
        <w:t xml:space="preserve">Montevideo, Uruguay. </w:t>
      </w:r>
      <w:hyperlink r:id="rId18" w:history="1">
        <w:r w:rsidR="00930935" w:rsidRPr="00B206C7">
          <w:rPr>
            <w:rStyle w:val="Hipervnculo"/>
            <w:lang w:val="en-GB"/>
          </w:rPr>
          <w:t>https://www.gub.uy/junta-nacional-drogas/sites/junta-nacional-drogas/files/documentos/publicaciones/Plan%20nacional%20para%20el%20abordaje%20del%20UPD%20en%20personas%20sujetas%20a%20sanciones%20penales%20%282%29.pdf</w:t>
        </w:r>
      </w:hyperlink>
      <w:r w:rsidR="00930935" w:rsidRPr="00B206C7">
        <w:rPr>
          <w:lang w:val="en-GB"/>
        </w:rPr>
        <w:t xml:space="preserve"> </w:t>
      </w:r>
    </w:p>
    <w:p w14:paraId="4C600451" w14:textId="6D753DE4" w:rsidR="009F21CC" w:rsidRPr="00B206C7" w:rsidRDefault="009F21CC" w:rsidP="00C65258">
      <w:pPr>
        <w:spacing w:before="120" w:line="240" w:lineRule="auto"/>
        <w:rPr>
          <w:lang w:val="es-CR"/>
        </w:rPr>
      </w:pPr>
      <w:r w:rsidRPr="00B206C7">
        <w:rPr>
          <w:lang w:val="es-CR"/>
        </w:rPr>
        <w:t xml:space="preserve">Instituto de Regulación y Control del Cannabis (IRCCA). (s. f.). </w:t>
      </w:r>
      <w:r w:rsidRPr="00B206C7">
        <w:rPr>
          <w:i/>
          <w:iCs/>
          <w:lang w:val="es-CR"/>
        </w:rPr>
        <w:t>IRCCA</w:t>
      </w:r>
      <w:r w:rsidRPr="00B206C7">
        <w:rPr>
          <w:lang w:val="es-CR"/>
        </w:rPr>
        <w:t xml:space="preserve">. Recuperado el 5 de noviembre de 2025.  </w:t>
      </w:r>
      <w:hyperlink r:id="rId19" w:tgtFrame="_new" w:history="1">
        <w:r w:rsidRPr="00B206C7">
          <w:rPr>
            <w:rStyle w:val="Hipervnculo"/>
            <w:lang w:val="es-CR"/>
          </w:rPr>
          <w:t>https://ircca.gub.uy/</w:t>
        </w:r>
      </w:hyperlink>
    </w:p>
    <w:p w14:paraId="425CDEDB" w14:textId="0173A3D0" w:rsidR="00C65258" w:rsidRPr="00B206C7" w:rsidRDefault="00C65258" w:rsidP="00C65258">
      <w:pPr>
        <w:spacing w:before="120" w:line="240" w:lineRule="auto"/>
      </w:pPr>
      <w:r w:rsidRPr="00B206C7">
        <w:rPr>
          <w:lang w:val="es-CR"/>
        </w:rPr>
        <w:t xml:space="preserve">Junta Nacional de Drogas (2021). </w:t>
      </w:r>
      <w:r w:rsidRPr="00B206C7">
        <w:rPr>
          <w:i/>
          <w:iCs/>
          <w:lang w:val="es-CR"/>
        </w:rPr>
        <w:t>Estrategia nacional de drogas 2021-2025</w:t>
      </w:r>
      <w:r w:rsidRPr="00B206C7">
        <w:rPr>
          <w:lang w:val="es-CR"/>
        </w:rPr>
        <w:t xml:space="preserve"> (versión completa). Presidencia de la República Oriental del Uruguay. </w:t>
      </w:r>
      <w:r w:rsidRPr="00B206C7">
        <w:t xml:space="preserve">Montevideo </w:t>
      </w:r>
      <w:hyperlink r:id="rId20" w:tgtFrame="_new" w:history="1">
        <w:r w:rsidRPr="00B206C7">
          <w:rPr>
            <w:rStyle w:val="Hipervnculo"/>
          </w:rPr>
          <w:t>https://www.gub.uy/junta-nacional-drogas/sites/junta-nacional-drogas/files/documentos/noticias/Libro_Estrategia%20nacional%20-%20completo%20v7%20con%20tapas.pdf</w:t>
        </w:r>
      </w:hyperlink>
    </w:p>
    <w:p w14:paraId="06FC9F91" w14:textId="12007465" w:rsidR="007A5713" w:rsidRPr="00B206C7" w:rsidRDefault="007A5713" w:rsidP="002C6DD7">
      <w:pPr>
        <w:spacing w:before="120" w:line="240" w:lineRule="auto"/>
      </w:pPr>
      <w:r w:rsidRPr="00B206C7">
        <w:rPr>
          <w:lang w:val="es-CR"/>
        </w:rPr>
        <w:t>Junta Nacional de Drogas (202</w:t>
      </w:r>
      <w:r w:rsidR="0096487A" w:rsidRPr="00B206C7">
        <w:rPr>
          <w:lang w:val="es-CR"/>
        </w:rPr>
        <w:t>3</w:t>
      </w:r>
      <w:r w:rsidRPr="00B206C7">
        <w:rPr>
          <w:lang w:val="es-CR"/>
        </w:rPr>
        <w:t xml:space="preserve">). </w:t>
      </w:r>
      <w:r w:rsidRPr="00B206C7">
        <w:rPr>
          <w:i/>
          <w:iCs/>
          <w:lang w:val="es-CR"/>
        </w:rPr>
        <w:t>Situación y características de la oferta de atención y tratamiento para personas con uso problemático de drogas – Uruguay 2022</w:t>
      </w:r>
      <w:r w:rsidRPr="00B206C7">
        <w:rPr>
          <w:lang w:val="es-CR"/>
        </w:rPr>
        <w:t xml:space="preserve"> (versión final). Presidencia de la República Oriental del Uruguay.</w:t>
      </w:r>
      <w:r w:rsidR="00C65258" w:rsidRPr="00B206C7">
        <w:rPr>
          <w:lang w:val="es-CR"/>
        </w:rPr>
        <w:t xml:space="preserve"> </w:t>
      </w:r>
      <w:r w:rsidR="00C65258" w:rsidRPr="00B206C7">
        <w:t>Montevideo</w:t>
      </w:r>
      <w:r w:rsidRPr="00B206C7">
        <w:t xml:space="preserve"> </w:t>
      </w:r>
      <w:hyperlink r:id="rId21" w:tgtFrame="_new" w:history="1">
        <w:r w:rsidRPr="00B206C7">
          <w:rPr>
            <w:rStyle w:val="Hipervnculo"/>
          </w:rPr>
          <w:t>https://www.gub.uy/junta-nacional-drogas/sites/junta-nacional-drogas/files/documentos/publicaciones/Situaci%C3%B3n%20y%20caracter%C3%ADsiticas%20oferta%20de%20atenci%C3%B3n%20y%20tratamiento_Uruguay%202022_versi%C3%B3n_final.pdf</w:t>
        </w:r>
      </w:hyperlink>
    </w:p>
    <w:p w14:paraId="09EF5070" w14:textId="7C0CCC24" w:rsidR="00545213" w:rsidRPr="00C61D31" w:rsidRDefault="00433644" w:rsidP="002C6DD7">
      <w:pPr>
        <w:spacing w:before="120" w:line="240" w:lineRule="auto"/>
        <w:rPr>
          <w:lang w:val="en-GB"/>
        </w:rPr>
      </w:pPr>
      <w:r w:rsidRPr="00B206C7">
        <w:rPr>
          <w:lang w:val="es-CR"/>
        </w:rPr>
        <w:t xml:space="preserve">Junta Nacional de Drogas (2025). </w:t>
      </w:r>
      <w:r w:rsidRPr="00B206C7">
        <w:rPr>
          <w:i/>
          <w:iCs/>
          <w:lang w:val="es-CR"/>
        </w:rPr>
        <w:t>VIII Encuesta Nacional sobre Consumo de Drogas en Población General (Uruguay 2024)</w:t>
      </w:r>
      <w:r w:rsidRPr="00B206C7">
        <w:rPr>
          <w:lang w:val="es-CR"/>
        </w:rPr>
        <w:t xml:space="preserve">. Observatorio Uruguayo de Drogas. Presidencia de la República Oriental del Uruguay. </w:t>
      </w:r>
      <w:r w:rsidR="00C65258" w:rsidRPr="00C61D31">
        <w:rPr>
          <w:lang w:val="en-GB"/>
        </w:rPr>
        <w:t xml:space="preserve">Montevideo. </w:t>
      </w:r>
      <w:hyperlink r:id="rId22" w:tgtFrame="_new" w:history="1">
        <w:r w:rsidRPr="00C61D31">
          <w:rPr>
            <w:rStyle w:val="Hipervnculo"/>
            <w:lang w:val="en-GB"/>
          </w:rPr>
          <w:t>https://www.gub.uy/junta-nacional-drogas/sites/junta-nacional-drogas/files/documentos/publicaciones/JND%20-%20VIII%20-%20ENCUESTA-Digital.pdf</w:t>
        </w:r>
      </w:hyperlink>
    </w:p>
    <w:p w14:paraId="18206D57" w14:textId="22FD6F37" w:rsidR="00774285" w:rsidRPr="00B206C7" w:rsidRDefault="00A001F5" w:rsidP="002C6DD7">
      <w:pPr>
        <w:spacing w:before="120" w:line="240" w:lineRule="auto"/>
      </w:pPr>
      <w:r w:rsidRPr="00B206C7">
        <w:rPr>
          <w:lang w:val="es-CR"/>
        </w:rPr>
        <w:t xml:space="preserve">Junta Nacional de Drogas (2025). </w:t>
      </w:r>
      <w:r w:rsidRPr="00B206C7">
        <w:rPr>
          <w:i/>
          <w:iCs/>
          <w:lang w:val="es-CR"/>
        </w:rPr>
        <w:t>X Encuesta Nacional sobre Consumo de Drogas en Población General (Informe Final)</w:t>
      </w:r>
      <w:r w:rsidRPr="00B206C7">
        <w:rPr>
          <w:lang w:val="es-CR"/>
        </w:rPr>
        <w:t xml:space="preserve">. Presidencia de la República Oriental del Uruguay. </w:t>
      </w:r>
      <w:r w:rsidR="00C65258" w:rsidRPr="00B206C7">
        <w:t xml:space="preserve">Montevideo </w:t>
      </w:r>
      <w:hyperlink r:id="rId23" w:tgtFrame="_new" w:history="1">
        <w:r w:rsidRPr="00B206C7">
          <w:rPr>
            <w:rStyle w:val="Hipervnculo"/>
          </w:rPr>
          <w:t>https://www.gub.uy/junta-nacional-drogas/sites/junta-nacional-drogas/files/documentos/publicaciones/JND_X.Encuesta.Drogas_2025_Final.pdf</w:t>
        </w:r>
      </w:hyperlink>
    </w:p>
    <w:p w14:paraId="6D42A253" w14:textId="5539FC67" w:rsidR="00A001F5" w:rsidRPr="00C61D31" w:rsidRDefault="002C6DD7" w:rsidP="002C6DD7">
      <w:pPr>
        <w:spacing w:before="120" w:line="240" w:lineRule="auto"/>
        <w:rPr>
          <w:lang w:val="en-GB"/>
        </w:rPr>
      </w:pPr>
      <w:r w:rsidRPr="00B206C7">
        <w:rPr>
          <w:lang w:val="es-CR"/>
        </w:rPr>
        <w:t xml:space="preserve">Junta Nacional de Drogas (2026). “Centros de atención.”, </w:t>
      </w:r>
      <w:hyperlink r:id="rId24" w:tgtFrame="_new" w:history="1">
        <w:r w:rsidRPr="00B206C7">
          <w:rPr>
            <w:rStyle w:val="Hipervnculo"/>
            <w:lang w:val="es-CR"/>
          </w:rPr>
          <w:t>https://www.gub.uy/junta-nacional-drogas/tramites-y-servicios/servicios/centros-atencion</w:t>
        </w:r>
      </w:hyperlink>
      <w:r w:rsidRPr="00B206C7">
        <w:rPr>
          <w:lang w:val="es-CR"/>
        </w:rPr>
        <w:t xml:space="preserve">. </w:t>
      </w:r>
      <w:proofErr w:type="spellStart"/>
      <w:r w:rsidRPr="00C61D31">
        <w:rPr>
          <w:lang w:val="en-GB"/>
        </w:rPr>
        <w:t>Consultado</w:t>
      </w:r>
      <w:proofErr w:type="spellEnd"/>
      <w:r w:rsidRPr="00C61D31">
        <w:rPr>
          <w:lang w:val="en-GB"/>
        </w:rPr>
        <w:t xml:space="preserve"> </w:t>
      </w:r>
      <w:proofErr w:type="spellStart"/>
      <w:r w:rsidRPr="00C61D31">
        <w:rPr>
          <w:lang w:val="en-GB"/>
        </w:rPr>
        <w:t>el</w:t>
      </w:r>
      <w:proofErr w:type="spellEnd"/>
      <w:r w:rsidRPr="00C61D31">
        <w:rPr>
          <w:lang w:val="en-GB"/>
        </w:rPr>
        <w:t xml:space="preserve"> 2 de </w:t>
      </w:r>
      <w:proofErr w:type="spellStart"/>
      <w:r w:rsidRPr="00C61D31">
        <w:rPr>
          <w:lang w:val="en-GB"/>
        </w:rPr>
        <w:t>enero</w:t>
      </w:r>
      <w:proofErr w:type="spellEnd"/>
      <w:r w:rsidRPr="00C61D31">
        <w:rPr>
          <w:lang w:val="en-GB"/>
        </w:rPr>
        <w:t xml:space="preserve"> 2026</w:t>
      </w:r>
    </w:p>
    <w:p w14:paraId="287E34DC" w14:textId="77777777" w:rsidR="00F9631E" w:rsidRPr="00B206C7" w:rsidRDefault="00F9631E" w:rsidP="00F9631E">
      <w:pPr>
        <w:spacing w:before="120" w:line="240" w:lineRule="auto"/>
        <w:rPr>
          <w:lang w:val="es-CR"/>
        </w:rPr>
      </w:pPr>
      <w:r w:rsidRPr="00B206C7">
        <w:rPr>
          <w:lang w:val="es-CR"/>
        </w:rPr>
        <w:lastRenderedPageBreak/>
        <w:t xml:space="preserve">Nómade (2023) </w:t>
      </w:r>
      <w:r w:rsidRPr="00B206C7">
        <w:rPr>
          <w:i/>
          <w:iCs/>
          <w:lang w:val="es-CR"/>
        </w:rPr>
        <w:t xml:space="preserve">Diagnóstico sobre la situación actual, las principales problemáticas y necesidades de las mujeres privadas de libertad en Uruguay. </w:t>
      </w:r>
      <w:r w:rsidRPr="00B206C7">
        <w:rPr>
          <w:lang w:val="es-CR"/>
        </w:rPr>
        <w:t xml:space="preserve">Universidad CLAEH. Montevideo, Uruguay </w:t>
      </w:r>
      <w:hyperlink r:id="rId25" w:history="1">
        <w:r w:rsidRPr="00B206C7">
          <w:rPr>
            <w:rStyle w:val="Hipervnculo"/>
            <w:i/>
            <w:iCs/>
            <w:lang w:val="es-CR"/>
          </w:rPr>
          <w:t>https://universidad.claeh.edu.uy/wp-content/uploads/2023/04/Diagnostico-MPL_v4-1.pdf</w:t>
        </w:r>
      </w:hyperlink>
      <w:r w:rsidRPr="00B206C7">
        <w:rPr>
          <w:i/>
          <w:iCs/>
          <w:lang w:val="es-CR"/>
        </w:rPr>
        <w:t xml:space="preserve"> </w:t>
      </w:r>
    </w:p>
    <w:p w14:paraId="6BE61BA5" w14:textId="082641B8" w:rsidR="003B2C3B" w:rsidRPr="00B206C7" w:rsidRDefault="00623E43" w:rsidP="002C6DD7">
      <w:pPr>
        <w:spacing w:before="120" w:line="240" w:lineRule="auto"/>
        <w:rPr>
          <w:lang w:val="es-CR"/>
        </w:rPr>
      </w:pPr>
      <w:r w:rsidRPr="00B206C7">
        <w:rPr>
          <w:lang w:val="es-CR"/>
        </w:rPr>
        <w:t xml:space="preserve">Plataforma de Clubes. (2021). </w:t>
      </w:r>
      <w:r w:rsidRPr="00B206C7">
        <w:rPr>
          <w:i/>
          <w:iCs/>
          <w:lang w:val="es-CR"/>
        </w:rPr>
        <w:t xml:space="preserve">Modificaciones e incorporaciones en la </w:t>
      </w:r>
      <w:r w:rsidR="003B2C3B" w:rsidRPr="00B206C7">
        <w:rPr>
          <w:lang w:val="es-CR"/>
        </w:rPr>
        <w:t xml:space="preserve">Ley de Urgente Consideración </w:t>
      </w:r>
      <w:proofErr w:type="spellStart"/>
      <w:r w:rsidR="003B2C3B" w:rsidRPr="00B206C7">
        <w:rPr>
          <w:lang w:val="es-CR"/>
        </w:rPr>
        <w:t>N°</w:t>
      </w:r>
      <w:proofErr w:type="spellEnd"/>
      <w:r w:rsidR="003B2C3B" w:rsidRPr="00B206C7">
        <w:rPr>
          <w:lang w:val="es-CR"/>
        </w:rPr>
        <w:t xml:space="preserve"> 19889</w:t>
      </w:r>
      <w:r w:rsidRPr="00B206C7">
        <w:rPr>
          <w:lang w:val="es-CR"/>
        </w:rPr>
        <w:t xml:space="preserve">. Consultado el 11 de </w:t>
      </w:r>
      <w:r w:rsidR="0034302F" w:rsidRPr="00B206C7">
        <w:rPr>
          <w:lang w:val="es-CR"/>
        </w:rPr>
        <w:t>noviembre</w:t>
      </w:r>
      <w:r w:rsidRPr="00B206C7">
        <w:rPr>
          <w:lang w:val="es-CR"/>
        </w:rPr>
        <w:t xml:space="preserve"> 2025</w:t>
      </w:r>
      <w:r w:rsidR="00815B6C" w:rsidRPr="00B206C7">
        <w:rPr>
          <w:lang w:val="es-CR"/>
        </w:rPr>
        <w:t xml:space="preserve"> </w:t>
      </w:r>
      <w:hyperlink r:id="rId26" w:history="1">
        <w:r w:rsidR="001625DB" w:rsidRPr="00B206C7">
          <w:rPr>
            <w:rStyle w:val="Hipervnculo"/>
            <w:lang w:val="es-CR"/>
          </w:rPr>
          <w:t>https://plataformadeclubes.blogspot.com/2021/01/modificaciones-e-incorporaciones-en-la.html</w:t>
        </w:r>
      </w:hyperlink>
      <w:r w:rsidR="001625DB" w:rsidRPr="00B206C7">
        <w:rPr>
          <w:lang w:val="es-CR"/>
        </w:rPr>
        <w:t xml:space="preserve"> </w:t>
      </w:r>
    </w:p>
    <w:p w14:paraId="77868EE1" w14:textId="53137CE7" w:rsidR="00081E92" w:rsidRPr="00C61D31" w:rsidRDefault="00081E92" w:rsidP="002C6DD7">
      <w:pPr>
        <w:spacing w:before="120" w:line="240" w:lineRule="auto"/>
        <w:rPr>
          <w:lang w:val="en-GB"/>
        </w:rPr>
      </w:pPr>
      <w:r w:rsidRPr="00C61D31">
        <w:rPr>
          <w:lang w:val="en-GB"/>
        </w:rPr>
        <w:t xml:space="preserve">Washington Office on Latin America (2023). </w:t>
      </w:r>
      <w:r w:rsidRPr="00B206C7">
        <w:rPr>
          <w:i/>
          <w:iCs/>
          <w:lang w:val="es-CR"/>
        </w:rPr>
        <w:t>Liberarlas es justicia: Hacia la eliminación de las barreras que enfrentan las mujeres encarceladas por delitos de drogas en América Latina y el Caribe</w:t>
      </w:r>
      <w:r w:rsidRPr="00B206C7">
        <w:rPr>
          <w:lang w:val="es-CR"/>
        </w:rPr>
        <w:t xml:space="preserve">. </w:t>
      </w:r>
      <w:r w:rsidRPr="00C61D31">
        <w:rPr>
          <w:lang w:val="en-GB"/>
        </w:rPr>
        <w:t xml:space="preserve">Washington D.C. </w:t>
      </w:r>
      <w:hyperlink r:id="rId27" w:history="1">
        <w:r w:rsidR="002567C3" w:rsidRPr="00C61D31">
          <w:rPr>
            <w:rStyle w:val="Hipervnculo"/>
            <w:lang w:val="en-GB"/>
          </w:rPr>
          <w:t>https://www.wola.org/wp-content/uploads/2023/11/Briefing-Paper-Liberarlas-es-justicia_Final_Web.pdf</w:t>
        </w:r>
      </w:hyperlink>
    </w:p>
    <w:p w14:paraId="0DAD77CF" w14:textId="0990022B" w:rsidR="00021484" w:rsidRPr="00B206C7" w:rsidRDefault="001E43F7" w:rsidP="002C6DD7">
      <w:pPr>
        <w:spacing w:before="120" w:line="240" w:lineRule="auto"/>
        <w:rPr>
          <w:lang w:val="es-CR"/>
        </w:rPr>
      </w:pPr>
      <w:r w:rsidRPr="00B206C7">
        <w:rPr>
          <w:lang w:val="es-CR"/>
        </w:rPr>
        <w:t xml:space="preserve">World </w:t>
      </w:r>
      <w:proofErr w:type="spellStart"/>
      <w:r w:rsidRPr="00B206C7">
        <w:rPr>
          <w:lang w:val="es-CR"/>
        </w:rPr>
        <w:t>Prison</w:t>
      </w:r>
      <w:proofErr w:type="spellEnd"/>
      <w:r w:rsidRPr="00B206C7">
        <w:rPr>
          <w:lang w:val="es-CR"/>
        </w:rPr>
        <w:t xml:space="preserve"> Brief. (2025). </w:t>
      </w:r>
      <w:r w:rsidRPr="00B206C7">
        <w:rPr>
          <w:i/>
          <w:iCs/>
          <w:lang w:val="es-CR"/>
        </w:rPr>
        <w:t>Uruguay</w:t>
      </w:r>
      <w:r w:rsidRPr="00B206C7">
        <w:rPr>
          <w:lang w:val="es-CR"/>
        </w:rPr>
        <w:t xml:space="preserve">. Recuperado el 6 de diciembre de 2025 </w:t>
      </w:r>
      <w:hyperlink r:id="rId28" w:tgtFrame="_new" w:history="1">
        <w:r w:rsidRPr="00B206C7">
          <w:rPr>
            <w:rStyle w:val="Hipervnculo"/>
            <w:lang w:val="es-CR"/>
          </w:rPr>
          <w:t>https://www.prisonstudies.org/country/uruguay</w:t>
        </w:r>
      </w:hyperlink>
    </w:p>
    <w:sectPr w:rsidR="00021484" w:rsidRPr="00B206C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7887"/>
    <w:multiLevelType w:val="multilevel"/>
    <w:tmpl w:val="3642E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9649B"/>
    <w:multiLevelType w:val="multilevel"/>
    <w:tmpl w:val="A6348F7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824340"/>
    <w:multiLevelType w:val="multilevel"/>
    <w:tmpl w:val="469E7E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6B793E"/>
    <w:multiLevelType w:val="multilevel"/>
    <w:tmpl w:val="D318C2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A541B8"/>
    <w:multiLevelType w:val="multilevel"/>
    <w:tmpl w:val="D318C2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3B7789"/>
    <w:multiLevelType w:val="multilevel"/>
    <w:tmpl w:val="3C501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AE2269"/>
    <w:multiLevelType w:val="multilevel"/>
    <w:tmpl w:val="D318C2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AC6811"/>
    <w:multiLevelType w:val="hybridMultilevel"/>
    <w:tmpl w:val="4C8E6F3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15:restartNumberingAfterBreak="0">
    <w:nsid w:val="3DB75EEA"/>
    <w:multiLevelType w:val="multilevel"/>
    <w:tmpl w:val="F8E2A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441E90"/>
    <w:multiLevelType w:val="multilevel"/>
    <w:tmpl w:val="D318C24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A3172E"/>
    <w:multiLevelType w:val="multilevel"/>
    <w:tmpl w:val="E2685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130068"/>
    <w:multiLevelType w:val="multilevel"/>
    <w:tmpl w:val="A2066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345629"/>
    <w:multiLevelType w:val="hybridMultilevel"/>
    <w:tmpl w:val="3EEE9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3A52E1"/>
    <w:multiLevelType w:val="multilevel"/>
    <w:tmpl w:val="966EA6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F542BF5"/>
    <w:multiLevelType w:val="multilevel"/>
    <w:tmpl w:val="3E662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B40F98"/>
    <w:multiLevelType w:val="multilevel"/>
    <w:tmpl w:val="F7CAA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8B2102"/>
    <w:multiLevelType w:val="multilevel"/>
    <w:tmpl w:val="FABEE58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2964E5"/>
    <w:multiLevelType w:val="multilevel"/>
    <w:tmpl w:val="F2EE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35098A"/>
    <w:multiLevelType w:val="multilevel"/>
    <w:tmpl w:val="65AA7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C04302"/>
    <w:multiLevelType w:val="multilevel"/>
    <w:tmpl w:val="ECE0DBF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73036664">
    <w:abstractNumId w:val="0"/>
  </w:num>
  <w:num w:numId="2" w16cid:durableId="648829031">
    <w:abstractNumId w:val="10"/>
  </w:num>
  <w:num w:numId="3" w16cid:durableId="64181563">
    <w:abstractNumId w:val="8"/>
  </w:num>
  <w:num w:numId="4" w16cid:durableId="1277325035">
    <w:abstractNumId w:val="15"/>
  </w:num>
  <w:num w:numId="5" w16cid:durableId="852453656">
    <w:abstractNumId w:val="17"/>
  </w:num>
  <w:num w:numId="6" w16cid:durableId="701708813">
    <w:abstractNumId w:val="5"/>
  </w:num>
  <w:num w:numId="7" w16cid:durableId="1454518853">
    <w:abstractNumId w:val="11"/>
  </w:num>
  <w:num w:numId="8" w16cid:durableId="1931574255">
    <w:abstractNumId w:val="18"/>
  </w:num>
  <w:num w:numId="9" w16cid:durableId="143930948">
    <w:abstractNumId w:val="14"/>
  </w:num>
  <w:num w:numId="10" w16cid:durableId="1973093287">
    <w:abstractNumId w:val="2"/>
  </w:num>
  <w:num w:numId="11" w16cid:durableId="1480150208">
    <w:abstractNumId w:val="9"/>
  </w:num>
  <w:num w:numId="12" w16cid:durableId="223293185">
    <w:abstractNumId w:val="3"/>
  </w:num>
  <w:num w:numId="13" w16cid:durableId="1352292144">
    <w:abstractNumId w:val="16"/>
  </w:num>
  <w:num w:numId="14" w16cid:durableId="743143427">
    <w:abstractNumId w:val="1"/>
  </w:num>
  <w:num w:numId="15" w16cid:durableId="2045210482">
    <w:abstractNumId w:val="13"/>
  </w:num>
  <w:num w:numId="16" w16cid:durableId="1279144213">
    <w:abstractNumId w:val="7"/>
  </w:num>
  <w:num w:numId="17" w16cid:durableId="1783300494">
    <w:abstractNumId w:val="12"/>
  </w:num>
  <w:num w:numId="18" w16cid:durableId="1480263969">
    <w:abstractNumId w:val="6"/>
  </w:num>
  <w:num w:numId="19" w16cid:durableId="1580141755">
    <w:abstractNumId w:val="4"/>
  </w:num>
  <w:num w:numId="20" w16cid:durableId="16299719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027"/>
    <w:rsid w:val="00021484"/>
    <w:rsid w:val="00034985"/>
    <w:rsid w:val="000546EC"/>
    <w:rsid w:val="00061689"/>
    <w:rsid w:val="000618BC"/>
    <w:rsid w:val="000756A2"/>
    <w:rsid w:val="00081E92"/>
    <w:rsid w:val="0009355D"/>
    <w:rsid w:val="000B2A91"/>
    <w:rsid w:val="000B67B1"/>
    <w:rsid w:val="000C15FF"/>
    <w:rsid w:val="000C3223"/>
    <w:rsid w:val="000E38A7"/>
    <w:rsid w:val="00111704"/>
    <w:rsid w:val="001171DA"/>
    <w:rsid w:val="00122D01"/>
    <w:rsid w:val="00132B14"/>
    <w:rsid w:val="001374D5"/>
    <w:rsid w:val="001539B7"/>
    <w:rsid w:val="0015719D"/>
    <w:rsid w:val="00161843"/>
    <w:rsid w:val="001625DB"/>
    <w:rsid w:val="00174F0D"/>
    <w:rsid w:val="00186921"/>
    <w:rsid w:val="00192A7E"/>
    <w:rsid w:val="001B7A01"/>
    <w:rsid w:val="001C3E65"/>
    <w:rsid w:val="001D4B51"/>
    <w:rsid w:val="001E43F7"/>
    <w:rsid w:val="001E6770"/>
    <w:rsid w:val="0020741B"/>
    <w:rsid w:val="002179F7"/>
    <w:rsid w:val="00217CC2"/>
    <w:rsid w:val="002419FD"/>
    <w:rsid w:val="00242C58"/>
    <w:rsid w:val="002437DE"/>
    <w:rsid w:val="002567C3"/>
    <w:rsid w:val="00256C74"/>
    <w:rsid w:val="00266A17"/>
    <w:rsid w:val="002C0BF6"/>
    <w:rsid w:val="002C6DD7"/>
    <w:rsid w:val="002E266A"/>
    <w:rsid w:val="003059B8"/>
    <w:rsid w:val="003113B1"/>
    <w:rsid w:val="003154E9"/>
    <w:rsid w:val="003300C4"/>
    <w:rsid w:val="0034302F"/>
    <w:rsid w:val="003516C5"/>
    <w:rsid w:val="003576E5"/>
    <w:rsid w:val="0037084D"/>
    <w:rsid w:val="00390A8F"/>
    <w:rsid w:val="00395D6A"/>
    <w:rsid w:val="003B02FD"/>
    <w:rsid w:val="003B2C3B"/>
    <w:rsid w:val="003D2B33"/>
    <w:rsid w:val="003E0D91"/>
    <w:rsid w:val="003F4EBE"/>
    <w:rsid w:val="00400BE1"/>
    <w:rsid w:val="00406BDD"/>
    <w:rsid w:val="00411B61"/>
    <w:rsid w:val="004334D7"/>
    <w:rsid w:val="00433644"/>
    <w:rsid w:val="00453AFE"/>
    <w:rsid w:val="004A3810"/>
    <w:rsid w:val="004E351B"/>
    <w:rsid w:val="004E4C96"/>
    <w:rsid w:val="004E66B5"/>
    <w:rsid w:val="005037B3"/>
    <w:rsid w:val="00515538"/>
    <w:rsid w:val="00515AEF"/>
    <w:rsid w:val="0052241C"/>
    <w:rsid w:val="00522F0E"/>
    <w:rsid w:val="00540D59"/>
    <w:rsid w:val="00542F96"/>
    <w:rsid w:val="00545213"/>
    <w:rsid w:val="0057036B"/>
    <w:rsid w:val="00577264"/>
    <w:rsid w:val="00577C08"/>
    <w:rsid w:val="00592CF8"/>
    <w:rsid w:val="0059402F"/>
    <w:rsid w:val="00596589"/>
    <w:rsid w:val="005C32EB"/>
    <w:rsid w:val="005C4B3D"/>
    <w:rsid w:val="005E239E"/>
    <w:rsid w:val="00603033"/>
    <w:rsid w:val="006058B8"/>
    <w:rsid w:val="0061760D"/>
    <w:rsid w:val="00623E43"/>
    <w:rsid w:val="006250F2"/>
    <w:rsid w:val="00627170"/>
    <w:rsid w:val="00630AAD"/>
    <w:rsid w:val="0063214D"/>
    <w:rsid w:val="00633734"/>
    <w:rsid w:val="00642AC7"/>
    <w:rsid w:val="006561B1"/>
    <w:rsid w:val="00680CEA"/>
    <w:rsid w:val="00696FAF"/>
    <w:rsid w:val="006B16B2"/>
    <w:rsid w:val="006B64EF"/>
    <w:rsid w:val="006E3F65"/>
    <w:rsid w:val="00723098"/>
    <w:rsid w:val="00746579"/>
    <w:rsid w:val="00774285"/>
    <w:rsid w:val="00781072"/>
    <w:rsid w:val="007844A6"/>
    <w:rsid w:val="00792830"/>
    <w:rsid w:val="007A5713"/>
    <w:rsid w:val="007A6429"/>
    <w:rsid w:val="007B5F6E"/>
    <w:rsid w:val="007D0C93"/>
    <w:rsid w:val="007F34AD"/>
    <w:rsid w:val="00800BBC"/>
    <w:rsid w:val="008038C9"/>
    <w:rsid w:val="0081028F"/>
    <w:rsid w:val="00815464"/>
    <w:rsid w:val="00815B6C"/>
    <w:rsid w:val="00832056"/>
    <w:rsid w:val="00837FA7"/>
    <w:rsid w:val="00841500"/>
    <w:rsid w:val="00845C3A"/>
    <w:rsid w:val="00846F14"/>
    <w:rsid w:val="00850E01"/>
    <w:rsid w:val="008553F0"/>
    <w:rsid w:val="008630CD"/>
    <w:rsid w:val="00872C83"/>
    <w:rsid w:val="00885D5A"/>
    <w:rsid w:val="008952AC"/>
    <w:rsid w:val="008B44A2"/>
    <w:rsid w:val="008C0465"/>
    <w:rsid w:val="008C4DAA"/>
    <w:rsid w:val="008C5884"/>
    <w:rsid w:val="008F762F"/>
    <w:rsid w:val="00913B11"/>
    <w:rsid w:val="00930935"/>
    <w:rsid w:val="009538F7"/>
    <w:rsid w:val="00955158"/>
    <w:rsid w:val="0096487A"/>
    <w:rsid w:val="009A170B"/>
    <w:rsid w:val="009B6938"/>
    <w:rsid w:val="009E4BD7"/>
    <w:rsid w:val="009F21CC"/>
    <w:rsid w:val="009F420E"/>
    <w:rsid w:val="00A001F5"/>
    <w:rsid w:val="00A03B57"/>
    <w:rsid w:val="00A10284"/>
    <w:rsid w:val="00A21018"/>
    <w:rsid w:val="00A216AD"/>
    <w:rsid w:val="00A27001"/>
    <w:rsid w:val="00A30D55"/>
    <w:rsid w:val="00A34976"/>
    <w:rsid w:val="00A509CA"/>
    <w:rsid w:val="00A81196"/>
    <w:rsid w:val="00A9099B"/>
    <w:rsid w:val="00A94025"/>
    <w:rsid w:val="00A94BA7"/>
    <w:rsid w:val="00AB16FE"/>
    <w:rsid w:val="00AB18D9"/>
    <w:rsid w:val="00AC3413"/>
    <w:rsid w:val="00AF0A0C"/>
    <w:rsid w:val="00B206C7"/>
    <w:rsid w:val="00B41011"/>
    <w:rsid w:val="00B515C5"/>
    <w:rsid w:val="00B7070A"/>
    <w:rsid w:val="00B72233"/>
    <w:rsid w:val="00B8661F"/>
    <w:rsid w:val="00BA1872"/>
    <w:rsid w:val="00BC16CB"/>
    <w:rsid w:val="00BC5D37"/>
    <w:rsid w:val="00BC6D88"/>
    <w:rsid w:val="00BC710C"/>
    <w:rsid w:val="00BD4BE7"/>
    <w:rsid w:val="00BE1D23"/>
    <w:rsid w:val="00C25285"/>
    <w:rsid w:val="00C32027"/>
    <w:rsid w:val="00C508DE"/>
    <w:rsid w:val="00C54A52"/>
    <w:rsid w:val="00C61D31"/>
    <w:rsid w:val="00C65258"/>
    <w:rsid w:val="00C66712"/>
    <w:rsid w:val="00C70037"/>
    <w:rsid w:val="00C71F29"/>
    <w:rsid w:val="00C74091"/>
    <w:rsid w:val="00C751B6"/>
    <w:rsid w:val="00C82AF1"/>
    <w:rsid w:val="00C85920"/>
    <w:rsid w:val="00C86171"/>
    <w:rsid w:val="00CD34BF"/>
    <w:rsid w:val="00D102B7"/>
    <w:rsid w:val="00D17368"/>
    <w:rsid w:val="00D34BF7"/>
    <w:rsid w:val="00D406A7"/>
    <w:rsid w:val="00D517AF"/>
    <w:rsid w:val="00D63D2A"/>
    <w:rsid w:val="00D70250"/>
    <w:rsid w:val="00D96DC8"/>
    <w:rsid w:val="00DE406A"/>
    <w:rsid w:val="00DE599C"/>
    <w:rsid w:val="00E114B6"/>
    <w:rsid w:val="00E158F3"/>
    <w:rsid w:val="00E27884"/>
    <w:rsid w:val="00E53364"/>
    <w:rsid w:val="00E75BAB"/>
    <w:rsid w:val="00E77981"/>
    <w:rsid w:val="00E94F52"/>
    <w:rsid w:val="00EA3D34"/>
    <w:rsid w:val="00EB385A"/>
    <w:rsid w:val="00EC1F3A"/>
    <w:rsid w:val="00ED79FF"/>
    <w:rsid w:val="00EE47A5"/>
    <w:rsid w:val="00EE61DB"/>
    <w:rsid w:val="00EF59DF"/>
    <w:rsid w:val="00EF5CC2"/>
    <w:rsid w:val="00F15022"/>
    <w:rsid w:val="00F1576D"/>
    <w:rsid w:val="00F16C05"/>
    <w:rsid w:val="00F30025"/>
    <w:rsid w:val="00F33836"/>
    <w:rsid w:val="00F43C4D"/>
    <w:rsid w:val="00F87753"/>
    <w:rsid w:val="00F9631E"/>
    <w:rsid w:val="00FB4896"/>
    <w:rsid w:val="00FC3FFF"/>
    <w:rsid w:val="00FD3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90579"/>
  <w15:chartTrackingRefBased/>
  <w15:docId w15:val="{CCC7FEED-B36A-48D0-975F-BB8006C8B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553F0"/>
    <w:pPr>
      <w:outlineLvl w:val="0"/>
    </w:pPr>
    <w:rPr>
      <w:b/>
      <w:bCs/>
      <w:sz w:val="28"/>
      <w:szCs w:val="28"/>
      <w:lang w:val="es-CR"/>
    </w:rPr>
  </w:style>
  <w:style w:type="paragraph" w:styleId="Ttulo2">
    <w:name w:val="heading 2"/>
    <w:basedOn w:val="Normal"/>
    <w:next w:val="Normal"/>
    <w:link w:val="Ttulo2Car"/>
    <w:uiPriority w:val="9"/>
    <w:unhideWhenUsed/>
    <w:qFormat/>
    <w:rsid w:val="00AC3413"/>
    <w:pPr>
      <w:spacing w:before="120"/>
      <w:jc w:val="both"/>
      <w:outlineLvl w:val="1"/>
    </w:pPr>
    <w:rPr>
      <w:b/>
      <w:bCs/>
      <w:lang w:val="es-CR"/>
    </w:rPr>
  </w:style>
  <w:style w:type="paragraph" w:styleId="Ttulo3">
    <w:name w:val="heading 3"/>
    <w:basedOn w:val="Normal"/>
    <w:next w:val="Normal"/>
    <w:link w:val="Ttulo3Car"/>
    <w:uiPriority w:val="9"/>
    <w:semiHidden/>
    <w:unhideWhenUsed/>
    <w:qFormat/>
    <w:rsid w:val="00C3202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3202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3202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3202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3202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3202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3202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553F0"/>
    <w:rPr>
      <w:b/>
      <w:bCs/>
      <w:sz w:val="28"/>
      <w:szCs w:val="28"/>
      <w:lang w:val="es-CR"/>
    </w:rPr>
  </w:style>
  <w:style w:type="character" w:customStyle="1" w:styleId="Ttulo2Car">
    <w:name w:val="Título 2 Car"/>
    <w:basedOn w:val="Fuentedeprrafopredeter"/>
    <w:link w:val="Ttulo2"/>
    <w:uiPriority w:val="9"/>
    <w:rsid w:val="00AC3413"/>
    <w:rPr>
      <w:b/>
      <w:bCs/>
      <w:lang w:val="es-CR"/>
    </w:rPr>
  </w:style>
  <w:style w:type="character" w:customStyle="1" w:styleId="Ttulo3Car">
    <w:name w:val="Título 3 Car"/>
    <w:basedOn w:val="Fuentedeprrafopredeter"/>
    <w:link w:val="Ttulo3"/>
    <w:uiPriority w:val="9"/>
    <w:semiHidden/>
    <w:rsid w:val="00C3202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3202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3202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3202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3202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3202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32027"/>
    <w:rPr>
      <w:rFonts w:eastAsiaTheme="majorEastAsia" w:cstheme="majorBidi"/>
      <w:color w:val="272727" w:themeColor="text1" w:themeTint="D8"/>
    </w:rPr>
  </w:style>
  <w:style w:type="paragraph" w:styleId="Ttulo">
    <w:name w:val="Title"/>
    <w:basedOn w:val="Normal"/>
    <w:next w:val="Normal"/>
    <w:link w:val="TtuloCar"/>
    <w:uiPriority w:val="10"/>
    <w:qFormat/>
    <w:rsid w:val="00C320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3202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3202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3202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32027"/>
    <w:pPr>
      <w:spacing w:before="160"/>
      <w:jc w:val="center"/>
    </w:pPr>
    <w:rPr>
      <w:i/>
      <w:iCs/>
      <w:color w:val="404040" w:themeColor="text1" w:themeTint="BF"/>
    </w:rPr>
  </w:style>
  <w:style w:type="character" w:customStyle="1" w:styleId="CitaCar">
    <w:name w:val="Cita Car"/>
    <w:basedOn w:val="Fuentedeprrafopredeter"/>
    <w:link w:val="Cita"/>
    <w:uiPriority w:val="29"/>
    <w:rsid w:val="00C32027"/>
    <w:rPr>
      <w:i/>
      <w:iCs/>
      <w:color w:val="404040" w:themeColor="text1" w:themeTint="BF"/>
    </w:rPr>
  </w:style>
  <w:style w:type="paragraph" w:styleId="Prrafodelista">
    <w:name w:val="List Paragraph"/>
    <w:basedOn w:val="Normal"/>
    <w:uiPriority w:val="34"/>
    <w:qFormat/>
    <w:rsid w:val="00C32027"/>
    <w:pPr>
      <w:ind w:left="720"/>
      <w:contextualSpacing/>
    </w:pPr>
  </w:style>
  <w:style w:type="character" w:styleId="nfasisintenso">
    <w:name w:val="Intense Emphasis"/>
    <w:basedOn w:val="Fuentedeprrafopredeter"/>
    <w:uiPriority w:val="21"/>
    <w:qFormat/>
    <w:rsid w:val="00C32027"/>
    <w:rPr>
      <w:i/>
      <w:iCs/>
      <w:color w:val="2F5496" w:themeColor="accent1" w:themeShade="BF"/>
    </w:rPr>
  </w:style>
  <w:style w:type="paragraph" w:styleId="Citadestacada">
    <w:name w:val="Intense Quote"/>
    <w:basedOn w:val="Normal"/>
    <w:next w:val="Normal"/>
    <w:link w:val="CitadestacadaCar"/>
    <w:uiPriority w:val="30"/>
    <w:qFormat/>
    <w:rsid w:val="00C320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32027"/>
    <w:rPr>
      <w:i/>
      <w:iCs/>
      <w:color w:val="2F5496" w:themeColor="accent1" w:themeShade="BF"/>
    </w:rPr>
  </w:style>
  <w:style w:type="character" w:styleId="Referenciaintensa">
    <w:name w:val="Intense Reference"/>
    <w:basedOn w:val="Fuentedeprrafopredeter"/>
    <w:uiPriority w:val="32"/>
    <w:qFormat/>
    <w:rsid w:val="00C32027"/>
    <w:rPr>
      <w:b/>
      <w:bCs/>
      <w:smallCaps/>
      <w:color w:val="2F5496" w:themeColor="accent1" w:themeShade="BF"/>
      <w:spacing w:val="5"/>
    </w:rPr>
  </w:style>
  <w:style w:type="character" w:styleId="Hipervnculo">
    <w:name w:val="Hyperlink"/>
    <w:basedOn w:val="Fuentedeprrafopredeter"/>
    <w:uiPriority w:val="99"/>
    <w:unhideWhenUsed/>
    <w:rsid w:val="00DE599C"/>
    <w:rPr>
      <w:color w:val="0563C1" w:themeColor="hyperlink"/>
      <w:u w:val="single"/>
    </w:rPr>
  </w:style>
  <w:style w:type="character" w:styleId="Mencinsinresolver">
    <w:name w:val="Unresolved Mention"/>
    <w:basedOn w:val="Fuentedeprrafopredeter"/>
    <w:uiPriority w:val="99"/>
    <w:semiHidden/>
    <w:unhideWhenUsed/>
    <w:rsid w:val="00DE599C"/>
    <w:rPr>
      <w:color w:val="605E5C"/>
      <w:shd w:val="clear" w:color="auto" w:fill="E1DFDD"/>
    </w:rPr>
  </w:style>
  <w:style w:type="character" w:styleId="Hipervnculovisitado">
    <w:name w:val="FollowedHyperlink"/>
    <w:basedOn w:val="Fuentedeprrafopredeter"/>
    <w:uiPriority w:val="99"/>
    <w:semiHidden/>
    <w:unhideWhenUsed/>
    <w:rsid w:val="009F420E"/>
    <w:rPr>
      <w:color w:val="954F72" w:themeColor="followedHyperlink"/>
      <w:u w:val="single"/>
    </w:rPr>
  </w:style>
  <w:style w:type="paragraph" w:styleId="TDC1">
    <w:name w:val="toc 1"/>
    <w:basedOn w:val="Normal"/>
    <w:next w:val="Normal"/>
    <w:autoRedefine/>
    <w:uiPriority w:val="39"/>
    <w:unhideWhenUsed/>
    <w:rsid w:val="00BA1872"/>
    <w:pPr>
      <w:spacing w:after="100"/>
    </w:pPr>
  </w:style>
  <w:style w:type="paragraph" w:styleId="TDC2">
    <w:name w:val="toc 2"/>
    <w:basedOn w:val="Normal"/>
    <w:next w:val="Normal"/>
    <w:autoRedefine/>
    <w:uiPriority w:val="39"/>
    <w:unhideWhenUsed/>
    <w:rsid w:val="00BA1872"/>
    <w:pPr>
      <w:spacing w:after="100"/>
      <w:ind w:left="240"/>
    </w:pPr>
  </w:style>
  <w:style w:type="paragraph" w:styleId="Revisin">
    <w:name w:val="Revision"/>
    <w:hidden/>
    <w:uiPriority w:val="99"/>
    <w:semiHidden/>
    <w:rsid w:val="00BC16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ura.blancodeleon@gmail.com" TargetMode="External"/><Relationship Id="rId13" Type="http://schemas.openxmlformats.org/officeDocument/2006/relationships/hyperlink" Target="https://studylib.es/doc/5497852/respuestas-estatales-a-los-usuarios-de-sustancias" TargetMode="External"/><Relationship Id="rId18" Type="http://schemas.openxmlformats.org/officeDocument/2006/relationships/hyperlink" Target="https://www.gub.uy/junta-nacional-drogas/sites/junta-nacional-drogas/files/documentos/publicaciones/Plan%20nacional%20para%20el%20abordaje%20del%20UPD%20en%20personas%20sujetas%20a%20sanciones%20penales%20%282%29.pdf" TargetMode="External"/><Relationship Id="rId26" Type="http://schemas.openxmlformats.org/officeDocument/2006/relationships/hyperlink" Target="https://plataformadeclubes.blogspot.com/2021/01/modificaciones-e-incorporaciones-en-la.html" TargetMode="External"/><Relationship Id="rId3" Type="http://schemas.openxmlformats.org/officeDocument/2006/relationships/styles" Target="styles.xml"/><Relationship Id="rId21" Type="http://schemas.openxmlformats.org/officeDocument/2006/relationships/hyperlink" Target="https://www.gub.uy/junta-nacional-drogas/sites/junta-nacional-drogas/files/documentos/publicaciones/Situaci%C3%B3n%20y%20caracter%C3%ADsiticas%20oferta%20de%20atenci%C3%B3n%20y%20tratamiento_Uruguay%202022_versi%C3%B3n_final.pdf?utm_source=chatgpt.com" TargetMode="External"/><Relationship Id="rId7" Type="http://schemas.openxmlformats.org/officeDocument/2006/relationships/image" Target="media/image2.png"/><Relationship Id="rId12" Type="http://schemas.openxmlformats.org/officeDocument/2006/relationships/hyperlink" Target="https://www.dejusticia.org/wp-content/uploads/2023/10/Por-el-lado-mas-fino-Privacion-de-libertad-y-legislacion-sobre-drogas-en-Uruguay.pdf" TargetMode="External"/><Relationship Id="rId17" Type="http://schemas.openxmlformats.org/officeDocument/2006/relationships/hyperlink" Target="https://www.gub.uy/sites/gubuy/files/2025-10/2_Complemento%20Diagnostico%20%28PNSP%202025%29.pdf?utm_source=chatgpt.com" TargetMode="External"/><Relationship Id="rId25" Type="http://schemas.openxmlformats.org/officeDocument/2006/relationships/hyperlink" Target="https://universidad.claeh.edu.uy/wp-content/uploads/2023/04/Diagnostico-MPL_v4-1.pdf" TargetMode="External"/><Relationship Id="rId2" Type="http://schemas.openxmlformats.org/officeDocument/2006/relationships/numbering" Target="numbering.xml"/><Relationship Id="rId16" Type="http://schemas.openxmlformats.org/officeDocument/2006/relationships/hyperlink" Target="https://visualizador.gobiernoabierto.gub.uy/visualizador/api/repos/%3Apublic%3Aorganismos%3Afiscalia%3ADatos_fiscalia.wcdf/generatedContent" TargetMode="External"/><Relationship Id="rId20" Type="http://schemas.openxmlformats.org/officeDocument/2006/relationships/hyperlink" Target="https://www.gub.uy/junta-nacional-drogas/sites/junta-nacional-drogas/files/documentos/noticias/Libro_Estrategia%20nacional%20-%20completo%20v7%20con%20tapas.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mnesty.org/es/location/americas/south-america/uruguay/report-uruguay/" TargetMode="External"/><Relationship Id="rId24" Type="http://schemas.openxmlformats.org/officeDocument/2006/relationships/hyperlink" Target="https://www.gub.uy/junta-nacional-drogas/tramites-y-servicios/servicios/centros-atencion" TargetMode="External"/><Relationship Id="rId5" Type="http://schemas.openxmlformats.org/officeDocument/2006/relationships/webSettings" Target="webSettings.xml"/><Relationship Id="rId15" Type="http://schemas.openxmlformats.org/officeDocument/2006/relationships/hyperlink" Target="https://ceres.uy/index.php/estudios/ficha_estudio/145" TargetMode="External"/><Relationship Id="rId23" Type="http://schemas.openxmlformats.org/officeDocument/2006/relationships/hyperlink" Target="https://www.gub.uy/junta-nacional-drogas/sites/junta-nacional-drogas/files/documentos/publicaciones/JND_X.Encuesta.Drogas_2025_Final.pdf?utm_source=chatgpt.com" TargetMode="External"/><Relationship Id="rId28" Type="http://schemas.openxmlformats.org/officeDocument/2006/relationships/hyperlink" Target="https://www.prisonstudies.org/country/uruguay?utm_source=chatgpt.com" TargetMode="External"/><Relationship Id="rId10" Type="http://schemas.openxmlformats.org/officeDocument/2006/relationships/hyperlink" Target="mailto:acotsfernandez@idpc.net" TargetMode="External"/><Relationship Id="rId19" Type="http://schemas.openxmlformats.org/officeDocument/2006/relationships/hyperlink" Target="https://ircca.gub.uy/?utm_source=chatgpt.com" TargetMode="External"/><Relationship Id="rId4" Type="http://schemas.openxmlformats.org/officeDocument/2006/relationships/settings" Target="settings.xml"/><Relationship Id="rId9" Type="http://schemas.openxmlformats.org/officeDocument/2006/relationships/hyperlink" Target="mailto:inforedlanpud@gmail.com" TargetMode="External"/><Relationship Id="rId14" Type="http://schemas.openxmlformats.org/officeDocument/2006/relationships/hyperlink" Target="http://www.diputados.gub.uy/wp-content/uploads/2023/07/1376.pdf" TargetMode="External"/><Relationship Id="rId22" Type="http://schemas.openxmlformats.org/officeDocument/2006/relationships/hyperlink" Target="https://www.gub.uy/junta-nacional-drogas/sites/junta-nacional-drogas/files/documentos/publicaciones/JND%20-%20VIII%20-%20ENCUESTA-Digital.pdf?utm_source=chatgpt.com" TargetMode="External"/><Relationship Id="rId27" Type="http://schemas.openxmlformats.org/officeDocument/2006/relationships/hyperlink" Target="https://www.wola.org/wp-content/uploads/2023/11/Briefing-Paper-Liberarlas-es-justicia_Final_Web.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BAFFB-91BF-4261-8979-31E83A939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14</Pages>
  <Words>5328</Words>
  <Characters>30374</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Ernesto Cortes</dc:creator>
  <cp:keywords/>
  <dc:description/>
  <cp:lastModifiedBy>Ernesto Cortes</cp:lastModifiedBy>
  <cp:revision>13</cp:revision>
  <dcterms:created xsi:type="dcterms:W3CDTF">2026-01-23T13:29:00Z</dcterms:created>
  <dcterms:modified xsi:type="dcterms:W3CDTF">2026-01-29T18:42:00Z</dcterms:modified>
</cp:coreProperties>
</file>