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9F7ED" w14:textId="77777777" w:rsidR="00CB1660" w:rsidRPr="00E7582C" w:rsidRDefault="00CB1660" w:rsidP="00EC44DB">
      <w:pPr>
        <w:pStyle w:val="RTFrontcovermaintitle"/>
        <w:spacing w:before="0" w:after="0" w:line="880" w:lineRule="exact"/>
        <w:rPr>
          <w:noProof w:val="0"/>
          <w:sz w:val="72"/>
          <w:szCs w:val="72"/>
          <w:lang w:val="es-ES"/>
        </w:rPr>
      </w:pPr>
    </w:p>
    <w:p w14:paraId="65C85B3C" w14:textId="43F95FB8" w:rsidR="00FE0DE5" w:rsidRPr="00E7582C" w:rsidRDefault="00A6639E" w:rsidP="00EC44DB">
      <w:pPr>
        <w:pStyle w:val="RTFrontcovermaintitle"/>
        <w:spacing w:before="0" w:after="0" w:line="880" w:lineRule="exact"/>
        <w:rPr>
          <w:noProof w:val="0"/>
          <w:sz w:val="72"/>
          <w:szCs w:val="72"/>
          <w:lang w:val="es-ES"/>
        </w:rPr>
      </w:pPr>
      <w:r w:rsidRPr="00E7582C">
        <w:rPr>
          <w:noProof w:val="0"/>
          <w:sz w:val="72"/>
          <w:szCs w:val="72"/>
          <w:lang w:val="es-ES"/>
        </w:rPr>
        <w:t>URUGUAY</w:t>
      </w:r>
      <w:r w:rsidR="00FB25AD" w:rsidRPr="00E7582C">
        <w:rPr>
          <w:noProof w:val="0"/>
          <w:sz w:val="72"/>
          <w:szCs w:val="72"/>
          <w:lang w:val="es-ES"/>
        </w:rPr>
        <w:t> </w:t>
      </w:r>
    </w:p>
    <w:p w14:paraId="6E1053A8" w14:textId="47BE97EF" w:rsidR="0010287D" w:rsidRPr="00E7582C" w:rsidRDefault="000C644F" w:rsidP="00EC44DB">
      <w:pPr>
        <w:pStyle w:val="RTSubheadinglightCAPS"/>
        <w:rPr>
          <w:lang w:val="es-ES"/>
        </w:rPr>
      </w:pPr>
      <w:r w:rsidRPr="00E7582C">
        <w:rPr>
          <w:lang w:val="es-ES"/>
        </w:rPr>
        <w:t xml:space="preserve">INFORME AL COMITÉ DE </w:t>
      </w:r>
      <w:r w:rsidR="00AA2B0F" w:rsidRPr="00E7582C">
        <w:rPr>
          <w:lang w:val="es-ES"/>
        </w:rPr>
        <w:t>DESAPARICIONES FORZADAS</w:t>
      </w:r>
    </w:p>
    <w:p w14:paraId="7BDEED78" w14:textId="4F885649" w:rsidR="00A6639E" w:rsidRPr="00E7582C" w:rsidRDefault="00AA2B0F" w:rsidP="00EC44DB">
      <w:pPr>
        <w:pStyle w:val="RTSubheadinglightCAPS"/>
        <w:rPr>
          <w:lang w:val="es-ES"/>
        </w:rPr>
      </w:pPr>
      <w:r w:rsidRPr="00E7582C">
        <w:rPr>
          <w:lang w:val="es-ES"/>
        </w:rPr>
        <w:t>23º periodo de sesiones, septiembre 2022</w:t>
      </w:r>
    </w:p>
    <w:p w14:paraId="02A653D5" w14:textId="77777777" w:rsidR="00D67885" w:rsidRDefault="00D67885" w:rsidP="00EC44DB">
      <w:pPr>
        <w:rPr>
          <w:rFonts w:ascii="Amnesty Trade Gothic" w:eastAsia="Times New Roman" w:hAnsi="Amnesty Trade Gothic" w:cstheme="minorHAnsi"/>
          <w:color w:val="000000"/>
          <w:sz w:val="22"/>
          <w:szCs w:val="22"/>
          <w:lang w:val="es-ES" w:eastAsia="es-MX"/>
        </w:rPr>
      </w:pPr>
    </w:p>
    <w:p w14:paraId="210FB825" w14:textId="5F2169D3" w:rsidR="00D67885" w:rsidRPr="00A5161B" w:rsidRDefault="00D67885" w:rsidP="00EC44DB">
      <w:pPr>
        <w:rPr>
          <w:rFonts w:asciiTheme="minorHAnsi" w:eastAsia="Times New Roman" w:hAnsiTheme="minorHAnsi" w:cstheme="minorHAnsi"/>
          <w:b/>
          <w:bCs/>
          <w:color w:val="000000"/>
          <w:sz w:val="22"/>
          <w:szCs w:val="22"/>
          <w:lang w:val="es-ES" w:eastAsia="es-MX"/>
        </w:rPr>
      </w:pPr>
      <w:r w:rsidRPr="00A5161B">
        <w:rPr>
          <w:rFonts w:asciiTheme="minorHAnsi" w:eastAsia="Times New Roman" w:hAnsiTheme="minorHAnsi" w:cstheme="minorHAnsi"/>
          <w:b/>
          <w:bCs/>
          <w:color w:val="000000"/>
          <w:sz w:val="22"/>
          <w:szCs w:val="22"/>
          <w:lang w:val="es-ES" w:eastAsia="es-MX"/>
        </w:rPr>
        <w:t>Amnistía International somete este informe con antelación al examen de</w:t>
      </w:r>
      <w:r w:rsidR="0058420A" w:rsidRPr="00A5161B">
        <w:rPr>
          <w:rFonts w:asciiTheme="minorHAnsi" w:eastAsia="Times New Roman" w:hAnsiTheme="minorHAnsi" w:cstheme="minorHAnsi"/>
          <w:b/>
          <w:bCs/>
          <w:color w:val="000000"/>
          <w:sz w:val="22"/>
          <w:szCs w:val="22"/>
          <w:lang w:val="es-ES" w:eastAsia="es-MX"/>
        </w:rPr>
        <w:t xml:space="preserve"> la </w:t>
      </w:r>
      <w:r w:rsidR="0058420A" w:rsidRPr="00A5161B">
        <w:rPr>
          <w:rFonts w:asciiTheme="minorHAnsi" w:hAnsiTheme="minorHAnsi"/>
          <w:b/>
          <w:bCs/>
          <w:sz w:val="22"/>
          <w:szCs w:val="22"/>
          <w:lang w:val="es-ES"/>
        </w:rPr>
        <w:t>i</w:t>
      </w:r>
      <w:r w:rsidR="0058420A" w:rsidRPr="00A5161B">
        <w:rPr>
          <w:rFonts w:asciiTheme="minorHAnsi" w:hAnsiTheme="minorHAnsi"/>
          <w:b/>
          <w:bCs/>
          <w:sz w:val="22"/>
          <w:szCs w:val="22"/>
          <w:lang w:val="es-ES"/>
        </w:rPr>
        <w:t>nformación complementaria presentada por el Uruguay con arreglo al artículo 29, párrafo 4, de la Convención</w:t>
      </w:r>
      <w:r w:rsidR="0058420A" w:rsidRPr="00A5161B">
        <w:rPr>
          <w:rFonts w:asciiTheme="minorHAnsi" w:hAnsiTheme="minorHAnsi"/>
          <w:b/>
          <w:bCs/>
          <w:sz w:val="22"/>
          <w:szCs w:val="22"/>
          <w:lang w:val="es-ES"/>
        </w:rPr>
        <w:t xml:space="preserve"> </w:t>
      </w:r>
      <w:r w:rsidR="00A5161B" w:rsidRPr="00A5161B">
        <w:rPr>
          <w:rFonts w:asciiTheme="minorHAnsi" w:hAnsiTheme="minorHAnsi"/>
          <w:b/>
          <w:bCs/>
          <w:sz w:val="22"/>
          <w:szCs w:val="22"/>
          <w:lang w:val="es-ES"/>
        </w:rPr>
        <w:t>Internacional para la Protección de Todas las Personas contra las Desapariciones Forzadas</w:t>
      </w:r>
      <w:r w:rsidR="00A5161B" w:rsidRPr="00A5161B">
        <w:rPr>
          <w:rFonts w:asciiTheme="minorHAnsi" w:hAnsiTheme="minorHAnsi"/>
          <w:b/>
          <w:bCs/>
          <w:sz w:val="22"/>
          <w:szCs w:val="22"/>
          <w:lang w:val="es-ES"/>
        </w:rPr>
        <w:t>.</w:t>
      </w:r>
    </w:p>
    <w:p w14:paraId="3992BDB7" w14:textId="77777777" w:rsidR="00A6639E" w:rsidRPr="00E7582C" w:rsidRDefault="00A6639E" w:rsidP="00EC44DB">
      <w:pPr>
        <w:pStyle w:val="AISubHeading"/>
        <w:rPr>
          <w:lang w:val="es-ES"/>
        </w:rPr>
      </w:pPr>
      <w:r w:rsidRPr="00E7582C">
        <w:rPr>
          <w:lang w:val="es-ES"/>
        </w:rPr>
        <w:t>I. Impunidad por crímenes del pasado reciente</w:t>
      </w:r>
      <w:r w:rsidRPr="00E7582C">
        <w:rPr>
          <w:rStyle w:val="apple-converted-space"/>
          <w:rFonts w:ascii="Amnesty Trade Gothic" w:hAnsi="Amnesty Trade Gothic" w:cstheme="minorHAnsi"/>
          <w:bCs/>
          <w:color w:val="000000"/>
          <w:sz w:val="22"/>
          <w:szCs w:val="22"/>
          <w:lang w:val="es-ES"/>
        </w:rPr>
        <w:t> </w:t>
      </w:r>
    </w:p>
    <w:p w14:paraId="4D84EA26" w14:textId="77777777" w:rsidR="00A6639E" w:rsidRPr="00A5161B" w:rsidRDefault="00A6639E" w:rsidP="00EC44DB">
      <w:pPr>
        <w:pStyle w:val="NormalWeb"/>
        <w:numPr>
          <w:ilvl w:val="0"/>
          <w:numId w:val="6"/>
        </w:numPr>
        <w:rPr>
          <w:rFonts w:asciiTheme="minorHAnsi" w:hAnsiTheme="minorHAnsi" w:cstheme="minorHAnsi"/>
          <w:color w:val="000000"/>
          <w:sz w:val="22"/>
          <w:szCs w:val="22"/>
          <w:u w:val="single"/>
          <w:lang w:val="es-ES"/>
        </w:rPr>
      </w:pPr>
      <w:r w:rsidRPr="00A5161B">
        <w:rPr>
          <w:rFonts w:asciiTheme="minorHAnsi" w:hAnsiTheme="minorHAnsi" w:cstheme="minorHAnsi"/>
          <w:color w:val="000000"/>
          <w:sz w:val="22"/>
          <w:szCs w:val="22"/>
          <w:u w:val="single"/>
          <w:lang w:val="es-ES"/>
        </w:rPr>
        <w:t>Avances en la justicia</w:t>
      </w:r>
      <w:r w:rsidRPr="00A5161B">
        <w:rPr>
          <w:rStyle w:val="apple-converted-space"/>
          <w:rFonts w:asciiTheme="minorHAnsi" w:hAnsiTheme="minorHAnsi" w:cstheme="minorHAnsi"/>
          <w:color w:val="000000"/>
          <w:sz w:val="22"/>
          <w:szCs w:val="22"/>
          <w:u w:val="single"/>
          <w:lang w:val="es-ES"/>
        </w:rPr>
        <w:t> </w:t>
      </w:r>
    </w:p>
    <w:p w14:paraId="7F179762" w14:textId="61CD4531" w:rsidR="00A6639E" w:rsidRPr="00A5161B" w:rsidRDefault="00A6639E" w:rsidP="00EC44DB">
      <w:pPr>
        <w:pStyle w:val="AIBodyText"/>
        <w:rPr>
          <w:rFonts w:asciiTheme="minorHAnsi" w:hAnsiTheme="minorHAnsi" w:cstheme="minorHAnsi"/>
          <w:sz w:val="22"/>
          <w:szCs w:val="22"/>
          <w:lang w:val="es-ES" w:eastAsia="es-ES"/>
        </w:rPr>
      </w:pPr>
      <w:r w:rsidRPr="00A5161B">
        <w:rPr>
          <w:rFonts w:asciiTheme="minorHAnsi" w:hAnsiTheme="minorHAnsi" w:cstheme="minorHAnsi"/>
          <w:sz w:val="22"/>
          <w:szCs w:val="22"/>
          <w:lang w:val="es-ES" w:eastAsia="es-ES"/>
        </w:rPr>
        <w:t>En 2021, la justicia uruguaya condenó 17 militares, exmilitares y expolicías por delitos cometidos durante el régimen militar de 1973-1985 y que constituyen crímenes de lesa humanidad.</w:t>
      </w:r>
    </w:p>
    <w:p w14:paraId="1AE44723" w14:textId="77777777" w:rsidR="00EF0A97" w:rsidRPr="00A5161B" w:rsidRDefault="00EF0A97" w:rsidP="00EC44DB">
      <w:pPr>
        <w:pStyle w:val="AIBodyText"/>
        <w:rPr>
          <w:rFonts w:asciiTheme="minorHAnsi" w:hAnsiTheme="minorHAnsi" w:cstheme="minorHAnsi"/>
          <w:sz w:val="22"/>
          <w:szCs w:val="22"/>
          <w:lang w:val="es-ES" w:eastAsia="es-ES"/>
        </w:rPr>
      </w:pPr>
    </w:p>
    <w:p w14:paraId="471773CD" w14:textId="77777777" w:rsidR="00A6639E" w:rsidRPr="00A5161B" w:rsidRDefault="00A6639E" w:rsidP="00EC44DB">
      <w:pPr>
        <w:pStyle w:val="AIBodyText"/>
        <w:rPr>
          <w:rFonts w:asciiTheme="minorHAnsi" w:hAnsiTheme="minorHAnsi" w:cstheme="minorHAnsi"/>
          <w:sz w:val="22"/>
          <w:szCs w:val="22"/>
          <w:lang w:val="es-ES" w:eastAsia="es-ES"/>
        </w:rPr>
      </w:pPr>
      <w:r w:rsidRPr="00A5161B">
        <w:rPr>
          <w:rFonts w:asciiTheme="minorHAnsi" w:hAnsiTheme="minorHAnsi" w:cstheme="minorHAnsi"/>
          <w:sz w:val="22"/>
          <w:szCs w:val="22"/>
          <w:lang w:val="es-ES" w:eastAsia="es-ES"/>
        </w:rPr>
        <w:t>En marzo de ese año, se confirmó el procesamiento con prisión del integrante del “Escuadrón de la Muerte” Miguel Sofía por el homicidio de Héctor Castagnetto, arrojado al mar en el año 1971.</w:t>
      </w:r>
      <w:r w:rsidRPr="00A5161B">
        <w:rPr>
          <w:rFonts w:asciiTheme="minorHAnsi" w:hAnsiTheme="minorHAnsi" w:cstheme="minorHAnsi"/>
          <w:sz w:val="22"/>
          <w:szCs w:val="22"/>
          <w:vertAlign w:val="superscript"/>
          <w:lang w:val="es-ES" w:eastAsia="es-ES"/>
        </w:rPr>
        <w:footnoteReference w:id="2"/>
      </w:r>
      <w:r w:rsidRPr="00A5161B">
        <w:rPr>
          <w:rFonts w:asciiTheme="minorHAnsi" w:hAnsiTheme="minorHAnsi" w:cstheme="minorHAnsi"/>
          <w:sz w:val="22"/>
          <w:szCs w:val="22"/>
          <w:lang w:val="es-ES" w:eastAsia="es-ES"/>
        </w:rPr>
        <w:t xml:space="preserve"> En el mismo mes, la justicia determinó el procesamiento con prisión de los militares Antranig Ohannessian y Jorge Silveira por los delitos de abuso de autoridad contra detenidos, privación de libertad, lesiones graves y atentado violento al pudor. Ese procesamiento se produjo a partir de las denuncias realizadas por mujeres víctimas de violencia de género entre 1972 y 1983.</w:t>
      </w:r>
      <w:r w:rsidRPr="00A5161B">
        <w:rPr>
          <w:rFonts w:asciiTheme="minorHAnsi" w:hAnsiTheme="minorHAnsi" w:cstheme="minorHAnsi"/>
          <w:sz w:val="22"/>
          <w:szCs w:val="22"/>
          <w:vertAlign w:val="superscript"/>
          <w:lang w:val="es-ES" w:eastAsia="es-ES"/>
        </w:rPr>
        <w:footnoteReference w:id="3"/>
      </w:r>
    </w:p>
    <w:p w14:paraId="3D1CC514" w14:textId="77777777" w:rsidR="00EF0A97" w:rsidRPr="00A5161B" w:rsidRDefault="00EF0A97" w:rsidP="00EC44DB">
      <w:pPr>
        <w:pStyle w:val="AIBodyText"/>
        <w:rPr>
          <w:rFonts w:asciiTheme="minorHAnsi" w:hAnsiTheme="minorHAnsi" w:cstheme="minorHAnsi"/>
          <w:sz w:val="22"/>
          <w:szCs w:val="22"/>
          <w:lang w:val="es-ES" w:eastAsia="es-ES"/>
        </w:rPr>
      </w:pPr>
    </w:p>
    <w:p w14:paraId="69C25A35" w14:textId="4289D77E" w:rsidR="00A6639E" w:rsidRPr="00A5161B" w:rsidRDefault="00A6639E" w:rsidP="00EC44DB">
      <w:pPr>
        <w:pStyle w:val="AIBodyText"/>
        <w:rPr>
          <w:rFonts w:asciiTheme="minorHAnsi" w:hAnsiTheme="minorHAnsi" w:cstheme="minorHAnsi"/>
          <w:sz w:val="22"/>
          <w:szCs w:val="22"/>
          <w:lang w:val="es-ES" w:eastAsia="es-ES"/>
        </w:rPr>
      </w:pPr>
      <w:r w:rsidRPr="00A5161B">
        <w:rPr>
          <w:rFonts w:asciiTheme="minorHAnsi" w:hAnsiTheme="minorHAnsi" w:cstheme="minorHAnsi"/>
          <w:sz w:val="22"/>
          <w:szCs w:val="22"/>
          <w:lang w:val="es-ES" w:eastAsia="es-ES"/>
        </w:rPr>
        <w:t>En abril de 2021, la justicia dispuso asimismo el procesamiento con prisión efectiva de los militares José María Cabrera Rivas y Andrés Daniel Quintana García por los delitos de abuso de autoridad y privación de libertad cometidos en el Batallón de Ingenieros 2 de Florida, en 1972. Este fallo fue pronunciado por el tribunal de apelaciones tras la disposición de procesamiento sin prisión meses atrás.</w:t>
      </w:r>
      <w:r w:rsidRPr="00A5161B">
        <w:rPr>
          <w:rFonts w:asciiTheme="minorHAnsi" w:hAnsiTheme="minorHAnsi" w:cstheme="minorHAnsi"/>
          <w:sz w:val="22"/>
          <w:szCs w:val="22"/>
          <w:vertAlign w:val="superscript"/>
          <w:lang w:val="es-ES" w:eastAsia="es-ES"/>
        </w:rPr>
        <w:footnoteReference w:id="4"/>
      </w:r>
    </w:p>
    <w:p w14:paraId="7FB12CBA" w14:textId="77777777" w:rsidR="00EF0A97" w:rsidRPr="00A5161B" w:rsidRDefault="00EF0A97" w:rsidP="00EC44DB">
      <w:pPr>
        <w:pStyle w:val="AIBodyText"/>
        <w:rPr>
          <w:rFonts w:asciiTheme="minorHAnsi" w:hAnsiTheme="minorHAnsi" w:cstheme="minorHAnsi"/>
          <w:sz w:val="22"/>
          <w:szCs w:val="22"/>
          <w:lang w:val="es-ES" w:eastAsia="es-ES"/>
        </w:rPr>
      </w:pPr>
    </w:p>
    <w:p w14:paraId="600BA22E" w14:textId="13C174F9" w:rsidR="00A6639E" w:rsidRPr="00A5161B" w:rsidRDefault="00A6639E" w:rsidP="00EC44DB">
      <w:pPr>
        <w:pStyle w:val="AIBodyText"/>
        <w:rPr>
          <w:rFonts w:asciiTheme="minorHAnsi" w:hAnsiTheme="minorHAnsi" w:cstheme="minorHAnsi"/>
          <w:sz w:val="22"/>
          <w:szCs w:val="22"/>
          <w:lang w:val="es-ES" w:eastAsia="es-ES"/>
        </w:rPr>
      </w:pPr>
      <w:r w:rsidRPr="00A5161B">
        <w:rPr>
          <w:rFonts w:asciiTheme="minorHAnsi" w:hAnsiTheme="minorHAnsi" w:cstheme="minorHAnsi"/>
          <w:sz w:val="22"/>
          <w:szCs w:val="22"/>
          <w:lang w:val="es-ES" w:eastAsia="es-ES"/>
        </w:rPr>
        <w:t>También, durante abril y luego de un complicado proceso de extradición y de varias apelaciones, fue condenado el coronel retirado Eduardo Ferro, por homicidio muy especialmente agravado, privación de libertad y violencia privada, en particular por la desaparición forzada de Oscar Tassino en 1977.</w:t>
      </w:r>
      <w:r w:rsidRPr="00A5161B">
        <w:rPr>
          <w:rFonts w:asciiTheme="minorHAnsi" w:hAnsiTheme="minorHAnsi" w:cstheme="minorHAnsi"/>
          <w:sz w:val="22"/>
          <w:szCs w:val="22"/>
          <w:vertAlign w:val="superscript"/>
          <w:lang w:val="es-ES" w:eastAsia="es-ES"/>
        </w:rPr>
        <w:footnoteReference w:id="5"/>
      </w:r>
      <w:hyperlink w:history="1"/>
    </w:p>
    <w:p w14:paraId="6A53D3AD" w14:textId="77777777" w:rsidR="00EF0A97" w:rsidRPr="00A5161B" w:rsidRDefault="00EF0A97" w:rsidP="00EC44DB">
      <w:pPr>
        <w:pStyle w:val="AIBodyText"/>
        <w:rPr>
          <w:rFonts w:asciiTheme="minorHAnsi" w:hAnsiTheme="minorHAnsi" w:cstheme="minorHAnsi"/>
          <w:sz w:val="22"/>
          <w:szCs w:val="22"/>
          <w:lang w:val="es-ES" w:eastAsia="es-ES"/>
        </w:rPr>
      </w:pPr>
    </w:p>
    <w:p w14:paraId="3959B360" w14:textId="4B0DC538" w:rsidR="00A6639E" w:rsidRPr="00A5161B" w:rsidRDefault="00A6639E" w:rsidP="00EC44DB">
      <w:pPr>
        <w:pStyle w:val="AIBodyText"/>
        <w:rPr>
          <w:rFonts w:asciiTheme="minorHAnsi" w:hAnsiTheme="minorHAnsi" w:cstheme="minorHAnsi"/>
          <w:sz w:val="22"/>
          <w:szCs w:val="22"/>
          <w:lang w:val="es-ES" w:eastAsia="es-ES"/>
        </w:rPr>
      </w:pPr>
      <w:r w:rsidRPr="00A5161B">
        <w:rPr>
          <w:rFonts w:asciiTheme="minorHAnsi" w:hAnsiTheme="minorHAnsi" w:cstheme="minorHAnsi"/>
          <w:sz w:val="22"/>
          <w:szCs w:val="22"/>
          <w:lang w:val="es-ES" w:eastAsia="es-ES"/>
        </w:rPr>
        <w:t>En el mes de junio, se dictaminó prisión para los militares retirados Mario Aguerrondo, Raúl Scioscia, Carlos Frachelle y Manuel Cola; además de militares que actualmente cumplen condena: Jorge Silveira, Ernesto Ramas y José Nino Gavazzo. Los cargos por los que fue procesado el dictamen son privación de libertad y violencia privada contra 30 detenidos durante el gobierno militar en el centro clandestino conocido como 300 Carlos (Avenida de las Instrucciones y camino Casavalle), que funcionó entre 1975 y 1977. En ese lugar fueron desaparecidos forzadamente Eduardo Bleier, Fernando Miranda, Juan Manuel Brieba, Carlos Arévalo, Julio Correa, Otermín Montes de Oca, Julio Castro y Elena Quinteros.</w:t>
      </w:r>
      <w:r w:rsidRPr="00A5161B">
        <w:rPr>
          <w:rFonts w:asciiTheme="minorHAnsi" w:hAnsiTheme="minorHAnsi" w:cstheme="minorHAnsi"/>
          <w:sz w:val="22"/>
          <w:szCs w:val="22"/>
          <w:vertAlign w:val="superscript"/>
          <w:lang w:val="es-ES" w:eastAsia="es-ES"/>
        </w:rPr>
        <w:footnoteReference w:id="6"/>
      </w:r>
    </w:p>
    <w:p w14:paraId="41433C99" w14:textId="7C7B615B" w:rsidR="00A6639E" w:rsidRPr="00A5161B" w:rsidRDefault="00A6639E" w:rsidP="00EC44DB">
      <w:pPr>
        <w:pStyle w:val="AIBodyText"/>
        <w:rPr>
          <w:rFonts w:asciiTheme="minorHAnsi" w:hAnsiTheme="minorHAnsi" w:cstheme="minorHAnsi"/>
          <w:sz w:val="22"/>
          <w:szCs w:val="22"/>
          <w:lang w:val="es-ES" w:eastAsia="es-ES"/>
        </w:rPr>
      </w:pPr>
      <w:r w:rsidRPr="00A5161B">
        <w:rPr>
          <w:rFonts w:asciiTheme="minorHAnsi" w:hAnsiTheme="minorHAnsi" w:cstheme="minorHAnsi"/>
          <w:sz w:val="22"/>
          <w:szCs w:val="22"/>
          <w:lang w:val="es-ES" w:eastAsia="es-ES"/>
        </w:rPr>
        <w:lastRenderedPageBreak/>
        <w:t>Posteriormente,</w:t>
      </w:r>
      <w:r w:rsidR="00EC44DB">
        <w:rPr>
          <w:rFonts w:asciiTheme="minorHAnsi" w:hAnsiTheme="minorHAnsi" w:cstheme="minorHAnsi"/>
          <w:sz w:val="22"/>
          <w:szCs w:val="22"/>
          <w:lang w:val="es-ES" w:eastAsia="es-ES"/>
        </w:rPr>
        <w:t xml:space="preserve"> </w:t>
      </w:r>
      <w:r w:rsidRPr="00A5161B">
        <w:rPr>
          <w:rFonts w:asciiTheme="minorHAnsi" w:hAnsiTheme="minorHAnsi" w:cstheme="minorHAnsi"/>
          <w:sz w:val="22"/>
          <w:szCs w:val="22"/>
          <w:lang w:val="es-ES" w:eastAsia="es-ES"/>
        </w:rPr>
        <w:t>se procesó con prisión a los militares retirados Pedro Enrique Buzó, Néstor Silvera y Antranig</w:t>
      </w:r>
      <w:r w:rsidR="00EC44DB">
        <w:rPr>
          <w:rFonts w:asciiTheme="minorHAnsi" w:hAnsiTheme="minorHAnsi" w:cstheme="minorHAnsi"/>
          <w:sz w:val="22"/>
          <w:szCs w:val="22"/>
          <w:lang w:val="es-ES" w:eastAsia="es-ES"/>
        </w:rPr>
        <w:t xml:space="preserve"> </w:t>
      </w:r>
      <w:r w:rsidRPr="00A5161B">
        <w:rPr>
          <w:rFonts w:asciiTheme="minorHAnsi" w:hAnsiTheme="minorHAnsi" w:cstheme="minorHAnsi"/>
          <w:sz w:val="22"/>
          <w:szCs w:val="22"/>
          <w:lang w:val="es-ES" w:eastAsia="es-ES"/>
        </w:rPr>
        <w:t>Ohannessian</w:t>
      </w:r>
      <w:r w:rsidR="002929A3">
        <w:rPr>
          <w:rFonts w:asciiTheme="minorHAnsi" w:hAnsiTheme="minorHAnsi" w:cstheme="minorHAnsi"/>
          <w:sz w:val="22"/>
          <w:szCs w:val="22"/>
          <w:lang w:val="es-ES" w:eastAsia="es-ES"/>
        </w:rPr>
        <w:t xml:space="preserve"> </w:t>
      </w:r>
      <w:r w:rsidRPr="00A5161B">
        <w:rPr>
          <w:rFonts w:asciiTheme="minorHAnsi" w:hAnsiTheme="minorHAnsi" w:cstheme="minorHAnsi"/>
          <w:sz w:val="22"/>
          <w:szCs w:val="22"/>
          <w:lang w:val="es-ES" w:eastAsia="es-ES"/>
        </w:rPr>
        <w:t>(procesado en este mismo año por otra causa) por el asesinato de Gerardo Alter en 1973.</w:t>
      </w:r>
      <w:r w:rsidRPr="00A5161B">
        <w:rPr>
          <w:rFonts w:asciiTheme="minorHAnsi" w:hAnsiTheme="minorHAnsi" w:cstheme="minorHAnsi"/>
          <w:sz w:val="22"/>
          <w:szCs w:val="22"/>
          <w:vertAlign w:val="superscript"/>
          <w:lang w:val="es-ES" w:eastAsia="es-ES"/>
        </w:rPr>
        <w:footnoteReference w:id="7"/>
      </w:r>
      <w:r w:rsidRPr="00A5161B">
        <w:rPr>
          <w:rFonts w:asciiTheme="minorHAnsi" w:hAnsiTheme="minorHAnsi" w:cstheme="minorHAnsi"/>
          <w:sz w:val="22"/>
          <w:szCs w:val="22"/>
          <w:lang w:val="es-ES" w:eastAsia="es-ES"/>
        </w:rPr>
        <w:t>Se suma a ello el procesamiento de Gilberto Vázquez, Jorge Silveira y José Arab, que ya estaban privados de libertad por el secuestro de Anatole y Victoria Julien.</w:t>
      </w:r>
      <w:r w:rsidRPr="00A5161B">
        <w:rPr>
          <w:rFonts w:asciiTheme="minorHAnsi" w:eastAsia="Arial" w:hAnsiTheme="minorHAnsi" w:cstheme="minorHAnsi"/>
          <w:color w:val="000000"/>
          <w:sz w:val="22"/>
          <w:szCs w:val="22"/>
          <w:vertAlign w:val="superscript"/>
          <w:lang w:val="es-ES" w:eastAsia="es-ES"/>
        </w:rPr>
        <w:footnoteReference w:id="8"/>
      </w:r>
    </w:p>
    <w:p w14:paraId="0929BD38" w14:textId="77777777" w:rsidR="00EF0A97" w:rsidRPr="00A5161B" w:rsidRDefault="00EF0A97" w:rsidP="00EC44DB">
      <w:pPr>
        <w:pStyle w:val="AIBodyText"/>
        <w:rPr>
          <w:rFonts w:asciiTheme="minorHAnsi" w:hAnsiTheme="minorHAnsi" w:cstheme="minorHAnsi"/>
          <w:sz w:val="22"/>
          <w:szCs w:val="22"/>
          <w:lang w:val="es-ES" w:eastAsia="es-ES"/>
        </w:rPr>
      </w:pPr>
    </w:p>
    <w:p w14:paraId="4B788170" w14:textId="77777777" w:rsidR="00A6639E" w:rsidRPr="00A5161B" w:rsidRDefault="00A6639E" w:rsidP="00EC44DB">
      <w:pPr>
        <w:pStyle w:val="AIBodyText"/>
        <w:rPr>
          <w:rFonts w:asciiTheme="minorHAnsi" w:hAnsiTheme="minorHAnsi" w:cstheme="minorHAnsi"/>
          <w:sz w:val="22"/>
          <w:szCs w:val="22"/>
          <w:lang w:val="es-ES" w:eastAsia="es-ES"/>
        </w:rPr>
      </w:pPr>
      <w:r w:rsidRPr="00A5161B">
        <w:rPr>
          <w:rFonts w:asciiTheme="minorHAnsi" w:hAnsiTheme="minorHAnsi" w:cstheme="minorHAnsi"/>
          <w:sz w:val="22"/>
          <w:szCs w:val="22"/>
          <w:lang w:val="es-ES" w:eastAsia="es-ES"/>
        </w:rPr>
        <w:t>En julio 2021, el Tribunal de Casación de la Suprema Corte italiana, que juzgada varios casos asociados al Plan Cóndor, confirmó las sentencias de prisión perpetua para 14 militares y exmilitares por el asesinato y la desaparición forzada de 38 personas durante el régimen militar.</w:t>
      </w:r>
      <w:r w:rsidRPr="00A5161B">
        <w:rPr>
          <w:rFonts w:asciiTheme="minorHAnsi" w:hAnsiTheme="minorHAnsi" w:cstheme="minorHAnsi"/>
          <w:sz w:val="22"/>
          <w:szCs w:val="22"/>
          <w:vertAlign w:val="superscript"/>
          <w:lang w:val="es-ES" w:eastAsia="es-ES"/>
        </w:rPr>
        <w:footnoteReference w:id="9"/>
      </w:r>
    </w:p>
    <w:p w14:paraId="1A2ED736" w14:textId="77777777" w:rsidR="00EF0A97" w:rsidRPr="00A5161B" w:rsidRDefault="00EF0A97" w:rsidP="00EC44DB">
      <w:pPr>
        <w:pStyle w:val="AIBodyText"/>
        <w:rPr>
          <w:rFonts w:asciiTheme="minorHAnsi" w:hAnsiTheme="minorHAnsi" w:cstheme="minorHAnsi"/>
          <w:sz w:val="22"/>
          <w:szCs w:val="22"/>
          <w:lang w:val="es-ES" w:eastAsia="es-ES"/>
        </w:rPr>
      </w:pPr>
    </w:p>
    <w:p w14:paraId="690A86F1" w14:textId="51631328" w:rsidR="00A6639E" w:rsidRPr="00A5161B" w:rsidRDefault="00A6639E" w:rsidP="00EC44DB">
      <w:pPr>
        <w:pStyle w:val="AIBodyText"/>
        <w:rPr>
          <w:rFonts w:asciiTheme="minorHAnsi" w:hAnsiTheme="minorHAnsi" w:cstheme="minorHAnsi"/>
          <w:sz w:val="22"/>
          <w:szCs w:val="22"/>
          <w:lang w:val="es-ES" w:eastAsia="es-ES"/>
        </w:rPr>
      </w:pPr>
      <w:r w:rsidRPr="00A5161B">
        <w:rPr>
          <w:rFonts w:asciiTheme="minorHAnsi" w:hAnsiTheme="minorHAnsi" w:cstheme="minorHAnsi"/>
          <w:sz w:val="22"/>
          <w:szCs w:val="22"/>
          <w:lang w:val="es-ES" w:eastAsia="es-ES"/>
        </w:rPr>
        <w:t>En octubre, se procesó con prisión al capitán retirado Ramón Larrosa por los delitos de abuso de autoridad, lesiones graves y privación de libertad contra Hermes Pastorini en 1974.</w:t>
      </w:r>
      <w:r w:rsidRPr="00A5161B">
        <w:rPr>
          <w:rFonts w:asciiTheme="minorHAnsi" w:hAnsiTheme="minorHAnsi" w:cstheme="minorHAnsi"/>
          <w:sz w:val="22"/>
          <w:szCs w:val="22"/>
          <w:vertAlign w:val="superscript"/>
          <w:lang w:val="es-ES" w:eastAsia="es-ES"/>
        </w:rPr>
        <w:footnoteReference w:id="10"/>
      </w:r>
      <w:r w:rsidR="008374BE">
        <w:rPr>
          <w:rFonts w:asciiTheme="minorHAnsi" w:hAnsiTheme="minorHAnsi" w:cstheme="minorHAnsi"/>
          <w:sz w:val="22"/>
          <w:szCs w:val="22"/>
          <w:lang w:val="es-ES" w:eastAsia="es-ES"/>
        </w:rPr>
        <w:t xml:space="preserve"> </w:t>
      </w:r>
      <w:r w:rsidRPr="00A5161B">
        <w:rPr>
          <w:rFonts w:asciiTheme="minorHAnsi" w:hAnsiTheme="minorHAnsi" w:cstheme="minorHAnsi"/>
          <w:sz w:val="22"/>
          <w:szCs w:val="22"/>
          <w:lang w:val="es-ES" w:eastAsia="es-ES"/>
        </w:rPr>
        <w:t>El teniente Carlos Chajá Chaine fue procesado simultáneamente por abuso de autoridad, lesiones y privación de libertad contra cuatro militantes del Partido Comunista del Uruguay (PCU) en febrero de 1976.</w:t>
      </w:r>
      <w:r w:rsidRPr="00A5161B">
        <w:rPr>
          <w:rFonts w:asciiTheme="minorHAnsi" w:hAnsiTheme="minorHAnsi" w:cstheme="minorHAnsi"/>
          <w:sz w:val="22"/>
          <w:szCs w:val="22"/>
          <w:vertAlign w:val="superscript"/>
          <w:lang w:val="es-ES" w:eastAsia="es-ES"/>
        </w:rPr>
        <w:footnoteReference w:id="11"/>
      </w:r>
    </w:p>
    <w:p w14:paraId="16A07D1B" w14:textId="77777777" w:rsidR="00EF0A97" w:rsidRPr="00A5161B" w:rsidRDefault="00EF0A97" w:rsidP="00EC44DB">
      <w:pPr>
        <w:pStyle w:val="AIBodyText"/>
        <w:rPr>
          <w:rFonts w:asciiTheme="minorHAnsi" w:hAnsiTheme="minorHAnsi" w:cstheme="minorHAnsi"/>
          <w:sz w:val="22"/>
          <w:szCs w:val="22"/>
          <w:lang w:val="es-ES" w:eastAsia="es-ES"/>
        </w:rPr>
      </w:pPr>
    </w:p>
    <w:p w14:paraId="53E7C2E9" w14:textId="64F0AE1D" w:rsidR="00A6639E" w:rsidRPr="00A5161B" w:rsidRDefault="00A6639E" w:rsidP="00EC44DB">
      <w:pPr>
        <w:pStyle w:val="AIBodyText"/>
        <w:rPr>
          <w:rFonts w:asciiTheme="minorHAnsi" w:hAnsiTheme="minorHAnsi" w:cstheme="minorHAnsi"/>
          <w:sz w:val="22"/>
          <w:szCs w:val="22"/>
          <w:lang w:val="es-ES" w:eastAsia="es-ES"/>
        </w:rPr>
      </w:pPr>
      <w:r w:rsidRPr="00A5161B">
        <w:rPr>
          <w:rFonts w:asciiTheme="minorHAnsi" w:hAnsiTheme="minorHAnsi" w:cstheme="minorHAnsi"/>
          <w:sz w:val="22"/>
          <w:szCs w:val="22"/>
          <w:lang w:val="es-ES" w:eastAsia="es-ES"/>
        </w:rPr>
        <w:t>No obstante, durante 2021 no se registraron avances sustantivos en el descubrimiento o hallazgo de los cuerpos de personas desaparecidas como tampoco en los archivos que de tales crímenes pudiesen existir. En mayo de ese año, el Ministerio de Defensa entregó a la Institución Nacional de Derechos Humanos y Defensoría del Pueblo (INDDHH) una serie de archivos para su estudio. Sin embargo, especialistas señalaron que no se encuentran en ellos elementos significativos que puedan contribuir a las investigaciones.</w:t>
      </w:r>
      <w:r w:rsidRPr="00A5161B">
        <w:rPr>
          <w:rFonts w:asciiTheme="minorHAnsi" w:hAnsiTheme="minorHAnsi" w:cstheme="minorHAnsi"/>
          <w:sz w:val="22"/>
          <w:szCs w:val="22"/>
          <w:vertAlign w:val="superscript"/>
          <w:lang w:val="es-ES" w:eastAsia="es-ES"/>
        </w:rPr>
        <w:footnoteReference w:id="12"/>
      </w:r>
      <w:bookmarkStart w:id="0" w:name="_Toc105433603"/>
    </w:p>
    <w:p w14:paraId="7D2D4C0B" w14:textId="77777777" w:rsidR="00A6639E" w:rsidRPr="00A5161B" w:rsidRDefault="00A6639E" w:rsidP="00EC44DB">
      <w:pPr>
        <w:pStyle w:val="AIBodyText"/>
        <w:rPr>
          <w:rFonts w:asciiTheme="minorHAnsi" w:hAnsiTheme="minorHAnsi" w:cstheme="minorHAnsi"/>
          <w:sz w:val="22"/>
          <w:szCs w:val="22"/>
          <w:lang w:val="es-ES" w:eastAsia="es-ES"/>
        </w:rPr>
      </w:pPr>
    </w:p>
    <w:p w14:paraId="4DCB354F" w14:textId="77777777" w:rsidR="00A6639E" w:rsidRPr="00A5161B" w:rsidRDefault="00A6639E" w:rsidP="00EC44DB">
      <w:pPr>
        <w:pStyle w:val="AIBodyText"/>
        <w:numPr>
          <w:ilvl w:val="0"/>
          <w:numId w:val="6"/>
        </w:numPr>
        <w:suppressAutoHyphens/>
        <w:spacing w:after="120"/>
        <w:rPr>
          <w:rFonts w:asciiTheme="minorHAnsi" w:hAnsiTheme="minorHAnsi" w:cstheme="minorHAnsi"/>
          <w:sz w:val="22"/>
          <w:szCs w:val="22"/>
          <w:u w:val="single"/>
          <w:lang w:val="es-ES" w:eastAsia="es-ES"/>
        </w:rPr>
      </w:pPr>
      <w:r w:rsidRPr="00A5161B">
        <w:rPr>
          <w:rFonts w:asciiTheme="minorHAnsi" w:hAnsiTheme="minorHAnsi" w:cstheme="minorHAnsi"/>
          <w:sz w:val="22"/>
          <w:szCs w:val="22"/>
          <w:u w:val="single"/>
          <w:lang w:val="es-ES"/>
        </w:rPr>
        <w:t>Propuesta de prisión domiciliaria para procesados por crímenes de lesa humanidad</w:t>
      </w:r>
      <w:bookmarkEnd w:id="0"/>
    </w:p>
    <w:p w14:paraId="07C90686" w14:textId="77777777" w:rsidR="00A6639E" w:rsidRPr="00A5161B" w:rsidRDefault="00A6639E" w:rsidP="00EC44DB">
      <w:pPr>
        <w:pStyle w:val="AIBodyText"/>
        <w:ind w:left="720"/>
        <w:rPr>
          <w:rFonts w:asciiTheme="minorHAnsi" w:hAnsiTheme="minorHAnsi" w:cstheme="minorHAnsi"/>
          <w:sz w:val="22"/>
          <w:szCs w:val="22"/>
          <w:u w:val="single"/>
          <w:lang w:val="es-ES" w:eastAsia="es-ES"/>
        </w:rPr>
      </w:pPr>
    </w:p>
    <w:p w14:paraId="460BE898" w14:textId="77777777" w:rsidR="00A6639E" w:rsidRPr="00A5161B" w:rsidRDefault="00A6639E" w:rsidP="00EC44DB">
      <w:pPr>
        <w:pStyle w:val="AIBodyText"/>
        <w:rPr>
          <w:rFonts w:asciiTheme="minorHAnsi" w:hAnsiTheme="minorHAnsi" w:cstheme="minorHAnsi"/>
          <w:sz w:val="22"/>
          <w:szCs w:val="22"/>
          <w:lang w:val="es-ES" w:eastAsia="es-ES"/>
        </w:rPr>
      </w:pPr>
      <w:r w:rsidRPr="00A5161B">
        <w:rPr>
          <w:rFonts w:asciiTheme="minorHAnsi" w:hAnsiTheme="minorHAnsi" w:cstheme="minorHAnsi"/>
          <w:sz w:val="22"/>
          <w:szCs w:val="22"/>
          <w:lang w:val="es-ES" w:eastAsia="es-ES"/>
        </w:rPr>
        <w:t>En agosto 2021, Cabildo Abierto, partido político fundado y liderado por Guido Manini Ríos (excomandante en jefe del Ejército Nacional y que actualmente integra la coalición de gobierno), presentó un proyecto de ley sobre el Régimen de Prisión Domiciliaria que propuso se otorgue esta pena para los imputados o condenados mayores de 65 años. Ello, según sus dichos, para proteger su salud frente al impacto de la pandemia en la población privada de libertad y aliviar en consecuencia la sobrepoblación actual del sistema penitenciario.</w:t>
      </w:r>
      <w:r w:rsidRPr="00A5161B">
        <w:rPr>
          <w:rFonts w:asciiTheme="minorHAnsi" w:hAnsiTheme="minorHAnsi" w:cstheme="minorHAnsi"/>
          <w:sz w:val="22"/>
          <w:szCs w:val="22"/>
          <w:vertAlign w:val="superscript"/>
          <w:lang w:val="es-ES" w:eastAsia="es-ES"/>
        </w:rPr>
        <w:footnoteReference w:id="13"/>
      </w:r>
    </w:p>
    <w:p w14:paraId="71AC94DA" w14:textId="77777777" w:rsidR="00EF0A97" w:rsidRPr="00A5161B" w:rsidRDefault="00EF0A97" w:rsidP="00EC44DB">
      <w:pPr>
        <w:pStyle w:val="AIBodyText"/>
        <w:rPr>
          <w:rFonts w:asciiTheme="minorHAnsi" w:hAnsiTheme="minorHAnsi" w:cstheme="minorHAnsi"/>
          <w:sz w:val="22"/>
          <w:szCs w:val="22"/>
          <w:lang w:val="es-ES" w:eastAsia="es-ES"/>
        </w:rPr>
      </w:pPr>
    </w:p>
    <w:p w14:paraId="51E6E59C" w14:textId="7DA435EB" w:rsidR="00A6639E" w:rsidRPr="00A5161B" w:rsidRDefault="00A6639E" w:rsidP="00EC44DB">
      <w:pPr>
        <w:pStyle w:val="AIBodyText"/>
        <w:rPr>
          <w:rFonts w:asciiTheme="minorHAnsi" w:hAnsiTheme="minorHAnsi" w:cstheme="minorHAnsi"/>
          <w:sz w:val="22"/>
          <w:szCs w:val="22"/>
          <w:lang w:val="es-ES" w:eastAsia="es-ES"/>
        </w:rPr>
      </w:pPr>
      <w:r w:rsidRPr="00A5161B">
        <w:rPr>
          <w:rFonts w:asciiTheme="minorHAnsi" w:hAnsiTheme="minorHAnsi" w:cstheme="minorHAnsi"/>
          <w:sz w:val="22"/>
          <w:szCs w:val="22"/>
          <w:lang w:val="es-ES" w:eastAsia="es-ES"/>
        </w:rPr>
        <w:t>El Código de Proceso Penal vigente ya prevé la posibilidad de prisión domiciliaria para los mayores de 70 años, siendo un recurso utilizado por la Justicia para el 50% de los procesados y condenados por delitos de lesa humanidad.</w:t>
      </w:r>
      <w:r w:rsidRPr="00A5161B">
        <w:rPr>
          <w:rFonts w:asciiTheme="minorHAnsi" w:hAnsiTheme="minorHAnsi" w:cstheme="minorHAnsi"/>
          <w:sz w:val="22"/>
          <w:szCs w:val="22"/>
          <w:vertAlign w:val="superscript"/>
          <w:lang w:val="es-ES" w:eastAsia="es-ES"/>
        </w:rPr>
        <w:footnoteReference w:id="14"/>
      </w:r>
      <w:r w:rsidRPr="00A5161B">
        <w:rPr>
          <w:rFonts w:asciiTheme="minorHAnsi" w:hAnsiTheme="minorHAnsi" w:cstheme="minorHAnsi"/>
          <w:sz w:val="22"/>
          <w:szCs w:val="22"/>
          <w:lang w:val="es-ES" w:eastAsia="es-ES"/>
        </w:rPr>
        <w:t xml:space="preserve"> Por otro lado, según diversas estimaciones, el beneficio alcanzaría a casi 200 personas, incluyendo más de 20 condenados por crímenes de lesa humanidad que se encuentran cumpliendo sus penas en el centro penitenciario Domingo Arena. De ellos, un 80 % aproximadamente está recluido desde hace menos de dos años.</w:t>
      </w:r>
      <w:r w:rsidRPr="00A5161B">
        <w:rPr>
          <w:rFonts w:asciiTheme="minorHAnsi" w:hAnsiTheme="minorHAnsi" w:cstheme="minorHAnsi"/>
          <w:sz w:val="22"/>
          <w:szCs w:val="22"/>
          <w:vertAlign w:val="superscript"/>
          <w:lang w:val="es-ES" w:eastAsia="es-ES"/>
        </w:rPr>
        <w:footnoteReference w:id="15"/>
      </w:r>
    </w:p>
    <w:p w14:paraId="539DBEA2" w14:textId="77777777" w:rsidR="00EF0A97" w:rsidRPr="00A5161B" w:rsidRDefault="00EF0A97" w:rsidP="00EC44DB">
      <w:pPr>
        <w:pStyle w:val="AIBodyText"/>
        <w:rPr>
          <w:rFonts w:asciiTheme="minorHAnsi" w:hAnsiTheme="minorHAnsi" w:cstheme="minorHAnsi"/>
          <w:sz w:val="22"/>
          <w:szCs w:val="22"/>
          <w:lang w:val="es-ES" w:eastAsia="es-ES"/>
        </w:rPr>
      </w:pPr>
    </w:p>
    <w:p w14:paraId="22037C12" w14:textId="2C1E3351" w:rsidR="00A6639E" w:rsidRDefault="00A6639E" w:rsidP="00EC44DB">
      <w:pPr>
        <w:pStyle w:val="AIBodyText"/>
        <w:rPr>
          <w:rFonts w:asciiTheme="minorHAnsi" w:hAnsiTheme="minorHAnsi" w:cstheme="minorHAnsi"/>
          <w:sz w:val="22"/>
          <w:szCs w:val="22"/>
          <w:lang w:val="es-ES" w:eastAsia="es-ES"/>
        </w:rPr>
      </w:pPr>
      <w:r w:rsidRPr="00A5161B">
        <w:rPr>
          <w:rFonts w:asciiTheme="minorHAnsi" w:hAnsiTheme="minorHAnsi" w:cstheme="minorHAnsi"/>
          <w:sz w:val="22"/>
          <w:szCs w:val="22"/>
          <w:lang w:val="es-ES" w:eastAsia="es-ES"/>
        </w:rPr>
        <w:t>El proyecto de ley ha sido cuestionado por organizaciones de la sociedad civil, Relatores Especiales de la ONU y el Comisionado Parlamentario Penitenciario.</w:t>
      </w:r>
      <w:r w:rsidRPr="00A5161B">
        <w:rPr>
          <w:rFonts w:asciiTheme="minorHAnsi" w:hAnsiTheme="minorHAnsi" w:cstheme="minorHAnsi"/>
          <w:sz w:val="22"/>
          <w:szCs w:val="22"/>
          <w:vertAlign w:val="superscript"/>
          <w:lang w:val="es-ES" w:eastAsia="es-ES"/>
        </w:rPr>
        <w:footnoteReference w:id="16"/>
      </w:r>
      <w:r w:rsidRPr="00A5161B">
        <w:rPr>
          <w:rFonts w:asciiTheme="minorHAnsi" w:hAnsiTheme="minorHAnsi" w:cstheme="minorHAnsi"/>
          <w:sz w:val="22"/>
          <w:szCs w:val="22"/>
          <w:lang w:val="es-ES" w:eastAsia="es-ES"/>
        </w:rPr>
        <w:t xml:space="preserve"> El 19 de noviembre, la Institución Nacional de Derechos Humanos y Defensoría del Pueblo (INDDHH) publicó una carta enviada al ministro de Relaciones Exteriores </w:t>
      </w:r>
      <w:r w:rsidRPr="00A5161B">
        <w:rPr>
          <w:rFonts w:asciiTheme="minorHAnsi" w:hAnsiTheme="minorHAnsi" w:cstheme="minorHAnsi"/>
          <w:sz w:val="22"/>
          <w:szCs w:val="22"/>
          <w:lang w:val="es-ES" w:eastAsia="es-ES"/>
        </w:rPr>
        <w:lastRenderedPageBreak/>
        <w:t>de Uruguay, sobre las obligaciones internacionales de Uruguay en materia de derechos humanos.</w:t>
      </w:r>
      <w:r w:rsidRPr="00A5161B">
        <w:rPr>
          <w:rFonts w:asciiTheme="minorHAnsi" w:hAnsiTheme="minorHAnsi" w:cstheme="minorHAnsi"/>
          <w:sz w:val="22"/>
          <w:szCs w:val="22"/>
          <w:vertAlign w:val="superscript"/>
          <w:lang w:val="es-ES" w:eastAsia="es-ES"/>
        </w:rPr>
        <w:footnoteReference w:id="17"/>
      </w:r>
      <w:r w:rsidRPr="00A5161B">
        <w:rPr>
          <w:rFonts w:asciiTheme="minorHAnsi" w:hAnsiTheme="minorHAnsi" w:cstheme="minorHAnsi"/>
          <w:sz w:val="22"/>
          <w:szCs w:val="22"/>
          <w:lang w:val="es-ES" w:eastAsia="es-ES"/>
        </w:rPr>
        <w:t xml:space="preserve"> Los estándares internacionales establecen límites al otorgamiento de amnistías, indultos y otras medidas similiares de impunidad para los casos de personas halladas responsables de crímenes de lesa humanidad. </w:t>
      </w:r>
    </w:p>
    <w:p w14:paraId="1DA36552" w14:textId="77777777" w:rsidR="00C95864" w:rsidRPr="00A5161B" w:rsidRDefault="00C95864" w:rsidP="00EC44DB">
      <w:pPr>
        <w:pStyle w:val="AIBodyText"/>
        <w:rPr>
          <w:rFonts w:asciiTheme="minorHAnsi" w:hAnsiTheme="minorHAnsi" w:cstheme="minorHAnsi"/>
          <w:sz w:val="22"/>
          <w:szCs w:val="22"/>
          <w:lang w:val="es-ES" w:eastAsia="es-ES"/>
        </w:rPr>
      </w:pPr>
    </w:p>
    <w:p w14:paraId="6F00C56B" w14:textId="77777777" w:rsidR="00C95864" w:rsidRDefault="00A6639E" w:rsidP="00EC44DB">
      <w:pPr>
        <w:pStyle w:val="AIBodyText"/>
        <w:rPr>
          <w:rFonts w:asciiTheme="minorHAnsi" w:hAnsiTheme="minorHAnsi" w:cstheme="minorHAnsi"/>
          <w:sz w:val="22"/>
          <w:szCs w:val="22"/>
          <w:lang w:val="es-ES" w:eastAsia="es-ES"/>
        </w:rPr>
      </w:pPr>
      <w:r w:rsidRPr="00A5161B">
        <w:rPr>
          <w:rFonts w:asciiTheme="minorHAnsi" w:hAnsiTheme="minorHAnsi" w:cstheme="minorHAnsi"/>
          <w:sz w:val="22"/>
          <w:szCs w:val="22"/>
          <w:lang w:val="es-ES" w:eastAsia="es-ES"/>
        </w:rPr>
        <w:t xml:space="preserve">Además, el proyecto presenta importantes debilidades técnicas: el argumento principal de la solicitud funda la misma en razones sanitarias, pero el pedido llega en un momento de relativo control de la pandemia. </w:t>
      </w:r>
    </w:p>
    <w:p w14:paraId="7ABB95AD" w14:textId="2072CBCA" w:rsidR="00A6639E" w:rsidRPr="00A5161B" w:rsidRDefault="00A6639E" w:rsidP="00EC44DB">
      <w:pPr>
        <w:pStyle w:val="AIBodyText"/>
        <w:rPr>
          <w:rFonts w:asciiTheme="minorHAnsi" w:hAnsiTheme="minorHAnsi" w:cstheme="minorHAnsi"/>
          <w:sz w:val="22"/>
          <w:szCs w:val="22"/>
          <w:lang w:val="es-ES" w:eastAsia="es-ES"/>
        </w:rPr>
      </w:pPr>
      <w:r w:rsidRPr="00A5161B">
        <w:rPr>
          <w:rFonts w:asciiTheme="minorHAnsi" w:hAnsiTheme="minorHAnsi" w:cstheme="minorHAnsi"/>
          <w:sz w:val="22"/>
          <w:szCs w:val="22"/>
          <w:lang w:val="es-ES" w:eastAsia="es-ES"/>
        </w:rPr>
        <w:t>Tampoco se establecen límites de tiempo de la prisión domiciliaria en caso de que las condiciones sanitarias mejoren y, por último, las condiciones actuales de estas personas no reflejan los problemas estructurales y graves de hacinamiento en el sistema penitenciario de Uruguay.</w:t>
      </w:r>
    </w:p>
    <w:p w14:paraId="57A6CFEE" w14:textId="77777777" w:rsidR="00EF0A97" w:rsidRPr="00A5161B" w:rsidRDefault="00EF0A97" w:rsidP="00EC44DB">
      <w:pPr>
        <w:pStyle w:val="AIBodyText"/>
        <w:rPr>
          <w:rFonts w:asciiTheme="minorHAnsi" w:hAnsiTheme="minorHAnsi" w:cstheme="minorHAnsi"/>
          <w:sz w:val="22"/>
          <w:szCs w:val="22"/>
          <w:lang w:val="es-ES" w:eastAsia="es-ES"/>
        </w:rPr>
      </w:pPr>
    </w:p>
    <w:p w14:paraId="096A1792" w14:textId="77777777" w:rsidR="00A6639E" w:rsidRPr="00A5161B" w:rsidRDefault="00A6639E" w:rsidP="00EC44DB">
      <w:pPr>
        <w:pStyle w:val="AIBodyText"/>
        <w:rPr>
          <w:rFonts w:asciiTheme="minorHAnsi" w:hAnsiTheme="minorHAnsi" w:cstheme="minorHAnsi"/>
          <w:sz w:val="22"/>
          <w:szCs w:val="22"/>
          <w:lang w:val="es-ES" w:eastAsia="es-ES"/>
        </w:rPr>
      </w:pPr>
      <w:r w:rsidRPr="00A5161B">
        <w:rPr>
          <w:rFonts w:asciiTheme="minorHAnsi" w:hAnsiTheme="minorHAnsi" w:cstheme="minorHAnsi"/>
          <w:sz w:val="22"/>
          <w:szCs w:val="22"/>
          <w:lang w:val="es-ES" w:eastAsia="es-ES"/>
        </w:rPr>
        <w:t>La protección de la vida y la garantía del derecho a la salud de una persona privada de la libertad que, por supuesto son preocupaciones válidas de un Estado, no implican necesariamente el perdón de la pena o que su ejecución sea ilusoria. La Corte Interamericana de Derechos Humanos (CtIDH) ha establecido que corresponde al Estado, en cada caso en particular, valorar proporcionalmente cuál es la medida de carácter administrativo o figura jurídica que permita proteger la vida y la integridad del condenado, siempre que la misma se otorgue debidamente y siguiendo un fin legítimo que no signifique únicamente dejar de asegurar la ejecución de la pena</w:t>
      </w:r>
      <w:r w:rsidRPr="00A5161B">
        <w:rPr>
          <w:rFonts w:asciiTheme="minorHAnsi" w:hAnsiTheme="minorHAnsi" w:cstheme="minorHAnsi"/>
          <w:sz w:val="22"/>
          <w:szCs w:val="22"/>
          <w:vertAlign w:val="superscript"/>
          <w:lang w:val="es-ES" w:eastAsia="es-ES"/>
        </w:rPr>
        <w:footnoteReference w:id="18"/>
      </w:r>
      <w:r w:rsidRPr="00A5161B">
        <w:rPr>
          <w:rFonts w:asciiTheme="minorHAnsi" w:hAnsiTheme="minorHAnsi" w:cstheme="minorHAnsi"/>
          <w:sz w:val="22"/>
          <w:szCs w:val="22"/>
          <w:lang w:val="es-ES" w:eastAsia="es-ES"/>
        </w:rPr>
        <w:t xml:space="preserve">. En casos de graves violaciones de derechos humanos dicha medida o figura jurídica debe ser la que menos restrinja el derecho de acceso a la justicia de las víctimas y debe ser aplicada en casos muy extremos y por una necesidad imperiosa, que debe ser analizada caso por caso y no puede darse en abstracto. Esto no significa que la figura jurídica o medida que tenga que adoptar el Estado sea necesariamente una que ponga en libertad al condenado y, mucho menos, que implique la extinción de la pena. </w:t>
      </w:r>
    </w:p>
    <w:p w14:paraId="1A9A2572" w14:textId="77777777" w:rsidR="00EF0A97" w:rsidRPr="00A5161B" w:rsidRDefault="00EF0A97" w:rsidP="00EC44DB">
      <w:pPr>
        <w:pStyle w:val="AIBodyText"/>
        <w:rPr>
          <w:rFonts w:asciiTheme="minorHAnsi" w:hAnsiTheme="minorHAnsi" w:cstheme="minorHAnsi"/>
          <w:sz w:val="22"/>
          <w:szCs w:val="22"/>
          <w:lang w:val="es-ES" w:eastAsia="es-ES"/>
        </w:rPr>
      </w:pPr>
    </w:p>
    <w:p w14:paraId="782075EF" w14:textId="5D51EF3C" w:rsidR="00A6639E" w:rsidRPr="001618BB" w:rsidRDefault="00A6639E" w:rsidP="001618BB">
      <w:pPr>
        <w:pStyle w:val="AIBodyText"/>
        <w:rPr>
          <w:rFonts w:asciiTheme="minorHAnsi" w:hAnsiTheme="minorHAnsi" w:cstheme="minorHAnsi"/>
          <w:sz w:val="22"/>
          <w:szCs w:val="22"/>
          <w:lang w:val="es-ES" w:eastAsia="es-ES"/>
        </w:rPr>
      </w:pPr>
      <w:r w:rsidRPr="00A5161B">
        <w:rPr>
          <w:rFonts w:asciiTheme="minorHAnsi" w:hAnsiTheme="minorHAnsi" w:cstheme="minorHAnsi"/>
          <w:sz w:val="22"/>
          <w:szCs w:val="22"/>
          <w:lang w:val="es-ES" w:eastAsia="es-ES"/>
        </w:rPr>
        <w:t>La CtIDH ha establecido que los Estados tienen el deber ineludible de investigar, juzgar y, de ser el caso, sancionar a quienes han cometido crímenes de lesa humanidad. En este sentido, la Corte ha establecido que hay elementos que deben caracterizar un indulto concedido a una persona condenada por graves violaciones de derechos humanos y crímenes de lesa humanidad, además de su situación de salud, tales como: que se haya cumplido una parte considerable de la pena privativa de libertad y se haya pagado la reparación civil impuesta en la condena; la conducta del condenado respecto al esclarecimiento de la verdad; el reconocimiento de la gravedad de los delitos perpetrados y su rehabilitación; y los efectos que su liberación anticipada tendría a nivel social y sobre las víctimas y sus familiares.</w:t>
      </w:r>
      <w:r w:rsidRPr="00A5161B">
        <w:rPr>
          <w:rFonts w:asciiTheme="minorHAnsi" w:hAnsiTheme="minorHAnsi" w:cstheme="minorHAnsi"/>
          <w:sz w:val="22"/>
          <w:szCs w:val="22"/>
          <w:vertAlign w:val="superscript"/>
          <w:lang w:val="es-ES" w:eastAsia="es-ES"/>
        </w:rPr>
        <w:footnoteReference w:id="19"/>
      </w:r>
      <w:r w:rsidRPr="00A5161B">
        <w:rPr>
          <w:rFonts w:asciiTheme="minorHAnsi" w:hAnsiTheme="minorHAnsi" w:cstheme="minorHAnsi"/>
          <w:sz w:val="22"/>
          <w:szCs w:val="22"/>
          <w:lang w:val="es-ES" w:eastAsia="es-ES"/>
        </w:rPr>
        <w:t xml:space="preserve"> Si bien en este caso la propuesta de ley no es un indulto, tendría efectos similares sobre las personas condenadas por delitos de lesa humanidad, que no cumplirían con la pena que les ha sido impuesta, y por ende, también sobre víctimas y familiares en su derecho a la justicia.</w:t>
      </w:r>
    </w:p>
    <w:p w14:paraId="10594764" w14:textId="77777777" w:rsidR="00A6639E" w:rsidRPr="00E7582C" w:rsidRDefault="00A6639E" w:rsidP="00EC44DB">
      <w:pPr>
        <w:pStyle w:val="AISubHeading"/>
        <w:rPr>
          <w:lang w:val="es-ES"/>
        </w:rPr>
      </w:pPr>
      <w:r w:rsidRPr="00E7582C">
        <w:rPr>
          <w:lang w:val="es-ES"/>
        </w:rPr>
        <w:t>II. Defectuosa adaptación de la Convención Internacional para la protección de todas las personas contra las desapariciones forzadas en la normativa nacional uruguaya</w:t>
      </w:r>
    </w:p>
    <w:p w14:paraId="4C147AA7" w14:textId="77777777" w:rsidR="00A6639E" w:rsidRPr="00E7582C" w:rsidRDefault="00A6639E" w:rsidP="00EC44DB">
      <w:pPr>
        <w:rPr>
          <w:rFonts w:ascii="Amnesty Trade Gothic" w:hAnsi="Amnesty Trade Gothic" w:cstheme="minorHAnsi"/>
          <w:b/>
          <w:bCs/>
          <w:sz w:val="22"/>
          <w:szCs w:val="22"/>
          <w:lang w:val="es-ES"/>
        </w:rPr>
      </w:pPr>
    </w:p>
    <w:p w14:paraId="48B242C4" w14:textId="77777777" w:rsidR="00A6639E" w:rsidRPr="00A5161B" w:rsidRDefault="00A6639E" w:rsidP="00EC44DB">
      <w:pPr>
        <w:rPr>
          <w:rFonts w:asciiTheme="minorHAnsi" w:hAnsiTheme="minorHAnsi" w:cstheme="minorHAnsi"/>
          <w:sz w:val="22"/>
          <w:szCs w:val="22"/>
          <w:lang w:val="es-ES"/>
        </w:rPr>
      </w:pPr>
      <w:r w:rsidRPr="00A5161B">
        <w:rPr>
          <w:rFonts w:asciiTheme="minorHAnsi" w:hAnsiTheme="minorHAnsi" w:cstheme="minorHAnsi"/>
          <w:sz w:val="22"/>
          <w:szCs w:val="22"/>
          <w:lang w:val="es-ES"/>
        </w:rPr>
        <w:t>Amnistía Internacional considera que la represión de las conductas criminales consignadas en la Convención Internacional para la protección de todas las personas contra las desapariciones forzadas es solo parcial en la legislación uruguaya.</w:t>
      </w:r>
    </w:p>
    <w:p w14:paraId="79B83AD5" w14:textId="77777777" w:rsidR="00A6639E" w:rsidRPr="00A5161B" w:rsidRDefault="00A6639E" w:rsidP="00EC44DB">
      <w:pPr>
        <w:rPr>
          <w:rFonts w:asciiTheme="minorHAnsi" w:hAnsiTheme="minorHAnsi" w:cstheme="minorHAnsi"/>
          <w:sz w:val="22"/>
          <w:szCs w:val="22"/>
          <w:lang w:val="es-ES"/>
        </w:rPr>
      </w:pPr>
    </w:p>
    <w:p w14:paraId="2BB5F138" w14:textId="77777777" w:rsidR="00A6639E" w:rsidRPr="00A5161B" w:rsidRDefault="00A6639E" w:rsidP="00EC44DB">
      <w:pPr>
        <w:rPr>
          <w:rFonts w:asciiTheme="minorHAnsi" w:hAnsiTheme="minorHAnsi" w:cstheme="minorHAnsi"/>
          <w:sz w:val="22"/>
          <w:szCs w:val="22"/>
          <w:lang w:val="es-ES"/>
        </w:rPr>
      </w:pPr>
      <w:r w:rsidRPr="00A5161B">
        <w:rPr>
          <w:rFonts w:asciiTheme="minorHAnsi" w:hAnsiTheme="minorHAnsi" w:cstheme="minorHAnsi"/>
          <w:sz w:val="22"/>
          <w:szCs w:val="22"/>
          <w:lang w:val="es-ES"/>
        </w:rPr>
        <w:t>En efecto, la Ley Nº18.026 reprime al que:</w:t>
      </w:r>
    </w:p>
    <w:p w14:paraId="7DF3C449" w14:textId="77777777" w:rsidR="00A6639E" w:rsidRPr="00E7582C" w:rsidRDefault="00A6639E" w:rsidP="00EC44DB">
      <w:pPr>
        <w:rPr>
          <w:rFonts w:ascii="Amnesty Trade Gothic" w:hAnsi="Amnesty Trade Gothic" w:cstheme="minorHAnsi"/>
          <w:sz w:val="22"/>
          <w:szCs w:val="22"/>
          <w:lang w:val="es-ES"/>
        </w:rPr>
      </w:pPr>
    </w:p>
    <w:p w14:paraId="0BBE27A6" w14:textId="121245FE" w:rsidR="00A6639E" w:rsidRPr="00E7582C" w:rsidRDefault="00A6639E" w:rsidP="00EC44DB">
      <w:pPr>
        <w:ind w:left="708"/>
        <w:rPr>
          <w:rFonts w:ascii="Amnesty Trade Gothic" w:hAnsi="Amnesty Trade Gothic" w:cstheme="minorHAnsi"/>
          <w:sz w:val="22"/>
          <w:szCs w:val="22"/>
          <w:lang w:val="es-ES"/>
        </w:rPr>
      </w:pPr>
      <w:r w:rsidRPr="00E7582C">
        <w:rPr>
          <w:rFonts w:ascii="Amnesty Trade Gothic" w:hAnsi="Amnesty Trade Gothic" w:cstheme="minorHAnsi"/>
          <w:sz w:val="22"/>
          <w:szCs w:val="22"/>
          <w:lang w:val="es-ES"/>
        </w:rPr>
        <w:t xml:space="preserve">'de cualquier manera y por cualquier motivo, </w:t>
      </w:r>
      <w:r w:rsidRPr="00E7582C">
        <w:rPr>
          <w:rFonts w:ascii="Amnesty Trade Gothic" w:hAnsi="Amnesty Trade Gothic" w:cstheme="minorHAnsi"/>
          <w:b/>
          <w:bCs/>
          <w:sz w:val="22"/>
          <w:szCs w:val="22"/>
          <w:lang w:val="es-ES"/>
        </w:rPr>
        <w:t>siendo agente del Estado o sin serlo contando con la autorización, apoyo o aquiescencia de uno o más agentes del Estado,</w:t>
      </w:r>
      <w:r w:rsidRPr="00E7582C">
        <w:rPr>
          <w:rFonts w:ascii="Amnesty Trade Gothic" w:hAnsi="Amnesty Trade Gothic" w:cstheme="minorHAnsi"/>
          <w:sz w:val="22"/>
          <w:szCs w:val="22"/>
          <w:lang w:val="es-ES"/>
        </w:rPr>
        <w:t xml:space="preserve"> procediere a privar de libertad a una persona, seguido de la negativa de</w:t>
      </w:r>
      <w:r w:rsidR="003D1BCC">
        <w:rPr>
          <w:rFonts w:ascii="Amnesty Trade Gothic" w:hAnsi="Amnesty Trade Gothic" w:cstheme="minorHAnsi"/>
          <w:sz w:val="22"/>
          <w:szCs w:val="22"/>
          <w:lang w:val="es-ES"/>
        </w:rPr>
        <w:t xml:space="preserve"> </w:t>
      </w:r>
      <w:r w:rsidRPr="00E7582C">
        <w:rPr>
          <w:rFonts w:ascii="Amnesty Trade Gothic" w:hAnsi="Amnesty Trade Gothic" w:cstheme="minorHAnsi"/>
          <w:sz w:val="22"/>
          <w:szCs w:val="22"/>
          <w:lang w:val="es-ES"/>
        </w:rPr>
        <w:t xml:space="preserve">informar sobre la privación de libertad o el paradero o la </w:t>
      </w:r>
      <w:r w:rsidRPr="00E7582C">
        <w:rPr>
          <w:rFonts w:ascii="Amnesty Trade Gothic" w:hAnsi="Amnesty Trade Gothic" w:cstheme="minorHAnsi"/>
          <w:sz w:val="22"/>
          <w:szCs w:val="22"/>
          <w:lang w:val="es-ES"/>
        </w:rPr>
        <w:lastRenderedPageBreak/>
        <w:t>suerte de la persona privada de libertad; o que omita y se niegue a</w:t>
      </w:r>
      <w:r w:rsidR="003D1BCC">
        <w:rPr>
          <w:rFonts w:ascii="Amnesty Trade Gothic" w:hAnsi="Amnesty Trade Gothic" w:cstheme="minorHAnsi"/>
          <w:sz w:val="22"/>
          <w:szCs w:val="22"/>
          <w:lang w:val="es-ES"/>
        </w:rPr>
        <w:t xml:space="preserve"> </w:t>
      </w:r>
      <w:r w:rsidRPr="00E7582C">
        <w:rPr>
          <w:rFonts w:ascii="Amnesty Trade Gothic" w:hAnsi="Amnesty Trade Gothic" w:cstheme="minorHAnsi"/>
          <w:sz w:val="22"/>
          <w:szCs w:val="22"/>
          <w:lang w:val="es-ES"/>
        </w:rPr>
        <w:t>brindar información sobre el hecho de la privación de libertad de una persona desaparecida, su paradero o suerte, será</w:t>
      </w:r>
      <w:r w:rsidR="003D1BCC">
        <w:rPr>
          <w:rFonts w:ascii="Amnesty Trade Gothic" w:hAnsi="Amnesty Trade Gothic" w:cstheme="minorHAnsi"/>
          <w:sz w:val="22"/>
          <w:szCs w:val="22"/>
          <w:lang w:val="es-ES"/>
        </w:rPr>
        <w:t xml:space="preserve"> </w:t>
      </w:r>
      <w:r w:rsidRPr="00E7582C">
        <w:rPr>
          <w:rFonts w:ascii="Amnesty Trade Gothic" w:hAnsi="Amnesty Trade Gothic" w:cstheme="minorHAnsi"/>
          <w:sz w:val="22"/>
          <w:szCs w:val="22"/>
          <w:lang w:val="es-ES"/>
        </w:rPr>
        <w:t>castigado con dos a veinticinco años de penitenciaría' (Artículo 21(1))</w:t>
      </w:r>
    </w:p>
    <w:p w14:paraId="1903B9FD" w14:textId="77777777" w:rsidR="00A6639E" w:rsidRPr="00E7582C" w:rsidRDefault="00A6639E" w:rsidP="00EC44DB">
      <w:pPr>
        <w:rPr>
          <w:rFonts w:ascii="Amnesty Trade Gothic" w:hAnsi="Amnesty Trade Gothic" w:cstheme="minorHAnsi"/>
          <w:sz w:val="22"/>
          <w:szCs w:val="22"/>
          <w:lang w:val="es-ES"/>
        </w:rPr>
      </w:pPr>
    </w:p>
    <w:p w14:paraId="3F02D89B" w14:textId="78ED9D54" w:rsidR="00A6639E" w:rsidRPr="00A5161B" w:rsidRDefault="00A6639E" w:rsidP="00EC44DB">
      <w:pPr>
        <w:rPr>
          <w:rFonts w:asciiTheme="minorHAnsi" w:hAnsiTheme="minorHAnsi" w:cstheme="minorHAnsi"/>
          <w:sz w:val="22"/>
          <w:szCs w:val="22"/>
          <w:lang w:val="es-ES"/>
        </w:rPr>
      </w:pPr>
      <w:r w:rsidRPr="00A5161B">
        <w:rPr>
          <w:rFonts w:asciiTheme="minorHAnsi" w:hAnsiTheme="minorHAnsi" w:cstheme="minorHAnsi"/>
          <w:sz w:val="22"/>
          <w:szCs w:val="22"/>
          <w:lang w:val="es-ES"/>
        </w:rPr>
        <w:t>No obstante, la Convención, que impone obligaciones de derecho internacional que deben ser cumplidas de buena fe por los Estados parte, también dispone que:</w:t>
      </w:r>
    </w:p>
    <w:p w14:paraId="4EB9A8EF" w14:textId="77777777" w:rsidR="00A5161B" w:rsidRPr="00E7582C" w:rsidRDefault="00A5161B" w:rsidP="00EC44DB">
      <w:pPr>
        <w:rPr>
          <w:rFonts w:ascii="Amnesty Trade Gothic" w:hAnsi="Amnesty Trade Gothic" w:cstheme="minorHAnsi"/>
          <w:sz w:val="22"/>
          <w:szCs w:val="22"/>
          <w:lang w:val="es-ES"/>
        </w:rPr>
      </w:pPr>
    </w:p>
    <w:p w14:paraId="6B3C86E6" w14:textId="77777777" w:rsidR="00A6639E" w:rsidRPr="00E7582C" w:rsidRDefault="00A6639E" w:rsidP="00EC44DB">
      <w:pPr>
        <w:ind w:left="708"/>
        <w:rPr>
          <w:rFonts w:ascii="Amnesty Trade Gothic" w:hAnsi="Amnesty Trade Gothic" w:cstheme="minorHAnsi"/>
          <w:sz w:val="22"/>
          <w:szCs w:val="22"/>
          <w:lang w:val="es-ES"/>
        </w:rPr>
      </w:pPr>
      <w:r w:rsidRPr="00E7582C">
        <w:rPr>
          <w:rFonts w:ascii="Amnesty Trade Gothic" w:hAnsi="Amnesty Trade Gothic" w:cstheme="minorHAnsi"/>
          <w:sz w:val="22"/>
          <w:szCs w:val="22"/>
          <w:lang w:val="es-ES"/>
        </w:rPr>
        <w:t xml:space="preserve">'Los Estados Partes tomarán las medidas apropiadas para investigar sobre las conductas definidas en el artículo 2 </w:t>
      </w:r>
      <w:r w:rsidRPr="00E7582C">
        <w:rPr>
          <w:rFonts w:ascii="Amnesty Trade Gothic" w:hAnsi="Amnesty Trade Gothic" w:cstheme="minorHAnsi"/>
          <w:b/>
          <w:bCs/>
          <w:sz w:val="22"/>
          <w:szCs w:val="22"/>
          <w:lang w:val="es-ES"/>
        </w:rPr>
        <w:t>que sean obra de personas o grupos de personas que actúen sin la autorización, el apoyo o la aquiescencia del Estado,</w:t>
      </w:r>
      <w:r w:rsidRPr="00E7582C">
        <w:rPr>
          <w:rFonts w:ascii="Amnesty Trade Gothic" w:hAnsi="Amnesty Trade Gothic" w:cstheme="minorHAnsi"/>
          <w:sz w:val="22"/>
          <w:szCs w:val="22"/>
          <w:lang w:val="es-ES"/>
        </w:rPr>
        <w:t xml:space="preserve"> y para procesar a los responsables' (Artículo 3)</w:t>
      </w:r>
    </w:p>
    <w:p w14:paraId="0C102888" w14:textId="77777777" w:rsidR="00A6639E" w:rsidRPr="00E7582C" w:rsidRDefault="00A6639E" w:rsidP="00EC44DB">
      <w:pPr>
        <w:rPr>
          <w:rFonts w:ascii="Amnesty Trade Gothic" w:hAnsi="Amnesty Trade Gothic" w:cstheme="minorHAnsi"/>
          <w:b/>
          <w:bCs/>
          <w:sz w:val="22"/>
          <w:szCs w:val="22"/>
          <w:lang w:val="es-ES"/>
        </w:rPr>
      </w:pPr>
    </w:p>
    <w:p w14:paraId="62EFB05D" w14:textId="77777777" w:rsidR="00A6639E" w:rsidRPr="00A5161B" w:rsidRDefault="00A6639E" w:rsidP="00EC44DB">
      <w:pPr>
        <w:rPr>
          <w:rFonts w:asciiTheme="minorHAnsi" w:hAnsiTheme="minorHAnsi" w:cstheme="minorHAnsi"/>
          <w:sz w:val="22"/>
          <w:szCs w:val="22"/>
          <w:lang w:val="es-ES"/>
        </w:rPr>
      </w:pPr>
      <w:r w:rsidRPr="00A5161B">
        <w:rPr>
          <w:rFonts w:asciiTheme="minorHAnsi" w:hAnsiTheme="minorHAnsi" w:cstheme="minorHAnsi"/>
          <w:sz w:val="22"/>
          <w:szCs w:val="22"/>
          <w:lang w:val="es-ES"/>
        </w:rPr>
        <w:t>Adviértase que la represión del crimen de derecho internacional descrito en el Artículo 3 de la Convención, pese a constituir una obligación convencional para el Estado uruguayo, no halla reconocimiento en su legislación y es ignorada hasta el presente.</w:t>
      </w:r>
    </w:p>
    <w:p w14:paraId="204DBA27" w14:textId="77777777" w:rsidR="00A6639E" w:rsidRPr="00A5161B" w:rsidRDefault="00A6639E" w:rsidP="00EC44DB">
      <w:pPr>
        <w:rPr>
          <w:rFonts w:asciiTheme="minorHAnsi" w:hAnsiTheme="minorHAnsi" w:cstheme="minorHAnsi"/>
          <w:sz w:val="22"/>
          <w:szCs w:val="22"/>
          <w:lang w:val="es-ES"/>
        </w:rPr>
      </w:pPr>
    </w:p>
    <w:p w14:paraId="373350BC" w14:textId="1B7B4B27" w:rsidR="00A6639E" w:rsidRPr="001618BB" w:rsidRDefault="00A6639E" w:rsidP="00EC44DB">
      <w:pPr>
        <w:rPr>
          <w:rFonts w:asciiTheme="minorHAnsi" w:hAnsiTheme="minorHAnsi" w:cstheme="minorHAnsi"/>
          <w:sz w:val="22"/>
          <w:szCs w:val="22"/>
          <w:lang w:val="es-ES"/>
        </w:rPr>
      </w:pPr>
      <w:r w:rsidRPr="00A5161B">
        <w:rPr>
          <w:rFonts w:asciiTheme="minorHAnsi" w:hAnsiTheme="minorHAnsi" w:cstheme="minorHAnsi"/>
          <w:sz w:val="22"/>
          <w:szCs w:val="22"/>
          <w:lang w:val="es-ES"/>
        </w:rPr>
        <w:t>Aunque la Ley 18.026 es anterior en el tiempo a la ratificación de la Convención por parte de Uruguay (2009), ello no obsta a la obligación que señalamos y las autoridades gubernamentales uruguayas deben adoptar con prontitud las medidas necesarias para hacer de la conducta descrita en el Artículo 3 de la Convención un comportamiento criminal castigado por la legislación nacional.</w:t>
      </w:r>
    </w:p>
    <w:p w14:paraId="46AD0D25" w14:textId="77777777" w:rsidR="00A6639E" w:rsidRPr="00E7582C" w:rsidRDefault="00A6639E" w:rsidP="00EC44DB">
      <w:pPr>
        <w:pStyle w:val="AISubHeading"/>
        <w:rPr>
          <w:lang w:val="es-ES"/>
        </w:rPr>
      </w:pPr>
      <w:r w:rsidRPr="00E7582C">
        <w:rPr>
          <w:lang w:val="es-ES"/>
        </w:rPr>
        <w:t>III. Recomendaciones</w:t>
      </w:r>
    </w:p>
    <w:p w14:paraId="77DE1DE7" w14:textId="77777777" w:rsidR="00A6639E" w:rsidRPr="00E7582C" w:rsidRDefault="00A6639E" w:rsidP="00EC44DB">
      <w:pPr>
        <w:rPr>
          <w:rFonts w:ascii="Amnesty Trade Gothic" w:hAnsi="Amnesty Trade Gothic" w:cstheme="minorHAnsi"/>
          <w:sz w:val="22"/>
          <w:szCs w:val="22"/>
          <w:lang w:val="es-ES"/>
        </w:rPr>
      </w:pPr>
    </w:p>
    <w:p w14:paraId="1F2E227A" w14:textId="4F29351C" w:rsidR="00A6639E" w:rsidRPr="00A5161B" w:rsidRDefault="00A6639E" w:rsidP="00EC44DB">
      <w:pPr>
        <w:pStyle w:val="AIBodyText"/>
        <w:rPr>
          <w:rFonts w:asciiTheme="minorHAnsi" w:hAnsiTheme="minorHAnsi" w:cstheme="minorHAnsi"/>
          <w:sz w:val="22"/>
          <w:szCs w:val="22"/>
          <w:lang w:val="es-ES" w:eastAsia="es-ES"/>
        </w:rPr>
      </w:pPr>
      <w:r w:rsidRPr="00A5161B">
        <w:rPr>
          <w:rFonts w:asciiTheme="minorHAnsi" w:hAnsiTheme="minorHAnsi" w:cstheme="minorHAnsi"/>
          <w:sz w:val="22"/>
          <w:szCs w:val="22"/>
          <w:lang w:val="es-ES" w:eastAsia="es-ES"/>
        </w:rPr>
        <w:t>Amnistía Internacional insta a las autoridades uruguayas a:</w:t>
      </w:r>
    </w:p>
    <w:p w14:paraId="7AE75F11" w14:textId="77777777" w:rsidR="003003EA" w:rsidRPr="00A5161B" w:rsidRDefault="003003EA" w:rsidP="00EC44DB">
      <w:pPr>
        <w:pStyle w:val="AIBodyText"/>
        <w:rPr>
          <w:rFonts w:asciiTheme="minorHAnsi" w:hAnsiTheme="minorHAnsi" w:cstheme="minorHAnsi"/>
          <w:sz w:val="22"/>
          <w:szCs w:val="22"/>
          <w:u w:val="single"/>
          <w:lang w:val="es-ES" w:eastAsia="es-ES"/>
        </w:rPr>
      </w:pPr>
    </w:p>
    <w:p w14:paraId="47ED6A07" w14:textId="77777777" w:rsidR="00A6639E" w:rsidRPr="00A5161B" w:rsidRDefault="00A6639E" w:rsidP="00EC44DB">
      <w:pPr>
        <w:pStyle w:val="RTBulletText"/>
        <w:rPr>
          <w:rFonts w:cstheme="minorHAnsi"/>
          <w:sz w:val="22"/>
          <w:szCs w:val="22"/>
          <w:lang w:eastAsia="es-ES"/>
        </w:rPr>
      </w:pPr>
      <w:r w:rsidRPr="00A5161B">
        <w:rPr>
          <w:rFonts w:cstheme="minorHAnsi"/>
          <w:sz w:val="22"/>
          <w:szCs w:val="22"/>
          <w:lang w:eastAsia="es-ES"/>
        </w:rPr>
        <w:t>Adoptar de inmediato todas las medidas necesarias para llevar ante la justicia a todas las personas sospechosas de responsabilidad penal por crímenes de derecho internacional, incluidos los crímenes de lesa humanidad, sin importar la fecha en que fueron cometidos - habida cuenta de su carácter imprescriptible, tal como lo establece la Convención sobre la Imprescriptibilidad de los Crímenes Guerra y de Lesa Humanidad, en la que Uruguay es un Estado parte;</w:t>
      </w:r>
    </w:p>
    <w:p w14:paraId="7A0961DC" w14:textId="77777777" w:rsidR="00A6639E" w:rsidRPr="00A5161B" w:rsidRDefault="00A6639E" w:rsidP="00EC44DB">
      <w:pPr>
        <w:pStyle w:val="RTBulletText"/>
        <w:rPr>
          <w:rFonts w:cstheme="minorHAnsi"/>
          <w:sz w:val="22"/>
          <w:szCs w:val="22"/>
          <w:lang w:eastAsia="es-ES"/>
        </w:rPr>
      </w:pPr>
      <w:r w:rsidRPr="00A5161B">
        <w:rPr>
          <w:rFonts w:cstheme="minorHAnsi"/>
          <w:sz w:val="22"/>
          <w:szCs w:val="22"/>
          <w:lang w:eastAsia="es-ES"/>
        </w:rPr>
        <w:t>Adoptar las medidas adecuadas, caso por caso, para resguardar la salud de las personas privadas de la libertad y a la vez, cumplir con los estándares internacionales con respecto a la obligación de investigar y sancionar efectivamente a las personas responsables por crímenes de lesa humanidad;</w:t>
      </w:r>
    </w:p>
    <w:p w14:paraId="54FC3486" w14:textId="77777777" w:rsidR="00A6639E" w:rsidRPr="00A5161B" w:rsidRDefault="00A6639E" w:rsidP="00EC44DB">
      <w:pPr>
        <w:pStyle w:val="RTBulletText"/>
        <w:rPr>
          <w:rFonts w:cstheme="minorHAnsi"/>
          <w:sz w:val="22"/>
          <w:szCs w:val="22"/>
          <w:lang w:eastAsia="es-ES"/>
        </w:rPr>
      </w:pPr>
      <w:r w:rsidRPr="00A5161B">
        <w:rPr>
          <w:rFonts w:cstheme="minorHAnsi"/>
          <w:sz w:val="22"/>
          <w:szCs w:val="22"/>
          <w:lang w:eastAsia="es-ES"/>
        </w:rPr>
        <w:t>Enmendar la Ley 18.026 de modo tal que la misma contemple las desapariciones que pudiesen ser cometidas por agentes no estatales, en consonancia con las exigencias del Artículo 3 de la Convención.</w:t>
      </w:r>
    </w:p>
    <w:p w14:paraId="64849C26" w14:textId="77777777" w:rsidR="00A6639E" w:rsidRPr="00E7582C" w:rsidRDefault="00A6639E" w:rsidP="00EC44DB">
      <w:pPr>
        <w:pStyle w:val="AILetterText"/>
        <w:rPr>
          <w:b/>
          <w:lang w:val="es-ES"/>
        </w:rPr>
      </w:pPr>
    </w:p>
    <w:sectPr w:rsidR="00A6639E" w:rsidRPr="00E7582C" w:rsidSect="009362AB">
      <w:footerReference w:type="default" r:id="rId11"/>
      <w:headerReference w:type="first" r:id="rId12"/>
      <w:footerReference w:type="first" r:id="rId13"/>
      <w:pgSz w:w="11900" w:h="16840"/>
      <w:pgMar w:top="1588" w:right="794" w:bottom="170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EA425" w14:textId="77777777" w:rsidR="004A598B" w:rsidRDefault="004A598B" w:rsidP="00AE5E82">
      <w:r>
        <w:separator/>
      </w:r>
    </w:p>
  </w:endnote>
  <w:endnote w:type="continuationSeparator" w:id="0">
    <w:p w14:paraId="16B38912" w14:textId="77777777" w:rsidR="004A598B" w:rsidRDefault="004A598B" w:rsidP="00AE5E82">
      <w:r>
        <w:continuationSeparator/>
      </w:r>
    </w:p>
  </w:endnote>
  <w:endnote w:type="continuationNotice" w:id="1">
    <w:p w14:paraId="5204262C" w14:textId="77777777" w:rsidR="004A598B" w:rsidRDefault="004A59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Amnesty Trade Gothic">
    <w:panose1 w:val="020B0503040303020004"/>
    <w:charset w:val="00"/>
    <w:family w:val="swiss"/>
    <w:pitch w:val="variable"/>
    <w:sig w:usb0="800000AF" w:usb1="5000204A" w:usb2="00000000" w:usb3="00000000" w:csb0="0000009B" w:csb1="00000000"/>
  </w:font>
  <w:font w:name="MinionPro-Regular">
    <w:altName w:val="Cambria"/>
    <w:panose1 w:val="00000000000000000000"/>
    <w:charset w:val="00"/>
    <w:family w:val="roman"/>
    <w:notTrueType/>
    <w:pitch w:val="variable"/>
    <w:sig w:usb0="E00002AF" w:usb1="5000E07B" w:usb2="00000000" w:usb3="00000000" w:csb0="0000019F" w:csb1="00000000"/>
  </w:font>
  <w:font w:name="Calibri">
    <w:panose1 w:val="020F0502020204030204"/>
    <w:charset w:val="00"/>
    <w:family w:val="swiss"/>
    <w:pitch w:val="variable"/>
    <w:sig w:usb0="E4002EFF" w:usb1="C000247B" w:usb2="00000009" w:usb3="00000000" w:csb0="000001FF" w:csb1="00000000"/>
  </w:font>
  <w:font w:name="AmnestyTradeGothic-Cn18">
    <w:altName w:val="Amnesty Trade Gothic Cn"/>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2DB35" w14:textId="77777777" w:rsidR="00C82E2D" w:rsidRPr="00B179F3" w:rsidRDefault="003D71AB" w:rsidP="00B179F3">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83840" behindDoc="0" locked="0" layoutInCell="1" allowOverlap="1" wp14:anchorId="7627A09D" wp14:editId="69499195">
              <wp:simplePos x="0" y="0"/>
              <wp:positionH relativeFrom="column">
                <wp:posOffset>2953385</wp:posOffset>
              </wp:positionH>
              <wp:positionV relativeFrom="paragraph">
                <wp:posOffset>-51435</wp:posOffset>
              </wp:positionV>
              <wp:extent cx="708660" cy="2514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7086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27A09D" id="_x0000_t202" coordsize="21600,21600" o:spt="202" path="m,l,21600r21600,l21600,xe">
              <v:stroke joinstyle="miter"/>
              <v:path gradientshapeok="t" o:connecttype="rect"/>
            </v:shapetype>
            <v:shape id="Text Box 1" o:spid="_x0000_s1026" type="#_x0000_t202" style="position:absolute;margin-left:232.55pt;margin-top:-4.05pt;width:55.8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" filled="f" stroked="f">
              <v:textbox inset="0,0,0,0">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v:textbox>
            </v:shape>
          </w:pict>
        </mc:Fallback>
      </mc:AlternateContent>
    </w:r>
    <w:r w:rsidR="003131FE">
      <w:rPr>
        <w:noProof/>
        <w:lang w:val="en-GB" w:eastAsia="en-GB"/>
      </w:rPr>
      <mc:AlternateContent>
        <mc:Choice Requires="wps">
          <w:drawing>
            <wp:anchor distT="0" distB="0" distL="114300" distR="114300" simplePos="0" relativeHeight="251679744" behindDoc="0" locked="0" layoutInCell="1" allowOverlap="1" wp14:anchorId="4662E65B" wp14:editId="5B2C1A1B">
              <wp:simplePos x="0" y="0"/>
              <wp:positionH relativeFrom="column">
                <wp:posOffset>635</wp:posOffset>
              </wp:positionH>
              <wp:positionV relativeFrom="paragraph">
                <wp:posOffset>-184785</wp:posOffset>
              </wp:positionV>
              <wp:extent cx="2733675" cy="733425"/>
              <wp:effectExtent l="0" t="0" r="9525" b="9525"/>
              <wp:wrapNone/>
              <wp:docPr id="17" name="Text Box 17"/>
              <wp:cNvGraphicFramePr/>
              <a:graphic xmlns:a="http://schemas.openxmlformats.org/drawingml/2006/main">
                <a:graphicData uri="http://schemas.microsoft.com/office/word/2010/wordprocessingShape">
                  <wps:wsp>
                    <wps:cNvSpPr txBox="1"/>
                    <wps:spPr>
                      <a:xfrm>
                        <a:off x="0" y="0"/>
                        <a:ext cx="2733675" cy="73342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D7B14FE" w14:textId="77777777" w:rsidR="00552EAF" w:rsidRPr="000F300D" w:rsidRDefault="003003EA" w:rsidP="003131FE">
                          <w:pPr>
                            <w:pStyle w:val="RTFooterreporttitle"/>
                            <w:rPr>
                              <w:lang w:val="es-ES"/>
                            </w:rPr>
                          </w:pPr>
                          <w:r w:rsidRPr="000F300D">
                            <w:rPr>
                              <w:lang w:val="es-ES"/>
                            </w:rPr>
                            <w:t>URUGUAY</w:t>
                          </w:r>
                        </w:p>
                        <w:p w14:paraId="0CC3D1D6" w14:textId="285BBACC" w:rsidR="003131FE" w:rsidRPr="000F300D" w:rsidRDefault="00552EAF" w:rsidP="003131FE">
                          <w:pPr>
                            <w:pStyle w:val="RTFooterreporttitle"/>
                            <w:rPr>
                              <w:b w:val="0"/>
                              <w:lang w:val="es-ES"/>
                            </w:rPr>
                          </w:pPr>
                          <w:r w:rsidRPr="00552EAF">
                            <w:rPr>
                              <w:b w:val="0"/>
                              <w:lang w:val="es-ES"/>
                            </w:rPr>
                            <w:t>INFORME AL COMITÉ DE DESAPARICIONES FORZADAS</w:t>
                          </w:r>
                        </w:p>
                        <w:p w14:paraId="4F55BDE8" w14:textId="375BC255" w:rsidR="002E3342" w:rsidRPr="000F300D" w:rsidRDefault="002E3342" w:rsidP="002E3342">
                          <w:pPr>
                            <w:pStyle w:val="RTFooterreportsubtitle"/>
                            <w:rPr>
                              <w:lang w:val="es-ES"/>
                            </w:rPr>
                          </w:pPr>
                        </w:p>
                        <w:p w14:paraId="276159CA" w14:textId="09171EDC" w:rsidR="003131FE" w:rsidRPr="000F300D" w:rsidRDefault="003131FE" w:rsidP="003E7FF9">
                          <w:pPr>
                            <w:pStyle w:val="RTFooterreportsubtitle"/>
                            <w:spacing w:after="60"/>
                            <w:rPr>
                              <w:lang w:val="es-ES"/>
                            </w:rPr>
                          </w:pPr>
                          <w:r w:rsidRPr="000F300D">
                            <w:rPr>
                              <w:lang w:val="es-ES"/>
                            </w:rPr>
                            <w:tab/>
                          </w:r>
                        </w:p>
                        <w:p w14:paraId="5CBE5653" w14:textId="6D941E09" w:rsidR="00C82E2D" w:rsidRPr="000F300D" w:rsidRDefault="00552EAF" w:rsidP="003131FE">
                          <w:pPr>
                            <w:pStyle w:val="BasicParagraph"/>
                            <w:spacing w:line="204" w:lineRule="auto"/>
                            <w:rPr>
                              <w:rFonts w:asciiTheme="majorHAnsi" w:hAnsiTheme="majorHAnsi"/>
                              <w:b/>
                              <w:lang w:val="es-ES"/>
                            </w:rPr>
                          </w:pPr>
                          <w:r w:rsidRPr="000F300D">
                            <w:rPr>
                              <w:rFonts w:asciiTheme="majorHAnsi" w:hAnsiTheme="majorHAnsi"/>
                              <w:b/>
                              <w:lang w:val="es-ES"/>
                            </w:rPr>
                            <w:t>Amnist</w:t>
                          </w:r>
                          <w:r w:rsidR="00AD18C2" w:rsidRPr="000F300D">
                            <w:rPr>
                              <w:rFonts w:asciiTheme="majorHAnsi" w:hAnsiTheme="majorHAnsi"/>
                              <w:b/>
                              <w:lang w:val="es-ES"/>
                            </w:rPr>
                            <w:t>ía Internacional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2E65B" id="Text Box 17" o:spid="_x0000_s1027" type="#_x0000_t202" style="position:absolute;margin-left:.05pt;margin-top:-14.55pt;width:215.25pt;height:5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" filled="f" stroked="f">
              <v:textbox inset="0,0,0,0">
                <w:txbxContent>
                  <w:p w14:paraId="1D7B14FE" w14:textId="77777777" w:rsidR="00552EAF" w:rsidRPr="000F300D" w:rsidRDefault="003003EA" w:rsidP="003131FE">
                    <w:pPr>
                      <w:pStyle w:val="RTFooterreporttitle"/>
                      <w:rPr>
                        <w:lang w:val="es-ES"/>
                      </w:rPr>
                    </w:pPr>
                    <w:r w:rsidRPr="000F300D">
                      <w:rPr>
                        <w:lang w:val="es-ES"/>
                      </w:rPr>
                      <w:t>URUGUAY</w:t>
                    </w:r>
                  </w:p>
                  <w:p w14:paraId="0CC3D1D6" w14:textId="285BBACC" w:rsidR="003131FE" w:rsidRPr="000F300D" w:rsidRDefault="00552EAF" w:rsidP="003131FE">
                    <w:pPr>
                      <w:pStyle w:val="RTFooterreporttitle"/>
                      <w:rPr>
                        <w:b w:val="0"/>
                        <w:lang w:val="es-ES"/>
                      </w:rPr>
                    </w:pPr>
                    <w:r w:rsidRPr="00552EAF">
                      <w:rPr>
                        <w:b w:val="0"/>
                        <w:lang w:val="es-ES"/>
                      </w:rPr>
                      <w:t>INFORME AL COMITÉ DE DESAPARICIONES FORZADAS</w:t>
                    </w:r>
                  </w:p>
                  <w:p w14:paraId="4F55BDE8" w14:textId="375BC255" w:rsidR="002E3342" w:rsidRPr="000F300D" w:rsidRDefault="002E3342" w:rsidP="002E3342">
                    <w:pPr>
                      <w:pStyle w:val="RTFooterreportsubtitle"/>
                      <w:rPr>
                        <w:lang w:val="es-ES"/>
                      </w:rPr>
                    </w:pPr>
                  </w:p>
                  <w:p w14:paraId="276159CA" w14:textId="09171EDC" w:rsidR="003131FE" w:rsidRPr="000F300D" w:rsidRDefault="003131FE" w:rsidP="003E7FF9">
                    <w:pPr>
                      <w:pStyle w:val="RTFooterreportsubtitle"/>
                      <w:spacing w:after="60"/>
                      <w:rPr>
                        <w:lang w:val="es-ES"/>
                      </w:rPr>
                    </w:pPr>
                    <w:r w:rsidRPr="000F300D">
                      <w:rPr>
                        <w:lang w:val="es-ES"/>
                      </w:rPr>
                      <w:tab/>
                    </w:r>
                  </w:p>
                  <w:p w14:paraId="5CBE5653" w14:textId="6D941E09" w:rsidR="00C82E2D" w:rsidRPr="000F300D" w:rsidRDefault="00552EAF" w:rsidP="003131FE">
                    <w:pPr>
                      <w:pStyle w:val="BasicParagraph"/>
                      <w:spacing w:line="204" w:lineRule="auto"/>
                      <w:rPr>
                        <w:rFonts w:asciiTheme="majorHAnsi" w:hAnsiTheme="majorHAnsi"/>
                        <w:b/>
                        <w:lang w:val="es-ES"/>
                      </w:rPr>
                    </w:pPr>
                    <w:r w:rsidRPr="000F300D">
                      <w:rPr>
                        <w:rFonts w:asciiTheme="majorHAnsi" w:hAnsiTheme="majorHAnsi"/>
                        <w:b/>
                        <w:lang w:val="es-ES"/>
                      </w:rPr>
                      <w:t>Amnist</w:t>
                    </w:r>
                    <w:r w:rsidR="00AD18C2" w:rsidRPr="000F300D">
                      <w:rPr>
                        <w:rFonts w:asciiTheme="majorHAnsi" w:hAnsiTheme="majorHAnsi"/>
                        <w:b/>
                        <w:lang w:val="es-ES"/>
                      </w:rPr>
                      <w:t>ía Internacional</w:t>
                    </w:r>
                  </w:p>
                </w:txbxContent>
              </v:textbox>
            </v:shape>
          </w:pict>
        </mc:Fallback>
      </mc:AlternateContent>
    </w:r>
    <w:r w:rsidR="00C82E2D" w:rsidRPr="00ED51F6">
      <w:rPr>
        <w:noProof/>
        <w:vanish/>
        <w:szCs w:val="16"/>
        <w:lang w:val="en-GB" w:eastAsia="en-GB"/>
      </w:rPr>
      <w:drawing>
        <wp:anchor distT="0" distB="0" distL="114300" distR="114300" simplePos="0" relativeHeight="251695104" behindDoc="0" locked="1" layoutInCell="1" allowOverlap="1" wp14:anchorId="45F270F9" wp14:editId="00E4E145">
          <wp:simplePos x="0" y="0"/>
          <wp:positionH relativeFrom="page">
            <wp:posOffset>5751195</wp:posOffset>
          </wp:positionH>
          <wp:positionV relativeFrom="page">
            <wp:posOffset>9734550</wp:posOffset>
          </wp:positionV>
          <wp:extent cx="1304290" cy="552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C82E2D">
      <w:rPr>
        <w:noProof/>
        <w:lang w:val="en-GB" w:eastAsia="en-GB"/>
      </w:rPr>
      <mc:AlternateContent>
        <mc:Choice Requires="wps">
          <w:drawing>
            <wp:anchor distT="0" distB="0" distL="114300" distR="114300" simplePos="0" relativeHeight="251663360" behindDoc="0" locked="1" layoutInCell="1" allowOverlap="1" wp14:anchorId="67A2BB40" wp14:editId="68F68660">
              <wp:simplePos x="0" y="0"/>
              <wp:positionH relativeFrom="page">
                <wp:posOffset>504190</wp:posOffset>
              </wp:positionH>
              <wp:positionV relativeFrom="page">
                <wp:posOffset>9613265</wp:posOffset>
              </wp:positionV>
              <wp:extent cx="6541135" cy="0"/>
              <wp:effectExtent l="0" t="0" r="37465" b="25400"/>
              <wp:wrapNone/>
              <wp:docPr id="9" name="Straight Connector 9"/>
              <wp:cNvGraphicFramePr/>
              <a:graphic xmlns:a="http://schemas.openxmlformats.org/drawingml/2006/main">
                <a:graphicData uri="http://schemas.microsoft.com/office/word/2010/wordprocessingShape">
                  <wps:wsp>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50739262" id="Straight Connector 9"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756.95pt" to="554.75pt,75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" strokecolor="black [3213]" strokeweight=".25pt">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AFAE2" w14:textId="7E24428C" w:rsidR="00C82E2D" w:rsidRPr="00FE0DE5" w:rsidRDefault="000C644F" w:rsidP="00FE0DE5">
    <w:pPr>
      <w:pStyle w:val="Footer"/>
      <w:rPr>
        <w:rStyle w:val="Hyperlink"/>
        <w:color w:val="000000" w:themeColor="text1"/>
      </w:rPr>
    </w:pPr>
    <w:r w:rsidRPr="00FE0DE5">
      <w:rPr>
        <w:rStyle w:val="Hyperlink"/>
        <w:noProof/>
        <w:color w:val="000000" w:themeColor="text1"/>
        <w:lang w:val="en-GB" w:eastAsia="en-GB"/>
      </w:rPr>
      <mc:AlternateContent>
        <mc:Choice Requires="wps">
          <w:drawing>
            <wp:anchor distT="45720" distB="45720" distL="114300" distR="114300" simplePos="0" relativeHeight="251685888" behindDoc="0" locked="0" layoutInCell="1" allowOverlap="1" wp14:anchorId="3C689115" wp14:editId="2A48703A">
              <wp:simplePos x="0" y="0"/>
              <wp:positionH relativeFrom="page">
                <wp:posOffset>389106</wp:posOffset>
              </wp:positionH>
              <wp:positionV relativeFrom="page">
                <wp:posOffset>9659567</wp:posOffset>
              </wp:positionV>
              <wp:extent cx="3171190" cy="889122"/>
              <wp:effectExtent l="0" t="0" r="381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190" cy="889122"/>
                      </a:xfrm>
                      <a:prstGeom prst="rect">
                        <a:avLst/>
                      </a:prstGeom>
                      <a:solidFill>
                        <a:srgbClr val="FFFFFF"/>
                      </a:solidFill>
                      <a:ln w="9525">
                        <a:noFill/>
                        <a:miter lim="800000"/>
                        <a:headEnd/>
                        <a:tailEnd/>
                      </a:ln>
                    </wps:spPr>
                    <wps:txbx>
                      <w:txbxContent>
                        <w:p w14:paraId="4B955F65" w14:textId="5CEC9C6C" w:rsidR="00FE0DE5" w:rsidRPr="000C644F" w:rsidRDefault="000C644F" w:rsidP="000C644F">
                          <w:pPr>
                            <w:pStyle w:val="RTCaptionText"/>
                            <w:rPr>
                              <w:rFonts w:asciiTheme="majorHAnsi" w:hAnsiTheme="majorHAnsi"/>
                              <w:vanish/>
                              <w:szCs w:val="14"/>
                            </w:rPr>
                          </w:pPr>
                          <w:r w:rsidRPr="000C644F">
                            <w:rPr>
                              <w:rFonts w:asciiTheme="majorHAnsi" w:hAnsiTheme="majorHAnsi"/>
                              <w:i w:val="0"/>
                              <w:szCs w:val="14"/>
                            </w:rPr>
                            <w:t>© Amnesty International 2022 ÌNDICE</w:t>
                          </w:r>
                          <w:r w:rsidRPr="008321A4">
                            <w:rPr>
                              <w:rFonts w:asciiTheme="majorHAnsi" w:hAnsiTheme="majorHAnsi"/>
                              <w:i w:val="0"/>
                              <w:szCs w:val="14"/>
                            </w:rPr>
                            <w:t xml:space="preserve">: </w:t>
                          </w:r>
                          <w:r w:rsidR="008321A4" w:rsidRPr="008321A4">
                            <w:rPr>
                              <w:rFonts w:asciiTheme="majorHAnsi" w:hAnsiTheme="majorHAnsi"/>
                              <w:i w:val="0"/>
                              <w:szCs w:val="14"/>
                            </w:rPr>
                            <w:t>AMR 52/5953/2022</w:t>
                          </w:r>
                          <w:r w:rsidRPr="000C644F">
                            <w:rPr>
                              <w:rFonts w:asciiTheme="majorHAnsi" w:hAnsiTheme="majorHAnsi"/>
                              <w:i w:val="0"/>
                              <w:szCs w:val="14"/>
                            </w:rPr>
                            <w:t xml:space="preserve"> </w:t>
                          </w:r>
                          <w:r w:rsidR="008321A4">
                            <w:rPr>
                              <w:rFonts w:asciiTheme="majorHAnsi" w:hAnsiTheme="majorHAnsi"/>
                              <w:i w:val="0"/>
                              <w:szCs w:val="14"/>
                            </w:rPr>
                            <w:t>AGOSTO</w:t>
                          </w:r>
                          <w:r w:rsidRPr="000C644F">
                            <w:rPr>
                              <w:rFonts w:asciiTheme="majorHAnsi" w:hAnsiTheme="majorHAnsi"/>
                              <w:i w:val="0"/>
                              <w:szCs w:val="14"/>
                            </w:rPr>
                            <w:t xml:space="preserve"> 2022 IDIOMA: ESPAÑOL. Salvo cuando se indique lo contrario, el contenido de este documento está protegido por una licencia 4.0 de Creative Commons (atribución, no comercial, sin obra derivada, internacional). </w:t>
                          </w:r>
                          <w:hyperlink r:id="rId1" w:history="1">
                            <w:r w:rsidRPr="00032E53">
                              <w:rPr>
                                <w:rStyle w:val="Hyperlink"/>
                                <w:rFonts w:asciiTheme="majorHAnsi" w:hAnsiTheme="majorHAnsi"/>
                                <w:i w:val="0"/>
                                <w:szCs w:val="14"/>
                              </w:rPr>
                              <w:t xml:space="preserve">https://creativecommons.org/licenses/by-nc-nd/4.0/legalcode </w:t>
                            </w:r>
                          </w:hyperlink>
                          <w:r w:rsidRPr="000C644F">
                            <w:rPr>
                              <w:rFonts w:asciiTheme="majorHAnsi" w:hAnsiTheme="majorHAnsi"/>
                              <w:i w:val="0"/>
                              <w:szCs w:val="14"/>
                            </w:rPr>
                            <w:t xml:space="preserve">Para más información, visiten la página </w:t>
                          </w:r>
                          <w:r w:rsidRPr="000C644F">
                            <w:rPr>
                              <w:rFonts w:asciiTheme="majorHAnsi" w:hAnsiTheme="majorHAnsi"/>
                              <w:szCs w:val="14"/>
                            </w:rPr>
                            <w:t>Permisos</w:t>
                          </w:r>
                          <w:r w:rsidRPr="000C644F">
                            <w:rPr>
                              <w:rFonts w:asciiTheme="majorHAnsi" w:hAnsiTheme="majorHAnsi"/>
                              <w:i w:val="0"/>
                              <w:szCs w:val="14"/>
                            </w:rPr>
                            <w:t xml:space="preserve"> de nuestro sitio web: </w:t>
                          </w:r>
                          <w:hyperlink r:id="rId2" w:history="1">
                            <w:r w:rsidRPr="000C644F">
                              <w:rPr>
                                <w:rFonts w:asciiTheme="majorHAnsi" w:hAnsiTheme="majorHAnsi"/>
                                <w:i w:val="0"/>
                                <w:szCs w:val="14"/>
                              </w:rPr>
                              <w:t>https://www.amnesty.org/es/about-us/permissions/</w:t>
                            </w:r>
                          </w:hyperlink>
                          <w:r w:rsidRPr="000C644F">
                            <w:rPr>
                              <w:rFonts w:asciiTheme="majorHAnsi" w:hAnsiTheme="majorHAnsi"/>
                              <w:szCs w:val="14"/>
                            </w:rPr>
                            <w:t xml:space="preserve">. </w:t>
                          </w:r>
                          <w:r w:rsidRPr="000C644F">
                            <w:rPr>
                              <w:rFonts w:asciiTheme="majorHAnsi" w:hAnsiTheme="majorHAnsi"/>
                              <w:i w:val="0"/>
                              <w:szCs w:val="14"/>
                            </w:rPr>
                            <w:t>El material atribuido a titulares de derechos de autor distintos de Amnistía Internacional no está sujeto a la licencia Creative Commons.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689115" id="_x0000_t202" coordsize="21600,21600" o:spt="202" path="m,l,21600r21600,l21600,xe">
              <v:stroke joinstyle="miter"/>
              <v:path gradientshapeok="t" o:connecttype="rect"/>
            </v:shapetype>
            <v:shape id="Text Box 2" o:spid="_x0000_s1029" type="#_x0000_t202" style="position:absolute;margin-left:30.65pt;margin-top:760.6pt;width:249.7pt;height:70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" stroked="f">
              <v:textbox>
                <w:txbxContent>
                  <w:p w14:paraId="4B955F65" w14:textId="5CEC9C6C" w:rsidR="00FE0DE5" w:rsidRPr="000C644F" w:rsidRDefault="000C644F" w:rsidP="000C644F">
                    <w:pPr>
                      <w:pStyle w:val="RTCaptionText"/>
                      <w:rPr>
                        <w:rFonts w:asciiTheme="majorHAnsi" w:hAnsiTheme="majorHAnsi"/>
                        <w:vanish/>
                        <w:szCs w:val="14"/>
                      </w:rPr>
                    </w:pPr>
                    <w:r w:rsidRPr="000C644F">
                      <w:rPr>
                        <w:rFonts w:asciiTheme="majorHAnsi" w:hAnsiTheme="majorHAnsi"/>
                        <w:i w:val="0"/>
                        <w:szCs w:val="14"/>
                      </w:rPr>
                      <w:t>© Amnesty International 2022 ÌNDICE</w:t>
                    </w:r>
                    <w:r w:rsidRPr="008321A4">
                      <w:rPr>
                        <w:rFonts w:asciiTheme="majorHAnsi" w:hAnsiTheme="majorHAnsi"/>
                        <w:i w:val="0"/>
                        <w:szCs w:val="14"/>
                      </w:rPr>
                      <w:t xml:space="preserve">: </w:t>
                    </w:r>
                    <w:r w:rsidR="008321A4" w:rsidRPr="008321A4">
                      <w:rPr>
                        <w:rFonts w:asciiTheme="majorHAnsi" w:hAnsiTheme="majorHAnsi"/>
                        <w:i w:val="0"/>
                        <w:szCs w:val="14"/>
                      </w:rPr>
                      <w:t>AMR 52/5953/2022</w:t>
                    </w:r>
                    <w:r w:rsidRPr="000C644F">
                      <w:rPr>
                        <w:rFonts w:asciiTheme="majorHAnsi" w:hAnsiTheme="majorHAnsi"/>
                        <w:i w:val="0"/>
                        <w:szCs w:val="14"/>
                      </w:rPr>
                      <w:t xml:space="preserve"> </w:t>
                    </w:r>
                    <w:r w:rsidR="008321A4">
                      <w:rPr>
                        <w:rFonts w:asciiTheme="majorHAnsi" w:hAnsiTheme="majorHAnsi"/>
                        <w:i w:val="0"/>
                        <w:szCs w:val="14"/>
                      </w:rPr>
                      <w:t>AGOSTO</w:t>
                    </w:r>
                    <w:r w:rsidRPr="000C644F">
                      <w:rPr>
                        <w:rFonts w:asciiTheme="majorHAnsi" w:hAnsiTheme="majorHAnsi"/>
                        <w:i w:val="0"/>
                        <w:szCs w:val="14"/>
                      </w:rPr>
                      <w:t xml:space="preserve"> 2022 IDIOMA: ESPAÑOL. Salvo cuando se indique lo contrario, el contenido de este documento está protegido por una licencia 4.0 de Creative Commons (atribución, no comercial, sin obra derivada, internacional). </w:t>
                    </w:r>
                    <w:hyperlink r:id="rId3" w:history="1">
                      <w:r w:rsidRPr="00032E53">
                        <w:rPr>
                          <w:rStyle w:val="Hyperlink"/>
                          <w:rFonts w:asciiTheme="majorHAnsi" w:hAnsiTheme="majorHAnsi"/>
                          <w:i w:val="0"/>
                          <w:szCs w:val="14"/>
                        </w:rPr>
                        <w:t xml:space="preserve">https://creativecommons.org/licenses/by-nc-nd/4.0/legalcode </w:t>
                      </w:r>
                    </w:hyperlink>
                    <w:r w:rsidRPr="000C644F">
                      <w:rPr>
                        <w:rFonts w:asciiTheme="majorHAnsi" w:hAnsiTheme="majorHAnsi"/>
                        <w:i w:val="0"/>
                        <w:szCs w:val="14"/>
                      </w:rPr>
                      <w:t xml:space="preserve">Para más información, visiten la página </w:t>
                    </w:r>
                    <w:r w:rsidRPr="000C644F">
                      <w:rPr>
                        <w:rFonts w:asciiTheme="majorHAnsi" w:hAnsiTheme="majorHAnsi"/>
                        <w:szCs w:val="14"/>
                      </w:rPr>
                      <w:t>Permisos</w:t>
                    </w:r>
                    <w:r w:rsidRPr="000C644F">
                      <w:rPr>
                        <w:rFonts w:asciiTheme="majorHAnsi" w:hAnsiTheme="majorHAnsi"/>
                        <w:i w:val="0"/>
                        <w:szCs w:val="14"/>
                      </w:rPr>
                      <w:t xml:space="preserve"> de nuestro sitio web: </w:t>
                    </w:r>
                    <w:hyperlink r:id="rId4" w:history="1">
                      <w:r w:rsidRPr="000C644F">
                        <w:rPr>
                          <w:rFonts w:asciiTheme="majorHAnsi" w:hAnsiTheme="majorHAnsi"/>
                          <w:i w:val="0"/>
                          <w:szCs w:val="14"/>
                        </w:rPr>
                        <w:t>https://www.amnesty.org/es/about-us/permissions/</w:t>
                      </w:r>
                    </w:hyperlink>
                    <w:r w:rsidRPr="000C644F">
                      <w:rPr>
                        <w:rFonts w:asciiTheme="majorHAnsi" w:hAnsiTheme="majorHAnsi"/>
                        <w:szCs w:val="14"/>
                      </w:rPr>
                      <w:t xml:space="preserve">. </w:t>
                    </w:r>
                    <w:r w:rsidRPr="000C644F">
                      <w:rPr>
                        <w:rFonts w:asciiTheme="majorHAnsi" w:hAnsiTheme="majorHAnsi"/>
                        <w:i w:val="0"/>
                        <w:szCs w:val="14"/>
                      </w:rPr>
                      <w:t>El material atribuido a titulares de derechos de autor distintos de Amnistía Internacional no está sujeto a la licencia Creative Commons.</w:t>
                    </w:r>
                  </w:p>
                </w:txbxContent>
              </v:textbox>
              <w10:wrap anchorx="page" anchory="page"/>
            </v:shape>
          </w:pict>
        </mc:Fallback>
      </mc:AlternateContent>
    </w:r>
    <w:r w:rsidR="00DC46C8" w:rsidRPr="00FE0DE5">
      <w:rPr>
        <w:rStyle w:val="HeaderChar"/>
        <w:noProof/>
        <w:lang w:val="en-GB" w:eastAsia="en-GB"/>
      </w:rPr>
      <mc:AlternateContent>
        <mc:Choice Requires="wps">
          <w:drawing>
            <wp:anchor distT="45720" distB="45720" distL="114300" distR="114300" simplePos="0" relativeHeight="251693056" behindDoc="0" locked="0" layoutInCell="1" allowOverlap="1" wp14:anchorId="12214443" wp14:editId="72BA0B4A">
              <wp:simplePos x="0" y="0"/>
              <wp:positionH relativeFrom="page">
                <wp:posOffset>3560323</wp:posOffset>
              </wp:positionH>
              <wp:positionV relativeFrom="page">
                <wp:posOffset>9659567</wp:posOffset>
              </wp:positionV>
              <wp:extent cx="3735422" cy="910712"/>
              <wp:effectExtent l="0" t="0" r="0" b="38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5422" cy="910712"/>
                      </a:xfrm>
                      <a:prstGeom prst="rect">
                        <a:avLst/>
                      </a:prstGeom>
                      <a:solidFill>
                        <a:srgbClr val="FFFFFF"/>
                      </a:solidFill>
                      <a:ln w="9525">
                        <a:noFill/>
                        <a:miter lim="800000"/>
                        <a:headEnd/>
                        <a:tailEnd/>
                      </a:ln>
                    </wps:spPr>
                    <wps:txbx>
                      <w:txbxContent>
                        <w:p w14:paraId="61C0CCD8" w14:textId="711F8A50" w:rsidR="000C644F" w:rsidRPr="000C644F" w:rsidRDefault="000C644F" w:rsidP="000C644F">
                          <w:pPr>
                            <w:pStyle w:val="RTBodyText"/>
                            <w:spacing w:after="0"/>
                            <w:rPr>
                              <w:rFonts w:asciiTheme="majorHAnsi" w:hAnsiTheme="majorHAnsi"/>
                              <w:sz w:val="14"/>
                              <w:szCs w:val="14"/>
                              <w:lang w:val="es-ES" w:eastAsia="en-GB"/>
                            </w:rPr>
                          </w:pPr>
                          <w:r w:rsidRPr="000C644F">
                            <w:rPr>
                              <w:rFonts w:asciiTheme="majorHAnsi" w:hAnsiTheme="majorHAnsi"/>
                              <w:sz w:val="14"/>
                              <w:szCs w:val="14"/>
                              <w:lang w:val="es-ES" w:eastAsia="en-GB"/>
                            </w:rPr>
                            <w:t xml:space="preserve">Amnistía Internacional es un movimiento integrado por 10 millones de personas que activa el sentido de humanidad dentro de cada una de ellas y que hace campaña en favor  de cambios que permitan que todo el mundo disfrute de sus  derechos humanos. Nuestra visión es la de un mundo donde quienes están en el poder cumplen sus promesas, respetan  el derecho internacional y rinden cuentas. Somos  independientes de todo gobierno, ideología política, interés económico y credo religioso, y nuestro trabajo se financia  principalmente con las contribuciones de nuestra membresía y  con donativos. Creemos que actuar movidos por la solidaridad </w:t>
                          </w:r>
                        </w:p>
                        <w:p w14:paraId="006F9739" w14:textId="2D2F8921" w:rsidR="000C644F" w:rsidRPr="000C644F" w:rsidRDefault="000C644F" w:rsidP="000C644F">
                          <w:pPr>
                            <w:pStyle w:val="RTBodyText"/>
                            <w:spacing w:after="0"/>
                            <w:rPr>
                              <w:rFonts w:asciiTheme="majorHAnsi" w:hAnsiTheme="majorHAnsi"/>
                              <w:sz w:val="14"/>
                              <w:szCs w:val="14"/>
                              <w:lang w:val="es-ES" w:eastAsia="en-GB"/>
                            </w:rPr>
                          </w:pPr>
                          <w:r w:rsidRPr="000C644F">
                            <w:rPr>
                              <w:rFonts w:asciiTheme="majorHAnsi" w:hAnsiTheme="majorHAnsi"/>
                              <w:sz w:val="14"/>
                              <w:szCs w:val="14"/>
                              <w:lang w:val="es-ES" w:eastAsia="en-GB"/>
                            </w:rPr>
                            <w:t xml:space="preserve"> y la compasión hacia nuestros semejantes en todo el mundo puede hacer mejorar nuestras sociedades.</w:t>
                          </w:r>
                        </w:p>
                        <w:p w14:paraId="536E8E4A" w14:textId="77777777" w:rsidR="00DC46C8" w:rsidRPr="000C644F" w:rsidRDefault="00DC46C8" w:rsidP="00DC46C8">
                          <w:pPr>
                            <w:rPr>
                              <w:rFonts w:asciiTheme="majorHAnsi" w:hAnsiTheme="majorHAnsi"/>
                              <w:sz w:val="14"/>
                              <w:szCs w:val="14"/>
                              <w:lang w:val="es-E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14443" id="_x0000_s1030" type="#_x0000_t202" style="position:absolute;margin-left:280.35pt;margin-top:760.6pt;width:294.15pt;height:71.7pt;z-index:2516930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" stroked="f">
              <v:textbox>
                <w:txbxContent>
                  <w:p w14:paraId="61C0CCD8" w14:textId="711F8A50" w:rsidR="000C644F" w:rsidRPr="000C644F" w:rsidRDefault="000C644F" w:rsidP="000C644F">
                    <w:pPr>
                      <w:pStyle w:val="RTBodyText"/>
                      <w:spacing w:after="0"/>
                      <w:rPr>
                        <w:rFonts w:asciiTheme="majorHAnsi" w:hAnsiTheme="majorHAnsi"/>
                        <w:sz w:val="14"/>
                        <w:szCs w:val="14"/>
                        <w:lang w:val="es-ES" w:eastAsia="en-GB"/>
                      </w:rPr>
                    </w:pPr>
                    <w:r w:rsidRPr="000C644F">
                      <w:rPr>
                        <w:rFonts w:asciiTheme="majorHAnsi" w:hAnsiTheme="majorHAnsi"/>
                        <w:sz w:val="14"/>
                        <w:szCs w:val="14"/>
                        <w:lang w:val="es-ES" w:eastAsia="en-GB"/>
                      </w:rPr>
                      <w:t xml:space="preserve">Amnistía Internacional es un movimiento integrado por 10 millones de personas que activa el sentido de humanidad dentro de cada una de ellas y que hace campaña en favor  de cambios que permitan que todo el mundo disfrute de sus  derechos humanos. Nuestra visión es la de un mundo donde quienes están en el poder cumplen sus promesas, respetan  el derecho internacional y rinden cuentas. Somos  independientes de todo gobierno, ideología política, interés económico y credo religioso, y nuestro trabajo se financia  principalmente con las contribuciones de nuestra membresía y  con donativos. Creemos que actuar movidos por la solidaridad </w:t>
                    </w:r>
                  </w:p>
                  <w:p w14:paraId="006F9739" w14:textId="2D2F8921" w:rsidR="000C644F" w:rsidRPr="000C644F" w:rsidRDefault="000C644F" w:rsidP="000C644F">
                    <w:pPr>
                      <w:pStyle w:val="RTBodyText"/>
                      <w:spacing w:after="0"/>
                      <w:rPr>
                        <w:rFonts w:asciiTheme="majorHAnsi" w:hAnsiTheme="majorHAnsi"/>
                        <w:sz w:val="14"/>
                        <w:szCs w:val="14"/>
                        <w:lang w:val="es-ES" w:eastAsia="en-GB"/>
                      </w:rPr>
                    </w:pPr>
                    <w:r w:rsidRPr="000C644F">
                      <w:rPr>
                        <w:rFonts w:asciiTheme="majorHAnsi" w:hAnsiTheme="majorHAnsi"/>
                        <w:sz w:val="14"/>
                        <w:szCs w:val="14"/>
                        <w:lang w:val="es-ES" w:eastAsia="en-GB"/>
                      </w:rPr>
                      <w:t xml:space="preserve"> y la compasión hacia nuestros semejantes en todo el mundo puede hacer mejorar nuestras sociedades.</w:t>
                    </w:r>
                  </w:p>
                  <w:p w14:paraId="536E8E4A" w14:textId="77777777" w:rsidR="00DC46C8" w:rsidRPr="000C644F" w:rsidRDefault="00DC46C8" w:rsidP="00DC46C8">
                    <w:pPr>
                      <w:rPr>
                        <w:rFonts w:asciiTheme="majorHAnsi" w:hAnsiTheme="majorHAnsi"/>
                        <w:sz w:val="14"/>
                        <w:szCs w:val="14"/>
                        <w:lang w:val="es-ES"/>
                      </w:rPr>
                    </w:pPr>
                  </w:p>
                </w:txbxContent>
              </v:textbox>
              <w10:wrap type="square"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07B4C" w14:textId="77777777" w:rsidR="004A598B" w:rsidRDefault="004A598B" w:rsidP="00AE5E82">
      <w:r>
        <w:separator/>
      </w:r>
    </w:p>
  </w:footnote>
  <w:footnote w:type="continuationSeparator" w:id="0">
    <w:p w14:paraId="1835832C" w14:textId="77777777" w:rsidR="004A598B" w:rsidRDefault="004A598B" w:rsidP="00AE5E82">
      <w:r>
        <w:continuationSeparator/>
      </w:r>
    </w:p>
  </w:footnote>
  <w:footnote w:type="continuationNotice" w:id="1">
    <w:p w14:paraId="133669EA" w14:textId="77777777" w:rsidR="004A598B" w:rsidRDefault="004A598B"/>
  </w:footnote>
  <w:footnote w:id="2">
    <w:p w14:paraId="6A77DF67" w14:textId="0F83EAF6" w:rsidR="00A6639E" w:rsidRPr="001618BB" w:rsidRDefault="00A6639E" w:rsidP="00A6639E">
      <w:pPr>
        <w:pStyle w:val="FootnoteText"/>
        <w:rPr>
          <w:rFonts w:asciiTheme="minorHAnsi" w:hAnsiTheme="minorHAnsi"/>
          <w:color w:val="0563C1"/>
          <w:sz w:val="16"/>
          <w:szCs w:val="16"/>
          <w:vertAlign w:val="superscript"/>
        </w:rPr>
      </w:pPr>
      <w:r w:rsidRPr="001618BB">
        <w:rPr>
          <w:rStyle w:val="FootnoteReference"/>
          <w:rFonts w:asciiTheme="minorHAnsi" w:hAnsiTheme="minorHAnsi"/>
          <w:sz w:val="16"/>
          <w:szCs w:val="16"/>
        </w:rPr>
        <w:footnoteRef/>
      </w:r>
      <w:r w:rsidR="003003EA" w:rsidRPr="001618BB">
        <w:rPr>
          <w:rFonts w:asciiTheme="minorHAnsi" w:hAnsiTheme="minorHAnsi"/>
          <w:sz w:val="16"/>
          <w:szCs w:val="16"/>
        </w:rPr>
        <w:t xml:space="preserve"> </w:t>
      </w:r>
      <w:r w:rsidRPr="001618BB">
        <w:rPr>
          <w:rFonts w:asciiTheme="minorHAnsi" w:hAnsiTheme="minorHAnsi"/>
          <w:sz w:val="16"/>
          <w:szCs w:val="16"/>
        </w:rPr>
        <w:t>Diario</w:t>
      </w:r>
      <w:r w:rsidRPr="001618BB">
        <w:rPr>
          <w:rFonts w:asciiTheme="minorHAnsi" w:hAnsiTheme="minorHAnsi"/>
          <w:i/>
          <w:iCs/>
          <w:sz w:val="16"/>
          <w:szCs w:val="16"/>
        </w:rPr>
        <w:t>La Diaria</w:t>
      </w:r>
      <w:r w:rsidRPr="001618BB">
        <w:rPr>
          <w:rFonts w:asciiTheme="minorHAnsi" w:hAnsiTheme="minorHAnsi"/>
          <w:sz w:val="16"/>
          <w:szCs w:val="16"/>
        </w:rPr>
        <w:t>(05/03/2021) “Tribunal de Apelaciones</w:t>
      </w:r>
      <w:r w:rsidR="008374BE" w:rsidRPr="001618BB">
        <w:rPr>
          <w:rFonts w:asciiTheme="minorHAnsi" w:hAnsiTheme="minorHAnsi"/>
          <w:sz w:val="16"/>
          <w:szCs w:val="16"/>
        </w:rPr>
        <w:t xml:space="preserve"> </w:t>
      </w:r>
      <w:r w:rsidRPr="001618BB">
        <w:rPr>
          <w:rFonts w:asciiTheme="minorHAnsi" w:hAnsiTheme="minorHAnsi"/>
          <w:sz w:val="16"/>
          <w:szCs w:val="16"/>
        </w:rPr>
        <w:t>confirmó</w:t>
      </w:r>
      <w:r w:rsidR="008374BE" w:rsidRPr="001618BB">
        <w:rPr>
          <w:rFonts w:asciiTheme="minorHAnsi" w:hAnsiTheme="minorHAnsi"/>
          <w:sz w:val="16"/>
          <w:szCs w:val="16"/>
        </w:rPr>
        <w:t xml:space="preserve"> </w:t>
      </w:r>
      <w:r w:rsidRPr="001618BB">
        <w:rPr>
          <w:rFonts w:asciiTheme="minorHAnsi" w:hAnsiTheme="minorHAnsi"/>
          <w:sz w:val="16"/>
          <w:szCs w:val="16"/>
        </w:rPr>
        <w:t>el</w:t>
      </w:r>
      <w:r w:rsidR="008374BE" w:rsidRPr="001618BB">
        <w:rPr>
          <w:rFonts w:asciiTheme="minorHAnsi" w:hAnsiTheme="minorHAnsi"/>
          <w:sz w:val="16"/>
          <w:szCs w:val="16"/>
        </w:rPr>
        <w:t xml:space="preserve"> </w:t>
      </w:r>
      <w:r w:rsidRPr="001618BB">
        <w:rPr>
          <w:rFonts w:asciiTheme="minorHAnsi" w:hAnsiTheme="minorHAnsi"/>
          <w:sz w:val="16"/>
          <w:szCs w:val="16"/>
        </w:rPr>
        <w:t>procesamiento del empresario Miguel Sofía por</w:t>
      </w:r>
      <w:r w:rsidR="008374BE" w:rsidRPr="001618BB">
        <w:rPr>
          <w:rFonts w:asciiTheme="minorHAnsi" w:hAnsiTheme="minorHAnsi"/>
          <w:sz w:val="16"/>
          <w:szCs w:val="16"/>
        </w:rPr>
        <w:t xml:space="preserve"> </w:t>
      </w:r>
      <w:r w:rsidRPr="001618BB">
        <w:rPr>
          <w:rFonts w:asciiTheme="minorHAnsi" w:hAnsiTheme="minorHAnsi"/>
          <w:sz w:val="16"/>
          <w:szCs w:val="16"/>
        </w:rPr>
        <w:t>el</w:t>
      </w:r>
      <w:r w:rsidR="008374BE" w:rsidRPr="001618BB">
        <w:rPr>
          <w:rFonts w:asciiTheme="minorHAnsi" w:hAnsiTheme="minorHAnsi"/>
          <w:sz w:val="16"/>
          <w:szCs w:val="16"/>
        </w:rPr>
        <w:t xml:space="preserve"> </w:t>
      </w:r>
      <w:r w:rsidRPr="001618BB">
        <w:rPr>
          <w:rFonts w:asciiTheme="minorHAnsi" w:hAnsiTheme="minorHAnsi"/>
          <w:sz w:val="16"/>
          <w:szCs w:val="16"/>
        </w:rPr>
        <w:t xml:space="preserve">homicidio del militante tupamaro Héctor Castagnetto.” Disponible en: </w:t>
      </w:r>
      <w:hyperlink r:id="rId1" w:history="1">
        <w:r w:rsidRPr="001618BB">
          <w:rPr>
            <w:rStyle w:val="Hyperlink"/>
            <w:rFonts w:asciiTheme="minorHAnsi" w:hAnsiTheme="minorHAnsi"/>
            <w:sz w:val="16"/>
            <w:szCs w:val="16"/>
          </w:rPr>
          <w:t xml:space="preserve">ps://bit </w:t>
        </w:r>
      </w:hyperlink>
      <w:r w:rsidRPr="001618BB">
        <w:rPr>
          <w:rFonts w:asciiTheme="minorHAnsi" w:hAnsiTheme="minorHAnsi"/>
          <w:color w:val="0563C1"/>
          <w:sz w:val="16"/>
          <w:szCs w:val="16"/>
        </w:rPr>
        <w:t>y/3GbeEMN</w:t>
      </w:r>
    </w:p>
  </w:footnote>
  <w:footnote w:id="3">
    <w:p w14:paraId="13C273BF" w14:textId="0962774A" w:rsidR="00A6639E" w:rsidRPr="001618BB" w:rsidRDefault="00A6639E" w:rsidP="00A6639E">
      <w:pPr>
        <w:pStyle w:val="FootnoteText"/>
        <w:rPr>
          <w:rFonts w:asciiTheme="minorHAnsi" w:hAnsiTheme="minorHAnsi"/>
          <w:color w:val="0563C1"/>
          <w:sz w:val="16"/>
          <w:szCs w:val="16"/>
          <w:vertAlign w:val="superscript"/>
        </w:rPr>
      </w:pPr>
      <w:r w:rsidRPr="001618BB">
        <w:rPr>
          <w:rStyle w:val="FootnoteReference"/>
          <w:rFonts w:asciiTheme="minorHAnsi" w:hAnsiTheme="minorHAnsi"/>
          <w:sz w:val="16"/>
          <w:szCs w:val="16"/>
        </w:rPr>
        <w:footnoteRef/>
      </w:r>
      <w:r w:rsidR="003003EA" w:rsidRPr="001618BB">
        <w:rPr>
          <w:rFonts w:asciiTheme="minorHAnsi" w:hAnsiTheme="minorHAnsi"/>
          <w:sz w:val="16"/>
          <w:szCs w:val="16"/>
        </w:rPr>
        <w:t xml:space="preserve"> </w:t>
      </w:r>
      <w:r w:rsidRPr="001618BB">
        <w:rPr>
          <w:rFonts w:asciiTheme="minorHAnsi" w:hAnsiTheme="minorHAnsi"/>
          <w:sz w:val="16"/>
          <w:szCs w:val="16"/>
        </w:rPr>
        <w:t>Diario</w:t>
      </w:r>
      <w:r w:rsidRPr="001618BB">
        <w:rPr>
          <w:rFonts w:asciiTheme="minorHAnsi" w:hAnsiTheme="minorHAnsi"/>
          <w:i/>
          <w:iCs/>
          <w:sz w:val="16"/>
          <w:szCs w:val="16"/>
        </w:rPr>
        <w:t>La Diaria</w:t>
      </w:r>
      <w:r w:rsidRPr="001618BB">
        <w:rPr>
          <w:rFonts w:asciiTheme="minorHAnsi" w:hAnsiTheme="minorHAnsi"/>
          <w:sz w:val="16"/>
          <w:szCs w:val="16"/>
        </w:rPr>
        <w:t>(20/03/2021) “Procesan</w:t>
      </w:r>
      <w:r w:rsidR="008374BE" w:rsidRPr="001618BB">
        <w:rPr>
          <w:rFonts w:asciiTheme="minorHAnsi" w:hAnsiTheme="minorHAnsi"/>
          <w:sz w:val="16"/>
          <w:szCs w:val="16"/>
        </w:rPr>
        <w:t xml:space="preserve"> </w:t>
      </w:r>
      <w:r w:rsidRPr="001618BB">
        <w:rPr>
          <w:rFonts w:asciiTheme="minorHAnsi" w:hAnsiTheme="minorHAnsi"/>
          <w:sz w:val="16"/>
          <w:szCs w:val="16"/>
        </w:rPr>
        <w:t>con</w:t>
      </w:r>
      <w:r w:rsidR="008374BE" w:rsidRPr="001618BB">
        <w:rPr>
          <w:rFonts w:asciiTheme="minorHAnsi" w:hAnsiTheme="minorHAnsi"/>
          <w:sz w:val="16"/>
          <w:szCs w:val="16"/>
        </w:rPr>
        <w:t xml:space="preserve"> </w:t>
      </w:r>
      <w:r w:rsidRPr="001618BB">
        <w:rPr>
          <w:rFonts w:asciiTheme="minorHAnsi" w:hAnsiTheme="minorHAnsi"/>
          <w:sz w:val="16"/>
          <w:szCs w:val="16"/>
        </w:rPr>
        <w:t>prisión a los militares</w:t>
      </w:r>
      <w:r w:rsidR="008374BE" w:rsidRPr="001618BB">
        <w:rPr>
          <w:rFonts w:asciiTheme="minorHAnsi" w:hAnsiTheme="minorHAnsi"/>
          <w:sz w:val="16"/>
          <w:szCs w:val="16"/>
        </w:rPr>
        <w:t xml:space="preserve"> </w:t>
      </w:r>
      <w:r w:rsidRPr="001618BB">
        <w:rPr>
          <w:rFonts w:asciiTheme="minorHAnsi" w:hAnsiTheme="minorHAnsi"/>
          <w:sz w:val="16"/>
          <w:szCs w:val="16"/>
        </w:rPr>
        <w:t>Ohannessian y Pajarito Silveira en el</w:t>
      </w:r>
      <w:r w:rsidR="008374BE" w:rsidRPr="001618BB">
        <w:rPr>
          <w:rFonts w:asciiTheme="minorHAnsi" w:hAnsiTheme="minorHAnsi"/>
          <w:sz w:val="16"/>
          <w:szCs w:val="16"/>
        </w:rPr>
        <w:t xml:space="preserve"> </w:t>
      </w:r>
      <w:r w:rsidRPr="001618BB">
        <w:rPr>
          <w:rFonts w:asciiTheme="minorHAnsi" w:hAnsiTheme="minorHAnsi"/>
          <w:sz w:val="16"/>
          <w:szCs w:val="16"/>
        </w:rPr>
        <w:t>marco de la causa abierta</w:t>
      </w:r>
      <w:r w:rsidR="008374BE" w:rsidRPr="001618BB">
        <w:rPr>
          <w:rFonts w:asciiTheme="minorHAnsi" w:hAnsiTheme="minorHAnsi"/>
          <w:sz w:val="16"/>
          <w:szCs w:val="16"/>
        </w:rPr>
        <w:t xml:space="preserve"> </w:t>
      </w:r>
      <w:r w:rsidRPr="001618BB">
        <w:rPr>
          <w:rFonts w:asciiTheme="minorHAnsi" w:hAnsiTheme="minorHAnsi"/>
          <w:sz w:val="16"/>
          <w:szCs w:val="16"/>
        </w:rPr>
        <w:t>por</w:t>
      </w:r>
      <w:r w:rsidR="008374BE" w:rsidRPr="001618BB">
        <w:rPr>
          <w:rFonts w:asciiTheme="minorHAnsi" w:hAnsiTheme="minorHAnsi"/>
          <w:sz w:val="16"/>
          <w:szCs w:val="16"/>
        </w:rPr>
        <w:t xml:space="preserve"> </w:t>
      </w:r>
      <w:r w:rsidRPr="001618BB">
        <w:rPr>
          <w:rFonts w:asciiTheme="minorHAnsi" w:hAnsiTheme="minorHAnsi"/>
          <w:sz w:val="16"/>
          <w:szCs w:val="16"/>
        </w:rPr>
        <w:t>28 expresas</w:t>
      </w:r>
      <w:r w:rsidR="008374BE" w:rsidRPr="001618BB">
        <w:rPr>
          <w:rFonts w:asciiTheme="minorHAnsi" w:hAnsiTheme="minorHAnsi"/>
          <w:sz w:val="16"/>
          <w:szCs w:val="16"/>
        </w:rPr>
        <w:t xml:space="preserve"> </w:t>
      </w:r>
      <w:r w:rsidRPr="001618BB">
        <w:rPr>
          <w:rFonts w:asciiTheme="minorHAnsi" w:hAnsiTheme="minorHAnsi"/>
          <w:sz w:val="16"/>
          <w:szCs w:val="16"/>
        </w:rPr>
        <w:t xml:space="preserve">políticas.” Disponible en: </w:t>
      </w:r>
      <w:r w:rsidRPr="001618BB">
        <w:rPr>
          <w:rStyle w:val="normaltextrun"/>
          <w:rFonts w:asciiTheme="minorHAnsi" w:hAnsiTheme="minorHAnsi" w:cs="Calibri"/>
          <w:color w:val="000000"/>
          <w:sz w:val="16"/>
          <w:szCs w:val="16"/>
          <w:shd w:val="clear" w:color="auto" w:fill="FFFFFF"/>
        </w:rPr>
        <w:t> </w:t>
      </w:r>
      <w:hyperlink r:id="rId2" w:tgtFrame="_blank" w:history="1">
        <w:r w:rsidRPr="001618BB">
          <w:rPr>
            <w:rStyle w:val="normaltextrun"/>
            <w:rFonts w:asciiTheme="minorHAnsi" w:hAnsiTheme="minorHAnsi" w:cs="Calibri"/>
            <w:color w:val="0563C1"/>
            <w:sz w:val="16"/>
            <w:szCs w:val="16"/>
            <w:u w:val="single"/>
            <w:shd w:val="clear" w:color="auto" w:fill="FFFFFF"/>
          </w:rPr>
          <w:t>https://bit.ly/3H9nqfB</w:t>
        </w:r>
      </w:hyperlink>
      <w:r w:rsidRPr="001618BB">
        <w:rPr>
          <w:rStyle w:val="normaltextrun"/>
          <w:rFonts w:asciiTheme="minorHAnsi" w:hAnsiTheme="minorHAnsi" w:cs="Calibri"/>
          <w:color w:val="000000"/>
          <w:sz w:val="16"/>
          <w:szCs w:val="16"/>
          <w:shd w:val="clear" w:color="auto" w:fill="FFFFFF"/>
        </w:rPr>
        <w:t>  </w:t>
      </w:r>
      <w:hyperlink r:id="rId3" w:history="1"/>
    </w:p>
  </w:footnote>
  <w:footnote w:id="4">
    <w:p w14:paraId="25DF2D7F" w14:textId="026CDB06" w:rsidR="00A6639E" w:rsidRPr="001618BB" w:rsidRDefault="00A6639E" w:rsidP="00A6639E">
      <w:pPr>
        <w:pStyle w:val="FootnoteText"/>
        <w:rPr>
          <w:rFonts w:asciiTheme="minorHAnsi" w:hAnsiTheme="minorHAnsi"/>
          <w:color w:val="0563C1"/>
          <w:sz w:val="16"/>
          <w:szCs w:val="16"/>
          <w:vertAlign w:val="superscript"/>
        </w:rPr>
      </w:pPr>
      <w:r w:rsidRPr="001618BB">
        <w:rPr>
          <w:rStyle w:val="FootnoteReference"/>
          <w:rFonts w:asciiTheme="minorHAnsi" w:hAnsiTheme="minorHAnsi"/>
          <w:sz w:val="16"/>
          <w:szCs w:val="16"/>
        </w:rPr>
        <w:footnoteRef/>
      </w:r>
      <w:r w:rsidR="003003EA" w:rsidRPr="001618BB">
        <w:rPr>
          <w:rFonts w:asciiTheme="minorHAnsi" w:hAnsiTheme="minorHAnsi"/>
          <w:sz w:val="16"/>
          <w:szCs w:val="16"/>
        </w:rPr>
        <w:t xml:space="preserve"> </w:t>
      </w:r>
      <w:r w:rsidRPr="001618BB">
        <w:rPr>
          <w:rFonts w:asciiTheme="minorHAnsi" w:hAnsiTheme="minorHAnsi"/>
          <w:sz w:val="16"/>
          <w:szCs w:val="16"/>
        </w:rPr>
        <w:t>Diario</w:t>
      </w:r>
      <w:r w:rsidRPr="001618BB">
        <w:rPr>
          <w:rFonts w:asciiTheme="minorHAnsi" w:hAnsiTheme="minorHAnsi"/>
          <w:i/>
          <w:iCs/>
          <w:sz w:val="16"/>
          <w:szCs w:val="16"/>
        </w:rPr>
        <w:t>La Diaria</w:t>
      </w:r>
      <w:r w:rsidRPr="001618BB">
        <w:rPr>
          <w:rFonts w:asciiTheme="minorHAnsi" w:hAnsiTheme="minorHAnsi"/>
          <w:sz w:val="16"/>
          <w:szCs w:val="16"/>
        </w:rPr>
        <w:t>(19/04/2021) “Tribunal de Apelaciones</w:t>
      </w:r>
      <w:r w:rsidR="008374BE" w:rsidRPr="001618BB">
        <w:rPr>
          <w:rFonts w:asciiTheme="minorHAnsi" w:hAnsiTheme="minorHAnsi"/>
          <w:sz w:val="16"/>
          <w:szCs w:val="16"/>
        </w:rPr>
        <w:t xml:space="preserve"> </w:t>
      </w:r>
      <w:r w:rsidRPr="001618BB">
        <w:rPr>
          <w:rFonts w:asciiTheme="minorHAnsi" w:hAnsiTheme="minorHAnsi"/>
          <w:sz w:val="16"/>
          <w:szCs w:val="16"/>
        </w:rPr>
        <w:t>dispuso</w:t>
      </w:r>
      <w:r w:rsidR="008374BE" w:rsidRPr="001618BB">
        <w:rPr>
          <w:rFonts w:asciiTheme="minorHAnsi" w:hAnsiTheme="minorHAnsi"/>
          <w:sz w:val="16"/>
          <w:szCs w:val="16"/>
        </w:rPr>
        <w:t xml:space="preserve"> </w:t>
      </w:r>
      <w:r w:rsidRPr="001618BB">
        <w:rPr>
          <w:rFonts w:asciiTheme="minorHAnsi" w:hAnsiTheme="minorHAnsi"/>
          <w:sz w:val="16"/>
          <w:szCs w:val="16"/>
        </w:rPr>
        <w:t>prisión</w:t>
      </w:r>
      <w:r w:rsidR="008374BE" w:rsidRPr="001618BB">
        <w:rPr>
          <w:rFonts w:asciiTheme="minorHAnsi" w:hAnsiTheme="minorHAnsi"/>
          <w:sz w:val="16"/>
          <w:szCs w:val="16"/>
        </w:rPr>
        <w:t xml:space="preserve"> </w:t>
      </w:r>
      <w:r w:rsidRPr="001618BB">
        <w:rPr>
          <w:rFonts w:asciiTheme="minorHAnsi" w:hAnsiTheme="minorHAnsi"/>
          <w:sz w:val="16"/>
          <w:szCs w:val="16"/>
        </w:rPr>
        <w:t>para</w:t>
      </w:r>
      <w:r w:rsidR="008374BE" w:rsidRPr="001618BB">
        <w:rPr>
          <w:rFonts w:asciiTheme="minorHAnsi" w:hAnsiTheme="minorHAnsi"/>
          <w:sz w:val="16"/>
          <w:szCs w:val="16"/>
        </w:rPr>
        <w:t xml:space="preserve"> </w:t>
      </w:r>
      <w:r w:rsidRPr="001618BB">
        <w:rPr>
          <w:rFonts w:asciiTheme="minorHAnsi" w:hAnsiTheme="minorHAnsi"/>
          <w:sz w:val="16"/>
          <w:szCs w:val="16"/>
        </w:rPr>
        <w:t>militares José María Cabrera y Andrés Quintana por</w:t>
      </w:r>
      <w:r w:rsidR="008374BE" w:rsidRPr="001618BB">
        <w:rPr>
          <w:rFonts w:asciiTheme="minorHAnsi" w:hAnsiTheme="minorHAnsi"/>
          <w:sz w:val="16"/>
          <w:szCs w:val="16"/>
        </w:rPr>
        <w:t xml:space="preserve"> </w:t>
      </w:r>
      <w:r w:rsidRPr="001618BB">
        <w:rPr>
          <w:rFonts w:asciiTheme="minorHAnsi" w:hAnsiTheme="minorHAnsi"/>
          <w:sz w:val="16"/>
          <w:szCs w:val="16"/>
        </w:rPr>
        <w:t>delitos de abuso de autoridad en dictadura.” Disponible en:  </w:t>
      </w:r>
      <w:hyperlink r:id="rId4" w:tgtFrame="_blank" w:history="1">
        <w:r w:rsidRPr="001618BB">
          <w:rPr>
            <w:rStyle w:val="Hyperlink"/>
            <w:rFonts w:asciiTheme="minorHAnsi" w:hAnsiTheme="minorHAnsi"/>
            <w:sz w:val="16"/>
            <w:szCs w:val="16"/>
          </w:rPr>
          <w:t>https://bit.ly/3g7tLw8</w:t>
        </w:r>
      </w:hyperlink>
      <w:r w:rsidRPr="001618BB">
        <w:rPr>
          <w:rFonts w:asciiTheme="minorHAnsi" w:hAnsiTheme="minorHAnsi"/>
          <w:sz w:val="16"/>
          <w:szCs w:val="16"/>
        </w:rPr>
        <w:t>  </w:t>
      </w:r>
      <w:hyperlink r:id="rId5" w:history="1"/>
    </w:p>
  </w:footnote>
  <w:footnote w:id="5">
    <w:p w14:paraId="7DE12312" w14:textId="1E246482" w:rsidR="00A6639E" w:rsidRPr="001618BB" w:rsidRDefault="00A6639E" w:rsidP="00A6639E">
      <w:pPr>
        <w:rPr>
          <w:rFonts w:asciiTheme="minorHAnsi" w:hAnsiTheme="minorHAnsi"/>
          <w:sz w:val="16"/>
          <w:szCs w:val="16"/>
          <w:lang w:val="es-ES"/>
        </w:rPr>
      </w:pPr>
      <w:r w:rsidRPr="001618BB">
        <w:rPr>
          <w:rStyle w:val="FootnoteReference"/>
          <w:rFonts w:asciiTheme="minorHAnsi" w:hAnsiTheme="minorHAnsi"/>
          <w:sz w:val="16"/>
          <w:szCs w:val="16"/>
          <w:lang w:val="es-ES"/>
        </w:rPr>
        <w:footnoteRef/>
      </w:r>
      <w:r w:rsidR="003003EA" w:rsidRPr="001618BB">
        <w:rPr>
          <w:rFonts w:asciiTheme="minorHAnsi" w:hAnsiTheme="minorHAnsi"/>
          <w:sz w:val="16"/>
          <w:szCs w:val="16"/>
          <w:lang w:val="es-ES"/>
        </w:rPr>
        <w:t xml:space="preserve"> </w:t>
      </w:r>
      <w:r w:rsidRPr="001618BB">
        <w:rPr>
          <w:rFonts w:asciiTheme="minorHAnsi" w:hAnsiTheme="minorHAnsi"/>
          <w:sz w:val="16"/>
          <w:szCs w:val="16"/>
          <w:lang w:val="es-ES"/>
        </w:rPr>
        <w:t>Diario</w:t>
      </w:r>
      <w:r w:rsidRPr="001618BB">
        <w:rPr>
          <w:rFonts w:asciiTheme="minorHAnsi" w:hAnsiTheme="minorHAnsi"/>
          <w:i/>
          <w:iCs/>
          <w:sz w:val="16"/>
          <w:szCs w:val="16"/>
          <w:lang w:val="es-ES"/>
        </w:rPr>
        <w:t>La Diaria</w:t>
      </w:r>
      <w:r w:rsidRPr="001618BB">
        <w:rPr>
          <w:rFonts w:asciiTheme="minorHAnsi" w:hAnsiTheme="minorHAnsi"/>
          <w:sz w:val="16"/>
          <w:szCs w:val="16"/>
          <w:lang w:val="es-ES"/>
        </w:rPr>
        <w:t>(29/03/2021) “Procesaron</w:t>
      </w:r>
      <w:r w:rsidR="008374BE" w:rsidRPr="001618BB">
        <w:rPr>
          <w:rFonts w:asciiTheme="minorHAnsi" w:hAnsiTheme="minorHAnsi"/>
          <w:sz w:val="16"/>
          <w:szCs w:val="16"/>
          <w:lang w:val="es-ES"/>
        </w:rPr>
        <w:t xml:space="preserve"> </w:t>
      </w:r>
      <w:r w:rsidRPr="001618BB">
        <w:rPr>
          <w:rFonts w:asciiTheme="minorHAnsi" w:hAnsiTheme="minorHAnsi"/>
          <w:sz w:val="16"/>
          <w:szCs w:val="16"/>
          <w:lang w:val="es-ES"/>
        </w:rPr>
        <w:t>con</w:t>
      </w:r>
      <w:r w:rsidR="008374BE" w:rsidRPr="001618BB">
        <w:rPr>
          <w:rFonts w:asciiTheme="minorHAnsi" w:hAnsiTheme="minorHAnsi"/>
          <w:sz w:val="16"/>
          <w:szCs w:val="16"/>
          <w:lang w:val="es-ES"/>
        </w:rPr>
        <w:t xml:space="preserve"> </w:t>
      </w:r>
      <w:r w:rsidRPr="001618BB">
        <w:rPr>
          <w:rFonts w:asciiTheme="minorHAnsi" w:hAnsiTheme="minorHAnsi"/>
          <w:sz w:val="16"/>
          <w:szCs w:val="16"/>
          <w:lang w:val="es-ES"/>
        </w:rPr>
        <w:t>prisión a Eduardo Ferro por la desaparición de Óscar Tassino.” Disponible en: htt</w:t>
      </w:r>
      <w:hyperlink w:history="1">
        <w:r w:rsidRPr="001618BB">
          <w:rPr>
            <w:rStyle w:val="Hyperlink"/>
            <w:rFonts w:asciiTheme="minorHAnsi" w:hAnsiTheme="minorHAnsi"/>
            <w:sz w:val="16"/>
            <w:szCs w:val="16"/>
            <w:lang w:val="es-ES"/>
          </w:rPr>
          <w:t>ps:// b</w:t>
        </w:r>
      </w:hyperlink>
      <w:r w:rsidRPr="001618BB">
        <w:rPr>
          <w:rFonts w:asciiTheme="minorHAnsi" w:hAnsiTheme="minorHAnsi"/>
          <w:color w:val="0563C1"/>
          <w:sz w:val="16"/>
          <w:szCs w:val="16"/>
          <w:lang w:val="es-ES"/>
        </w:rPr>
        <w:t>t.ly/3o3jwgK</w:t>
      </w:r>
    </w:p>
  </w:footnote>
  <w:footnote w:id="6">
    <w:p w14:paraId="410B63BF" w14:textId="7B0D898E" w:rsidR="00A6639E" w:rsidRPr="001618BB" w:rsidRDefault="00A6639E" w:rsidP="00A6639E">
      <w:pPr>
        <w:rPr>
          <w:rFonts w:asciiTheme="minorHAnsi" w:hAnsiTheme="minorHAnsi"/>
          <w:sz w:val="16"/>
          <w:szCs w:val="16"/>
          <w:lang w:val="es-ES"/>
        </w:rPr>
      </w:pPr>
      <w:r w:rsidRPr="001618BB">
        <w:rPr>
          <w:rStyle w:val="FootnoteReference"/>
          <w:rFonts w:asciiTheme="minorHAnsi" w:hAnsiTheme="minorHAnsi"/>
          <w:sz w:val="16"/>
          <w:szCs w:val="16"/>
          <w:lang w:val="es-ES"/>
        </w:rPr>
        <w:footnoteRef/>
      </w:r>
      <w:r w:rsidR="003003EA" w:rsidRPr="001618BB">
        <w:rPr>
          <w:rFonts w:asciiTheme="minorHAnsi" w:hAnsiTheme="minorHAnsi"/>
          <w:sz w:val="16"/>
          <w:szCs w:val="16"/>
          <w:lang w:val="es-ES"/>
        </w:rPr>
        <w:t xml:space="preserve"> </w:t>
      </w:r>
      <w:r w:rsidRPr="001618BB">
        <w:rPr>
          <w:rFonts w:asciiTheme="minorHAnsi" w:hAnsiTheme="minorHAnsi"/>
          <w:sz w:val="16"/>
          <w:szCs w:val="16"/>
          <w:lang w:val="es-ES"/>
        </w:rPr>
        <w:t>Diario</w:t>
      </w:r>
      <w:r w:rsidRPr="001618BB">
        <w:rPr>
          <w:rFonts w:asciiTheme="minorHAnsi" w:hAnsiTheme="minorHAnsi"/>
          <w:i/>
          <w:iCs/>
          <w:sz w:val="16"/>
          <w:szCs w:val="16"/>
          <w:lang w:val="es-ES"/>
        </w:rPr>
        <w:t>La Diaria</w:t>
      </w:r>
      <w:r w:rsidRPr="001618BB">
        <w:rPr>
          <w:rFonts w:asciiTheme="minorHAnsi" w:hAnsiTheme="minorHAnsi"/>
          <w:sz w:val="16"/>
          <w:szCs w:val="16"/>
          <w:lang w:val="es-ES"/>
        </w:rPr>
        <w:t>(03/06/2021) “Siete</w:t>
      </w:r>
      <w:r w:rsidR="008374BE" w:rsidRPr="001618BB">
        <w:rPr>
          <w:rFonts w:asciiTheme="minorHAnsi" w:hAnsiTheme="minorHAnsi"/>
          <w:sz w:val="16"/>
          <w:szCs w:val="16"/>
          <w:lang w:val="es-ES"/>
        </w:rPr>
        <w:t xml:space="preserve"> </w:t>
      </w:r>
      <w:r w:rsidRPr="001618BB">
        <w:rPr>
          <w:rFonts w:asciiTheme="minorHAnsi" w:hAnsiTheme="minorHAnsi"/>
          <w:sz w:val="16"/>
          <w:szCs w:val="16"/>
          <w:lang w:val="es-ES"/>
        </w:rPr>
        <w:t>represores</w:t>
      </w:r>
      <w:r w:rsidR="008374BE" w:rsidRPr="001618BB">
        <w:rPr>
          <w:rFonts w:asciiTheme="minorHAnsi" w:hAnsiTheme="minorHAnsi"/>
          <w:sz w:val="16"/>
          <w:szCs w:val="16"/>
          <w:lang w:val="es-ES"/>
        </w:rPr>
        <w:t xml:space="preserve"> </w:t>
      </w:r>
      <w:r w:rsidRPr="001618BB">
        <w:rPr>
          <w:rFonts w:asciiTheme="minorHAnsi" w:hAnsiTheme="minorHAnsi"/>
          <w:sz w:val="16"/>
          <w:szCs w:val="16"/>
          <w:lang w:val="es-ES"/>
        </w:rPr>
        <w:t>fueron</w:t>
      </w:r>
      <w:r w:rsidR="008374BE" w:rsidRPr="001618BB">
        <w:rPr>
          <w:rFonts w:asciiTheme="minorHAnsi" w:hAnsiTheme="minorHAnsi"/>
          <w:sz w:val="16"/>
          <w:szCs w:val="16"/>
          <w:lang w:val="es-ES"/>
        </w:rPr>
        <w:t xml:space="preserve"> </w:t>
      </w:r>
      <w:r w:rsidRPr="001618BB">
        <w:rPr>
          <w:rFonts w:asciiTheme="minorHAnsi" w:hAnsiTheme="minorHAnsi"/>
          <w:sz w:val="16"/>
          <w:szCs w:val="16"/>
          <w:lang w:val="es-ES"/>
        </w:rPr>
        <w:t>procesados</w:t>
      </w:r>
      <w:r w:rsidR="008374BE" w:rsidRPr="001618BB">
        <w:rPr>
          <w:rFonts w:asciiTheme="minorHAnsi" w:hAnsiTheme="minorHAnsi"/>
          <w:sz w:val="16"/>
          <w:szCs w:val="16"/>
          <w:lang w:val="es-ES"/>
        </w:rPr>
        <w:t xml:space="preserve"> </w:t>
      </w:r>
      <w:r w:rsidRPr="001618BB">
        <w:rPr>
          <w:rFonts w:asciiTheme="minorHAnsi" w:hAnsiTheme="minorHAnsi"/>
          <w:sz w:val="16"/>
          <w:szCs w:val="16"/>
          <w:lang w:val="es-ES"/>
        </w:rPr>
        <w:t>por</w:t>
      </w:r>
      <w:r w:rsidR="008374BE" w:rsidRPr="001618BB">
        <w:rPr>
          <w:rFonts w:asciiTheme="minorHAnsi" w:hAnsiTheme="minorHAnsi"/>
          <w:sz w:val="16"/>
          <w:szCs w:val="16"/>
          <w:lang w:val="es-ES"/>
        </w:rPr>
        <w:t xml:space="preserve"> </w:t>
      </w:r>
      <w:r w:rsidRPr="001618BB">
        <w:rPr>
          <w:rFonts w:asciiTheme="minorHAnsi" w:hAnsiTheme="minorHAnsi"/>
          <w:sz w:val="16"/>
          <w:szCs w:val="16"/>
          <w:lang w:val="es-ES"/>
        </w:rPr>
        <w:t xml:space="preserve">torturas en el 300 Carlos.” Disponible en: </w:t>
      </w:r>
      <w:hyperlink r:id="rId6" w:history="1">
        <w:r w:rsidRPr="001618BB">
          <w:rPr>
            <w:rStyle w:val="Hyperlink"/>
            <w:rFonts w:asciiTheme="minorHAnsi" w:hAnsiTheme="minorHAnsi"/>
            <w:sz w:val="16"/>
            <w:szCs w:val="16"/>
            <w:lang w:val="es-ES"/>
          </w:rPr>
          <w:t>https://bit</w:t>
        </w:r>
      </w:hyperlink>
      <w:r w:rsidRPr="001618BB">
        <w:rPr>
          <w:rFonts w:asciiTheme="minorHAnsi" w:hAnsiTheme="minorHAnsi"/>
          <w:color w:val="0563C1"/>
          <w:sz w:val="16"/>
          <w:szCs w:val="16"/>
          <w:lang w:val="es-ES"/>
        </w:rPr>
        <w:t>. ly/3IIL1nM</w:t>
      </w:r>
    </w:p>
  </w:footnote>
  <w:footnote w:id="7">
    <w:p w14:paraId="6CFE7A1D" w14:textId="129CFA82" w:rsidR="00A6639E" w:rsidRPr="001618BB" w:rsidRDefault="00A6639E" w:rsidP="00A6639E">
      <w:pPr>
        <w:rPr>
          <w:rFonts w:asciiTheme="minorHAnsi" w:hAnsiTheme="minorHAnsi"/>
          <w:sz w:val="16"/>
          <w:szCs w:val="16"/>
          <w:lang w:val="es-ES"/>
        </w:rPr>
      </w:pPr>
      <w:r w:rsidRPr="001618BB">
        <w:rPr>
          <w:rStyle w:val="FootnoteReference"/>
          <w:rFonts w:asciiTheme="minorHAnsi" w:hAnsiTheme="minorHAnsi"/>
          <w:sz w:val="16"/>
          <w:szCs w:val="16"/>
          <w:lang w:val="es-ES"/>
        </w:rPr>
        <w:footnoteRef/>
      </w:r>
      <w:r w:rsidR="003003EA" w:rsidRPr="001618BB">
        <w:rPr>
          <w:rFonts w:asciiTheme="minorHAnsi" w:hAnsiTheme="minorHAnsi"/>
          <w:sz w:val="16"/>
          <w:szCs w:val="16"/>
          <w:lang w:val="es-ES"/>
        </w:rPr>
        <w:t xml:space="preserve"> </w:t>
      </w:r>
      <w:r w:rsidRPr="001618BB">
        <w:rPr>
          <w:rFonts w:asciiTheme="minorHAnsi" w:hAnsiTheme="minorHAnsi"/>
          <w:sz w:val="16"/>
          <w:szCs w:val="16"/>
          <w:lang w:val="es-ES"/>
        </w:rPr>
        <w:t>Diario</w:t>
      </w:r>
      <w:r w:rsidRPr="001618BB">
        <w:rPr>
          <w:rFonts w:asciiTheme="minorHAnsi" w:hAnsiTheme="minorHAnsi"/>
          <w:i/>
          <w:iCs/>
          <w:sz w:val="16"/>
          <w:szCs w:val="16"/>
          <w:lang w:val="es-ES"/>
        </w:rPr>
        <w:t>LaDiaria</w:t>
      </w:r>
      <w:r w:rsidRPr="001618BB">
        <w:rPr>
          <w:rFonts w:asciiTheme="minorHAnsi" w:hAnsiTheme="minorHAnsi"/>
          <w:sz w:val="16"/>
          <w:szCs w:val="16"/>
          <w:lang w:val="es-ES"/>
        </w:rPr>
        <w:t>(11/06/2021) “Procesaron</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con</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prisión a tres</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militares</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por</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el</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asesinato de Gerardo Alter.” Disponible en: https://</w:t>
      </w:r>
      <w:r w:rsidRPr="001618BB">
        <w:rPr>
          <w:rFonts w:asciiTheme="minorHAnsi" w:hAnsiTheme="minorHAnsi"/>
          <w:color w:val="0563C1"/>
          <w:sz w:val="16"/>
          <w:szCs w:val="16"/>
          <w:lang w:val="es-ES"/>
        </w:rPr>
        <w:t>bit.ly/3u5nrNW</w:t>
      </w:r>
    </w:p>
  </w:footnote>
  <w:footnote w:id="8">
    <w:p w14:paraId="799FA1AB" w14:textId="60E45E36" w:rsidR="00A6639E" w:rsidRPr="001618BB" w:rsidRDefault="00A6639E" w:rsidP="00A6639E">
      <w:pPr>
        <w:rPr>
          <w:rFonts w:asciiTheme="minorHAnsi" w:hAnsiTheme="minorHAnsi"/>
          <w:sz w:val="16"/>
          <w:szCs w:val="16"/>
          <w:lang w:val="es-ES"/>
        </w:rPr>
      </w:pPr>
      <w:r w:rsidRPr="001618BB">
        <w:rPr>
          <w:rStyle w:val="FootnoteReference"/>
          <w:rFonts w:asciiTheme="minorHAnsi" w:hAnsiTheme="minorHAnsi"/>
          <w:sz w:val="16"/>
          <w:szCs w:val="16"/>
          <w:lang w:val="es-ES"/>
        </w:rPr>
        <w:footnoteRef/>
      </w:r>
      <w:r w:rsidR="003003EA" w:rsidRPr="001618BB">
        <w:rPr>
          <w:rFonts w:asciiTheme="minorHAnsi" w:hAnsiTheme="minorHAnsi"/>
          <w:sz w:val="16"/>
          <w:szCs w:val="16"/>
          <w:lang w:val="es-ES"/>
        </w:rPr>
        <w:t xml:space="preserve"> </w:t>
      </w:r>
      <w:r w:rsidRPr="001618BB">
        <w:rPr>
          <w:rFonts w:asciiTheme="minorHAnsi" w:hAnsiTheme="minorHAnsi"/>
          <w:sz w:val="16"/>
          <w:szCs w:val="16"/>
          <w:lang w:val="es-ES"/>
        </w:rPr>
        <w:t>Diario</w:t>
      </w:r>
      <w:r w:rsidRPr="001618BB">
        <w:rPr>
          <w:rFonts w:asciiTheme="minorHAnsi" w:hAnsiTheme="minorHAnsi"/>
          <w:i/>
          <w:iCs/>
          <w:sz w:val="16"/>
          <w:szCs w:val="16"/>
          <w:lang w:val="es-ES"/>
        </w:rPr>
        <w:t>LaDiaria</w:t>
      </w:r>
      <w:r w:rsidRPr="001618BB">
        <w:rPr>
          <w:rFonts w:asciiTheme="minorHAnsi" w:hAnsiTheme="minorHAnsi"/>
          <w:sz w:val="16"/>
          <w:szCs w:val="16"/>
          <w:lang w:val="es-ES"/>
        </w:rPr>
        <w:t>(07/07/2021) “Los torturadores Gilberto Vázquez, Jorge Silveira y José Arab, que</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ya</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están</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presos, fueron</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procesados</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con</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prisión</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por</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el</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 xml:space="preserve">secuestro de Anatole y Victoria Julien.” Disponible en: </w:t>
      </w:r>
      <w:hyperlink r:id="rId7" w:tgtFrame="_blank" w:history="1">
        <w:r w:rsidRPr="001618BB">
          <w:rPr>
            <w:rStyle w:val="Hyperlink"/>
            <w:rFonts w:asciiTheme="minorHAnsi" w:hAnsiTheme="minorHAnsi"/>
            <w:sz w:val="16"/>
            <w:szCs w:val="16"/>
            <w:lang w:val="es-ES"/>
          </w:rPr>
          <w:t>https://bit.ly/34cYhSK</w:t>
        </w:r>
      </w:hyperlink>
      <w:r w:rsidRPr="001618BB">
        <w:rPr>
          <w:rFonts w:asciiTheme="minorHAnsi" w:hAnsiTheme="minorHAnsi"/>
          <w:sz w:val="16"/>
          <w:szCs w:val="16"/>
          <w:lang w:val="es-ES"/>
        </w:rPr>
        <w:t>  </w:t>
      </w:r>
      <w:hyperlink r:id="rId8" w:history="1"/>
    </w:p>
  </w:footnote>
  <w:footnote w:id="9">
    <w:p w14:paraId="7C0A1620" w14:textId="1992E6EE" w:rsidR="00A6639E" w:rsidRPr="001618BB" w:rsidRDefault="00A6639E" w:rsidP="00A6639E">
      <w:pPr>
        <w:rPr>
          <w:rFonts w:asciiTheme="minorHAnsi" w:hAnsiTheme="minorHAnsi"/>
          <w:sz w:val="16"/>
          <w:szCs w:val="16"/>
          <w:lang w:val="es-ES"/>
        </w:rPr>
      </w:pPr>
      <w:r w:rsidRPr="001618BB">
        <w:rPr>
          <w:rStyle w:val="FootnoteReference"/>
          <w:rFonts w:asciiTheme="minorHAnsi" w:hAnsiTheme="minorHAnsi"/>
          <w:sz w:val="16"/>
          <w:szCs w:val="16"/>
          <w:lang w:val="es-ES"/>
        </w:rPr>
        <w:footnoteRef/>
      </w:r>
      <w:r w:rsidR="003003EA" w:rsidRPr="001618BB">
        <w:rPr>
          <w:rFonts w:asciiTheme="minorHAnsi" w:hAnsiTheme="minorHAnsi"/>
          <w:sz w:val="16"/>
          <w:szCs w:val="16"/>
          <w:lang w:val="es-ES"/>
        </w:rPr>
        <w:t xml:space="preserve"> </w:t>
      </w:r>
      <w:r w:rsidRPr="001618BB">
        <w:rPr>
          <w:rFonts w:asciiTheme="minorHAnsi" w:hAnsiTheme="minorHAnsi"/>
          <w:sz w:val="16"/>
          <w:szCs w:val="16"/>
          <w:lang w:val="es-ES"/>
        </w:rPr>
        <w:t>Diario</w:t>
      </w:r>
      <w:r w:rsidRPr="001618BB">
        <w:rPr>
          <w:rFonts w:asciiTheme="minorHAnsi" w:hAnsiTheme="minorHAnsi"/>
          <w:i/>
          <w:iCs/>
          <w:sz w:val="16"/>
          <w:szCs w:val="16"/>
          <w:lang w:val="es-ES"/>
        </w:rPr>
        <w:t>LaDiaria</w:t>
      </w:r>
      <w:r w:rsidRPr="001618BB">
        <w:rPr>
          <w:rFonts w:asciiTheme="minorHAnsi" w:hAnsiTheme="minorHAnsi"/>
          <w:sz w:val="16"/>
          <w:szCs w:val="16"/>
          <w:lang w:val="es-ES"/>
        </w:rPr>
        <w:t>(09/07/2021) “Fueron</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condenados a cadena</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perpetua 14 represores</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por</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el</w:t>
      </w:r>
      <w:r w:rsidR="00181172" w:rsidRPr="001618BB">
        <w:rPr>
          <w:rFonts w:asciiTheme="minorHAnsi" w:hAnsiTheme="minorHAnsi"/>
          <w:sz w:val="16"/>
          <w:szCs w:val="16"/>
          <w:lang w:val="es-ES"/>
        </w:rPr>
        <w:t xml:space="preserve"> </w:t>
      </w:r>
      <w:r w:rsidRPr="001618BB">
        <w:rPr>
          <w:rFonts w:asciiTheme="minorHAnsi" w:hAnsiTheme="minorHAnsi"/>
          <w:sz w:val="16"/>
          <w:szCs w:val="16"/>
          <w:lang w:val="es-ES"/>
        </w:rPr>
        <w:t xml:space="preserve">caso Plan Cóndor.” Disponible en: </w:t>
      </w:r>
      <w:hyperlink r:id="rId9" w:tgtFrame="_blank" w:history="1">
        <w:r w:rsidRPr="001618BB">
          <w:rPr>
            <w:rStyle w:val="Hyperlink"/>
            <w:rFonts w:asciiTheme="minorHAnsi" w:hAnsiTheme="minorHAnsi"/>
            <w:sz w:val="16"/>
            <w:szCs w:val="16"/>
            <w:lang w:val="es-ES"/>
          </w:rPr>
          <w:t>https://bit.ly/32B3Tpq</w:t>
        </w:r>
      </w:hyperlink>
    </w:p>
  </w:footnote>
  <w:footnote w:id="10">
    <w:p w14:paraId="29FFD751" w14:textId="5D450C76" w:rsidR="00A6639E" w:rsidRPr="001618BB" w:rsidRDefault="00A6639E" w:rsidP="00A6639E">
      <w:pPr>
        <w:pStyle w:val="FootnoteText"/>
        <w:rPr>
          <w:rFonts w:asciiTheme="minorHAnsi" w:hAnsiTheme="minorHAnsi"/>
          <w:color w:val="0563C1"/>
          <w:sz w:val="16"/>
          <w:szCs w:val="16"/>
          <w:vertAlign w:val="superscript"/>
        </w:rPr>
      </w:pPr>
      <w:r w:rsidRPr="001618BB">
        <w:rPr>
          <w:rStyle w:val="FootnoteReference"/>
          <w:rFonts w:asciiTheme="minorHAnsi" w:hAnsiTheme="minorHAnsi"/>
          <w:sz w:val="16"/>
          <w:szCs w:val="16"/>
        </w:rPr>
        <w:footnoteRef/>
      </w:r>
      <w:r w:rsidR="003003EA" w:rsidRPr="001618BB">
        <w:rPr>
          <w:rFonts w:asciiTheme="minorHAnsi" w:hAnsiTheme="minorHAnsi"/>
          <w:sz w:val="16"/>
          <w:szCs w:val="16"/>
        </w:rPr>
        <w:t xml:space="preserve"> </w:t>
      </w:r>
      <w:r w:rsidRPr="001618BB">
        <w:rPr>
          <w:rFonts w:asciiTheme="minorHAnsi" w:hAnsiTheme="minorHAnsi"/>
          <w:sz w:val="16"/>
          <w:szCs w:val="16"/>
        </w:rPr>
        <w:t>Diario</w:t>
      </w:r>
      <w:r w:rsidRPr="001618BB">
        <w:rPr>
          <w:rFonts w:asciiTheme="minorHAnsi" w:hAnsiTheme="minorHAnsi"/>
          <w:i/>
          <w:iCs/>
          <w:sz w:val="16"/>
          <w:szCs w:val="16"/>
        </w:rPr>
        <w:t>LaDiaria</w:t>
      </w:r>
      <w:r w:rsidRPr="001618BB">
        <w:rPr>
          <w:rFonts w:asciiTheme="minorHAnsi" w:hAnsiTheme="minorHAnsi"/>
          <w:sz w:val="16"/>
          <w:szCs w:val="16"/>
        </w:rPr>
        <w:t>(06/10/2021) “Procesaron</w:t>
      </w:r>
      <w:r w:rsidR="00181172" w:rsidRPr="001618BB">
        <w:rPr>
          <w:rFonts w:asciiTheme="minorHAnsi" w:hAnsiTheme="minorHAnsi"/>
          <w:sz w:val="16"/>
          <w:szCs w:val="16"/>
        </w:rPr>
        <w:t xml:space="preserve"> </w:t>
      </w:r>
      <w:r w:rsidRPr="001618BB">
        <w:rPr>
          <w:rFonts w:asciiTheme="minorHAnsi" w:hAnsiTheme="minorHAnsi"/>
          <w:sz w:val="16"/>
          <w:szCs w:val="16"/>
        </w:rPr>
        <w:t>con</w:t>
      </w:r>
      <w:r w:rsidR="00181172" w:rsidRPr="001618BB">
        <w:rPr>
          <w:rFonts w:asciiTheme="minorHAnsi" w:hAnsiTheme="minorHAnsi"/>
          <w:sz w:val="16"/>
          <w:szCs w:val="16"/>
        </w:rPr>
        <w:t xml:space="preserve"> </w:t>
      </w:r>
      <w:r w:rsidRPr="001618BB">
        <w:rPr>
          <w:rFonts w:asciiTheme="minorHAnsi" w:hAnsiTheme="minorHAnsi"/>
          <w:sz w:val="16"/>
          <w:szCs w:val="16"/>
        </w:rPr>
        <w:t>prisión al capitán</w:t>
      </w:r>
      <w:r w:rsidR="00181172" w:rsidRPr="001618BB">
        <w:rPr>
          <w:rFonts w:asciiTheme="minorHAnsi" w:hAnsiTheme="minorHAnsi"/>
          <w:sz w:val="16"/>
          <w:szCs w:val="16"/>
        </w:rPr>
        <w:t xml:space="preserve"> </w:t>
      </w:r>
      <w:r w:rsidRPr="001618BB">
        <w:rPr>
          <w:rFonts w:asciiTheme="minorHAnsi" w:hAnsiTheme="minorHAnsi"/>
          <w:sz w:val="16"/>
          <w:szCs w:val="16"/>
        </w:rPr>
        <w:t>retirado Ramón Larrosa por</w:t>
      </w:r>
      <w:r w:rsidR="00181172" w:rsidRPr="001618BB">
        <w:rPr>
          <w:rFonts w:asciiTheme="minorHAnsi" w:hAnsiTheme="minorHAnsi"/>
          <w:sz w:val="16"/>
          <w:szCs w:val="16"/>
        </w:rPr>
        <w:t xml:space="preserve"> </w:t>
      </w:r>
      <w:r w:rsidRPr="001618BB">
        <w:rPr>
          <w:rFonts w:asciiTheme="minorHAnsi" w:hAnsiTheme="minorHAnsi"/>
          <w:sz w:val="16"/>
          <w:szCs w:val="16"/>
        </w:rPr>
        <w:t>torturas en el</w:t>
      </w:r>
      <w:r w:rsidR="00181172" w:rsidRPr="001618BB">
        <w:rPr>
          <w:rFonts w:asciiTheme="minorHAnsi" w:hAnsiTheme="minorHAnsi"/>
          <w:sz w:val="16"/>
          <w:szCs w:val="16"/>
        </w:rPr>
        <w:t xml:space="preserve"> </w:t>
      </w:r>
      <w:r w:rsidRPr="001618BB">
        <w:rPr>
          <w:rFonts w:asciiTheme="minorHAnsi" w:hAnsiTheme="minorHAnsi"/>
          <w:sz w:val="16"/>
          <w:szCs w:val="16"/>
        </w:rPr>
        <w:t xml:space="preserve">Batallón de Infantería N° 8 de Paysandú en 1974.” Disponible en: </w:t>
      </w:r>
      <w:hyperlink r:id="rId10" w:tgtFrame="_blank" w:history="1">
        <w:r w:rsidRPr="001618BB">
          <w:rPr>
            <w:rStyle w:val="Hyperlink"/>
            <w:rFonts w:asciiTheme="minorHAnsi" w:hAnsiTheme="minorHAnsi"/>
            <w:sz w:val="16"/>
            <w:szCs w:val="16"/>
          </w:rPr>
          <w:t>https://bit.ly/3G9Ugf4</w:t>
        </w:r>
      </w:hyperlink>
      <w:r w:rsidRPr="001618BB">
        <w:rPr>
          <w:rFonts w:asciiTheme="minorHAnsi" w:hAnsiTheme="minorHAnsi"/>
          <w:sz w:val="16"/>
          <w:szCs w:val="16"/>
        </w:rPr>
        <w:t>  </w:t>
      </w:r>
      <w:hyperlink r:id="rId11" w:history="1"/>
    </w:p>
  </w:footnote>
  <w:footnote w:id="11">
    <w:p w14:paraId="56F4047C" w14:textId="0EC59E41" w:rsidR="00A6639E" w:rsidRPr="001618BB" w:rsidRDefault="00A6639E" w:rsidP="00A6639E">
      <w:pPr>
        <w:pStyle w:val="FootnoteText"/>
        <w:rPr>
          <w:rFonts w:asciiTheme="minorHAnsi" w:hAnsiTheme="minorHAnsi"/>
          <w:color w:val="0563C1"/>
          <w:sz w:val="16"/>
          <w:szCs w:val="16"/>
          <w:vertAlign w:val="superscript"/>
        </w:rPr>
      </w:pPr>
      <w:r w:rsidRPr="001618BB">
        <w:rPr>
          <w:rStyle w:val="FootnoteReference"/>
          <w:rFonts w:asciiTheme="minorHAnsi" w:hAnsiTheme="minorHAnsi"/>
          <w:sz w:val="16"/>
          <w:szCs w:val="16"/>
        </w:rPr>
        <w:footnoteRef/>
      </w:r>
      <w:r w:rsidR="003003EA" w:rsidRPr="001618BB">
        <w:rPr>
          <w:rFonts w:asciiTheme="minorHAnsi" w:hAnsiTheme="minorHAnsi"/>
          <w:sz w:val="16"/>
          <w:szCs w:val="16"/>
        </w:rPr>
        <w:t xml:space="preserve"> </w:t>
      </w:r>
      <w:r w:rsidRPr="001618BB">
        <w:rPr>
          <w:rFonts w:asciiTheme="minorHAnsi" w:hAnsiTheme="minorHAnsi"/>
          <w:sz w:val="16"/>
          <w:szCs w:val="16"/>
        </w:rPr>
        <w:t>Diario</w:t>
      </w:r>
      <w:r w:rsidRPr="001618BB">
        <w:rPr>
          <w:rFonts w:asciiTheme="minorHAnsi" w:hAnsiTheme="minorHAnsi"/>
          <w:i/>
          <w:iCs/>
          <w:sz w:val="16"/>
          <w:szCs w:val="16"/>
        </w:rPr>
        <w:t>LaDiaria</w:t>
      </w:r>
      <w:r w:rsidRPr="001618BB">
        <w:rPr>
          <w:rFonts w:asciiTheme="minorHAnsi" w:hAnsiTheme="minorHAnsi"/>
          <w:sz w:val="16"/>
          <w:szCs w:val="16"/>
        </w:rPr>
        <w:t>(06/10/2021) “Procesaron</w:t>
      </w:r>
      <w:r w:rsidR="00181172" w:rsidRPr="001618BB">
        <w:rPr>
          <w:rFonts w:asciiTheme="minorHAnsi" w:hAnsiTheme="minorHAnsi"/>
          <w:sz w:val="16"/>
          <w:szCs w:val="16"/>
        </w:rPr>
        <w:t xml:space="preserve"> </w:t>
      </w:r>
      <w:r w:rsidRPr="001618BB">
        <w:rPr>
          <w:rFonts w:asciiTheme="minorHAnsi" w:hAnsiTheme="minorHAnsi"/>
          <w:sz w:val="16"/>
          <w:szCs w:val="16"/>
        </w:rPr>
        <w:t>con</w:t>
      </w:r>
      <w:r w:rsidR="00181172" w:rsidRPr="001618BB">
        <w:rPr>
          <w:rFonts w:asciiTheme="minorHAnsi" w:hAnsiTheme="minorHAnsi"/>
          <w:sz w:val="16"/>
          <w:szCs w:val="16"/>
        </w:rPr>
        <w:t xml:space="preserve"> </w:t>
      </w:r>
      <w:r w:rsidRPr="001618BB">
        <w:rPr>
          <w:rFonts w:asciiTheme="minorHAnsi" w:hAnsiTheme="minorHAnsi"/>
          <w:sz w:val="16"/>
          <w:szCs w:val="16"/>
        </w:rPr>
        <w:t>prisión al teniente Carlos Chajá Chaine por</w:t>
      </w:r>
      <w:r w:rsidR="00181172" w:rsidRPr="001618BB">
        <w:rPr>
          <w:rFonts w:asciiTheme="minorHAnsi" w:hAnsiTheme="minorHAnsi"/>
          <w:sz w:val="16"/>
          <w:szCs w:val="16"/>
        </w:rPr>
        <w:t xml:space="preserve"> </w:t>
      </w:r>
      <w:r w:rsidRPr="001618BB">
        <w:rPr>
          <w:rFonts w:asciiTheme="minorHAnsi" w:hAnsiTheme="minorHAnsi"/>
          <w:sz w:val="16"/>
          <w:szCs w:val="16"/>
        </w:rPr>
        <w:t xml:space="preserve">torturas en Tacuarembó.” Disponible en: </w:t>
      </w:r>
      <w:hyperlink r:id="rId12" w:tgtFrame="_blank" w:history="1">
        <w:r w:rsidRPr="001618BB">
          <w:rPr>
            <w:rStyle w:val="Hyperlink"/>
            <w:rFonts w:asciiTheme="minorHAnsi" w:hAnsiTheme="minorHAnsi"/>
            <w:sz w:val="16"/>
            <w:szCs w:val="16"/>
          </w:rPr>
          <w:t>https://bit.ly/3H7rYTX</w:t>
        </w:r>
      </w:hyperlink>
      <w:r w:rsidRPr="001618BB">
        <w:rPr>
          <w:rFonts w:asciiTheme="minorHAnsi" w:hAnsiTheme="minorHAnsi"/>
          <w:sz w:val="16"/>
          <w:szCs w:val="16"/>
        </w:rPr>
        <w:t>  </w:t>
      </w:r>
      <w:hyperlink r:id="rId13" w:history="1"/>
    </w:p>
  </w:footnote>
  <w:footnote w:id="12">
    <w:p w14:paraId="6A5CDC84" w14:textId="229E3A26" w:rsidR="00A6639E" w:rsidRPr="001618BB" w:rsidRDefault="00A6639E" w:rsidP="00A6639E">
      <w:pPr>
        <w:pStyle w:val="FootnoteText"/>
        <w:rPr>
          <w:rFonts w:asciiTheme="minorHAnsi" w:hAnsiTheme="minorHAnsi"/>
          <w:color w:val="0563C1"/>
          <w:sz w:val="16"/>
          <w:szCs w:val="16"/>
          <w:vertAlign w:val="superscript"/>
        </w:rPr>
      </w:pPr>
      <w:r w:rsidRPr="001618BB">
        <w:rPr>
          <w:rStyle w:val="FootnoteReference"/>
          <w:rFonts w:asciiTheme="minorHAnsi" w:hAnsiTheme="minorHAnsi"/>
          <w:sz w:val="16"/>
          <w:szCs w:val="16"/>
        </w:rPr>
        <w:footnoteRef/>
      </w:r>
      <w:r w:rsidR="003003EA" w:rsidRPr="001618BB">
        <w:rPr>
          <w:rFonts w:asciiTheme="minorHAnsi" w:hAnsiTheme="minorHAnsi"/>
          <w:sz w:val="16"/>
          <w:szCs w:val="16"/>
        </w:rPr>
        <w:t xml:space="preserve"> </w:t>
      </w:r>
      <w:r w:rsidRPr="001618BB">
        <w:rPr>
          <w:rFonts w:asciiTheme="minorHAnsi" w:hAnsiTheme="minorHAnsi"/>
          <w:sz w:val="16"/>
          <w:szCs w:val="16"/>
        </w:rPr>
        <w:t>Diario</w:t>
      </w:r>
      <w:r w:rsidRPr="001618BB">
        <w:rPr>
          <w:rFonts w:asciiTheme="minorHAnsi" w:hAnsiTheme="minorHAnsi"/>
          <w:i/>
          <w:iCs/>
          <w:sz w:val="16"/>
          <w:szCs w:val="16"/>
        </w:rPr>
        <w:t>LaDiaria</w:t>
      </w:r>
      <w:r w:rsidRPr="001618BB">
        <w:rPr>
          <w:rFonts w:asciiTheme="minorHAnsi" w:hAnsiTheme="minorHAnsi"/>
          <w:sz w:val="16"/>
          <w:szCs w:val="16"/>
        </w:rPr>
        <w:t>(13/05/2021) “Percibal</w:t>
      </w:r>
      <w:r w:rsidR="00FD203D" w:rsidRPr="001618BB">
        <w:rPr>
          <w:rFonts w:asciiTheme="minorHAnsi" w:hAnsiTheme="minorHAnsi"/>
          <w:sz w:val="16"/>
          <w:szCs w:val="16"/>
        </w:rPr>
        <w:t xml:space="preserve"> </w:t>
      </w:r>
      <w:r w:rsidRPr="001618BB">
        <w:rPr>
          <w:rFonts w:asciiTheme="minorHAnsi" w:hAnsiTheme="minorHAnsi"/>
          <w:sz w:val="16"/>
          <w:szCs w:val="16"/>
        </w:rPr>
        <w:t>le</w:t>
      </w:r>
      <w:r w:rsidR="00FD203D" w:rsidRPr="001618BB">
        <w:rPr>
          <w:rFonts w:asciiTheme="minorHAnsi" w:hAnsiTheme="minorHAnsi"/>
          <w:sz w:val="16"/>
          <w:szCs w:val="16"/>
        </w:rPr>
        <w:t xml:space="preserve"> </w:t>
      </w:r>
      <w:r w:rsidRPr="001618BB">
        <w:rPr>
          <w:rFonts w:asciiTheme="minorHAnsi" w:hAnsiTheme="minorHAnsi"/>
          <w:sz w:val="16"/>
          <w:szCs w:val="16"/>
        </w:rPr>
        <w:t>dijo</w:t>
      </w:r>
      <w:r w:rsidR="00FD203D" w:rsidRPr="001618BB">
        <w:rPr>
          <w:rFonts w:asciiTheme="minorHAnsi" w:hAnsiTheme="minorHAnsi"/>
          <w:sz w:val="16"/>
          <w:szCs w:val="16"/>
        </w:rPr>
        <w:t xml:space="preserve"> </w:t>
      </w:r>
      <w:r w:rsidRPr="001618BB">
        <w:rPr>
          <w:rFonts w:asciiTheme="minorHAnsi" w:hAnsiTheme="minorHAnsi"/>
          <w:sz w:val="16"/>
          <w:szCs w:val="16"/>
        </w:rPr>
        <w:t>que</w:t>
      </w:r>
      <w:r w:rsidR="00FD203D" w:rsidRPr="001618BB">
        <w:rPr>
          <w:rFonts w:asciiTheme="minorHAnsi" w:hAnsiTheme="minorHAnsi"/>
          <w:sz w:val="16"/>
          <w:szCs w:val="16"/>
        </w:rPr>
        <w:t xml:space="preserve"> </w:t>
      </w:r>
      <w:r w:rsidRPr="001618BB">
        <w:rPr>
          <w:rFonts w:asciiTheme="minorHAnsi" w:hAnsiTheme="minorHAnsi"/>
          <w:sz w:val="16"/>
          <w:szCs w:val="16"/>
        </w:rPr>
        <w:t>no ha encontrado “elementos</w:t>
      </w:r>
      <w:r w:rsidR="00FD203D" w:rsidRPr="001618BB">
        <w:rPr>
          <w:rFonts w:asciiTheme="minorHAnsi" w:hAnsiTheme="minorHAnsi"/>
          <w:sz w:val="16"/>
          <w:szCs w:val="16"/>
        </w:rPr>
        <w:t xml:space="preserve"> </w:t>
      </w:r>
      <w:r w:rsidRPr="001618BB">
        <w:rPr>
          <w:rFonts w:asciiTheme="minorHAnsi" w:hAnsiTheme="minorHAnsi"/>
          <w:sz w:val="16"/>
          <w:szCs w:val="16"/>
        </w:rPr>
        <w:t>significativos” en los archivos</w:t>
      </w:r>
      <w:r w:rsidR="00FD203D" w:rsidRPr="001618BB">
        <w:rPr>
          <w:rFonts w:asciiTheme="minorHAnsi" w:hAnsiTheme="minorHAnsi"/>
          <w:sz w:val="16"/>
          <w:szCs w:val="16"/>
        </w:rPr>
        <w:t xml:space="preserve"> </w:t>
      </w:r>
      <w:r w:rsidRPr="001618BB">
        <w:rPr>
          <w:rFonts w:asciiTheme="minorHAnsi" w:hAnsiTheme="minorHAnsi"/>
          <w:sz w:val="16"/>
          <w:szCs w:val="16"/>
        </w:rPr>
        <w:t>militares</w:t>
      </w:r>
      <w:r w:rsidR="00FD203D" w:rsidRPr="001618BB">
        <w:rPr>
          <w:rFonts w:asciiTheme="minorHAnsi" w:hAnsiTheme="minorHAnsi"/>
          <w:sz w:val="16"/>
          <w:szCs w:val="16"/>
        </w:rPr>
        <w:t xml:space="preserve"> </w:t>
      </w:r>
      <w:r w:rsidRPr="001618BB">
        <w:rPr>
          <w:rFonts w:asciiTheme="minorHAnsi" w:hAnsiTheme="minorHAnsi"/>
          <w:sz w:val="16"/>
          <w:szCs w:val="16"/>
        </w:rPr>
        <w:t>que</w:t>
      </w:r>
      <w:r w:rsidR="00FD203D" w:rsidRPr="001618BB">
        <w:rPr>
          <w:rFonts w:asciiTheme="minorHAnsi" w:hAnsiTheme="minorHAnsi"/>
          <w:sz w:val="16"/>
          <w:szCs w:val="16"/>
        </w:rPr>
        <w:t xml:space="preserve"> </w:t>
      </w:r>
      <w:r w:rsidRPr="001618BB">
        <w:rPr>
          <w:rFonts w:asciiTheme="minorHAnsi" w:hAnsiTheme="minorHAnsi"/>
          <w:sz w:val="16"/>
          <w:szCs w:val="16"/>
        </w:rPr>
        <w:t xml:space="preserve">aporten a las investigaciones.” Disponible en: </w:t>
      </w:r>
      <w:hyperlink r:id="rId14" w:history="1">
        <w:r w:rsidRPr="001618BB">
          <w:rPr>
            <w:rStyle w:val="Hyperlink"/>
            <w:rFonts w:asciiTheme="minorHAnsi" w:hAnsiTheme="minorHAnsi"/>
            <w:sz w:val="16"/>
            <w:szCs w:val="16"/>
          </w:rPr>
          <w:t>https://bit.ly/3G5LMFU</w:t>
        </w:r>
      </w:hyperlink>
    </w:p>
  </w:footnote>
  <w:footnote w:id="13">
    <w:p w14:paraId="07849B22" w14:textId="1757EA10" w:rsidR="00A6639E" w:rsidRPr="001618BB" w:rsidRDefault="00A6639E" w:rsidP="00A6639E">
      <w:pPr>
        <w:pStyle w:val="FootnoteText"/>
        <w:rPr>
          <w:rFonts w:asciiTheme="minorHAnsi" w:hAnsiTheme="minorHAnsi"/>
          <w:color w:val="0563C1"/>
          <w:sz w:val="16"/>
          <w:szCs w:val="16"/>
          <w:vertAlign w:val="superscript"/>
        </w:rPr>
      </w:pPr>
      <w:r w:rsidRPr="001618BB">
        <w:rPr>
          <w:rStyle w:val="FootnoteReference"/>
          <w:rFonts w:asciiTheme="minorHAnsi" w:hAnsiTheme="minorHAnsi"/>
          <w:sz w:val="16"/>
          <w:szCs w:val="16"/>
        </w:rPr>
        <w:footnoteRef/>
      </w:r>
      <w:r w:rsidR="003003EA" w:rsidRPr="001618BB">
        <w:rPr>
          <w:rFonts w:asciiTheme="minorHAnsi" w:hAnsiTheme="minorHAnsi"/>
          <w:sz w:val="16"/>
          <w:szCs w:val="16"/>
        </w:rPr>
        <w:t xml:space="preserve"> </w:t>
      </w:r>
      <w:r w:rsidRPr="001618BB">
        <w:rPr>
          <w:rFonts w:asciiTheme="minorHAnsi" w:hAnsiTheme="minorHAnsi"/>
          <w:sz w:val="16"/>
          <w:szCs w:val="16"/>
        </w:rPr>
        <w:t>Montevideo Portal (06/08/2021) “Cabildo</w:t>
      </w:r>
      <w:r w:rsidR="00FD203D" w:rsidRPr="001618BB">
        <w:rPr>
          <w:rFonts w:asciiTheme="minorHAnsi" w:hAnsiTheme="minorHAnsi"/>
          <w:sz w:val="16"/>
          <w:szCs w:val="16"/>
        </w:rPr>
        <w:t xml:space="preserve"> </w:t>
      </w:r>
      <w:r w:rsidRPr="001618BB">
        <w:rPr>
          <w:rFonts w:asciiTheme="minorHAnsi" w:hAnsiTheme="minorHAnsi"/>
          <w:sz w:val="16"/>
          <w:szCs w:val="16"/>
        </w:rPr>
        <w:t>Abierto</w:t>
      </w:r>
      <w:r w:rsidR="00FD203D" w:rsidRPr="001618BB">
        <w:rPr>
          <w:rFonts w:asciiTheme="minorHAnsi" w:hAnsiTheme="minorHAnsi"/>
          <w:sz w:val="16"/>
          <w:szCs w:val="16"/>
        </w:rPr>
        <w:t xml:space="preserve"> </w:t>
      </w:r>
      <w:r w:rsidRPr="001618BB">
        <w:rPr>
          <w:rFonts w:asciiTheme="minorHAnsi" w:hAnsiTheme="minorHAnsi"/>
          <w:sz w:val="16"/>
          <w:szCs w:val="16"/>
        </w:rPr>
        <w:t>ingresó</w:t>
      </w:r>
      <w:r w:rsidR="00FD203D" w:rsidRPr="001618BB">
        <w:rPr>
          <w:rFonts w:asciiTheme="minorHAnsi" w:hAnsiTheme="minorHAnsi"/>
          <w:sz w:val="16"/>
          <w:szCs w:val="16"/>
        </w:rPr>
        <w:t xml:space="preserve"> </w:t>
      </w:r>
      <w:r w:rsidRPr="001618BB">
        <w:rPr>
          <w:rFonts w:asciiTheme="minorHAnsi" w:hAnsiTheme="minorHAnsi"/>
          <w:sz w:val="16"/>
          <w:szCs w:val="16"/>
        </w:rPr>
        <w:t>proyecto de ley</w:t>
      </w:r>
      <w:r w:rsidR="00FD203D" w:rsidRPr="001618BB">
        <w:rPr>
          <w:rFonts w:asciiTheme="minorHAnsi" w:hAnsiTheme="minorHAnsi"/>
          <w:sz w:val="16"/>
          <w:szCs w:val="16"/>
        </w:rPr>
        <w:t xml:space="preserve"> </w:t>
      </w:r>
      <w:r w:rsidRPr="001618BB">
        <w:rPr>
          <w:rFonts w:asciiTheme="minorHAnsi" w:hAnsiTheme="minorHAnsi"/>
          <w:sz w:val="16"/>
          <w:szCs w:val="16"/>
        </w:rPr>
        <w:t>para dar prisión</w:t>
      </w:r>
      <w:r w:rsidR="00FD203D" w:rsidRPr="001618BB">
        <w:rPr>
          <w:rFonts w:asciiTheme="minorHAnsi" w:hAnsiTheme="minorHAnsi"/>
          <w:sz w:val="16"/>
          <w:szCs w:val="16"/>
        </w:rPr>
        <w:t xml:space="preserve"> </w:t>
      </w:r>
      <w:r w:rsidRPr="001618BB">
        <w:rPr>
          <w:rFonts w:asciiTheme="minorHAnsi" w:hAnsiTheme="minorHAnsi"/>
          <w:sz w:val="16"/>
          <w:szCs w:val="16"/>
        </w:rPr>
        <w:t xml:space="preserve">domiciliara a mayores de 65.” Disponible en: </w:t>
      </w:r>
      <w:hyperlink r:id="rId15" w:tgtFrame="_blank" w:history="1">
        <w:r w:rsidRPr="001618BB">
          <w:rPr>
            <w:rStyle w:val="Hyperlink"/>
            <w:rFonts w:asciiTheme="minorHAnsi" w:hAnsiTheme="minorHAnsi"/>
            <w:sz w:val="16"/>
            <w:szCs w:val="16"/>
          </w:rPr>
          <w:t>https://bit.ly/3rXfXtH</w:t>
        </w:r>
      </w:hyperlink>
      <w:hyperlink r:id="rId16" w:history="1"/>
    </w:p>
  </w:footnote>
  <w:footnote w:id="14">
    <w:p w14:paraId="05401F67" w14:textId="75B771FD" w:rsidR="00A6639E" w:rsidRPr="001618BB" w:rsidRDefault="00A6639E" w:rsidP="00A6639E">
      <w:pPr>
        <w:pStyle w:val="FootnoteText"/>
        <w:rPr>
          <w:rFonts w:asciiTheme="minorHAnsi" w:hAnsiTheme="minorHAnsi"/>
          <w:color w:val="0563C1"/>
          <w:sz w:val="16"/>
          <w:szCs w:val="16"/>
          <w:vertAlign w:val="superscript"/>
        </w:rPr>
      </w:pPr>
      <w:r w:rsidRPr="001618BB">
        <w:rPr>
          <w:rStyle w:val="FootnoteReference"/>
          <w:rFonts w:asciiTheme="minorHAnsi" w:hAnsiTheme="minorHAnsi"/>
          <w:sz w:val="16"/>
          <w:szCs w:val="16"/>
        </w:rPr>
        <w:footnoteRef/>
      </w:r>
      <w:r w:rsidR="003003EA" w:rsidRPr="001618BB">
        <w:rPr>
          <w:rFonts w:asciiTheme="minorHAnsi" w:hAnsiTheme="minorHAnsi"/>
          <w:sz w:val="16"/>
          <w:szCs w:val="16"/>
        </w:rPr>
        <w:t xml:space="preserve"> </w:t>
      </w:r>
      <w:r w:rsidRPr="001618BB">
        <w:rPr>
          <w:rFonts w:asciiTheme="minorHAnsi" w:hAnsiTheme="minorHAnsi"/>
          <w:sz w:val="16"/>
          <w:szCs w:val="16"/>
        </w:rPr>
        <w:t>Sitios de Memoria Uruguay (02/11/2021) Prisión</w:t>
      </w:r>
      <w:r w:rsidR="00FD203D" w:rsidRPr="001618BB">
        <w:rPr>
          <w:rFonts w:asciiTheme="minorHAnsi" w:hAnsiTheme="minorHAnsi"/>
          <w:sz w:val="16"/>
          <w:szCs w:val="16"/>
        </w:rPr>
        <w:t xml:space="preserve"> </w:t>
      </w:r>
      <w:r w:rsidRPr="001618BB">
        <w:rPr>
          <w:rFonts w:asciiTheme="minorHAnsi" w:hAnsiTheme="minorHAnsi"/>
          <w:sz w:val="16"/>
          <w:szCs w:val="16"/>
        </w:rPr>
        <w:t>efectiva</w:t>
      </w:r>
      <w:r w:rsidR="00FD203D" w:rsidRPr="001618BB">
        <w:rPr>
          <w:rFonts w:asciiTheme="minorHAnsi" w:hAnsiTheme="minorHAnsi"/>
          <w:sz w:val="16"/>
          <w:szCs w:val="16"/>
        </w:rPr>
        <w:t xml:space="preserve"> </w:t>
      </w:r>
      <w:r w:rsidRPr="001618BB">
        <w:rPr>
          <w:rFonts w:asciiTheme="minorHAnsi" w:hAnsiTheme="minorHAnsi"/>
          <w:sz w:val="16"/>
          <w:szCs w:val="16"/>
        </w:rPr>
        <w:t>para los criminales de lesa</w:t>
      </w:r>
      <w:r w:rsidR="00FD203D" w:rsidRPr="001618BB">
        <w:rPr>
          <w:rFonts w:asciiTheme="minorHAnsi" w:hAnsiTheme="minorHAnsi"/>
          <w:sz w:val="16"/>
          <w:szCs w:val="16"/>
        </w:rPr>
        <w:t xml:space="preserve"> </w:t>
      </w:r>
      <w:r w:rsidRPr="001618BB">
        <w:rPr>
          <w:rFonts w:asciiTheme="minorHAnsi" w:hAnsiTheme="minorHAnsi"/>
          <w:sz w:val="16"/>
          <w:szCs w:val="16"/>
        </w:rPr>
        <w:t xml:space="preserve">humanidad. Datos extraídos y disponibles en: </w:t>
      </w:r>
      <w:hyperlink r:id="rId17" w:tgtFrame="_blank" w:history="1">
        <w:r w:rsidRPr="001618BB">
          <w:rPr>
            <w:rStyle w:val="Hyperlink"/>
            <w:rFonts w:asciiTheme="minorHAnsi" w:hAnsiTheme="minorHAnsi"/>
            <w:sz w:val="16"/>
            <w:szCs w:val="16"/>
          </w:rPr>
          <w:t>https://bit.ly/3rSA78d</w:t>
        </w:r>
      </w:hyperlink>
      <w:r w:rsidRPr="001618BB">
        <w:rPr>
          <w:rFonts w:asciiTheme="minorHAnsi" w:hAnsiTheme="minorHAnsi"/>
          <w:sz w:val="16"/>
          <w:szCs w:val="16"/>
        </w:rPr>
        <w:t>  </w:t>
      </w:r>
      <w:hyperlink r:id="rId18" w:history="1"/>
    </w:p>
  </w:footnote>
  <w:footnote w:id="15">
    <w:p w14:paraId="080160CD" w14:textId="199CE1E9" w:rsidR="00A6639E" w:rsidRPr="001618BB" w:rsidRDefault="00A6639E" w:rsidP="00A6639E">
      <w:pPr>
        <w:pStyle w:val="FootnoteText"/>
        <w:rPr>
          <w:rFonts w:asciiTheme="minorHAnsi" w:hAnsiTheme="minorHAnsi"/>
          <w:color w:val="0563C1"/>
          <w:sz w:val="16"/>
          <w:szCs w:val="16"/>
          <w:vertAlign w:val="superscript"/>
        </w:rPr>
      </w:pPr>
      <w:r w:rsidRPr="001618BB">
        <w:rPr>
          <w:rStyle w:val="FootnoteReference"/>
          <w:rFonts w:asciiTheme="minorHAnsi" w:hAnsiTheme="minorHAnsi"/>
          <w:sz w:val="16"/>
          <w:szCs w:val="16"/>
        </w:rPr>
        <w:footnoteRef/>
      </w:r>
      <w:r w:rsidR="003003EA" w:rsidRPr="001618BB">
        <w:rPr>
          <w:rFonts w:asciiTheme="minorHAnsi" w:hAnsiTheme="minorHAnsi"/>
          <w:sz w:val="16"/>
          <w:szCs w:val="16"/>
        </w:rPr>
        <w:t xml:space="preserve"> </w:t>
      </w:r>
      <w:r w:rsidRPr="001618BB">
        <w:rPr>
          <w:rFonts w:asciiTheme="minorHAnsi" w:hAnsiTheme="minorHAnsi"/>
          <w:sz w:val="16"/>
          <w:szCs w:val="16"/>
        </w:rPr>
        <w:t>Diario</w:t>
      </w:r>
      <w:r w:rsidRPr="001618BB">
        <w:rPr>
          <w:rFonts w:asciiTheme="minorHAnsi" w:hAnsiTheme="minorHAnsi"/>
          <w:i/>
          <w:iCs/>
          <w:sz w:val="16"/>
          <w:szCs w:val="16"/>
        </w:rPr>
        <w:t>LaDiaria</w:t>
      </w:r>
      <w:r w:rsidRPr="001618BB">
        <w:rPr>
          <w:rFonts w:asciiTheme="minorHAnsi" w:hAnsiTheme="minorHAnsi"/>
          <w:sz w:val="16"/>
          <w:szCs w:val="16"/>
        </w:rPr>
        <w:t>(28/10/2021) “Los represores presos en Domingo Arena que se beneficiarían del proyecto de Cabildo</w:t>
      </w:r>
      <w:r w:rsidR="00FD203D" w:rsidRPr="001618BB">
        <w:rPr>
          <w:rFonts w:asciiTheme="minorHAnsi" w:hAnsiTheme="minorHAnsi"/>
          <w:sz w:val="16"/>
          <w:szCs w:val="16"/>
        </w:rPr>
        <w:t xml:space="preserve"> </w:t>
      </w:r>
      <w:r w:rsidRPr="001618BB">
        <w:rPr>
          <w:rFonts w:asciiTheme="minorHAnsi" w:hAnsiTheme="minorHAnsi"/>
          <w:sz w:val="16"/>
          <w:szCs w:val="16"/>
        </w:rPr>
        <w:t xml:space="preserve">Abierto.” Disponible en: </w:t>
      </w:r>
      <w:hyperlink r:id="rId19" w:tgtFrame="_blank" w:history="1">
        <w:r w:rsidRPr="001618BB">
          <w:rPr>
            <w:rStyle w:val="Hyperlink"/>
            <w:rFonts w:asciiTheme="minorHAnsi" w:hAnsiTheme="minorHAnsi"/>
            <w:sz w:val="16"/>
            <w:szCs w:val="16"/>
          </w:rPr>
          <w:t>https://bit.ly/3G6vvAr</w:t>
        </w:r>
      </w:hyperlink>
    </w:p>
  </w:footnote>
  <w:footnote w:id="16">
    <w:p w14:paraId="37EB5CA9" w14:textId="49120BD2" w:rsidR="00A6639E" w:rsidRPr="001618BB" w:rsidRDefault="00A6639E" w:rsidP="00A6639E">
      <w:pPr>
        <w:rPr>
          <w:rFonts w:asciiTheme="minorHAnsi" w:hAnsiTheme="minorHAnsi"/>
          <w:sz w:val="16"/>
          <w:szCs w:val="16"/>
          <w:lang w:val="es-ES"/>
        </w:rPr>
      </w:pPr>
      <w:r w:rsidRPr="001618BB">
        <w:rPr>
          <w:rStyle w:val="FootnoteReference"/>
          <w:rFonts w:asciiTheme="minorHAnsi" w:hAnsiTheme="minorHAnsi"/>
          <w:sz w:val="16"/>
          <w:szCs w:val="16"/>
          <w:lang w:val="es-ES"/>
        </w:rPr>
        <w:footnoteRef/>
      </w:r>
      <w:r w:rsidR="003003EA" w:rsidRPr="001618BB">
        <w:rPr>
          <w:rFonts w:asciiTheme="minorHAnsi" w:hAnsiTheme="minorHAnsi"/>
          <w:i/>
          <w:iCs/>
          <w:sz w:val="16"/>
          <w:szCs w:val="16"/>
          <w:lang w:val="es-ES"/>
        </w:rPr>
        <w:t xml:space="preserve"> </w:t>
      </w:r>
      <w:r w:rsidRPr="001618BB">
        <w:rPr>
          <w:rFonts w:asciiTheme="minorHAnsi" w:hAnsiTheme="minorHAnsi"/>
          <w:i/>
          <w:iCs/>
          <w:sz w:val="16"/>
          <w:szCs w:val="16"/>
          <w:lang w:val="es-ES"/>
        </w:rPr>
        <w:t>La Diaria</w:t>
      </w:r>
      <w:r w:rsidR="00C95864" w:rsidRPr="001618BB">
        <w:rPr>
          <w:rFonts w:asciiTheme="minorHAnsi" w:hAnsiTheme="minorHAnsi"/>
          <w:i/>
          <w:iCs/>
          <w:sz w:val="16"/>
          <w:szCs w:val="16"/>
          <w:lang w:val="es-ES"/>
        </w:rPr>
        <w:t xml:space="preserve"> </w:t>
      </w:r>
      <w:r w:rsidRPr="001618BB">
        <w:rPr>
          <w:rFonts w:asciiTheme="minorHAnsi" w:hAnsiTheme="minorHAnsi"/>
          <w:sz w:val="16"/>
          <w:szCs w:val="16"/>
          <w:lang w:val="es-ES"/>
        </w:rPr>
        <w:t>(24/11/2021)</w:t>
      </w:r>
      <w:r w:rsidR="00753FD3" w:rsidRPr="001618BB">
        <w:rPr>
          <w:rFonts w:asciiTheme="minorHAnsi" w:hAnsiTheme="minorHAnsi"/>
          <w:sz w:val="16"/>
          <w:szCs w:val="16"/>
          <w:lang w:val="es-ES"/>
        </w:rPr>
        <w:t xml:space="preserve"> </w:t>
      </w:r>
      <w:r w:rsidRPr="001618BB">
        <w:rPr>
          <w:rFonts w:asciiTheme="minorHAnsi" w:hAnsiTheme="minorHAnsi"/>
          <w:sz w:val="16"/>
          <w:szCs w:val="16"/>
          <w:lang w:val="es-ES"/>
        </w:rPr>
        <w:t>”Comisionado</w:t>
      </w:r>
      <w:r w:rsidR="00FD203D" w:rsidRPr="001618BB">
        <w:rPr>
          <w:rFonts w:asciiTheme="minorHAnsi" w:hAnsiTheme="minorHAnsi"/>
          <w:sz w:val="16"/>
          <w:szCs w:val="16"/>
          <w:lang w:val="es-ES"/>
        </w:rPr>
        <w:t xml:space="preserve"> </w:t>
      </w:r>
      <w:r w:rsidRPr="001618BB">
        <w:rPr>
          <w:rFonts w:asciiTheme="minorHAnsi" w:hAnsiTheme="minorHAnsi"/>
          <w:sz w:val="16"/>
          <w:szCs w:val="16"/>
          <w:lang w:val="es-ES"/>
        </w:rPr>
        <w:t>Parlamentario</w:t>
      </w:r>
      <w:r w:rsidR="00FD203D" w:rsidRPr="001618BB">
        <w:rPr>
          <w:rFonts w:asciiTheme="minorHAnsi" w:hAnsiTheme="minorHAnsi"/>
          <w:sz w:val="16"/>
          <w:szCs w:val="16"/>
          <w:lang w:val="es-ES"/>
        </w:rPr>
        <w:t xml:space="preserve"> </w:t>
      </w:r>
      <w:r w:rsidRPr="001618BB">
        <w:rPr>
          <w:rFonts w:asciiTheme="minorHAnsi" w:hAnsiTheme="minorHAnsi"/>
          <w:sz w:val="16"/>
          <w:szCs w:val="16"/>
          <w:lang w:val="es-ES"/>
        </w:rPr>
        <w:t>rechazó</w:t>
      </w:r>
      <w:r w:rsidR="00FD203D" w:rsidRPr="001618BB">
        <w:rPr>
          <w:rFonts w:asciiTheme="minorHAnsi" w:hAnsiTheme="minorHAnsi"/>
          <w:sz w:val="16"/>
          <w:szCs w:val="16"/>
          <w:lang w:val="es-ES"/>
        </w:rPr>
        <w:t xml:space="preserve"> </w:t>
      </w:r>
      <w:r w:rsidRPr="001618BB">
        <w:rPr>
          <w:rFonts w:asciiTheme="minorHAnsi" w:hAnsiTheme="minorHAnsi"/>
          <w:sz w:val="16"/>
          <w:szCs w:val="16"/>
          <w:lang w:val="es-ES"/>
        </w:rPr>
        <w:t>proyecto de CA porque la “aplicación</w:t>
      </w:r>
      <w:r w:rsidR="00FD203D" w:rsidRPr="001618BB">
        <w:rPr>
          <w:rFonts w:asciiTheme="minorHAnsi" w:hAnsiTheme="minorHAnsi"/>
          <w:sz w:val="16"/>
          <w:szCs w:val="16"/>
          <w:lang w:val="es-ES"/>
        </w:rPr>
        <w:t xml:space="preserve"> </w:t>
      </w:r>
      <w:r w:rsidRPr="001618BB">
        <w:rPr>
          <w:rFonts w:asciiTheme="minorHAnsi" w:hAnsiTheme="minorHAnsi"/>
          <w:sz w:val="16"/>
          <w:szCs w:val="16"/>
          <w:lang w:val="es-ES"/>
        </w:rPr>
        <w:t>automática” de la prisión</w:t>
      </w:r>
      <w:r w:rsidR="00FD203D" w:rsidRPr="001618BB">
        <w:rPr>
          <w:rFonts w:asciiTheme="minorHAnsi" w:hAnsiTheme="minorHAnsi"/>
          <w:sz w:val="16"/>
          <w:szCs w:val="16"/>
          <w:lang w:val="es-ES"/>
        </w:rPr>
        <w:t xml:space="preserve"> </w:t>
      </w:r>
      <w:r w:rsidRPr="001618BB">
        <w:rPr>
          <w:rFonts w:asciiTheme="minorHAnsi" w:hAnsiTheme="minorHAnsi"/>
          <w:sz w:val="16"/>
          <w:szCs w:val="16"/>
          <w:lang w:val="es-ES"/>
        </w:rPr>
        <w:t>domiciliaria</w:t>
      </w:r>
      <w:r w:rsidR="00FD203D" w:rsidRPr="001618BB">
        <w:rPr>
          <w:rFonts w:asciiTheme="minorHAnsi" w:hAnsiTheme="minorHAnsi"/>
          <w:sz w:val="16"/>
          <w:szCs w:val="16"/>
          <w:lang w:val="es-ES"/>
        </w:rPr>
        <w:t xml:space="preserve"> </w:t>
      </w:r>
      <w:r w:rsidRPr="001618BB">
        <w:rPr>
          <w:rFonts w:asciiTheme="minorHAnsi" w:hAnsiTheme="minorHAnsi"/>
          <w:sz w:val="16"/>
          <w:szCs w:val="16"/>
          <w:lang w:val="es-ES"/>
        </w:rPr>
        <w:t>daría</w:t>
      </w:r>
      <w:r w:rsidR="00FD203D" w:rsidRPr="001618BB">
        <w:rPr>
          <w:rFonts w:asciiTheme="minorHAnsi" w:hAnsiTheme="minorHAnsi"/>
          <w:sz w:val="16"/>
          <w:szCs w:val="16"/>
          <w:lang w:val="es-ES"/>
        </w:rPr>
        <w:t xml:space="preserve"> </w:t>
      </w:r>
      <w:r w:rsidRPr="001618BB">
        <w:rPr>
          <w:rFonts w:asciiTheme="minorHAnsi" w:hAnsiTheme="minorHAnsi"/>
          <w:sz w:val="16"/>
          <w:szCs w:val="16"/>
          <w:lang w:val="es-ES"/>
        </w:rPr>
        <w:t>lugar a resultados “muy</w:t>
      </w:r>
      <w:r w:rsidR="00FD203D" w:rsidRPr="001618BB">
        <w:rPr>
          <w:rFonts w:asciiTheme="minorHAnsi" w:hAnsiTheme="minorHAnsi"/>
          <w:sz w:val="16"/>
          <w:szCs w:val="16"/>
          <w:lang w:val="es-ES"/>
        </w:rPr>
        <w:t xml:space="preserve"> </w:t>
      </w:r>
      <w:r w:rsidRPr="001618BB">
        <w:rPr>
          <w:rFonts w:asciiTheme="minorHAnsi" w:hAnsiTheme="minorHAnsi"/>
          <w:sz w:val="16"/>
          <w:szCs w:val="16"/>
          <w:lang w:val="es-ES"/>
        </w:rPr>
        <w:t>extraños e</w:t>
      </w:r>
      <w:r w:rsidR="00FD203D" w:rsidRPr="001618BB">
        <w:rPr>
          <w:rFonts w:asciiTheme="minorHAnsi" w:hAnsiTheme="minorHAnsi"/>
          <w:sz w:val="16"/>
          <w:szCs w:val="16"/>
          <w:lang w:val="es-ES"/>
        </w:rPr>
        <w:t xml:space="preserve"> </w:t>
      </w:r>
      <w:r w:rsidRPr="001618BB">
        <w:rPr>
          <w:rFonts w:asciiTheme="minorHAnsi" w:hAnsiTheme="minorHAnsi"/>
          <w:sz w:val="16"/>
          <w:szCs w:val="16"/>
          <w:lang w:val="es-ES"/>
        </w:rPr>
        <w:t xml:space="preserve">inquietantes”.” Disponible en: </w:t>
      </w:r>
      <w:hyperlink r:id="rId20" w:tgtFrame="_blank" w:history="1">
        <w:r w:rsidRPr="001618BB">
          <w:rPr>
            <w:rStyle w:val="Hyperlink"/>
            <w:rFonts w:asciiTheme="minorHAnsi" w:hAnsiTheme="minorHAnsi"/>
            <w:sz w:val="16"/>
            <w:szCs w:val="16"/>
            <w:lang w:val="es-ES"/>
          </w:rPr>
          <w:t>https://bit.ly/3sIiZE0</w:t>
        </w:r>
      </w:hyperlink>
      <w:r w:rsidRPr="001618BB">
        <w:rPr>
          <w:rFonts w:asciiTheme="minorHAnsi" w:hAnsiTheme="minorHAnsi"/>
          <w:sz w:val="16"/>
          <w:szCs w:val="16"/>
          <w:lang w:val="es-ES"/>
        </w:rPr>
        <w:t> </w:t>
      </w:r>
      <w:hyperlink r:id="rId21" w:history="1"/>
    </w:p>
  </w:footnote>
  <w:footnote w:id="17">
    <w:p w14:paraId="5B4E7E1C" w14:textId="44F0302D" w:rsidR="00A6639E" w:rsidRPr="001618BB" w:rsidRDefault="00A6639E" w:rsidP="00A6639E">
      <w:pPr>
        <w:rPr>
          <w:rFonts w:asciiTheme="minorHAnsi" w:hAnsiTheme="minorHAnsi"/>
          <w:sz w:val="16"/>
          <w:szCs w:val="16"/>
          <w:lang w:val="es-ES"/>
        </w:rPr>
      </w:pPr>
      <w:r w:rsidRPr="001618BB">
        <w:rPr>
          <w:rStyle w:val="FootnoteReference"/>
          <w:rFonts w:asciiTheme="minorHAnsi" w:hAnsiTheme="minorHAnsi"/>
          <w:sz w:val="16"/>
          <w:szCs w:val="16"/>
          <w:lang w:val="es-ES"/>
        </w:rPr>
        <w:footnoteRef/>
      </w:r>
      <w:r w:rsidR="003003EA" w:rsidRPr="001618BB">
        <w:rPr>
          <w:rFonts w:asciiTheme="minorHAnsi" w:hAnsiTheme="minorHAnsi"/>
          <w:sz w:val="16"/>
          <w:szCs w:val="16"/>
          <w:lang w:val="es-ES"/>
        </w:rPr>
        <w:t xml:space="preserve"> </w:t>
      </w:r>
      <w:r w:rsidRPr="001618BB">
        <w:rPr>
          <w:rFonts w:asciiTheme="minorHAnsi" w:hAnsiTheme="minorHAnsi"/>
          <w:sz w:val="16"/>
          <w:szCs w:val="16"/>
          <w:lang w:val="es-ES"/>
        </w:rPr>
        <w:t xml:space="preserve">INDDHH (19/11/2021) </w:t>
      </w:r>
      <w:r w:rsidRPr="001618BB">
        <w:rPr>
          <w:rFonts w:asciiTheme="minorHAnsi" w:hAnsiTheme="minorHAnsi"/>
          <w:i/>
          <w:iCs/>
          <w:sz w:val="16"/>
          <w:szCs w:val="16"/>
          <w:lang w:val="es-ES"/>
        </w:rPr>
        <w:t>INDDHH</w:t>
      </w:r>
      <w:r w:rsidR="00BB5B35" w:rsidRPr="001618BB">
        <w:rPr>
          <w:rFonts w:asciiTheme="minorHAnsi" w:hAnsiTheme="minorHAnsi"/>
          <w:i/>
          <w:iCs/>
          <w:sz w:val="16"/>
          <w:szCs w:val="16"/>
          <w:lang w:val="es-ES"/>
        </w:rPr>
        <w:t xml:space="preserve"> </w:t>
      </w:r>
      <w:r w:rsidRPr="001618BB">
        <w:rPr>
          <w:rFonts w:asciiTheme="minorHAnsi" w:hAnsiTheme="minorHAnsi"/>
          <w:i/>
          <w:iCs/>
          <w:sz w:val="16"/>
          <w:szCs w:val="16"/>
          <w:lang w:val="es-ES"/>
        </w:rPr>
        <w:t>advierte</w:t>
      </w:r>
      <w:r w:rsidR="00BB5B35" w:rsidRPr="001618BB">
        <w:rPr>
          <w:rFonts w:asciiTheme="minorHAnsi" w:hAnsiTheme="minorHAnsi"/>
          <w:i/>
          <w:iCs/>
          <w:sz w:val="16"/>
          <w:szCs w:val="16"/>
          <w:lang w:val="es-ES"/>
        </w:rPr>
        <w:t xml:space="preserve"> </w:t>
      </w:r>
      <w:r w:rsidRPr="001618BB">
        <w:rPr>
          <w:rFonts w:asciiTheme="minorHAnsi" w:hAnsiTheme="minorHAnsi"/>
          <w:i/>
          <w:iCs/>
          <w:sz w:val="16"/>
          <w:szCs w:val="16"/>
          <w:lang w:val="es-ES"/>
        </w:rPr>
        <w:t>que</w:t>
      </w:r>
      <w:r w:rsidR="00BB5B35" w:rsidRPr="001618BB">
        <w:rPr>
          <w:rFonts w:asciiTheme="minorHAnsi" w:hAnsiTheme="minorHAnsi"/>
          <w:i/>
          <w:iCs/>
          <w:sz w:val="16"/>
          <w:szCs w:val="16"/>
          <w:lang w:val="es-ES"/>
        </w:rPr>
        <w:t xml:space="preserve"> </w:t>
      </w:r>
      <w:r w:rsidRPr="001618BB">
        <w:rPr>
          <w:rFonts w:asciiTheme="minorHAnsi" w:hAnsiTheme="minorHAnsi"/>
          <w:i/>
          <w:iCs/>
          <w:sz w:val="16"/>
          <w:szCs w:val="16"/>
          <w:lang w:val="es-ES"/>
        </w:rPr>
        <w:t>proyecto</w:t>
      </w:r>
      <w:r w:rsidR="00BB5B35" w:rsidRPr="001618BB">
        <w:rPr>
          <w:rFonts w:asciiTheme="minorHAnsi" w:hAnsiTheme="minorHAnsi"/>
          <w:i/>
          <w:iCs/>
          <w:sz w:val="16"/>
          <w:szCs w:val="16"/>
          <w:lang w:val="es-ES"/>
        </w:rPr>
        <w:t xml:space="preserve"> </w:t>
      </w:r>
      <w:r w:rsidRPr="001618BB">
        <w:rPr>
          <w:rFonts w:asciiTheme="minorHAnsi" w:hAnsiTheme="minorHAnsi"/>
          <w:i/>
          <w:iCs/>
          <w:sz w:val="16"/>
          <w:szCs w:val="16"/>
          <w:lang w:val="es-ES"/>
        </w:rPr>
        <w:t>para</w:t>
      </w:r>
      <w:r w:rsidR="00BB5B35" w:rsidRPr="001618BB">
        <w:rPr>
          <w:rFonts w:asciiTheme="minorHAnsi" w:hAnsiTheme="minorHAnsi"/>
          <w:i/>
          <w:iCs/>
          <w:sz w:val="16"/>
          <w:szCs w:val="16"/>
          <w:lang w:val="es-ES"/>
        </w:rPr>
        <w:t xml:space="preserve"> </w:t>
      </w:r>
      <w:r w:rsidRPr="001618BB">
        <w:rPr>
          <w:rFonts w:asciiTheme="minorHAnsi" w:hAnsiTheme="minorHAnsi"/>
          <w:i/>
          <w:iCs/>
          <w:sz w:val="16"/>
          <w:szCs w:val="16"/>
          <w:lang w:val="es-ES"/>
        </w:rPr>
        <w:t>otorgar</w:t>
      </w:r>
      <w:r w:rsidR="00BB5B35" w:rsidRPr="001618BB">
        <w:rPr>
          <w:rFonts w:asciiTheme="minorHAnsi" w:hAnsiTheme="minorHAnsi"/>
          <w:i/>
          <w:iCs/>
          <w:sz w:val="16"/>
          <w:szCs w:val="16"/>
          <w:lang w:val="es-ES"/>
        </w:rPr>
        <w:t xml:space="preserve"> </w:t>
      </w:r>
      <w:r w:rsidRPr="001618BB">
        <w:rPr>
          <w:rFonts w:asciiTheme="minorHAnsi" w:hAnsiTheme="minorHAnsi"/>
          <w:i/>
          <w:iCs/>
          <w:sz w:val="16"/>
          <w:szCs w:val="16"/>
          <w:lang w:val="es-ES"/>
        </w:rPr>
        <w:t>prisión</w:t>
      </w:r>
      <w:r w:rsidR="00BB5B35" w:rsidRPr="001618BB">
        <w:rPr>
          <w:rFonts w:asciiTheme="minorHAnsi" w:hAnsiTheme="minorHAnsi"/>
          <w:i/>
          <w:iCs/>
          <w:sz w:val="16"/>
          <w:szCs w:val="16"/>
          <w:lang w:val="es-ES"/>
        </w:rPr>
        <w:t xml:space="preserve"> </w:t>
      </w:r>
      <w:r w:rsidRPr="001618BB">
        <w:rPr>
          <w:rFonts w:asciiTheme="minorHAnsi" w:hAnsiTheme="minorHAnsi"/>
          <w:i/>
          <w:iCs/>
          <w:sz w:val="16"/>
          <w:szCs w:val="16"/>
          <w:lang w:val="es-ES"/>
        </w:rPr>
        <w:t>domiciliaria a violadores de DDHH es contrario a normativa</w:t>
      </w:r>
      <w:r w:rsidR="00BB5B35" w:rsidRPr="001618BB">
        <w:rPr>
          <w:rFonts w:asciiTheme="minorHAnsi" w:hAnsiTheme="minorHAnsi"/>
          <w:i/>
          <w:iCs/>
          <w:sz w:val="16"/>
          <w:szCs w:val="16"/>
          <w:lang w:val="es-ES"/>
        </w:rPr>
        <w:t xml:space="preserve"> </w:t>
      </w:r>
      <w:r w:rsidRPr="001618BB">
        <w:rPr>
          <w:rFonts w:asciiTheme="minorHAnsi" w:hAnsiTheme="minorHAnsi"/>
          <w:i/>
          <w:iCs/>
          <w:sz w:val="16"/>
          <w:szCs w:val="16"/>
          <w:lang w:val="es-ES"/>
        </w:rPr>
        <w:t>internacional. D</w:t>
      </w:r>
      <w:r w:rsidRPr="001618BB">
        <w:rPr>
          <w:rFonts w:asciiTheme="minorHAnsi" w:hAnsiTheme="minorHAnsi"/>
          <w:sz w:val="16"/>
          <w:szCs w:val="16"/>
          <w:lang w:val="es-ES"/>
        </w:rPr>
        <w:t xml:space="preserve">isponible en: </w:t>
      </w:r>
      <w:hyperlink r:id="rId22" w:tgtFrame="_blank" w:history="1">
        <w:r w:rsidRPr="001618BB">
          <w:rPr>
            <w:rStyle w:val="Hyperlink"/>
            <w:rFonts w:asciiTheme="minorHAnsi" w:hAnsiTheme="minorHAnsi"/>
            <w:sz w:val="16"/>
            <w:szCs w:val="16"/>
            <w:lang w:val="es-ES"/>
          </w:rPr>
          <w:t>https://bit.ly/33WvkuC</w:t>
        </w:r>
      </w:hyperlink>
      <w:r w:rsidRPr="001618BB">
        <w:rPr>
          <w:rFonts w:asciiTheme="minorHAnsi" w:hAnsiTheme="minorHAnsi"/>
          <w:sz w:val="16"/>
          <w:szCs w:val="16"/>
          <w:lang w:val="es-ES"/>
        </w:rPr>
        <w:t>  </w:t>
      </w:r>
    </w:p>
  </w:footnote>
  <w:footnote w:id="18">
    <w:p w14:paraId="6D48D348" w14:textId="5DB6A562" w:rsidR="00A6639E" w:rsidRPr="001618BB" w:rsidRDefault="00A6639E" w:rsidP="00A6639E">
      <w:pPr>
        <w:pStyle w:val="FootnoteText"/>
        <w:rPr>
          <w:rFonts w:asciiTheme="minorHAnsi" w:hAnsiTheme="minorHAnsi"/>
          <w:sz w:val="16"/>
          <w:szCs w:val="16"/>
        </w:rPr>
      </w:pPr>
      <w:r w:rsidRPr="001618BB">
        <w:rPr>
          <w:rStyle w:val="FootnoteReference"/>
          <w:rFonts w:asciiTheme="minorHAnsi" w:hAnsiTheme="minorHAnsi"/>
          <w:sz w:val="16"/>
          <w:szCs w:val="16"/>
        </w:rPr>
        <w:footnoteRef/>
      </w:r>
      <w:r w:rsidR="003003EA" w:rsidRPr="001618BB">
        <w:rPr>
          <w:rFonts w:asciiTheme="minorHAnsi" w:hAnsiTheme="minorHAnsi"/>
          <w:iCs/>
          <w:sz w:val="16"/>
          <w:szCs w:val="16"/>
        </w:rPr>
        <w:t xml:space="preserve"> </w:t>
      </w:r>
      <w:r w:rsidRPr="001618BB">
        <w:rPr>
          <w:rFonts w:asciiTheme="minorHAnsi" w:hAnsiTheme="minorHAnsi"/>
          <w:iCs/>
          <w:sz w:val="16"/>
          <w:szCs w:val="16"/>
        </w:rPr>
        <w:t>Corte</w:t>
      </w:r>
      <w:r w:rsidR="00BB5B35" w:rsidRPr="001618BB">
        <w:rPr>
          <w:rFonts w:asciiTheme="minorHAnsi" w:hAnsiTheme="minorHAnsi"/>
          <w:iCs/>
          <w:sz w:val="16"/>
          <w:szCs w:val="16"/>
        </w:rPr>
        <w:t xml:space="preserve"> </w:t>
      </w:r>
      <w:r w:rsidRPr="001618BB">
        <w:rPr>
          <w:rFonts w:asciiTheme="minorHAnsi" w:hAnsiTheme="minorHAnsi"/>
          <w:iCs/>
          <w:sz w:val="16"/>
          <w:szCs w:val="16"/>
        </w:rPr>
        <w:t>Interamericana de Derechos</w:t>
      </w:r>
      <w:r w:rsidR="00BB5B35" w:rsidRPr="001618BB">
        <w:rPr>
          <w:rFonts w:asciiTheme="minorHAnsi" w:hAnsiTheme="minorHAnsi"/>
          <w:iCs/>
          <w:sz w:val="16"/>
          <w:szCs w:val="16"/>
        </w:rPr>
        <w:t xml:space="preserve"> </w:t>
      </w:r>
      <w:r w:rsidRPr="001618BB">
        <w:rPr>
          <w:rFonts w:asciiTheme="minorHAnsi" w:hAnsiTheme="minorHAnsi"/>
          <w:iCs/>
          <w:sz w:val="16"/>
          <w:szCs w:val="16"/>
        </w:rPr>
        <w:t>Humanos, Caso Barrios Altos y Caso La Cantuta Vs. Perú: Supervisión de cumplimiento de sentencia: Obligación de investigar, juzgar y, de ser</w:t>
      </w:r>
      <w:r w:rsidR="00BB5B35" w:rsidRPr="001618BB">
        <w:rPr>
          <w:rFonts w:asciiTheme="minorHAnsi" w:hAnsiTheme="minorHAnsi"/>
          <w:iCs/>
          <w:sz w:val="16"/>
          <w:szCs w:val="16"/>
        </w:rPr>
        <w:t xml:space="preserve"> </w:t>
      </w:r>
      <w:r w:rsidRPr="001618BB">
        <w:rPr>
          <w:rFonts w:asciiTheme="minorHAnsi" w:hAnsiTheme="minorHAnsi"/>
          <w:iCs/>
          <w:sz w:val="16"/>
          <w:szCs w:val="16"/>
        </w:rPr>
        <w:t>el</w:t>
      </w:r>
      <w:r w:rsidR="00BB5B35" w:rsidRPr="001618BB">
        <w:rPr>
          <w:rFonts w:asciiTheme="minorHAnsi" w:hAnsiTheme="minorHAnsi"/>
          <w:iCs/>
          <w:sz w:val="16"/>
          <w:szCs w:val="16"/>
        </w:rPr>
        <w:t xml:space="preserve"> </w:t>
      </w:r>
      <w:r w:rsidRPr="001618BB">
        <w:rPr>
          <w:rFonts w:asciiTheme="minorHAnsi" w:hAnsiTheme="minorHAnsi"/>
          <w:iCs/>
          <w:sz w:val="16"/>
          <w:szCs w:val="16"/>
        </w:rPr>
        <w:t>caso, sancionar, 30 de mayo de 2018.</w:t>
      </w:r>
    </w:p>
  </w:footnote>
  <w:footnote w:id="19">
    <w:p w14:paraId="1DDE6C91" w14:textId="19FC16E4" w:rsidR="00A6639E" w:rsidRPr="001618BB" w:rsidRDefault="00A6639E" w:rsidP="00A6639E">
      <w:pPr>
        <w:pStyle w:val="FootnoteText"/>
        <w:rPr>
          <w:rFonts w:asciiTheme="minorHAnsi" w:hAnsiTheme="minorHAnsi"/>
          <w:sz w:val="16"/>
          <w:szCs w:val="16"/>
        </w:rPr>
      </w:pPr>
      <w:r w:rsidRPr="001618BB">
        <w:rPr>
          <w:rStyle w:val="FootnoteReference"/>
          <w:rFonts w:asciiTheme="minorHAnsi" w:hAnsiTheme="minorHAnsi"/>
          <w:sz w:val="16"/>
          <w:szCs w:val="16"/>
        </w:rPr>
        <w:footnoteRef/>
      </w:r>
      <w:r w:rsidRPr="001618BB">
        <w:rPr>
          <w:rFonts w:asciiTheme="minorHAnsi" w:hAnsiTheme="minorHAnsi"/>
          <w:iCs/>
          <w:sz w:val="16"/>
          <w:szCs w:val="16"/>
        </w:rPr>
        <w:t xml:space="preserve"> Corte</w:t>
      </w:r>
      <w:r w:rsidR="00BB5B35" w:rsidRPr="001618BB">
        <w:rPr>
          <w:rFonts w:asciiTheme="minorHAnsi" w:hAnsiTheme="minorHAnsi"/>
          <w:iCs/>
          <w:sz w:val="16"/>
          <w:szCs w:val="16"/>
        </w:rPr>
        <w:t xml:space="preserve"> </w:t>
      </w:r>
      <w:r w:rsidRPr="001618BB">
        <w:rPr>
          <w:rFonts w:asciiTheme="minorHAnsi" w:hAnsiTheme="minorHAnsi"/>
          <w:iCs/>
          <w:sz w:val="16"/>
          <w:szCs w:val="16"/>
        </w:rPr>
        <w:t>Interamericana de Derechos</w:t>
      </w:r>
      <w:r w:rsidR="00BB5B35" w:rsidRPr="001618BB">
        <w:rPr>
          <w:rFonts w:asciiTheme="minorHAnsi" w:hAnsiTheme="minorHAnsi"/>
          <w:iCs/>
          <w:sz w:val="16"/>
          <w:szCs w:val="16"/>
        </w:rPr>
        <w:t xml:space="preserve"> </w:t>
      </w:r>
      <w:r w:rsidRPr="001618BB">
        <w:rPr>
          <w:rFonts w:asciiTheme="minorHAnsi" w:hAnsiTheme="minorHAnsi"/>
          <w:iCs/>
          <w:sz w:val="16"/>
          <w:szCs w:val="16"/>
        </w:rPr>
        <w:t>Humanos, Caso Barrios Altos y Caso La Cantuta Vs. Perú: Supervisión de cumplimiento de sentencia: Obligación de investigar, juzgar y, de ser</w:t>
      </w:r>
      <w:r w:rsidR="00BB5B35" w:rsidRPr="001618BB">
        <w:rPr>
          <w:rFonts w:asciiTheme="minorHAnsi" w:hAnsiTheme="minorHAnsi"/>
          <w:iCs/>
          <w:sz w:val="16"/>
          <w:szCs w:val="16"/>
        </w:rPr>
        <w:t xml:space="preserve"> </w:t>
      </w:r>
      <w:r w:rsidRPr="001618BB">
        <w:rPr>
          <w:rFonts w:asciiTheme="minorHAnsi" w:hAnsiTheme="minorHAnsi"/>
          <w:iCs/>
          <w:sz w:val="16"/>
          <w:szCs w:val="16"/>
        </w:rPr>
        <w:t>el</w:t>
      </w:r>
      <w:r w:rsidR="00BB5B35" w:rsidRPr="001618BB">
        <w:rPr>
          <w:rFonts w:asciiTheme="minorHAnsi" w:hAnsiTheme="minorHAnsi"/>
          <w:iCs/>
          <w:sz w:val="16"/>
          <w:szCs w:val="16"/>
        </w:rPr>
        <w:t xml:space="preserve"> </w:t>
      </w:r>
      <w:r w:rsidRPr="001618BB">
        <w:rPr>
          <w:rFonts w:asciiTheme="minorHAnsi" w:hAnsiTheme="minorHAnsi"/>
          <w:iCs/>
          <w:sz w:val="16"/>
          <w:szCs w:val="16"/>
        </w:rPr>
        <w:t>caso, sancionar, 30 de mayo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2C5A9" w14:textId="1E647843" w:rsidR="00110422" w:rsidRPr="00CB1660" w:rsidRDefault="00AD18C2" w:rsidP="00AD18C2">
    <w:pPr>
      <w:pStyle w:val="BasicParagraph"/>
      <w:spacing w:line="204" w:lineRule="auto"/>
      <w:rPr>
        <w:rFonts w:asciiTheme="majorHAnsi" w:hAnsiTheme="majorHAnsi"/>
        <w:b/>
        <w:lang w:val="es-ES"/>
      </w:rPr>
    </w:pPr>
    <w:r w:rsidRPr="00CB1660">
      <w:rPr>
        <w:rFonts w:asciiTheme="majorHAnsi" w:hAnsiTheme="majorHAnsi"/>
        <w:b/>
        <w:lang w:val="es-ES"/>
      </w:rPr>
      <w:t>Amnistía Internaciona</w:t>
    </w:r>
    <w:r w:rsidR="000C644F" w:rsidRPr="00CB1660">
      <w:rPr>
        <w:noProof/>
        <w:lang w:val="es-ES" w:eastAsia="en-GB"/>
      </w:rPr>
      <w:drawing>
        <wp:anchor distT="0" distB="0" distL="114300" distR="114300" simplePos="0" relativeHeight="251703296" behindDoc="0" locked="0" layoutInCell="1" allowOverlap="1" wp14:anchorId="6983F1BD" wp14:editId="2B88E911">
          <wp:simplePos x="0" y="0"/>
          <wp:positionH relativeFrom="margin">
            <wp:posOffset>5025201</wp:posOffset>
          </wp:positionH>
          <wp:positionV relativeFrom="paragraph">
            <wp:posOffset>-62203</wp:posOffset>
          </wp:positionV>
          <wp:extent cx="1515854" cy="638175"/>
          <wp:effectExtent l="0" t="0" r="8255" b="0"/>
          <wp:wrapNone/>
          <wp:docPr id="2" name="Imagen 2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7"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A19F1" w:rsidRPr="00CB1660">
      <w:rPr>
        <w:noProof/>
        <w:vanish/>
        <w:sz w:val="12"/>
        <w:szCs w:val="12"/>
        <w:lang w:val="es-ES" w:eastAsia="en-GB"/>
      </w:rPr>
      <w:drawing>
        <wp:anchor distT="0" distB="0" distL="114300" distR="114300" simplePos="0" relativeHeight="251697152" behindDoc="0" locked="0" layoutInCell="1" allowOverlap="1" wp14:anchorId="548E0D68" wp14:editId="190B0985">
          <wp:simplePos x="0" y="0"/>
          <wp:positionH relativeFrom="page">
            <wp:posOffset>5574742</wp:posOffset>
          </wp:positionH>
          <wp:positionV relativeFrom="page">
            <wp:posOffset>456565</wp:posOffset>
          </wp:positionV>
          <wp:extent cx="1472400" cy="622800"/>
          <wp:effectExtent l="0" t="0" r="0" b="635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2">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2E2D" w:rsidRPr="00CB1660">
      <w:rPr>
        <w:noProof/>
        <w:lang w:val="es-ES" w:eastAsia="en-GB"/>
      </w:rPr>
      <mc:AlternateContent>
        <mc:Choice Requires="wps">
          <w:drawing>
            <wp:anchor distT="0" distB="0" distL="114300" distR="114300" simplePos="0" relativeHeight="251673600" behindDoc="0" locked="0" layoutInCell="1" allowOverlap="1" wp14:anchorId="1BFE2BA2" wp14:editId="25F4B56F">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FE2BA2" id="_x0000_t202" coordsize="21600,21600" o:spt="202" path="m,l,21600r21600,l21600,xe">
              <v:stroke joinstyle="miter"/>
              <v:path gradientshapeok="t" o:connecttype="rect"/>
            </v:shapetype>
            <v:shape id="Text Box 12" o:spid="_x0000_s1028" type="#_x0000_t202" style="position:absolute;margin-left:.6pt;margin-top:42.15pt;width:100.8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" filled="f" stroked="f">
              <v:textbox inset="0,0,0,0">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00C82E2D" w:rsidRPr="00CB1660">
      <w:rPr>
        <w:noProof/>
        <w:lang w:val="es-ES" w:eastAsia="en-GB"/>
      </w:rPr>
      <mc:AlternateContent>
        <mc:Choice Requires="wps">
          <w:drawing>
            <wp:anchor distT="0" distB="0" distL="114300" distR="114300" simplePos="0" relativeHeight="251661312" behindDoc="0" locked="1" layoutInCell="1" allowOverlap="1" wp14:anchorId="2BF865E9" wp14:editId="736A6825">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55DAE187" id="Straight Connector 6"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97.8pt" to="554.75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" strokecolor="black [3213]" strokeweight=".25pt">
              <w10:wrap anchorx="page" anchory="page"/>
              <w10:anchorlock/>
            </v:line>
          </w:pict>
        </mc:Fallback>
      </mc:AlternateContent>
    </w:r>
    <w:r w:rsidR="00110422" w:rsidRPr="00CB1660">
      <w:rPr>
        <w:rFonts w:asciiTheme="majorHAnsi" w:hAnsiTheme="majorHAnsi"/>
        <w:b/>
        <w:lang w:val="es-ES"/>
      </w:rPr>
      <w:t>l</w:t>
    </w:r>
  </w:p>
  <w:p w14:paraId="0F665CB6" w14:textId="0C9179C6" w:rsidR="00110422" w:rsidRPr="00CB1660" w:rsidRDefault="00110422" w:rsidP="00AD18C2">
    <w:pPr>
      <w:pStyle w:val="BasicParagraph"/>
      <w:spacing w:line="204" w:lineRule="auto"/>
      <w:rPr>
        <w:rFonts w:asciiTheme="majorHAnsi" w:hAnsiTheme="majorHAnsi"/>
        <w:b/>
        <w:lang w:val="es-ES"/>
      </w:rPr>
    </w:pPr>
    <w:r w:rsidRPr="00CB1660">
      <w:rPr>
        <w:rFonts w:asciiTheme="majorHAnsi" w:hAnsiTheme="majorHAnsi"/>
        <w:b/>
        <w:lang w:val="es-ES"/>
      </w:rPr>
      <w:t>Secretari</w:t>
    </w:r>
    <w:r w:rsidR="00CB1660" w:rsidRPr="00CB1660">
      <w:rPr>
        <w:rFonts w:asciiTheme="majorHAnsi" w:hAnsiTheme="majorHAnsi"/>
        <w:b/>
        <w:lang w:val="es-ES"/>
      </w:rPr>
      <w:t>ado Internacional</w:t>
    </w:r>
  </w:p>
  <w:p w14:paraId="51C10049" w14:textId="77777777" w:rsidR="00110422" w:rsidRPr="00CB1660" w:rsidRDefault="00110422" w:rsidP="00AD18C2">
    <w:pPr>
      <w:pStyle w:val="BasicParagraph"/>
      <w:spacing w:line="204" w:lineRule="aut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50F9368A"/>
    <w:multiLevelType w:val="hybridMultilevel"/>
    <w:tmpl w:val="5D28595E"/>
    <w:lvl w:ilvl="0" w:tplc="BC6C0D4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4"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5"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val="bestFit" w:percent="179"/>
  <w:styleLockTheme/>
  <w:styleLockQFSet/>
  <w:defaultTabStop w:val="720"/>
  <w:hyphenationZone w:val="425"/>
  <w:clickAndTypeStyle w:val="AILetterText"/>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87D"/>
    <w:rsid w:val="00003C31"/>
    <w:rsid w:val="00032F6A"/>
    <w:rsid w:val="0005739E"/>
    <w:rsid w:val="00071F5F"/>
    <w:rsid w:val="000C5E9F"/>
    <w:rsid w:val="000C644F"/>
    <w:rsid w:val="000D0344"/>
    <w:rsid w:val="000F300D"/>
    <w:rsid w:val="0010287D"/>
    <w:rsid w:val="00110422"/>
    <w:rsid w:val="00152840"/>
    <w:rsid w:val="001618BB"/>
    <w:rsid w:val="00181172"/>
    <w:rsid w:val="001853C3"/>
    <w:rsid w:val="00195BB5"/>
    <w:rsid w:val="001B7C46"/>
    <w:rsid w:val="001E4CE0"/>
    <w:rsid w:val="0021302B"/>
    <w:rsid w:val="00245809"/>
    <w:rsid w:val="00254DAA"/>
    <w:rsid w:val="002808CF"/>
    <w:rsid w:val="002929A3"/>
    <w:rsid w:val="002B481C"/>
    <w:rsid w:val="002D51F2"/>
    <w:rsid w:val="002E3342"/>
    <w:rsid w:val="002E6318"/>
    <w:rsid w:val="003003EA"/>
    <w:rsid w:val="003131FE"/>
    <w:rsid w:val="00351B20"/>
    <w:rsid w:val="00356EB6"/>
    <w:rsid w:val="00366B5F"/>
    <w:rsid w:val="0039063C"/>
    <w:rsid w:val="003A3A9A"/>
    <w:rsid w:val="003B5467"/>
    <w:rsid w:val="003D1BCC"/>
    <w:rsid w:val="003D71AB"/>
    <w:rsid w:val="003E7FF9"/>
    <w:rsid w:val="003F15D3"/>
    <w:rsid w:val="003F7A03"/>
    <w:rsid w:val="00426029"/>
    <w:rsid w:val="00435F66"/>
    <w:rsid w:val="004961D7"/>
    <w:rsid w:val="004A598B"/>
    <w:rsid w:val="004B28EF"/>
    <w:rsid w:val="004D1449"/>
    <w:rsid w:val="00510C17"/>
    <w:rsid w:val="00552EAF"/>
    <w:rsid w:val="0058420A"/>
    <w:rsid w:val="005855F2"/>
    <w:rsid w:val="00590FCF"/>
    <w:rsid w:val="00593FB7"/>
    <w:rsid w:val="005B77B8"/>
    <w:rsid w:val="006129CF"/>
    <w:rsid w:val="0064618C"/>
    <w:rsid w:val="006469A1"/>
    <w:rsid w:val="00650AA8"/>
    <w:rsid w:val="006C3DE5"/>
    <w:rsid w:val="006C4C6C"/>
    <w:rsid w:val="007103CB"/>
    <w:rsid w:val="00713AC1"/>
    <w:rsid w:val="00735AD1"/>
    <w:rsid w:val="00753FD3"/>
    <w:rsid w:val="007606C1"/>
    <w:rsid w:val="0076760F"/>
    <w:rsid w:val="00775EB8"/>
    <w:rsid w:val="007A16BE"/>
    <w:rsid w:val="007A19F1"/>
    <w:rsid w:val="007D0E3A"/>
    <w:rsid w:val="007E0540"/>
    <w:rsid w:val="007E1143"/>
    <w:rsid w:val="007F2449"/>
    <w:rsid w:val="008321A4"/>
    <w:rsid w:val="008374BE"/>
    <w:rsid w:val="008379B0"/>
    <w:rsid w:val="00847820"/>
    <w:rsid w:val="00887490"/>
    <w:rsid w:val="008A7D53"/>
    <w:rsid w:val="00933451"/>
    <w:rsid w:val="009362AB"/>
    <w:rsid w:val="00942188"/>
    <w:rsid w:val="009A74E7"/>
    <w:rsid w:val="009B2D5B"/>
    <w:rsid w:val="009D0794"/>
    <w:rsid w:val="00A1741A"/>
    <w:rsid w:val="00A21A03"/>
    <w:rsid w:val="00A4414F"/>
    <w:rsid w:val="00A5161B"/>
    <w:rsid w:val="00A6639E"/>
    <w:rsid w:val="00AA2B0F"/>
    <w:rsid w:val="00AD154F"/>
    <w:rsid w:val="00AD18C2"/>
    <w:rsid w:val="00AE4FBB"/>
    <w:rsid w:val="00AE5E82"/>
    <w:rsid w:val="00B179F3"/>
    <w:rsid w:val="00B356D7"/>
    <w:rsid w:val="00BB5B35"/>
    <w:rsid w:val="00BC6C34"/>
    <w:rsid w:val="00C428D5"/>
    <w:rsid w:val="00C47FE6"/>
    <w:rsid w:val="00C82E2D"/>
    <w:rsid w:val="00C95864"/>
    <w:rsid w:val="00CB1660"/>
    <w:rsid w:val="00CB38A1"/>
    <w:rsid w:val="00CD1B79"/>
    <w:rsid w:val="00D3347E"/>
    <w:rsid w:val="00D409F9"/>
    <w:rsid w:val="00D67885"/>
    <w:rsid w:val="00D9018D"/>
    <w:rsid w:val="00DB4B74"/>
    <w:rsid w:val="00DC46C8"/>
    <w:rsid w:val="00E07155"/>
    <w:rsid w:val="00E4008D"/>
    <w:rsid w:val="00E739E5"/>
    <w:rsid w:val="00E7582C"/>
    <w:rsid w:val="00E76A70"/>
    <w:rsid w:val="00E96887"/>
    <w:rsid w:val="00EA7EBB"/>
    <w:rsid w:val="00EB7FC0"/>
    <w:rsid w:val="00EC44DB"/>
    <w:rsid w:val="00ED0170"/>
    <w:rsid w:val="00ED3ABA"/>
    <w:rsid w:val="00ED51F6"/>
    <w:rsid w:val="00EF0A97"/>
    <w:rsid w:val="00F02B15"/>
    <w:rsid w:val="00F02F00"/>
    <w:rsid w:val="00F05853"/>
    <w:rsid w:val="00F12724"/>
    <w:rsid w:val="00F249C8"/>
    <w:rsid w:val="00F25DAE"/>
    <w:rsid w:val="00F5616B"/>
    <w:rsid w:val="00F94B5C"/>
    <w:rsid w:val="00FB25AD"/>
    <w:rsid w:val="00FD203D"/>
    <w:rsid w:val="00FE0DE5"/>
    <w:rsid w:val="00FF474B"/>
    <w:rsid w:val="508BA7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E477A2"/>
  <w15:docId w15:val="{0602A4E1-E9D2-49D4-86DE-6E4DA4BCE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semiHidden="1" w:uiPriority="9" w:qFormat="1"/>
    <w:lsdException w:name="heading 2" w:semiHidden="1" w:uiPriority="89" w:qFormat="1"/>
    <w:lsdException w:name="heading 3" w:semiHidden="1" w:uiPriority="89"/>
    <w:lsdException w:name="heading 4" w:semiHidden="1" w:uiPriority="89"/>
    <w:lsdException w:name="heading 5" w:semiHidden="1" w:uiPriority="89"/>
    <w:lsdException w:name="heading 6" w:semiHidden="1" w:uiPriority="89"/>
    <w:lsdException w:name="heading 7" w:semiHidden="1" w:uiPriority="89"/>
    <w:lsdException w:name="heading 8" w:semiHidden="1" w:uiPriority="89"/>
    <w:lsdException w:name="heading 9" w:semiHidden="1" w:uiPriority="89"/>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CB38A1"/>
  </w:style>
  <w:style w:type="paragraph" w:styleId="Heading1">
    <w:name w:val="heading 1"/>
    <w:basedOn w:val="Normal"/>
    <w:next w:val="Normal"/>
    <w:link w:val="Heading1Char"/>
    <w:uiPriority w:val="9"/>
    <w:qFormat/>
    <w:locked/>
    <w:rsid w:val="006129CF"/>
    <w:pPr>
      <w:keepNext/>
      <w:numPr>
        <w:numId w:val="3"/>
      </w:numPr>
      <w:suppressAutoHyphens/>
      <w:spacing w:after="246" w:line="560" w:lineRule="atLeast"/>
      <w:outlineLvl w:val="0"/>
    </w:pPr>
    <w:rPr>
      <w:rFonts w:ascii="Amnesty Trade Gothic Cn" w:eastAsia="Times New Roman" w:hAnsi="Amnesty Trade Gothic Cn" w:cs="Times New Roman"/>
      <w:b/>
      <w:caps/>
      <w:color w:val="000000"/>
      <w:kern w:val="1"/>
      <w:sz w:val="56"/>
      <w:szCs w:val="32"/>
      <w:lang w:val="en-GB" w:eastAsia="ar-SA"/>
    </w:rPr>
  </w:style>
  <w:style w:type="paragraph" w:styleId="Heading2">
    <w:name w:val="heading 2"/>
    <w:basedOn w:val="Normal"/>
    <w:next w:val="Normal"/>
    <w:link w:val="Heading2Char"/>
    <w:uiPriority w:val="89"/>
    <w:qFormat/>
    <w:locked/>
    <w:rsid w:val="006129CF"/>
    <w:pPr>
      <w:keepNext/>
      <w:numPr>
        <w:ilvl w:val="1"/>
        <w:numId w:val="3"/>
      </w:numPr>
      <w:suppressAutoHyphens/>
      <w:spacing w:line="240" w:lineRule="atLeast"/>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uiPriority w:val="89"/>
    <w:locked/>
    <w:rsid w:val="006129CF"/>
    <w:pPr>
      <w:keepNext/>
      <w:numPr>
        <w:ilvl w:val="2"/>
        <w:numId w:val="3"/>
      </w:numPr>
      <w:suppressAutoHyphens/>
      <w:spacing w:line="240" w:lineRule="atLeast"/>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uiPriority w:val="89"/>
    <w:locked/>
    <w:rsid w:val="006129CF"/>
    <w:pPr>
      <w:widowControl w:val="0"/>
      <w:numPr>
        <w:ilvl w:val="3"/>
        <w:numId w:val="3"/>
      </w:numPr>
      <w:suppressAutoHyphens/>
      <w:spacing w:after="246" w:line="240" w:lineRule="atLeast"/>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uiPriority w:val="89"/>
    <w:locked/>
    <w:rsid w:val="006129CF"/>
    <w:pPr>
      <w:numPr>
        <w:ilvl w:val="4"/>
      </w:numPr>
      <w:outlineLvl w:val="4"/>
    </w:pPr>
  </w:style>
  <w:style w:type="paragraph" w:styleId="Heading6">
    <w:name w:val="heading 6"/>
    <w:basedOn w:val="Heading5"/>
    <w:next w:val="Normal"/>
    <w:link w:val="Heading6Char"/>
    <w:uiPriority w:val="89"/>
    <w:locked/>
    <w:rsid w:val="006129CF"/>
    <w:pPr>
      <w:numPr>
        <w:ilvl w:val="5"/>
      </w:numPr>
      <w:outlineLvl w:val="5"/>
    </w:pPr>
  </w:style>
  <w:style w:type="paragraph" w:styleId="Heading7">
    <w:name w:val="heading 7"/>
    <w:basedOn w:val="Heading6"/>
    <w:next w:val="Normal"/>
    <w:link w:val="Heading7Char"/>
    <w:uiPriority w:val="89"/>
    <w:locked/>
    <w:rsid w:val="006129CF"/>
    <w:pPr>
      <w:numPr>
        <w:ilvl w:val="6"/>
      </w:numPr>
      <w:outlineLvl w:val="6"/>
    </w:pPr>
  </w:style>
  <w:style w:type="paragraph" w:styleId="Heading8">
    <w:name w:val="heading 8"/>
    <w:basedOn w:val="Heading7"/>
    <w:next w:val="Normal"/>
    <w:link w:val="Heading8Char"/>
    <w:uiPriority w:val="89"/>
    <w:locked/>
    <w:rsid w:val="006129CF"/>
    <w:pPr>
      <w:numPr>
        <w:ilvl w:val="7"/>
      </w:numPr>
      <w:outlineLvl w:val="7"/>
    </w:pPr>
  </w:style>
  <w:style w:type="paragraph" w:styleId="Heading9">
    <w:name w:val="heading 9"/>
    <w:basedOn w:val="Heading8"/>
    <w:next w:val="Normal"/>
    <w:link w:val="Heading9Char"/>
    <w:uiPriority w:val="89"/>
    <w:locked/>
    <w:rsid w:val="006129CF"/>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link w:val="AIBodyTextChar"/>
    <w:uiPriority w:val="99"/>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uiPriority w:val="9"/>
    <w:rsid w:val="006129CF"/>
    <w:rPr>
      <w:rFonts w:ascii="Amnesty Trade Gothic Cn" w:eastAsia="Times New Roman" w:hAnsi="Amnesty Trade Gothic Cn" w:cs="Times New Roman"/>
      <w:b/>
      <w:caps/>
      <w:color w:val="000000"/>
      <w:kern w:val="1"/>
      <w:sz w:val="5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FE0DE5"/>
    <w:pPr>
      <w:suppressAutoHyphens/>
      <w:spacing w:before="40" w:line="245" w:lineRule="auto"/>
    </w:pPr>
    <w:rPr>
      <w:rFonts w:ascii="Amnesty Trade Gothic Cn" w:hAnsi="Amnesty Trade Gothic Cn"/>
      <w:bCs/>
      <w:caps/>
      <w:sz w:val="44"/>
      <w:szCs w:val="44"/>
      <w:lang w:val="en-GB"/>
    </w:rPr>
  </w:style>
  <w:style w:type="paragraph" w:customStyle="1" w:styleId="RTFrontcovermaintitle">
    <w:name w:val="RT Front cover main title"/>
    <w:next w:val="RTSubheadinglightCAPS"/>
    <w:qFormat/>
    <w:rsid w:val="00FE0DE5"/>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paragraph" w:customStyle="1" w:styleId="RTBodyText">
    <w:name w:val="RT Body Text"/>
    <w:basedOn w:val="Normal"/>
    <w:uiPriority w:val="9"/>
    <w:qFormat/>
    <w:rsid w:val="0010287D"/>
    <w:pPr>
      <w:suppressAutoHyphens/>
      <w:spacing w:after="120"/>
    </w:pPr>
    <w:rPr>
      <w:rFonts w:asciiTheme="minorHAnsi" w:hAnsiTheme="minorHAnsi"/>
      <w:sz w:val="18"/>
      <w:szCs w:val="24"/>
      <w:lang w:val="en-GB"/>
    </w:rPr>
  </w:style>
  <w:style w:type="numbering" w:customStyle="1" w:styleId="RTNumberedList">
    <w:name w:val="RT Numbered List"/>
    <w:uiPriority w:val="99"/>
    <w:rsid w:val="0010287D"/>
    <w:pPr>
      <w:numPr>
        <w:numId w:val="4"/>
      </w:numPr>
    </w:pPr>
  </w:style>
  <w:style w:type="paragraph" w:customStyle="1" w:styleId="RTTitlenumbered">
    <w:name w:val="RT Title (numbered)"/>
    <w:basedOn w:val="Normal"/>
    <w:next w:val="RTBodyText"/>
    <w:qFormat/>
    <w:rsid w:val="0010287D"/>
    <w:pPr>
      <w:keepNext/>
      <w:pageBreakBefore/>
      <w:numPr>
        <w:numId w:val="4"/>
      </w:numPr>
      <w:tabs>
        <w:tab w:val="left" w:pos="851"/>
      </w:tabs>
      <w:suppressAutoHyphens/>
      <w:spacing w:before="100" w:after="2400" w:line="900" w:lineRule="exact"/>
      <w:ind w:left="0" w:firstLine="0"/>
      <w:contextualSpacing/>
      <w:outlineLvl w:val="0"/>
    </w:pPr>
    <w:rPr>
      <w:rFonts w:ascii="Amnesty Trade Gothic Cn" w:hAnsi="Amnesty Trade Gothic Cn"/>
      <w:b/>
      <w:caps/>
      <w:noProof/>
      <w:sz w:val="90"/>
      <w:lang w:val="en-GB" w:eastAsia="en-GB"/>
    </w:rPr>
  </w:style>
  <w:style w:type="paragraph" w:customStyle="1" w:styleId="RTNumberedHeading">
    <w:name w:val="RT Numbered Heading"/>
    <w:basedOn w:val="RTTitlenumbered"/>
    <w:next w:val="RTBodyText"/>
    <w:uiPriority w:val="2"/>
    <w:qFormat/>
    <w:rsid w:val="0010287D"/>
    <w:pPr>
      <w:pageBreakBefore w:val="0"/>
      <w:numPr>
        <w:ilvl w:val="1"/>
      </w:numPr>
      <w:tabs>
        <w:tab w:val="left" w:pos="567"/>
      </w:tabs>
      <w:spacing w:before="480" w:after="100" w:line="420" w:lineRule="exact"/>
      <w:ind w:left="2863"/>
      <w:outlineLvl w:val="1"/>
    </w:pPr>
    <w:rPr>
      <w:sz w:val="42"/>
    </w:rPr>
  </w:style>
  <w:style w:type="paragraph" w:customStyle="1" w:styleId="RTNumberedSubheading">
    <w:name w:val="RT Numbered Subheading"/>
    <w:basedOn w:val="Normal"/>
    <w:next w:val="RTBodyText"/>
    <w:uiPriority w:val="4"/>
    <w:qFormat/>
    <w:rsid w:val="0010287D"/>
    <w:pPr>
      <w:keepNext/>
      <w:keepLines/>
      <w:numPr>
        <w:ilvl w:val="2"/>
        <w:numId w:val="4"/>
      </w:numPr>
      <w:tabs>
        <w:tab w:val="left" w:pos="652"/>
        <w:tab w:val="left" w:pos="851"/>
      </w:tabs>
      <w:suppressAutoHyphens/>
      <w:spacing w:before="360" w:after="113" w:line="252" w:lineRule="auto"/>
      <w:ind w:left="0" w:firstLine="0"/>
      <w:outlineLvl w:val="2"/>
    </w:pPr>
    <w:rPr>
      <w:rFonts w:ascii="Amnesty Trade Gothic Cn" w:hAnsi="Amnesty Trade Gothic Cn"/>
      <w:b/>
      <w:caps/>
      <w:noProof/>
      <w:sz w:val="32"/>
      <w:lang w:val="en-GB" w:eastAsia="en-GB"/>
    </w:rPr>
  </w:style>
  <w:style w:type="paragraph" w:customStyle="1" w:styleId="RTCaptionText">
    <w:name w:val="RT Caption Text"/>
    <w:basedOn w:val="Normal"/>
    <w:uiPriority w:val="19"/>
    <w:qFormat/>
    <w:rsid w:val="000C644F"/>
    <w:rPr>
      <w:rFonts w:ascii="Amnesty Trade Gothic Cn" w:hAnsi="Amnesty Trade Gothic Cn"/>
      <w:i/>
      <w:sz w:val="14"/>
      <w:lang w:val="es-ES"/>
    </w:rPr>
  </w:style>
  <w:style w:type="character" w:styleId="UnresolvedMention">
    <w:name w:val="Unresolved Mention"/>
    <w:basedOn w:val="DefaultParagraphFont"/>
    <w:uiPriority w:val="99"/>
    <w:semiHidden/>
    <w:unhideWhenUsed/>
    <w:rsid w:val="000C644F"/>
    <w:rPr>
      <w:color w:val="605E5C"/>
      <w:shd w:val="clear" w:color="auto" w:fill="E1DFDD"/>
    </w:rPr>
  </w:style>
  <w:style w:type="paragraph" w:styleId="NormalWeb">
    <w:name w:val="Normal (Web)"/>
    <w:basedOn w:val="Normal"/>
    <w:uiPriority w:val="99"/>
    <w:semiHidden/>
    <w:unhideWhenUsed/>
    <w:locked/>
    <w:rsid w:val="00A6639E"/>
    <w:pPr>
      <w:spacing w:before="100" w:beforeAutospacing="1" w:after="100" w:afterAutospacing="1"/>
    </w:pPr>
    <w:rPr>
      <w:rFonts w:ascii="Times New Roman" w:eastAsia="Times New Roman" w:hAnsi="Times New Roman" w:cs="Times New Roman"/>
      <w:color w:val="auto"/>
      <w:sz w:val="24"/>
      <w:szCs w:val="24"/>
      <w:lang w:val="es-UY" w:eastAsia="es-MX"/>
    </w:rPr>
  </w:style>
  <w:style w:type="character" w:customStyle="1" w:styleId="apple-converted-space">
    <w:name w:val="apple-converted-space"/>
    <w:basedOn w:val="DefaultParagraphFont"/>
    <w:rsid w:val="00A6639E"/>
  </w:style>
  <w:style w:type="paragraph" w:styleId="FootnoteText">
    <w:name w:val="footnote text"/>
    <w:basedOn w:val="Normal"/>
    <w:link w:val="FootnoteTextChar"/>
    <w:uiPriority w:val="99"/>
    <w:semiHidden/>
    <w:locked/>
    <w:rsid w:val="00A6639E"/>
    <w:rPr>
      <w:sz w:val="14"/>
      <w:szCs w:val="24"/>
      <w:lang w:val="es-ES"/>
    </w:rPr>
  </w:style>
  <w:style w:type="character" w:customStyle="1" w:styleId="FootnoteTextChar">
    <w:name w:val="Footnote Text Char"/>
    <w:basedOn w:val="DefaultParagraphFont"/>
    <w:link w:val="FootnoteText"/>
    <w:uiPriority w:val="99"/>
    <w:semiHidden/>
    <w:rsid w:val="00A6639E"/>
    <w:rPr>
      <w:sz w:val="14"/>
      <w:szCs w:val="24"/>
      <w:lang w:val="es-ES"/>
    </w:rPr>
  </w:style>
  <w:style w:type="character" w:styleId="FootnoteReference">
    <w:name w:val="footnote reference"/>
    <w:basedOn w:val="DefaultParagraphFont"/>
    <w:uiPriority w:val="99"/>
    <w:semiHidden/>
    <w:locked/>
    <w:rsid w:val="00A6639E"/>
    <w:rPr>
      <w:vertAlign w:val="superscript"/>
    </w:rPr>
  </w:style>
  <w:style w:type="character" w:customStyle="1" w:styleId="AIBodyTextChar">
    <w:name w:val="AI Body Text Char"/>
    <w:link w:val="AIBodyText"/>
    <w:uiPriority w:val="99"/>
    <w:qFormat/>
    <w:rsid w:val="00A6639E"/>
    <w:rPr>
      <w:szCs w:val="64"/>
    </w:rPr>
  </w:style>
  <w:style w:type="character" w:customStyle="1" w:styleId="normaltextrun">
    <w:name w:val="normaltextrun"/>
    <w:basedOn w:val="DefaultParagraphFont"/>
    <w:rsid w:val="00A6639E"/>
  </w:style>
  <w:style w:type="paragraph" w:customStyle="1" w:styleId="RTBulletText">
    <w:name w:val="RT Bullet Text"/>
    <w:basedOn w:val="Normal"/>
    <w:next w:val="Normal"/>
    <w:uiPriority w:val="10"/>
    <w:qFormat/>
    <w:rsid w:val="00A6639E"/>
    <w:pPr>
      <w:numPr>
        <w:ilvl w:val="1"/>
        <w:numId w:val="5"/>
      </w:numPr>
      <w:suppressAutoHyphens/>
      <w:spacing w:after="120"/>
    </w:pPr>
    <w:rPr>
      <w:rFonts w:asciiTheme="minorHAnsi" w:hAnsiTheme="minorHAnsi"/>
      <w:sz w:val="18"/>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997011">
      <w:bodyDiv w:val="1"/>
      <w:marLeft w:val="0"/>
      <w:marRight w:val="0"/>
      <w:marTop w:val="0"/>
      <w:marBottom w:val="0"/>
      <w:divBdr>
        <w:top w:val="none" w:sz="0" w:space="0" w:color="auto"/>
        <w:left w:val="none" w:sz="0" w:space="0" w:color="auto"/>
        <w:bottom w:val="none" w:sz="0" w:space="0" w:color="auto"/>
        <w:right w:val="none" w:sz="0" w:space="0" w:color="auto"/>
      </w:divBdr>
    </w:div>
    <w:div w:id="490219802">
      <w:bodyDiv w:val="1"/>
      <w:marLeft w:val="0"/>
      <w:marRight w:val="0"/>
      <w:marTop w:val="0"/>
      <w:marBottom w:val="0"/>
      <w:divBdr>
        <w:top w:val="none" w:sz="0" w:space="0" w:color="auto"/>
        <w:left w:val="none" w:sz="0" w:space="0" w:color="auto"/>
        <w:bottom w:val="none" w:sz="0" w:space="0" w:color="auto"/>
        <w:right w:val="none" w:sz="0" w:space="0" w:color="auto"/>
      </w:divBdr>
    </w:div>
    <w:div w:id="629407897">
      <w:bodyDiv w:val="1"/>
      <w:marLeft w:val="0"/>
      <w:marRight w:val="0"/>
      <w:marTop w:val="0"/>
      <w:marBottom w:val="0"/>
      <w:divBdr>
        <w:top w:val="none" w:sz="0" w:space="0" w:color="auto"/>
        <w:left w:val="none" w:sz="0" w:space="0" w:color="auto"/>
        <w:bottom w:val="none" w:sz="0" w:space="0" w:color="auto"/>
        <w:right w:val="none" w:sz="0" w:space="0" w:color="auto"/>
      </w:divBdr>
    </w:div>
    <w:div w:id="1216892897">
      <w:bodyDiv w:val="1"/>
      <w:marLeft w:val="0"/>
      <w:marRight w:val="0"/>
      <w:marTop w:val="0"/>
      <w:marBottom w:val="0"/>
      <w:divBdr>
        <w:top w:val="none" w:sz="0" w:space="0" w:color="auto"/>
        <w:left w:val="none" w:sz="0" w:space="0" w:color="auto"/>
        <w:bottom w:val="none" w:sz="0" w:space="0" w:color="auto"/>
        <w:right w:val="none" w:sz="0" w:space="0" w:color="auto"/>
      </w:divBdr>
    </w:div>
    <w:div w:id="1347706126">
      <w:bodyDiv w:val="1"/>
      <w:marLeft w:val="0"/>
      <w:marRight w:val="0"/>
      <w:marTop w:val="0"/>
      <w:marBottom w:val="0"/>
      <w:divBdr>
        <w:top w:val="none" w:sz="0" w:space="0" w:color="auto"/>
        <w:left w:val="none" w:sz="0" w:space="0" w:color="auto"/>
        <w:bottom w:val="none" w:sz="0" w:space="0" w:color="auto"/>
        <w:right w:val="none" w:sz="0" w:space="0" w:color="auto"/>
      </w:divBdr>
    </w:div>
    <w:div w:id="16737508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s://creativecommons.org/licenses/by-nc-nd/4.0/legalcode%20" TargetMode="External"/><Relationship Id="rId2" Type="http://schemas.openxmlformats.org/officeDocument/2006/relationships/hyperlink" Target="https://www.amnesty.org/es/about/permissions/" TargetMode="External"/><Relationship Id="rId1" Type="http://schemas.openxmlformats.org/officeDocument/2006/relationships/hyperlink" Target="https://creativecommons.org/licenses/by-nc-nd/4.0/legalcode%20" TargetMode="External"/><Relationship Id="rId4" Type="http://schemas.openxmlformats.org/officeDocument/2006/relationships/hyperlink" Target="https://www.amnesty.org/es/about/permission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bit.ly/34cYhSK" TargetMode="External"/><Relationship Id="rId13" Type="http://schemas.openxmlformats.org/officeDocument/2006/relationships/hyperlink" Target="https://bit.ly/3H7rYTX" TargetMode="External"/><Relationship Id="rId18" Type="http://schemas.openxmlformats.org/officeDocument/2006/relationships/hyperlink" Target="https://bit.ly/3rSA78d" TargetMode="External"/><Relationship Id="rId3" Type="http://schemas.openxmlformats.org/officeDocument/2006/relationships/hyperlink" Target="https://bit.ly/3H9nqfB" TargetMode="External"/><Relationship Id="rId21" Type="http://schemas.openxmlformats.org/officeDocument/2006/relationships/hyperlink" Target="https://bit.ly/3sIiZE0" TargetMode="External"/><Relationship Id="rId7" Type="http://schemas.openxmlformats.org/officeDocument/2006/relationships/hyperlink" Target="https://bit.ly/34cYhSK" TargetMode="External"/><Relationship Id="rId12" Type="http://schemas.openxmlformats.org/officeDocument/2006/relationships/hyperlink" Target="https://bit.ly/3H7rYTX" TargetMode="External"/><Relationship Id="rId17" Type="http://schemas.openxmlformats.org/officeDocument/2006/relationships/hyperlink" Target="https://bit.ly/3rSA78d" TargetMode="External"/><Relationship Id="rId2" Type="http://schemas.openxmlformats.org/officeDocument/2006/relationships/hyperlink" Target="https://bit.ly/3H9nqfB" TargetMode="External"/><Relationship Id="rId16" Type="http://schemas.openxmlformats.org/officeDocument/2006/relationships/hyperlink" Target="https://bit.ly/3rXfXtH" TargetMode="External"/><Relationship Id="rId20" Type="http://schemas.openxmlformats.org/officeDocument/2006/relationships/hyperlink" Target="https://bit.ly/3sIiZE0" TargetMode="External"/><Relationship Id="rId1" Type="http://schemas.openxmlformats.org/officeDocument/2006/relationships/hyperlink" Target="https://bit" TargetMode="External"/><Relationship Id="rId6" Type="http://schemas.openxmlformats.org/officeDocument/2006/relationships/hyperlink" Target="https://bit" TargetMode="External"/><Relationship Id="rId11" Type="http://schemas.openxmlformats.org/officeDocument/2006/relationships/hyperlink" Target="https://bit.ly/3G9Ugf4" TargetMode="External"/><Relationship Id="rId5" Type="http://schemas.openxmlformats.org/officeDocument/2006/relationships/hyperlink" Target="https://bit.ly/3g7tLw8" TargetMode="External"/><Relationship Id="rId15" Type="http://schemas.openxmlformats.org/officeDocument/2006/relationships/hyperlink" Target="https://bit.ly/3rXfXtH" TargetMode="External"/><Relationship Id="rId10" Type="http://schemas.openxmlformats.org/officeDocument/2006/relationships/hyperlink" Target="https://bit.ly/3G9Ugf4" TargetMode="External"/><Relationship Id="rId19" Type="http://schemas.openxmlformats.org/officeDocument/2006/relationships/hyperlink" Target="https://bit.ly/3G6vvAr" TargetMode="External"/><Relationship Id="rId4" Type="http://schemas.openxmlformats.org/officeDocument/2006/relationships/hyperlink" Target="https://bit.ly/3g7tLw8" TargetMode="External"/><Relationship Id="rId9" Type="http://schemas.openxmlformats.org/officeDocument/2006/relationships/hyperlink" Target="https://bit.ly/32B3Tpq" TargetMode="External"/><Relationship Id="rId14" Type="http://schemas.openxmlformats.org/officeDocument/2006/relationships/hyperlink" Target="https://bit.ly/3G5LMFU" TargetMode="External"/><Relationship Id="rId22" Type="http://schemas.openxmlformats.org/officeDocument/2006/relationships/hyperlink" Target="https://bit.ly/33WvkuC"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5A14AA-D43A-4DDA-9F91-5906BC8B328F}">
  <ds:schemaRefs>
    <ds:schemaRef ds:uri="http://purl.org/dc/terms/"/>
    <ds:schemaRef ds:uri="452d559c-49a4-47bc-8575-587a177a9f9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138e79af-97e9-467e-b691-fc96845a5065"/>
    <ds:schemaRef ds:uri="http://www.w3.org/XML/1998/namespace"/>
    <ds:schemaRef ds:uri="http://purl.org/dc/dcmitype/"/>
  </ds:schemaRefs>
</ds:datastoreItem>
</file>

<file path=customXml/itemProps2.xml><?xml version="1.0" encoding="utf-8"?>
<ds:datastoreItem xmlns:ds="http://schemas.openxmlformats.org/officeDocument/2006/customXml" ds:itemID="{6B351CC1-C4E3-4429-BD1F-73BA5CC5DE63}"/>
</file>

<file path=customXml/itemProps3.xml><?xml version="1.0" encoding="utf-8"?>
<ds:datastoreItem xmlns:ds="http://schemas.openxmlformats.org/officeDocument/2006/customXml" ds:itemID="{2116DE97-4275-724A-94FF-45AA9BD012F9}">
  <ds:schemaRefs>
    <ds:schemaRef ds:uri="http://schemas.openxmlformats.org/officeDocument/2006/bibliography"/>
  </ds:schemaRefs>
</ds:datastoreItem>
</file>

<file path=customXml/itemProps4.xml><?xml version="1.0" encoding="utf-8"?>
<ds:datastoreItem xmlns:ds="http://schemas.openxmlformats.org/officeDocument/2006/customXml" ds:itemID="{E51ABEA3-F872-49A6-A9FD-A80E003F79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1621</Words>
  <Characters>10215</Characters>
  <Application>Microsoft Office Word</Application>
  <DocSecurity>2</DocSecurity>
  <Lines>85</Lines>
  <Paragraphs>23</Paragraphs>
  <ScaleCrop>false</ScaleCrop>
  <Company/>
  <LinksUpToDate>false</LinksUpToDate>
  <CharactersWithSpaces>11813</CharactersWithSpaces>
  <SharedDoc>false</SharedDoc>
  <HLinks>
    <vt:vector size="12" baseType="variant">
      <vt:variant>
        <vt:i4>8323140</vt:i4>
      </vt:variant>
      <vt:variant>
        <vt:i4>3</vt:i4>
      </vt:variant>
      <vt:variant>
        <vt:i4>0</vt:i4>
      </vt:variant>
      <vt:variant>
        <vt:i4>5</vt:i4>
      </vt:variant>
      <vt:variant>
        <vt:lpwstr>mailto:publishing@amnesty.org</vt:lpwstr>
      </vt:variant>
      <vt:variant>
        <vt:lpwstr/>
      </vt:variant>
      <vt:variant>
        <vt:i4>852061</vt:i4>
      </vt:variant>
      <vt:variant>
        <vt:i4>0</vt:i4>
      </vt:variant>
      <vt:variant>
        <vt:i4>0</vt:i4>
      </vt:variant>
      <vt:variant>
        <vt:i4>5</vt:i4>
      </vt:variant>
      <vt:variant>
        <vt:lpwstr>https://intranet.amnesty.org/wiki/display/CC/Publishing+and+editorial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Anna-Karin Holmlund</cp:lastModifiedBy>
  <cp:revision>31</cp:revision>
  <cp:lastPrinted>2022-08-16T13:24:00Z</cp:lastPrinted>
  <dcterms:created xsi:type="dcterms:W3CDTF">2022-08-16T12:54:00Z</dcterms:created>
  <dcterms:modified xsi:type="dcterms:W3CDTF">2022-08-16T13:27:00Z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y fmtid="{D5CDD505-2E9C-101B-9397-08002B2CF9AE}" pid="3" name="Order">
    <vt:r8>880200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ies>
</file>