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8FD99" w14:textId="77777777" w:rsidR="002A1B30" w:rsidRDefault="002A1B30"/>
    <w:p w14:paraId="6D85AF5F" w14:textId="77777777" w:rsidR="002A1B30" w:rsidRPr="002A1B30" w:rsidRDefault="002A1B30" w:rsidP="002A1B30"/>
    <w:p w14:paraId="3CA5B2B8" w14:textId="77777777" w:rsidR="002A1B30" w:rsidRDefault="002A1B30" w:rsidP="002A1B30"/>
    <w:p w14:paraId="3BC60334" w14:textId="77777777" w:rsidR="002A1B30" w:rsidRPr="00070B1F" w:rsidRDefault="002A1B30" w:rsidP="002A1B30">
      <w:pPr>
        <w:spacing w:line="240" w:lineRule="auto"/>
        <w:jc w:val="both"/>
        <w:rPr>
          <w:rFonts w:cstheme="minorHAnsi"/>
          <w:b/>
          <w:bCs/>
          <w:sz w:val="28"/>
          <w:szCs w:val="28"/>
        </w:rPr>
      </w:pPr>
      <w:r>
        <w:rPr>
          <w:b/>
          <w:sz w:val="28"/>
        </w:rPr>
        <w:t>Dialog with the Committee on the Rights of the Child from May 2, 2023, in Geneva: Addendum</w:t>
      </w:r>
    </w:p>
    <w:p w14:paraId="14AE2F24" w14:textId="77777777" w:rsidR="003C29BA" w:rsidRDefault="003C29BA" w:rsidP="002A1B30">
      <w:pPr>
        <w:spacing w:line="240" w:lineRule="auto"/>
        <w:jc w:val="both"/>
        <w:rPr>
          <w:rFonts w:cstheme="minorHAnsi"/>
        </w:rPr>
      </w:pPr>
    </w:p>
    <w:p w14:paraId="3675AADF" w14:textId="7DA0962D" w:rsidR="002A1B30" w:rsidRDefault="00306B69" w:rsidP="002A1B30">
      <w:pPr>
        <w:spacing w:line="240" w:lineRule="auto"/>
        <w:jc w:val="both"/>
        <w:rPr>
          <w:rFonts w:cstheme="minorHAnsi"/>
        </w:rPr>
      </w:pPr>
      <w:r>
        <w:t xml:space="preserve">Vaduz, June 29, 2023 </w:t>
      </w:r>
    </w:p>
    <w:p w14:paraId="5B2903B4" w14:textId="77777777" w:rsidR="002A1B30" w:rsidRPr="00070B1F" w:rsidRDefault="002A1B30" w:rsidP="002A1B30">
      <w:pPr>
        <w:spacing w:line="240" w:lineRule="auto"/>
        <w:jc w:val="both"/>
        <w:rPr>
          <w:rFonts w:cstheme="minorHAnsi"/>
        </w:rPr>
      </w:pPr>
    </w:p>
    <w:p w14:paraId="4F7FF04C" w14:textId="77777777" w:rsidR="002A1B30" w:rsidRPr="00070B1F" w:rsidRDefault="002A1B30" w:rsidP="002A1B30">
      <w:pPr>
        <w:spacing w:line="240" w:lineRule="auto"/>
        <w:jc w:val="both"/>
        <w:rPr>
          <w:rFonts w:cstheme="minorHAnsi"/>
        </w:rPr>
      </w:pPr>
      <w:r>
        <w:t>Dear Committee Members,</w:t>
      </w:r>
    </w:p>
    <w:p w14:paraId="7A3280A0" w14:textId="77777777" w:rsidR="002A1B30" w:rsidRPr="00070B1F" w:rsidRDefault="002A1B30" w:rsidP="002A1B30">
      <w:pPr>
        <w:spacing w:line="240" w:lineRule="auto"/>
        <w:jc w:val="both"/>
        <w:rPr>
          <w:rFonts w:cstheme="minorHAnsi"/>
        </w:rPr>
      </w:pPr>
      <w:r>
        <w:t xml:space="preserve">This is in reference to our dialog on the occasion of the pre-session in Geneva on May 2, 2023. At that time, you invited us to inform the Committee about current developments in Liechtenstein. </w:t>
      </w:r>
    </w:p>
    <w:p w14:paraId="7E7D8557" w14:textId="7F5B186E" w:rsidR="002A1B30" w:rsidRDefault="002A1B30" w:rsidP="00306B69">
      <w:pPr>
        <w:spacing w:after="0" w:line="240" w:lineRule="auto"/>
        <w:jc w:val="both"/>
        <w:rPr>
          <w:rFonts w:cstheme="minorHAnsi"/>
        </w:rPr>
      </w:pPr>
      <w:r>
        <w:t>We are pleased to inform you about the report on poverty and the risk of poverty, published on May 22, 2023, by the government of Liechtenstein (</w:t>
      </w:r>
      <w:proofErr w:type="spellStart"/>
      <w:r w:rsidR="00DD1BA9" w:rsidRPr="00DD1BA9">
        <w:fldChar w:fldCharType="begin"/>
      </w:r>
      <w:r w:rsidR="00DD1BA9" w:rsidRPr="00DD1BA9">
        <w:rPr>
          <w:color w:val="00B0F0"/>
        </w:rPr>
        <w:instrText xml:space="preserve"> HYPERLINK "https://www.statistikportal.li/de/themen/soziales/armutsgefaehrdung-armut" </w:instrText>
      </w:r>
      <w:r w:rsidR="00DD1BA9" w:rsidRPr="00DD1BA9">
        <w:fldChar w:fldCharType="separate"/>
      </w:r>
      <w:r>
        <w:rPr>
          <w:rStyle w:val="Hyperlink"/>
          <w:color w:val="00B0F0"/>
        </w:rPr>
        <w:t>armutsgefaehrdung</w:t>
      </w:r>
      <w:proofErr w:type="spellEnd"/>
      <w:r>
        <w:rPr>
          <w:rStyle w:val="Hyperlink"/>
          <w:color w:val="00B0F0"/>
        </w:rPr>
        <w:t xml:space="preserve"> </w:t>
      </w:r>
      <w:proofErr w:type="spellStart"/>
      <w:r>
        <w:rPr>
          <w:rStyle w:val="Hyperlink"/>
          <w:color w:val="00B0F0"/>
        </w:rPr>
        <w:t>armut</w:t>
      </w:r>
      <w:proofErr w:type="spellEnd"/>
      <w:r>
        <w:rPr>
          <w:rStyle w:val="Hyperlink"/>
          <w:color w:val="00B0F0"/>
        </w:rPr>
        <w:t xml:space="preserve"> (statistikportal.li)</w:t>
      </w:r>
      <w:r w:rsidR="00DD1BA9" w:rsidRPr="00DD1BA9">
        <w:rPr>
          <w:rStyle w:val="Hyperlink"/>
          <w:rFonts w:cstheme="minorHAnsi"/>
          <w:color w:val="00B0F0"/>
        </w:rPr>
        <w:fldChar w:fldCharType="end"/>
      </w:r>
      <w:r>
        <w:t xml:space="preserve">). </w:t>
      </w:r>
    </w:p>
    <w:p w14:paraId="30714754" w14:textId="77777777" w:rsidR="00306B69" w:rsidRPr="00070B1F" w:rsidRDefault="00306B69" w:rsidP="002A1B30">
      <w:pPr>
        <w:spacing w:line="240" w:lineRule="auto"/>
        <w:jc w:val="both"/>
        <w:rPr>
          <w:rFonts w:cstheme="minorHAnsi"/>
        </w:rPr>
      </w:pPr>
    </w:p>
    <w:p w14:paraId="04CA2A93" w14:textId="77777777" w:rsidR="002A1B30" w:rsidRPr="00070B1F" w:rsidRDefault="002A1B30" w:rsidP="00306B69">
      <w:pPr>
        <w:spacing w:after="0" w:line="240" w:lineRule="auto"/>
        <w:jc w:val="both"/>
        <w:rPr>
          <w:rFonts w:cstheme="minorHAnsi"/>
          <w:b/>
          <w:bCs/>
        </w:rPr>
      </w:pPr>
      <w:r>
        <w:rPr>
          <w:b/>
        </w:rPr>
        <w:t>Is there poverty in Liechtenstein?</w:t>
      </w:r>
    </w:p>
    <w:p w14:paraId="77AA1027" w14:textId="64C53283" w:rsidR="003C29BA" w:rsidRPr="00DD1BA9" w:rsidRDefault="003C29BA" w:rsidP="003C29BA">
      <w:pPr>
        <w:spacing w:line="240" w:lineRule="auto"/>
        <w:jc w:val="both"/>
        <w:rPr>
          <w:rFonts w:cstheme="minorHAnsi"/>
        </w:rPr>
      </w:pPr>
      <w:bookmarkStart w:id="0" w:name="_Hlk65598404"/>
      <w:bookmarkStart w:id="1" w:name="_Hlk65598694"/>
      <w:r>
        <w:t>In the Sustainability Report for Liechtenstein from 2019 to the UN (</w:t>
      </w:r>
      <w:hyperlink r:id="rId6" w:history="1">
        <w:r>
          <w:rPr>
            <w:rStyle w:val="Hyperlink"/>
            <w:color w:val="00B0F0"/>
          </w:rPr>
          <w:t>https://archiv.llv.li/files/aaa/aaa-regierungsbericht-uno-de-inhalt.pdf</w:t>
        </w:r>
      </w:hyperlink>
      <w:r>
        <w:t xml:space="preserve">), it is stated that there is no absolute poverty in Liechtenstein. In addition, it shall be explained that the social net in Liechtenstein is overall very well structured and that the state provides the appropriate support to all individuals and families who cannot make it above the poverty line on their own, without discrimination. No one in Liechtenstein must live in poverty. </w:t>
      </w:r>
    </w:p>
    <w:p w14:paraId="5AD000B3" w14:textId="7C2FC3D9" w:rsidR="002A1B30" w:rsidRDefault="002A1B30" w:rsidP="002A1B30">
      <w:pPr>
        <w:spacing w:line="240" w:lineRule="auto"/>
        <w:jc w:val="both"/>
        <w:rPr>
          <w:rFonts w:cstheme="minorHAnsi"/>
        </w:rPr>
      </w:pPr>
      <w:r>
        <w:t>Contrasting this are the experiences of the “Poverty Round Table,” which was started in 2019 by Caritas Liechtenstein and comprises representatives from key organizations, foundations and authorities in civil society. All participating organizations have observed in their work that Liechtenstein does have relative poverty. The evaluations of the sustainability indicators by the Department of Statistics as of July 1, 2022 (</w:t>
      </w:r>
      <w:hyperlink r:id="rId7" w:history="1">
        <w:r>
          <w:rPr>
            <w:rStyle w:val="Hyperlink"/>
            <w:color w:val="00B0F0"/>
          </w:rPr>
          <w:t>https://archiv.llv.li/files/as/indikatoren_2021_internet.pdf</w:t>
        </w:r>
      </w:hyperlink>
      <w:r>
        <w:t xml:space="preserve">) show an increased number of social assistance recipients, greater income inequality and rising living costs. At the same time, a decline has been measured in unemployment (including among young people) and in the number of working poor, i.e., people who do not earn enough to keep them above the poverty line despite being employed. </w:t>
      </w:r>
    </w:p>
    <w:p w14:paraId="78B7AED0" w14:textId="4F794A20" w:rsidR="002A1B30" w:rsidRPr="00070B1F" w:rsidRDefault="002A1B30" w:rsidP="002A1B30">
      <w:pPr>
        <w:spacing w:line="240" w:lineRule="auto"/>
        <w:jc w:val="both"/>
        <w:rPr>
          <w:rFonts w:cstheme="minorHAnsi"/>
        </w:rPr>
      </w:pPr>
      <w:r>
        <w:t>Until recently, there had been no current data on those afflicted by poverty. On May 22, 2023, the government published the statistical report titled “</w:t>
      </w:r>
      <w:proofErr w:type="spellStart"/>
      <w:r>
        <w:t>Armutsgefährdung</w:t>
      </w:r>
      <w:proofErr w:type="spellEnd"/>
      <w:r>
        <w:t xml:space="preserve"> und </w:t>
      </w:r>
      <w:proofErr w:type="spellStart"/>
      <w:r>
        <w:t>Armut</w:t>
      </w:r>
      <w:proofErr w:type="spellEnd"/>
      <w:r>
        <w:t>” (Poverty and being at risk of poverty) (</w:t>
      </w:r>
      <w:proofErr w:type="spellStart"/>
      <w:r w:rsidR="00DD1BA9" w:rsidRPr="00DD1BA9">
        <w:fldChar w:fldCharType="begin"/>
      </w:r>
      <w:r w:rsidR="00DD1BA9" w:rsidRPr="00DD1BA9">
        <w:rPr>
          <w:color w:val="00B0F0"/>
        </w:rPr>
        <w:instrText xml:space="preserve"> HYPERLINK "https://www.statistikportal.li/de/themen/soziales/armutsgefaehrdung-armut" </w:instrText>
      </w:r>
      <w:r w:rsidR="00DD1BA9" w:rsidRPr="00DD1BA9">
        <w:fldChar w:fldCharType="separate"/>
      </w:r>
      <w:r>
        <w:rPr>
          <w:rStyle w:val="Hyperlink"/>
          <w:color w:val="00B0F0"/>
        </w:rPr>
        <w:t>armutsgefaehrdung</w:t>
      </w:r>
      <w:proofErr w:type="spellEnd"/>
      <w:r>
        <w:rPr>
          <w:rStyle w:val="Hyperlink"/>
          <w:color w:val="00B0F0"/>
        </w:rPr>
        <w:t xml:space="preserve"> </w:t>
      </w:r>
      <w:proofErr w:type="spellStart"/>
      <w:r>
        <w:rPr>
          <w:rStyle w:val="Hyperlink"/>
          <w:color w:val="00B0F0"/>
        </w:rPr>
        <w:t>armut</w:t>
      </w:r>
      <w:proofErr w:type="spellEnd"/>
      <w:r>
        <w:rPr>
          <w:rStyle w:val="Hyperlink"/>
          <w:color w:val="00B0F0"/>
        </w:rPr>
        <w:t xml:space="preserve"> (statistikportal.li)</w:t>
      </w:r>
      <w:r w:rsidR="00DD1BA9" w:rsidRPr="00DD1BA9">
        <w:rPr>
          <w:rStyle w:val="Hyperlink"/>
          <w:rFonts w:cstheme="minorHAnsi"/>
          <w:color w:val="00B0F0"/>
        </w:rPr>
        <w:fldChar w:fldCharType="end"/>
      </w:r>
      <w:r>
        <w:t xml:space="preserve">), which is to be updated every five years with information based on census data. According to this report, 14.1 percent of the population is considered at risk of poverty and 3.1 percent is considered poor. Single parents or those living alone are especially affected by poverty or the risk of poverty. Single-parent household incomes lie 17 percent below the national median value. </w:t>
      </w:r>
    </w:p>
    <w:p w14:paraId="39BA4EF5" w14:textId="77777777" w:rsidR="001F202C" w:rsidRDefault="001F202C" w:rsidP="00306B69">
      <w:pPr>
        <w:spacing w:after="0" w:line="240" w:lineRule="auto"/>
        <w:jc w:val="both"/>
        <w:rPr>
          <w:rFonts w:cstheme="minorHAnsi"/>
          <w:b/>
        </w:rPr>
      </w:pPr>
    </w:p>
    <w:p w14:paraId="29E85C99" w14:textId="77777777" w:rsidR="000E2EFB" w:rsidRDefault="000E2EFB" w:rsidP="00306B69">
      <w:pPr>
        <w:spacing w:after="0" w:line="240" w:lineRule="auto"/>
        <w:jc w:val="both"/>
        <w:rPr>
          <w:b/>
        </w:rPr>
      </w:pPr>
    </w:p>
    <w:p w14:paraId="5C3C5C57" w14:textId="77777777" w:rsidR="000E2EFB" w:rsidRDefault="000E2EFB" w:rsidP="00306B69">
      <w:pPr>
        <w:spacing w:after="0" w:line="240" w:lineRule="auto"/>
        <w:jc w:val="both"/>
        <w:rPr>
          <w:b/>
        </w:rPr>
      </w:pPr>
    </w:p>
    <w:p w14:paraId="6A4E1CAC" w14:textId="77777777" w:rsidR="000E2EFB" w:rsidRDefault="000E2EFB" w:rsidP="00306B69">
      <w:pPr>
        <w:spacing w:after="0" w:line="240" w:lineRule="auto"/>
        <w:jc w:val="both"/>
        <w:rPr>
          <w:b/>
        </w:rPr>
      </w:pPr>
    </w:p>
    <w:p w14:paraId="3AAA94C6" w14:textId="77777777" w:rsidR="000E2EFB" w:rsidRDefault="000E2EFB" w:rsidP="00306B69">
      <w:pPr>
        <w:spacing w:after="0" w:line="240" w:lineRule="auto"/>
        <w:jc w:val="both"/>
        <w:rPr>
          <w:b/>
        </w:rPr>
      </w:pPr>
    </w:p>
    <w:p w14:paraId="317EFF6B" w14:textId="77777777" w:rsidR="000E2EFB" w:rsidRDefault="000E2EFB" w:rsidP="00306B69">
      <w:pPr>
        <w:spacing w:after="0" w:line="240" w:lineRule="auto"/>
        <w:jc w:val="both"/>
        <w:rPr>
          <w:b/>
        </w:rPr>
      </w:pPr>
    </w:p>
    <w:p w14:paraId="199C5D4C" w14:textId="77777777" w:rsidR="000E2EFB" w:rsidRDefault="000E2EFB" w:rsidP="00306B69">
      <w:pPr>
        <w:spacing w:after="0" w:line="240" w:lineRule="auto"/>
        <w:jc w:val="both"/>
        <w:rPr>
          <w:b/>
        </w:rPr>
      </w:pPr>
    </w:p>
    <w:p w14:paraId="791DD5D4" w14:textId="77777777" w:rsidR="000E2EFB" w:rsidRDefault="000E2EFB" w:rsidP="00306B69">
      <w:pPr>
        <w:spacing w:after="0" w:line="240" w:lineRule="auto"/>
        <w:jc w:val="both"/>
        <w:rPr>
          <w:b/>
        </w:rPr>
      </w:pPr>
    </w:p>
    <w:p w14:paraId="28B44A8F" w14:textId="77777777" w:rsidR="000E2EFB" w:rsidRDefault="000E2EFB" w:rsidP="00306B69">
      <w:pPr>
        <w:spacing w:after="0" w:line="240" w:lineRule="auto"/>
        <w:jc w:val="both"/>
        <w:rPr>
          <w:b/>
        </w:rPr>
      </w:pPr>
    </w:p>
    <w:p w14:paraId="50B57A72" w14:textId="77777777" w:rsidR="000E2EFB" w:rsidRDefault="000E2EFB" w:rsidP="00306B69">
      <w:pPr>
        <w:spacing w:after="0" w:line="240" w:lineRule="auto"/>
        <w:jc w:val="both"/>
        <w:rPr>
          <w:b/>
        </w:rPr>
      </w:pPr>
    </w:p>
    <w:p w14:paraId="47553CE5" w14:textId="77777777" w:rsidR="000E2EFB" w:rsidRDefault="000E2EFB" w:rsidP="00306B69">
      <w:pPr>
        <w:spacing w:after="0" w:line="240" w:lineRule="auto"/>
        <w:jc w:val="both"/>
        <w:rPr>
          <w:b/>
        </w:rPr>
      </w:pPr>
    </w:p>
    <w:p w14:paraId="3B73EE56" w14:textId="5D274A2B" w:rsidR="002A1B30" w:rsidRPr="00306B69" w:rsidRDefault="00173716" w:rsidP="00306B69">
      <w:pPr>
        <w:spacing w:after="0" w:line="240" w:lineRule="auto"/>
        <w:jc w:val="both"/>
        <w:rPr>
          <w:rFonts w:cstheme="minorHAnsi"/>
          <w:b/>
        </w:rPr>
      </w:pPr>
      <w:r>
        <w:rPr>
          <w:b/>
        </w:rPr>
        <w:t>Latest findings on poverty and poverty risk in Liechtenstein</w:t>
      </w:r>
    </w:p>
    <w:p w14:paraId="239DBCC9" w14:textId="13178A0D" w:rsidR="003C29BA" w:rsidRDefault="002A1B30" w:rsidP="000E2EFB">
      <w:pPr>
        <w:spacing w:line="240" w:lineRule="auto"/>
        <w:jc w:val="both"/>
        <w:rPr>
          <w:rFonts w:cstheme="minorHAnsi"/>
          <w:shd w:val="clear" w:color="auto" w:fill="FFFFFF"/>
        </w:rPr>
      </w:pPr>
      <w:r>
        <w:t>Because incomes in Liechtenstein are very unequally distributed, the difference between the wealthy and the poor is substantial: In 2020, 10 percent of the population had an equivalent income of more than 111,900 francs per year, while 10 percent had to make do with 31,100 francs or less. Compared to the rest of Europe (</w:t>
      </w:r>
      <w:r>
        <w:rPr>
          <w:shd w:val="clear" w:color="auto" w:fill="FFFFFF"/>
        </w:rPr>
        <w:t>Gini coefficient of 0.34), only Latvia, Lithuania and Bulgaria have greater income inequality.</w:t>
      </w:r>
    </w:p>
    <w:p w14:paraId="1BEBA189" w14:textId="3926E14B" w:rsidR="002A1B30" w:rsidRPr="00306B69" w:rsidRDefault="002A1B30" w:rsidP="002A1B30">
      <w:pPr>
        <w:spacing w:line="240" w:lineRule="auto"/>
        <w:jc w:val="both"/>
        <w:rPr>
          <w:rFonts w:cstheme="minorHAnsi"/>
        </w:rPr>
      </w:pPr>
      <w:r>
        <w:rPr>
          <w:shd w:val="clear" w:color="auto" w:fill="FFFFFF"/>
        </w:rPr>
        <w:t xml:space="preserve">With a median equivalized disposable income of about 57,500 francs, Liechtenstein tops the list of European countries, ahead of Norway and Luxembourg. The so-called equivalized disposable income combines total income </w:t>
      </w:r>
      <w:r>
        <w:t xml:space="preserve">(wages, social benefits, pensions, family supplements) </w:t>
      </w:r>
      <w:r>
        <w:rPr>
          <w:shd w:val="clear" w:color="auto" w:fill="FFFFFF"/>
        </w:rPr>
        <w:t xml:space="preserve">and obligatory contributions </w:t>
      </w:r>
      <w:r>
        <w:t xml:space="preserve">(health insurance premiums, social insurance contributions). Household size also plays a role. </w:t>
      </w:r>
      <w:r>
        <w:rPr>
          <w:shd w:val="clear" w:color="auto" w:fill="FFFFFF"/>
        </w:rPr>
        <w:t xml:space="preserve">This allows for comparisons between different households no matter how many people they contain. </w:t>
      </w:r>
    </w:p>
    <w:p w14:paraId="54CE516F" w14:textId="77777777" w:rsidR="002A1B30" w:rsidRDefault="002A1B30" w:rsidP="00E6117F">
      <w:pPr>
        <w:spacing w:after="0" w:line="240" w:lineRule="auto"/>
        <w:jc w:val="both"/>
        <w:rPr>
          <w:rFonts w:cstheme="minorHAnsi"/>
        </w:rPr>
      </w:pPr>
      <w:r>
        <w:t xml:space="preserve">Liechtenstein, with 14 percent of the population at risk of poverty, falls in the middle of the European countries. Persons classified as at risk of poverty (14.1 percent) are those who earn less than 60 percent of the median equivalized disposable income, which in Liechtenstein is an annual income of 57,533 francs. 3.1 percent of the population of Liechtenstein are poor, meaning that their financial means do not rise above the level of social subsistence. In Liechtenstein the poverty line is a monthly income of 1,950 francs (annual income below 23,000 for a single-person household). </w:t>
      </w:r>
      <w:bookmarkStart w:id="2" w:name="_Hlk138767885"/>
      <w:r>
        <w:t>Most of those living in poverty or at risk of living in poverty are single parents or living alone.</w:t>
      </w:r>
      <w:bookmarkEnd w:id="2"/>
      <w:r>
        <w:t xml:space="preserve"> Without state assistance such as premium reductions, rent subsidies, supplementary benefits or family/single parent supplements, poverty in Liechtenstein would be 4 percent higher. </w:t>
      </w:r>
    </w:p>
    <w:p w14:paraId="0A16F60E" w14:textId="77777777" w:rsidR="001F202C" w:rsidRDefault="001F202C" w:rsidP="002A1B30">
      <w:pPr>
        <w:spacing w:line="240" w:lineRule="auto"/>
        <w:jc w:val="both"/>
        <w:rPr>
          <w:rFonts w:cstheme="minorHAnsi"/>
        </w:rPr>
      </w:pPr>
    </w:p>
    <w:p w14:paraId="2DEA2BB0" w14:textId="77777777" w:rsidR="002A1B30" w:rsidRPr="001F202C" w:rsidRDefault="002A1B30" w:rsidP="001F202C">
      <w:pPr>
        <w:spacing w:after="0" w:line="240" w:lineRule="auto"/>
        <w:jc w:val="both"/>
        <w:rPr>
          <w:rFonts w:cstheme="minorHAnsi"/>
          <w:b/>
        </w:rPr>
      </w:pPr>
      <w:r>
        <w:rPr>
          <w:b/>
        </w:rPr>
        <w:t>Information on children and young people at risk of poverty</w:t>
      </w:r>
    </w:p>
    <w:p w14:paraId="0B9AC60C" w14:textId="77777777" w:rsidR="002A1B30" w:rsidRDefault="002A1B30" w:rsidP="002A1B30">
      <w:pPr>
        <w:spacing w:line="240" w:lineRule="auto"/>
        <w:jc w:val="both"/>
      </w:pPr>
      <w:r>
        <w:t>According to the government report, the risk of poverty for children and young people is no different from that of the rest of the population. At 14.2 and 2.8 percent, respectively, they fall within the range of the overall population. Breaking these numbers down further by age shows very young children to be at somewhat higher risk. This may be because one parent often stays at home when there are young children in the family. Table 15 shows the findings for the sub-categories. However, these differences should be interpreted with caution because of the small number of cases.</w:t>
      </w:r>
    </w:p>
    <w:tbl>
      <w:tblPr>
        <w:tblStyle w:val="TableGrid"/>
        <w:tblpPr w:leftFromText="141" w:rightFromText="141" w:vertAnchor="text" w:horzAnchor="margin" w:tblpXSpec="center" w:tblpY="39"/>
        <w:tblOverlap w:val="never"/>
        <w:tblW w:w="0" w:type="auto"/>
        <w:tblLook w:val="04A0" w:firstRow="1" w:lastRow="0" w:firstColumn="1" w:lastColumn="0" w:noHBand="0" w:noVBand="1"/>
      </w:tblPr>
      <w:tblGrid>
        <w:gridCol w:w="1120"/>
        <w:gridCol w:w="1127"/>
        <w:gridCol w:w="1613"/>
        <w:gridCol w:w="1097"/>
        <w:gridCol w:w="992"/>
        <w:gridCol w:w="1134"/>
        <w:gridCol w:w="992"/>
      </w:tblGrid>
      <w:tr w:rsidR="00DF695E" w14:paraId="682B363F" w14:textId="77777777" w:rsidTr="00DF695E">
        <w:tc>
          <w:tcPr>
            <w:tcW w:w="1120" w:type="dxa"/>
            <w:shd w:val="clear" w:color="auto" w:fill="002060"/>
          </w:tcPr>
          <w:p w14:paraId="4BAC7C4C" w14:textId="77777777" w:rsidR="00DF695E" w:rsidRPr="00A9237B" w:rsidRDefault="00DF695E" w:rsidP="00DF695E">
            <w:pPr>
              <w:jc w:val="both"/>
              <w:rPr>
                <w:sz w:val="18"/>
                <w:szCs w:val="18"/>
              </w:rPr>
            </w:pPr>
          </w:p>
        </w:tc>
        <w:tc>
          <w:tcPr>
            <w:tcW w:w="1127" w:type="dxa"/>
            <w:shd w:val="clear" w:color="auto" w:fill="002060"/>
          </w:tcPr>
          <w:p w14:paraId="33294375" w14:textId="77777777" w:rsidR="00DF695E" w:rsidRPr="00A9237B" w:rsidRDefault="00DF695E" w:rsidP="00DF695E">
            <w:pPr>
              <w:jc w:val="both"/>
              <w:rPr>
                <w:sz w:val="18"/>
                <w:szCs w:val="18"/>
              </w:rPr>
            </w:pPr>
            <w:r>
              <w:rPr>
                <w:sz w:val="18"/>
              </w:rPr>
              <w:t>Total</w:t>
            </w:r>
          </w:p>
          <w:p w14:paraId="510D9CCB" w14:textId="77777777" w:rsidR="00DF695E" w:rsidRDefault="00DF695E" w:rsidP="00DF695E">
            <w:pPr>
              <w:jc w:val="both"/>
              <w:rPr>
                <w:sz w:val="18"/>
                <w:szCs w:val="18"/>
              </w:rPr>
            </w:pPr>
          </w:p>
          <w:p w14:paraId="124507EB" w14:textId="77777777" w:rsidR="00DF695E" w:rsidRPr="00A9237B" w:rsidRDefault="00DF695E" w:rsidP="00DF695E">
            <w:pPr>
              <w:jc w:val="both"/>
              <w:rPr>
                <w:sz w:val="18"/>
                <w:szCs w:val="18"/>
              </w:rPr>
            </w:pPr>
          </w:p>
          <w:p w14:paraId="7D4D729F" w14:textId="77777777" w:rsidR="00DF695E" w:rsidRPr="00A9237B" w:rsidRDefault="00DF695E" w:rsidP="00DF695E">
            <w:pPr>
              <w:jc w:val="right"/>
              <w:rPr>
                <w:sz w:val="18"/>
                <w:szCs w:val="18"/>
              </w:rPr>
            </w:pPr>
            <w:r>
              <w:rPr>
                <w:sz w:val="18"/>
              </w:rPr>
              <w:t xml:space="preserve">       Number</w:t>
            </w:r>
          </w:p>
        </w:tc>
        <w:tc>
          <w:tcPr>
            <w:tcW w:w="1613" w:type="dxa"/>
            <w:shd w:val="clear" w:color="auto" w:fill="002060"/>
          </w:tcPr>
          <w:p w14:paraId="1F333D11" w14:textId="77777777" w:rsidR="00DF695E" w:rsidRPr="00A9237B" w:rsidRDefault="00DF695E" w:rsidP="00DF695E">
            <w:pPr>
              <w:jc w:val="both"/>
              <w:rPr>
                <w:sz w:val="18"/>
                <w:szCs w:val="18"/>
              </w:rPr>
            </w:pPr>
            <w:r>
              <w:rPr>
                <w:sz w:val="18"/>
              </w:rPr>
              <w:t>Median equivalized disposable income</w:t>
            </w:r>
          </w:p>
          <w:p w14:paraId="0BBA8008" w14:textId="77777777" w:rsidR="00DF695E" w:rsidRPr="00A9237B" w:rsidRDefault="00DF695E" w:rsidP="00DF695E">
            <w:pPr>
              <w:jc w:val="both"/>
              <w:rPr>
                <w:sz w:val="18"/>
                <w:szCs w:val="18"/>
              </w:rPr>
            </w:pPr>
          </w:p>
          <w:p w14:paraId="0CCE77FE" w14:textId="77777777" w:rsidR="00DF695E" w:rsidRPr="00A9237B" w:rsidRDefault="00DF695E" w:rsidP="00DF695E">
            <w:pPr>
              <w:jc w:val="right"/>
              <w:rPr>
                <w:sz w:val="18"/>
                <w:szCs w:val="18"/>
              </w:rPr>
            </w:pPr>
            <w:r>
              <w:rPr>
                <w:sz w:val="18"/>
              </w:rPr>
              <w:t>in CHF</w:t>
            </w:r>
          </w:p>
        </w:tc>
        <w:tc>
          <w:tcPr>
            <w:tcW w:w="2089" w:type="dxa"/>
            <w:gridSpan w:val="2"/>
            <w:shd w:val="clear" w:color="auto" w:fill="002060"/>
          </w:tcPr>
          <w:p w14:paraId="67DE10E1" w14:textId="77777777" w:rsidR="00DF695E" w:rsidRPr="00A9237B" w:rsidRDefault="00DF695E" w:rsidP="00DF695E">
            <w:pPr>
              <w:jc w:val="both"/>
              <w:rPr>
                <w:sz w:val="18"/>
                <w:szCs w:val="18"/>
              </w:rPr>
            </w:pPr>
            <w:r>
              <w:rPr>
                <w:sz w:val="18"/>
              </w:rPr>
              <w:t>Risk of poverty</w:t>
            </w:r>
          </w:p>
          <w:p w14:paraId="4D3A7E20" w14:textId="77777777" w:rsidR="00DF695E" w:rsidRPr="00A9237B" w:rsidRDefault="00DF695E" w:rsidP="00DF695E">
            <w:pPr>
              <w:jc w:val="both"/>
              <w:rPr>
                <w:sz w:val="18"/>
                <w:szCs w:val="18"/>
              </w:rPr>
            </w:pPr>
          </w:p>
          <w:p w14:paraId="58056B2A" w14:textId="77777777" w:rsidR="00DF695E" w:rsidRPr="00A9237B" w:rsidRDefault="00DF695E" w:rsidP="00DF695E">
            <w:pPr>
              <w:jc w:val="both"/>
              <w:rPr>
                <w:sz w:val="18"/>
                <w:szCs w:val="18"/>
              </w:rPr>
            </w:pPr>
            <w:r>
              <w:rPr>
                <w:noProof/>
              </w:rPr>
              <mc:AlternateContent>
                <mc:Choice Requires="wps">
                  <w:drawing>
                    <wp:anchor distT="0" distB="0" distL="114300" distR="114300" simplePos="0" relativeHeight="251660288" behindDoc="0" locked="0" layoutInCell="1" allowOverlap="1" wp14:anchorId="03D61504" wp14:editId="46F0F8A5">
                      <wp:simplePos x="0" y="0"/>
                      <wp:positionH relativeFrom="column">
                        <wp:posOffset>628650</wp:posOffset>
                      </wp:positionH>
                      <wp:positionV relativeFrom="paragraph">
                        <wp:posOffset>128194</wp:posOffset>
                      </wp:positionV>
                      <wp:extent cx="0" cy="153909"/>
                      <wp:effectExtent l="0" t="0" r="38100" b="36830"/>
                      <wp:wrapNone/>
                      <wp:docPr id="6" name="Gerader Verbinder 6"/>
                      <wp:cNvGraphicFramePr/>
                      <a:graphic xmlns:a="http://schemas.openxmlformats.org/drawingml/2006/main">
                        <a:graphicData uri="http://schemas.microsoft.com/office/word/2010/wordprocessingShape">
                          <wps:wsp>
                            <wps:cNvCnPr/>
                            <wps:spPr>
                              <a:xfrm>
                                <a:off x="0" y="0"/>
                                <a:ext cx="0" cy="153909"/>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F07333" id="Gerader Verbinde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5pt,10.1pt" to="49.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" strokecolor="black [3213]" strokeweight=".5pt">
                      <v:stroke joinstyle="miter"/>
                    </v:line>
                  </w:pict>
                </mc:Fallback>
              </mc:AlternateContent>
            </w:r>
          </w:p>
          <w:p w14:paraId="62ED066B" w14:textId="77777777" w:rsidR="00DF695E" w:rsidRPr="00A9237B" w:rsidRDefault="00DF695E" w:rsidP="00DF695E">
            <w:pPr>
              <w:jc w:val="center"/>
              <w:rPr>
                <w:sz w:val="18"/>
                <w:szCs w:val="18"/>
              </w:rPr>
            </w:pPr>
            <w:r>
              <w:rPr>
                <w:sz w:val="18"/>
              </w:rPr>
              <w:t xml:space="preserve">          Number                in %</w:t>
            </w:r>
          </w:p>
        </w:tc>
        <w:tc>
          <w:tcPr>
            <w:tcW w:w="2126" w:type="dxa"/>
            <w:gridSpan w:val="2"/>
            <w:shd w:val="clear" w:color="auto" w:fill="002060"/>
          </w:tcPr>
          <w:p w14:paraId="3A1C20BF" w14:textId="77777777" w:rsidR="00DF695E" w:rsidRPr="00A9237B" w:rsidRDefault="00DF695E" w:rsidP="00DF695E">
            <w:pPr>
              <w:rPr>
                <w:sz w:val="18"/>
                <w:szCs w:val="18"/>
              </w:rPr>
            </w:pPr>
            <w:r>
              <w:rPr>
                <w:sz w:val="18"/>
              </w:rPr>
              <w:t>Poverty</w:t>
            </w:r>
          </w:p>
          <w:p w14:paraId="64210C1D" w14:textId="77777777" w:rsidR="00DF695E" w:rsidRDefault="00DF695E" w:rsidP="00DF695E">
            <w:pPr>
              <w:jc w:val="right"/>
              <w:rPr>
                <w:sz w:val="18"/>
                <w:szCs w:val="18"/>
              </w:rPr>
            </w:pPr>
          </w:p>
          <w:p w14:paraId="62DA8E5F" w14:textId="77777777" w:rsidR="00DF695E" w:rsidRPr="00A9237B" w:rsidRDefault="00DF695E" w:rsidP="00DF695E">
            <w:pPr>
              <w:jc w:val="right"/>
              <w:rPr>
                <w:sz w:val="18"/>
                <w:szCs w:val="18"/>
              </w:rPr>
            </w:pPr>
            <w:r>
              <w:rPr>
                <w:noProof/>
              </w:rPr>
              <mc:AlternateContent>
                <mc:Choice Requires="wps">
                  <w:drawing>
                    <wp:anchor distT="0" distB="0" distL="114300" distR="114300" simplePos="0" relativeHeight="251659264" behindDoc="0" locked="0" layoutInCell="1" allowOverlap="1" wp14:anchorId="257FA2A4" wp14:editId="2C8F391B">
                      <wp:simplePos x="0" y="0"/>
                      <wp:positionH relativeFrom="column">
                        <wp:posOffset>652780</wp:posOffset>
                      </wp:positionH>
                      <wp:positionV relativeFrom="paragraph">
                        <wp:posOffset>131737</wp:posOffset>
                      </wp:positionV>
                      <wp:extent cx="0" cy="153909"/>
                      <wp:effectExtent l="0" t="0" r="38100" b="36830"/>
                      <wp:wrapNone/>
                      <wp:docPr id="4" name="Gerader Verbinder 4"/>
                      <wp:cNvGraphicFramePr/>
                      <a:graphic xmlns:a="http://schemas.openxmlformats.org/drawingml/2006/main">
                        <a:graphicData uri="http://schemas.microsoft.com/office/word/2010/wordprocessingShape">
                          <wps:wsp>
                            <wps:cNvCnPr/>
                            <wps:spPr>
                              <a:xfrm>
                                <a:off x="0" y="0"/>
                                <a:ext cx="0" cy="153909"/>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5A925C" id="Gerader Verbinde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4pt,10.35pt" to="51.4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" strokecolor="black [3213]" strokeweight=".5pt">
                      <v:stroke joinstyle="miter"/>
                    </v:line>
                  </w:pict>
                </mc:Fallback>
              </mc:AlternateContent>
            </w:r>
          </w:p>
          <w:p w14:paraId="7594CA8B" w14:textId="77777777" w:rsidR="00DF695E" w:rsidRPr="00A9237B" w:rsidRDefault="00DF695E" w:rsidP="00DF695E">
            <w:pPr>
              <w:jc w:val="right"/>
              <w:rPr>
                <w:sz w:val="18"/>
                <w:szCs w:val="18"/>
              </w:rPr>
            </w:pPr>
            <w:r>
              <w:rPr>
                <w:sz w:val="18"/>
              </w:rPr>
              <w:t>Number                 in %</w:t>
            </w:r>
          </w:p>
        </w:tc>
      </w:tr>
      <w:tr w:rsidR="00DF695E" w14:paraId="581ADD48" w14:textId="77777777" w:rsidTr="00DF695E">
        <w:tc>
          <w:tcPr>
            <w:tcW w:w="1120" w:type="dxa"/>
            <w:shd w:val="clear" w:color="auto" w:fill="D9E2F3" w:themeFill="accent1" w:themeFillTint="33"/>
          </w:tcPr>
          <w:p w14:paraId="5CCD038C" w14:textId="77777777" w:rsidR="00DF695E" w:rsidRPr="00A9237B" w:rsidRDefault="00DF695E" w:rsidP="00DF695E">
            <w:pPr>
              <w:rPr>
                <w:sz w:val="18"/>
                <w:szCs w:val="18"/>
              </w:rPr>
            </w:pPr>
            <w:r>
              <w:rPr>
                <w:sz w:val="18"/>
              </w:rPr>
              <w:t>0 to 5 years</w:t>
            </w:r>
          </w:p>
        </w:tc>
        <w:tc>
          <w:tcPr>
            <w:tcW w:w="1127" w:type="dxa"/>
            <w:shd w:val="clear" w:color="auto" w:fill="D9E2F3" w:themeFill="accent1" w:themeFillTint="33"/>
          </w:tcPr>
          <w:p w14:paraId="400E0AF2" w14:textId="77777777" w:rsidR="00DF695E" w:rsidRPr="00A9237B" w:rsidRDefault="00DF695E" w:rsidP="00DF695E">
            <w:pPr>
              <w:jc w:val="right"/>
              <w:rPr>
                <w:sz w:val="18"/>
                <w:szCs w:val="18"/>
              </w:rPr>
            </w:pPr>
            <w:r>
              <w:rPr>
                <w:sz w:val="18"/>
              </w:rPr>
              <w:t>2,216</w:t>
            </w:r>
          </w:p>
        </w:tc>
        <w:tc>
          <w:tcPr>
            <w:tcW w:w="1613" w:type="dxa"/>
            <w:shd w:val="clear" w:color="auto" w:fill="D9E2F3" w:themeFill="accent1" w:themeFillTint="33"/>
          </w:tcPr>
          <w:p w14:paraId="75C6ADC4" w14:textId="77777777" w:rsidR="00DF695E" w:rsidRPr="00A9237B" w:rsidRDefault="00DF695E" w:rsidP="00DF695E">
            <w:pPr>
              <w:jc w:val="right"/>
              <w:rPr>
                <w:sz w:val="18"/>
                <w:szCs w:val="18"/>
              </w:rPr>
            </w:pPr>
            <w:r>
              <w:rPr>
                <w:sz w:val="18"/>
              </w:rPr>
              <w:t>49,446</w:t>
            </w:r>
          </w:p>
        </w:tc>
        <w:tc>
          <w:tcPr>
            <w:tcW w:w="1097" w:type="dxa"/>
            <w:shd w:val="clear" w:color="auto" w:fill="D9E2F3" w:themeFill="accent1" w:themeFillTint="33"/>
          </w:tcPr>
          <w:p w14:paraId="62053FD2" w14:textId="77777777" w:rsidR="00DF695E" w:rsidRPr="00A9237B" w:rsidRDefault="00DF695E" w:rsidP="00DF695E">
            <w:pPr>
              <w:jc w:val="right"/>
              <w:rPr>
                <w:sz w:val="18"/>
                <w:szCs w:val="18"/>
              </w:rPr>
            </w:pPr>
            <w:r>
              <w:rPr>
                <w:sz w:val="18"/>
              </w:rPr>
              <w:t>356</w:t>
            </w:r>
          </w:p>
        </w:tc>
        <w:tc>
          <w:tcPr>
            <w:tcW w:w="992" w:type="dxa"/>
            <w:shd w:val="clear" w:color="auto" w:fill="D9E2F3" w:themeFill="accent1" w:themeFillTint="33"/>
          </w:tcPr>
          <w:p w14:paraId="7E6E52CC" w14:textId="77777777" w:rsidR="00DF695E" w:rsidRPr="00A9237B" w:rsidRDefault="00DF695E" w:rsidP="00DF695E">
            <w:pPr>
              <w:jc w:val="right"/>
              <w:rPr>
                <w:sz w:val="18"/>
                <w:szCs w:val="18"/>
              </w:rPr>
            </w:pPr>
            <w:r>
              <w:rPr>
                <w:sz w:val="18"/>
              </w:rPr>
              <w:t>16.1</w:t>
            </w:r>
          </w:p>
        </w:tc>
        <w:tc>
          <w:tcPr>
            <w:tcW w:w="1134" w:type="dxa"/>
            <w:shd w:val="clear" w:color="auto" w:fill="D9E2F3" w:themeFill="accent1" w:themeFillTint="33"/>
          </w:tcPr>
          <w:p w14:paraId="696B5172" w14:textId="77777777" w:rsidR="00DF695E" w:rsidRPr="00A9237B" w:rsidRDefault="00DF695E" w:rsidP="00DF695E">
            <w:pPr>
              <w:jc w:val="right"/>
              <w:rPr>
                <w:sz w:val="18"/>
                <w:szCs w:val="18"/>
              </w:rPr>
            </w:pPr>
            <w:r>
              <w:rPr>
                <w:sz w:val="18"/>
              </w:rPr>
              <w:t>76</w:t>
            </w:r>
          </w:p>
        </w:tc>
        <w:tc>
          <w:tcPr>
            <w:tcW w:w="992" w:type="dxa"/>
            <w:shd w:val="clear" w:color="auto" w:fill="D9E2F3" w:themeFill="accent1" w:themeFillTint="33"/>
          </w:tcPr>
          <w:p w14:paraId="55206DA3" w14:textId="77777777" w:rsidR="00DF695E" w:rsidRPr="00A9237B" w:rsidRDefault="00DF695E" w:rsidP="00DF695E">
            <w:pPr>
              <w:jc w:val="right"/>
              <w:rPr>
                <w:sz w:val="18"/>
                <w:szCs w:val="18"/>
              </w:rPr>
            </w:pPr>
            <w:r>
              <w:rPr>
                <w:sz w:val="18"/>
              </w:rPr>
              <w:t>3.4</w:t>
            </w:r>
          </w:p>
        </w:tc>
      </w:tr>
      <w:tr w:rsidR="00DF695E" w14:paraId="156E46B6" w14:textId="77777777" w:rsidTr="00DF695E">
        <w:tc>
          <w:tcPr>
            <w:tcW w:w="1120" w:type="dxa"/>
            <w:shd w:val="clear" w:color="auto" w:fill="D9E2F3" w:themeFill="accent1" w:themeFillTint="33"/>
          </w:tcPr>
          <w:p w14:paraId="19A7EF8C" w14:textId="77777777" w:rsidR="00DF695E" w:rsidRPr="00A9237B" w:rsidRDefault="00DF695E" w:rsidP="00DF695E">
            <w:pPr>
              <w:rPr>
                <w:sz w:val="18"/>
                <w:szCs w:val="18"/>
              </w:rPr>
            </w:pPr>
            <w:r>
              <w:rPr>
                <w:sz w:val="18"/>
              </w:rPr>
              <w:t>6–11 years</w:t>
            </w:r>
          </w:p>
        </w:tc>
        <w:tc>
          <w:tcPr>
            <w:tcW w:w="1127" w:type="dxa"/>
            <w:shd w:val="clear" w:color="auto" w:fill="D9E2F3" w:themeFill="accent1" w:themeFillTint="33"/>
          </w:tcPr>
          <w:p w14:paraId="5A9D7FE9" w14:textId="77777777" w:rsidR="00DF695E" w:rsidRPr="00A9237B" w:rsidRDefault="00DF695E" w:rsidP="00DF695E">
            <w:pPr>
              <w:jc w:val="right"/>
              <w:rPr>
                <w:sz w:val="18"/>
                <w:szCs w:val="18"/>
              </w:rPr>
            </w:pPr>
            <w:r>
              <w:rPr>
                <w:sz w:val="18"/>
              </w:rPr>
              <w:t>2,689</w:t>
            </w:r>
          </w:p>
        </w:tc>
        <w:tc>
          <w:tcPr>
            <w:tcW w:w="1613" w:type="dxa"/>
            <w:shd w:val="clear" w:color="auto" w:fill="D9E2F3" w:themeFill="accent1" w:themeFillTint="33"/>
          </w:tcPr>
          <w:p w14:paraId="6740F45F" w14:textId="77777777" w:rsidR="00DF695E" w:rsidRPr="00A9237B" w:rsidRDefault="00DF695E" w:rsidP="00DF695E">
            <w:pPr>
              <w:jc w:val="right"/>
              <w:rPr>
                <w:sz w:val="18"/>
                <w:szCs w:val="18"/>
              </w:rPr>
            </w:pPr>
            <w:r>
              <w:rPr>
                <w:sz w:val="18"/>
              </w:rPr>
              <w:t>53,083</w:t>
            </w:r>
          </w:p>
        </w:tc>
        <w:tc>
          <w:tcPr>
            <w:tcW w:w="1097" w:type="dxa"/>
            <w:shd w:val="clear" w:color="auto" w:fill="D9E2F3" w:themeFill="accent1" w:themeFillTint="33"/>
          </w:tcPr>
          <w:p w14:paraId="41EBBB7A" w14:textId="77777777" w:rsidR="00DF695E" w:rsidRPr="00A9237B" w:rsidRDefault="00DF695E" w:rsidP="00DF695E">
            <w:pPr>
              <w:jc w:val="right"/>
              <w:rPr>
                <w:sz w:val="18"/>
                <w:szCs w:val="18"/>
              </w:rPr>
            </w:pPr>
            <w:r>
              <w:rPr>
                <w:sz w:val="18"/>
              </w:rPr>
              <w:t>357</w:t>
            </w:r>
          </w:p>
        </w:tc>
        <w:tc>
          <w:tcPr>
            <w:tcW w:w="992" w:type="dxa"/>
            <w:shd w:val="clear" w:color="auto" w:fill="D9E2F3" w:themeFill="accent1" w:themeFillTint="33"/>
          </w:tcPr>
          <w:p w14:paraId="0B83FE6E" w14:textId="77777777" w:rsidR="00DF695E" w:rsidRPr="00A9237B" w:rsidRDefault="00DF695E" w:rsidP="00DF695E">
            <w:pPr>
              <w:jc w:val="right"/>
              <w:rPr>
                <w:sz w:val="18"/>
                <w:szCs w:val="18"/>
              </w:rPr>
            </w:pPr>
            <w:r>
              <w:rPr>
                <w:sz w:val="18"/>
              </w:rPr>
              <w:t>13.3</w:t>
            </w:r>
          </w:p>
        </w:tc>
        <w:tc>
          <w:tcPr>
            <w:tcW w:w="1134" w:type="dxa"/>
            <w:shd w:val="clear" w:color="auto" w:fill="D9E2F3" w:themeFill="accent1" w:themeFillTint="33"/>
          </w:tcPr>
          <w:p w14:paraId="61C483E5" w14:textId="77777777" w:rsidR="00DF695E" w:rsidRPr="00A9237B" w:rsidRDefault="00DF695E" w:rsidP="00DF695E">
            <w:pPr>
              <w:jc w:val="right"/>
              <w:rPr>
                <w:sz w:val="18"/>
                <w:szCs w:val="18"/>
              </w:rPr>
            </w:pPr>
            <w:r>
              <w:rPr>
                <w:sz w:val="18"/>
              </w:rPr>
              <w:t>67</w:t>
            </w:r>
          </w:p>
        </w:tc>
        <w:tc>
          <w:tcPr>
            <w:tcW w:w="992" w:type="dxa"/>
            <w:shd w:val="clear" w:color="auto" w:fill="D9E2F3" w:themeFill="accent1" w:themeFillTint="33"/>
          </w:tcPr>
          <w:p w14:paraId="4B04E266" w14:textId="77777777" w:rsidR="00DF695E" w:rsidRPr="00A9237B" w:rsidRDefault="00DF695E" w:rsidP="00DF695E">
            <w:pPr>
              <w:jc w:val="right"/>
              <w:rPr>
                <w:sz w:val="18"/>
                <w:szCs w:val="18"/>
              </w:rPr>
            </w:pPr>
            <w:r>
              <w:rPr>
                <w:sz w:val="18"/>
              </w:rPr>
              <w:t>2.5</w:t>
            </w:r>
          </w:p>
        </w:tc>
      </w:tr>
      <w:tr w:rsidR="00DF695E" w14:paraId="507F8070" w14:textId="77777777" w:rsidTr="00DF695E">
        <w:tc>
          <w:tcPr>
            <w:tcW w:w="1120" w:type="dxa"/>
            <w:shd w:val="clear" w:color="auto" w:fill="D9E2F3" w:themeFill="accent1" w:themeFillTint="33"/>
          </w:tcPr>
          <w:p w14:paraId="429B7DEC" w14:textId="77777777" w:rsidR="00DF695E" w:rsidRPr="00A9237B" w:rsidRDefault="00DF695E" w:rsidP="00DF695E">
            <w:pPr>
              <w:rPr>
                <w:sz w:val="18"/>
                <w:szCs w:val="18"/>
              </w:rPr>
            </w:pPr>
            <w:r>
              <w:rPr>
                <w:sz w:val="18"/>
              </w:rPr>
              <w:t>12–17 years</w:t>
            </w:r>
          </w:p>
        </w:tc>
        <w:tc>
          <w:tcPr>
            <w:tcW w:w="1127" w:type="dxa"/>
            <w:shd w:val="clear" w:color="auto" w:fill="D9E2F3" w:themeFill="accent1" w:themeFillTint="33"/>
          </w:tcPr>
          <w:p w14:paraId="623A9D5A" w14:textId="77777777" w:rsidR="00DF695E" w:rsidRPr="00A9237B" w:rsidRDefault="00DF695E" w:rsidP="00DF695E">
            <w:pPr>
              <w:jc w:val="right"/>
              <w:rPr>
                <w:sz w:val="18"/>
                <w:szCs w:val="18"/>
              </w:rPr>
            </w:pPr>
            <w:r>
              <w:rPr>
                <w:sz w:val="18"/>
              </w:rPr>
              <w:t>1,926</w:t>
            </w:r>
          </w:p>
        </w:tc>
        <w:tc>
          <w:tcPr>
            <w:tcW w:w="1613" w:type="dxa"/>
            <w:shd w:val="clear" w:color="auto" w:fill="D9E2F3" w:themeFill="accent1" w:themeFillTint="33"/>
          </w:tcPr>
          <w:p w14:paraId="7DB35EA2" w14:textId="77777777" w:rsidR="00DF695E" w:rsidRPr="00A9237B" w:rsidRDefault="00DF695E" w:rsidP="00DF695E">
            <w:pPr>
              <w:jc w:val="right"/>
              <w:rPr>
                <w:sz w:val="18"/>
                <w:szCs w:val="18"/>
              </w:rPr>
            </w:pPr>
            <w:r>
              <w:rPr>
                <w:sz w:val="18"/>
              </w:rPr>
              <w:t>53,977</w:t>
            </w:r>
          </w:p>
        </w:tc>
        <w:tc>
          <w:tcPr>
            <w:tcW w:w="1097" w:type="dxa"/>
            <w:shd w:val="clear" w:color="auto" w:fill="D9E2F3" w:themeFill="accent1" w:themeFillTint="33"/>
          </w:tcPr>
          <w:p w14:paraId="65425DFE" w14:textId="77777777" w:rsidR="00DF695E" w:rsidRPr="00A9237B" w:rsidRDefault="00DF695E" w:rsidP="00DF695E">
            <w:pPr>
              <w:jc w:val="right"/>
              <w:rPr>
                <w:sz w:val="18"/>
                <w:szCs w:val="18"/>
              </w:rPr>
            </w:pPr>
            <w:r>
              <w:rPr>
                <w:sz w:val="18"/>
              </w:rPr>
              <w:t>254</w:t>
            </w:r>
          </w:p>
        </w:tc>
        <w:tc>
          <w:tcPr>
            <w:tcW w:w="992" w:type="dxa"/>
            <w:shd w:val="clear" w:color="auto" w:fill="D9E2F3" w:themeFill="accent1" w:themeFillTint="33"/>
          </w:tcPr>
          <w:p w14:paraId="3E1CBDE7" w14:textId="77777777" w:rsidR="00DF695E" w:rsidRPr="00A9237B" w:rsidRDefault="00DF695E" w:rsidP="00DF695E">
            <w:pPr>
              <w:jc w:val="right"/>
              <w:rPr>
                <w:sz w:val="18"/>
                <w:szCs w:val="18"/>
              </w:rPr>
            </w:pPr>
            <w:r>
              <w:rPr>
                <w:sz w:val="18"/>
              </w:rPr>
              <w:t>13.2</w:t>
            </w:r>
          </w:p>
        </w:tc>
        <w:tc>
          <w:tcPr>
            <w:tcW w:w="1134" w:type="dxa"/>
            <w:shd w:val="clear" w:color="auto" w:fill="D9E2F3" w:themeFill="accent1" w:themeFillTint="33"/>
          </w:tcPr>
          <w:p w14:paraId="6FAE1E95" w14:textId="77777777" w:rsidR="00DF695E" w:rsidRPr="00A9237B" w:rsidRDefault="00DF695E" w:rsidP="00DF695E">
            <w:pPr>
              <w:jc w:val="right"/>
              <w:rPr>
                <w:sz w:val="18"/>
                <w:szCs w:val="18"/>
              </w:rPr>
            </w:pPr>
            <w:r>
              <w:rPr>
                <w:sz w:val="18"/>
              </w:rPr>
              <w:t>46</w:t>
            </w:r>
          </w:p>
        </w:tc>
        <w:tc>
          <w:tcPr>
            <w:tcW w:w="992" w:type="dxa"/>
            <w:shd w:val="clear" w:color="auto" w:fill="D9E2F3" w:themeFill="accent1" w:themeFillTint="33"/>
          </w:tcPr>
          <w:p w14:paraId="05D827E7" w14:textId="77777777" w:rsidR="00DF695E" w:rsidRPr="00A9237B" w:rsidRDefault="00DF695E" w:rsidP="00DF695E">
            <w:pPr>
              <w:jc w:val="right"/>
              <w:rPr>
                <w:sz w:val="18"/>
                <w:szCs w:val="18"/>
              </w:rPr>
            </w:pPr>
            <w:r>
              <w:rPr>
                <w:sz w:val="18"/>
              </w:rPr>
              <w:t>2.4</w:t>
            </w:r>
          </w:p>
        </w:tc>
      </w:tr>
      <w:tr w:rsidR="00DF695E" w14:paraId="402F013B" w14:textId="77777777" w:rsidTr="00DF695E">
        <w:tc>
          <w:tcPr>
            <w:tcW w:w="1120" w:type="dxa"/>
            <w:shd w:val="clear" w:color="auto" w:fill="D9E2F3" w:themeFill="accent1" w:themeFillTint="33"/>
          </w:tcPr>
          <w:p w14:paraId="466F3961" w14:textId="77777777" w:rsidR="00DF695E" w:rsidRPr="00A9237B" w:rsidRDefault="00DF695E" w:rsidP="00DF695E">
            <w:pPr>
              <w:rPr>
                <w:sz w:val="18"/>
                <w:szCs w:val="18"/>
              </w:rPr>
            </w:pPr>
            <w:r>
              <w:rPr>
                <w:sz w:val="18"/>
              </w:rPr>
              <w:t>18–25 years</w:t>
            </w:r>
          </w:p>
        </w:tc>
        <w:tc>
          <w:tcPr>
            <w:tcW w:w="1127" w:type="dxa"/>
            <w:shd w:val="clear" w:color="auto" w:fill="D9E2F3" w:themeFill="accent1" w:themeFillTint="33"/>
          </w:tcPr>
          <w:p w14:paraId="33F91F45" w14:textId="77777777" w:rsidR="00DF695E" w:rsidRPr="00A9237B" w:rsidRDefault="00DF695E" w:rsidP="00DF695E">
            <w:pPr>
              <w:jc w:val="right"/>
              <w:rPr>
                <w:sz w:val="18"/>
                <w:szCs w:val="18"/>
              </w:rPr>
            </w:pPr>
            <w:r>
              <w:rPr>
                <w:sz w:val="18"/>
              </w:rPr>
              <w:t>3,407</w:t>
            </w:r>
          </w:p>
        </w:tc>
        <w:tc>
          <w:tcPr>
            <w:tcW w:w="1613" w:type="dxa"/>
            <w:shd w:val="clear" w:color="auto" w:fill="D9E2F3" w:themeFill="accent1" w:themeFillTint="33"/>
          </w:tcPr>
          <w:p w14:paraId="77317C85" w14:textId="77777777" w:rsidR="00DF695E" w:rsidRPr="00A9237B" w:rsidRDefault="00DF695E" w:rsidP="00DF695E">
            <w:pPr>
              <w:jc w:val="right"/>
              <w:rPr>
                <w:sz w:val="18"/>
                <w:szCs w:val="18"/>
              </w:rPr>
            </w:pPr>
            <w:r>
              <w:rPr>
                <w:sz w:val="18"/>
              </w:rPr>
              <w:t>57,648</w:t>
            </w:r>
          </w:p>
        </w:tc>
        <w:tc>
          <w:tcPr>
            <w:tcW w:w="1097" w:type="dxa"/>
            <w:shd w:val="clear" w:color="auto" w:fill="D9E2F3" w:themeFill="accent1" w:themeFillTint="33"/>
          </w:tcPr>
          <w:p w14:paraId="4082EE15" w14:textId="77777777" w:rsidR="00DF695E" w:rsidRPr="00A9237B" w:rsidRDefault="00DF695E" w:rsidP="00DF695E">
            <w:pPr>
              <w:jc w:val="right"/>
              <w:rPr>
                <w:sz w:val="18"/>
                <w:szCs w:val="18"/>
              </w:rPr>
            </w:pPr>
            <w:r>
              <w:rPr>
                <w:sz w:val="18"/>
              </w:rPr>
              <w:t>431</w:t>
            </w:r>
          </w:p>
        </w:tc>
        <w:tc>
          <w:tcPr>
            <w:tcW w:w="992" w:type="dxa"/>
            <w:shd w:val="clear" w:color="auto" w:fill="D9E2F3" w:themeFill="accent1" w:themeFillTint="33"/>
          </w:tcPr>
          <w:p w14:paraId="79F46787" w14:textId="77777777" w:rsidR="00DF695E" w:rsidRPr="00A9237B" w:rsidRDefault="00DF695E" w:rsidP="00DF695E">
            <w:pPr>
              <w:jc w:val="right"/>
              <w:rPr>
                <w:sz w:val="18"/>
                <w:szCs w:val="18"/>
              </w:rPr>
            </w:pPr>
            <w:r>
              <w:rPr>
                <w:sz w:val="18"/>
              </w:rPr>
              <w:t>12.7</w:t>
            </w:r>
          </w:p>
        </w:tc>
        <w:tc>
          <w:tcPr>
            <w:tcW w:w="1134" w:type="dxa"/>
            <w:shd w:val="clear" w:color="auto" w:fill="D9E2F3" w:themeFill="accent1" w:themeFillTint="33"/>
          </w:tcPr>
          <w:p w14:paraId="3034A652" w14:textId="77777777" w:rsidR="00DF695E" w:rsidRPr="00A9237B" w:rsidRDefault="00DF695E" w:rsidP="00DF695E">
            <w:pPr>
              <w:jc w:val="right"/>
              <w:rPr>
                <w:sz w:val="18"/>
                <w:szCs w:val="18"/>
              </w:rPr>
            </w:pPr>
            <w:r>
              <w:rPr>
                <w:sz w:val="18"/>
              </w:rPr>
              <w:t>118</w:t>
            </w:r>
          </w:p>
        </w:tc>
        <w:tc>
          <w:tcPr>
            <w:tcW w:w="992" w:type="dxa"/>
            <w:shd w:val="clear" w:color="auto" w:fill="D9E2F3" w:themeFill="accent1" w:themeFillTint="33"/>
          </w:tcPr>
          <w:p w14:paraId="6EDD706D" w14:textId="77777777" w:rsidR="00DF695E" w:rsidRPr="00A9237B" w:rsidRDefault="00DF695E" w:rsidP="00DF695E">
            <w:pPr>
              <w:jc w:val="right"/>
              <w:rPr>
                <w:sz w:val="18"/>
                <w:szCs w:val="18"/>
              </w:rPr>
            </w:pPr>
            <w:r>
              <w:rPr>
                <w:sz w:val="18"/>
              </w:rPr>
              <w:t>3.5</w:t>
            </w:r>
          </w:p>
        </w:tc>
      </w:tr>
    </w:tbl>
    <w:p w14:paraId="664F032E" w14:textId="77777777" w:rsidR="00663DD4" w:rsidRPr="00A9237B" w:rsidRDefault="00DF695E" w:rsidP="00DF695E">
      <w:pPr>
        <w:spacing w:line="240" w:lineRule="auto"/>
        <w:jc w:val="both"/>
        <w:rPr>
          <w:sz w:val="16"/>
          <w:szCs w:val="16"/>
        </w:rPr>
      </w:pPr>
      <w:r>
        <w:t xml:space="preserve">          </w:t>
      </w:r>
      <w:r>
        <w:rPr>
          <w:sz w:val="16"/>
        </w:rPr>
        <w:t>Table 15: Risk of poverty and poverty according to age group (to age 25) in 2020</w:t>
      </w:r>
    </w:p>
    <w:p w14:paraId="0039F83F" w14:textId="77777777" w:rsidR="001D171D" w:rsidRDefault="001D171D" w:rsidP="002A1B30">
      <w:pPr>
        <w:spacing w:line="240" w:lineRule="auto"/>
        <w:jc w:val="both"/>
      </w:pPr>
    </w:p>
    <w:p w14:paraId="4AF53804" w14:textId="77777777" w:rsidR="00663DD4" w:rsidRDefault="00306B69" w:rsidP="002A1B30">
      <w:pPr>
        <w:spacing w:line="240" w:lineRule="auto"/>
        <w:jc w:val="both"/>
      </w:pPr>
      <w:r>
        <w:t>One question that emerges is to what extent a large number of children represents a risk of poverty for the family. For this reason, the study is restricted to two-parent households with children and single-parent households. Overall, it can be observed that available median equivalized disposable income declines as the number of children increases. In both types of household, the at-risk-of-poverty rate rises with the number of children. In two-parent households, it can also be seen that a greater number of children corresponds to a higher poverty rate. However, the number of cases of poverty in single-parent households is too small to draw reliable conclusions.</w:t>
      </w:r>
    </w:p>
    <w:p w14:paraId="0533AC28" w14:textId="77777777" w:rsidR="003C29BA" w:rsidRDefault="003C29BA" w:rsidP="002A1B30">
      <w:pPr>
        <w:spacing w:line="240" w:lineRule="auto"/>
        <w:jc w:val="both"/>
      </w:pPr>
    </w:p>
    <w:p w14:paraId="1A5FCEC4" w14:textId="77777777" w:rsidR="003C29BA" w:rsidRDefault="003C29BA" w:rsidP="002A1B30">
      <w:pPr>
        <w:spacing w:line="240" w:lineRule="auto"/>
        <w:jc w:val="both"/>
      </w:pPr>
    </w:p>
    <w:p w14:paraId="3C72D4F6" w14:textId="688BF8DC" w:rsidR="00306B69" w:rsidRPr="003C29BA" w:rsidRDefault="00306B69" w:rsidP="002A1B30">
      <w:pPr>
        <w:spacing w:line="240" w:lineRule="auto"/>
        <w:jc w:val="both"/>
      </w:pPr>
      <w:r>
        <w:t>The at-risk-of-poverty rate of family households is thereby somewhat reduced by financial assistance. Family supplements play an important role, representing an important measure against the risk of poverty for families with children in Liechtenstein. Financial assistance leads to a decline of 5.7 percentage points to 10.2 percent for couples with minor-age children and to a decline of 16.2 percentage points to 29.1 percent for single-parent households. This calculation includes family supplements as well as need-based social benefits.</w:t>
      </w:r>
    </w:p>
    <w:p w14:paraId="74873730" w14:textId="77777777" w:rsidR="003C29BA" w:rsidRDefault="003C29BA" w:rsidP="00306B69">
      <w:pPr>
        <w:spacing w:after="0" w:line="240" w:lineRule="auto"/>
        <w:jc w:val="both"/>
        <w:rPr>
          <w:rFonts w:cstheme="minorHAnsi"/>
          <w:b/>
          <w:bCs/>
        </w:rPr>
      </w:pPr>
    </w:p>
    <w:p w14:paraId="0C53D489" w14:textId="1C43EA7B" w:rsidR="002A1B30" w:rsidRPr="00400C3B" w:rsidRDefault="002A1B30" w:rsidP="00306B69">
      <w:pPr>
        <w:spacing w:after="0" w:line="240" w:lineRule="auto"/>
        <w:jc w:val="both"/>
        <w:rPr>
          <w:rFonts w:cstheme="minorHAnsi"/>
          <w:b/>
          <w:bCs/>
        </w:rPr>
      </w:pPr>
      <w:r>
        <w:rPr>
          <w:b/>
        </w:rPr>
        <w:t xml:space="preserve">Anti-poverty measures </w:t>
      </w:r>
    </w:p>
    <w:p w14:paraId="070D404C" w14:textId="77777777" w:rsidR="002A1B30" w:rsidRDefault="002A1B30" w:rsidP="002A1B30">
      <w:pPr>
        <w:spacing w:line="240" w:lineRule="auto"/>
        <w:jc w:val="both"/>
        <w:rPr>
          <w:rFonts w:cstheme="minorHAnsi"/>
        </w:rPr>
      </w:pPr>
      <w:r>
        <w:t>This report does not suggest any political measures to fight poverty. The publication of the government statistical report “</w:t>
      </w:r>
      <w:proofErr w:type="spellStart"/>
      <w:r>
        <w:t>Armutsgefährdung</w:t>
      </w:r>
      <w:proofErr w:type="spellEnd"/>
      <w:r>
        <w:t xml:space="preserve"> und </w:t>
      </w:r>
      <w:proofErr w:type="spellStart"/>
      <w:r>
        <w:t>Armut</w:t>
      </w:r>
      <w:proofErr w:type="spellEnd"/>
      <w:r>
        <w:t xml:space="preserve">” provided data on the income situation of households in Liechtenstein. The data is to be updated every five years in connection with the census. Topics such as subjective poverty and social permeability were not included. Qualitative surveys were needed to get an exact picture of the situation of children and young people and take corresponding, needs-based measures against poverty. The Association for Human Rights in Liechtenstein, the OSKJ Ombuds Office for Children and Young People, and UNICEF Switzerland and Liechtenstein </w:t>
      </w:r>
      <w:bookmarkEnd w:id="0"/>
      <w:bookmarkEnd w:id="1"/>
      <w:r>
        <w:t xml:space="preserve">therefore recommend a qualitative review of the report. </w:t>
      </w:r>
    </w:p>
    <w:p w14:paraId="226863C0" w14:textId="77777777" w:rsidR="008347F0" w:rsidRDefault="008347F0" w:rsidP="002A1B30">
      <w:pPr>
        <w:spacing w:line="240" w:lineRule="auto"/>
        <w:jc w:val="both"/>
        <w:rPr>
          <w:rFonts w:cstheme="minorHAnsi"/>
        </w:rPr>
      </w:pPr>
    </w:p>
    <w:p w14:paraId="19C782D0" w14:textId="77777777" w:rsidR="008347F0" w:rsidRPr="00B71C3E" w:rsidRDefault="008347F0" w:rsidP="008347F0">
      <w:pPr>
        <w:spacing w:line="240" w:lineRule="auto"/>
        <w:rPr>
          <w:rFonts w:cstheme="minorHAnsi"/>
          <w:b/>
          <w:bCs/>
        </w:rPr>
      </w:pPr>
      <w:r>
        <w:rPr>
          <w:rFonts w:ascii="Verdana" w:hAnsi="Verdana"/>
          <w:b/>
          <w:noProof/>
          <w:sz w:val="18"/>
          <w:shd w:val="clear" w:color="auto" w:fill="FFFFFF"/>
        </w:rPr>
        <mc:AlternateContent>
          <mc:Choice Requires="wps">
            <w:drawing>
              <wp:anchor distT="45720" distB="45720" distL="114300" distR="114300" simplePos="0" relativeHeight="251662336" behindDoc="0" locked="0" layoutInCell="1" allowOverlap="1" wp14:anchorId="0D8E9E3F" wp14:editId="33599DC5">
                <wp:simplePos x="0" y="0"/>
                <wp:positionH relativeFrom="margin">
                  <wp:posOffset>3454921</wp:posOffset>
                </wp:positionH>
                <wp:positionV relativeFrom="paragraph">
                  <wp:posOffset>103631</wp:posOffset>
                </wp:positionV>
                <wp:extent cx="2530443" cy="1404620"/>
                <wp:effectExtent l="0" t="0" r="3810" b="5715"/>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0443" cy="1404620"/>
                        </a:xfrm>
                        <a:prstGeom prst="rect">
                          <a:avLst/>
                        </a:prstGeom>
                        <a:solidFill>
                          <a:srgbClr val="FFFFFF"/>
                        </a:solidFill>
                        <a:ln w="9525">
                          <a:noFill/>
                          <a:miter lim="800000"/>
                          <a:headEnd/>
                          <a:tailEnd/>
                        </a:ln>
                      </wps:spPr>
                      <wps:txbx>
                        <w:txbxContent>
                          <w:p w14:paraId="7CA24770" w14:textId="77777777" w:rsidR="000760E9" w:rsidRPr="00B71C3E" w:rsidRDefault="000760E9" w:rsidP="008347F0">
                            <w:pPr>
                              <w:spacing w:after="0"/>
                              <w:rPr>
                                <w:rFonts w:cstheme="minorHAnsi"/>
                                <w:b/>
                              </w:rPr>
                            </w:pPr>
                            <w:r>
                              <w:rPr>
                                <w:b/>
                              </w:rPr>
                              <w:t xml:space="preserve">Committee for </w:t>
                            </w:r>
                          </w:p>
                          <w:p w14:paraId="789B98FB" w14:textId="77777777" w:rsidR="008347F0" w:rsidRPr="00B71C3E" w:rsidRDefault="008347F0" w:rsidP="008347F0">
                            <w:pPr>
                              <w:spacing w:after="0"/>
                              <w:rPr>
                                <w:rFonts w:cstheme="minorHAnsi"/>
                                <w:b/>
                              </w:rPr>
                            </w:pPr>
                            <w:r>
                              <w:rPr>
                                <w:b/>
                              </w:rPr>
                              <w:t>UNICEF Switzerland and Liechtenstein</w:t>
                            </w:r>
                          </w:p>
                          <w:p w14:paraId="0448DAC9" w14:textId="77777777" w:rsidR="000760E9" w:rsidRPr="00B71C3E" w:rsidRDefault="000760E9" w:rsidP="008347F0">
                            <w:pPr>
                              <w:spacing w:after="0"/>
                              <w:rPr>
                                <w:rFonts w:cstheme="minorHAnsi"/>
                              </w:rPr>
                            </w:pPr>
                          </w:p>
                          <w:p w14:paraId="79FDFF66" w14:textId="77777777" w:rsidR="008347F0" w:rsidRPr="00B71C3E" w:rsidRDefault="008347F0" w:rsidP="008347F0">
                            <w:pPr>
                              <w:spacing w:after="0"/>
                              <w:rPr>
                                <w:rFonts w:cstheme="minorHAnsi"/>
                              </w:rPr>
                            </w:pPr>
                          </w:p>
                          <w:p w14:paraId="203BD69B" w14:textId="77777777" w:rsidR="008347F0" w:rsidRPr="00B71C3E" w:rsidRDefault="008347F0" w:rsidP="008347F0">
                            <w:pPr>
                              <w:spacing w:after="0"/>
                              <w:rPr>
                                <w:rFonts w:cstheme="minorHAnsi"/>
                              </w:rPr>
                            </w:pPr>
                          </w:p>
                          <w:p w14:paraId="32A4B72D" w14:textId="77777777" w:rsidR="008347F0" w:rsidRPr="00B71C3E" w:rsidRDefault="008347F0" w:rsidP="008347F0">
                            <w:pPr>
                              <w:spacing w:after="0"/>
                              <w:rPr>
                                <w:rFonts w:cstheme="minorHAnsi"/>
                              </w:rPr>
                            </w:pPr>
                          </w:p>
                          <w:p w14:paraId="7413FC08" w14:textId="77777777" w:rsidR="008347F0" w:rsidRPr="00B71C3E" w:rsidRDefault="008347F0" w:rsidP="008347F0">
                            <w:pPr>
                              <w:spacing w:after="0"/>
                              <w:rPr>
                                <w:rFonts w:cstheme="minorHAnsi"/>
                              </w:rPr>
                            </w:pPr>
                          </w:p>
                          <w:p w14:paraId="3DB8B212" w14:textId="77777777" w:rsidR="008347F0" w:rsidRPr="00DD1BA9" w:rsidRDefault="008347F0" w:rsidP="008347F0">
                            <w:pPr>
                              <w:spacing w:after="0"/>
                              <w:rPr>
                                <w:rFonts w:cstheme="minorHAnsi"/>
                              </w:rPr>
                            </w:pPr>
                            <w:r>
                              <w:t>Sybille Gloor</w:t>
                            </w:r>
                          </w:p>
                          <w:p w14:paraId="71943D6B" w14:textId="77777777" w:rsidR="008347F0" w:rsidRPr="00DD1BA9" w:rsidRDefault="008347F0" w:rsidP="008347F0">
                            <w:pPr>
                              <w:spacing w:after="0"/>
                              <w:rPr>
                                <w:rFonts w:cstheme="minorHAnsi"/>
                              </w:rPr>
                            </w:pPr>
                            <w:r>
                              <w:t>Child Rights Advocacy</w:t>
                            </w:r>
                          </w:p>
                          <w:p w14:paraId="5F052CC0" w14:textId="77777777" w:rsidR="008347F0" w:rsidRPr="000E2EFB" w:rsidRDefault="008347F0" w:rsidP="008347F0">
                            <w:pPr>
                              <w:spacing w:after="0"/>
                              <w:rPr>
                                <w:rFonts w:cstheme="minorHAnsi"/>
                                <w:lang w:val="de-CH"/>
                              </w:rPr>
                            </w:pPr>
                            <w:r w:rsidRPr="000E2EFB">
                              <w:rPr>
                                <w:lang w:val="de-CH"/>
                              </w:rPr>
                              <w:t>Pfingstweidstrasse 10</w:t>
                            </w:r>
                          </w:p>
                          <w:p w14:paraId="6492BDC1" w14:textId="77777777" w:rsidR="008347F0" w:rsidRPr="000E2EFB" w:rsidRDefault="008347F0" w:rsidP="008347F0">
                            <w:pPr>
                              <w:spacing w:after="0"/>
                              <w:rPr>
                                <w:rFonts w:cstheme="minorHAnsi"/>
                                <w:lang w:val="de-CH"/>
                              </w:rPr>
                            </w:pPr>
                            <w:r w:rsidRPr="000E2EFB">
                              <w:rPr>
                                <w:lang w:val="de-CH"/>
                              </w:rPr>
                              <w:t>CH-8005 Zurich</w:t>
                            </w:r>
                          </w:p>
                          <w:p w14:paraId="6C86868D" w14:textId="77777777" w:rsidR="008347F0" w:rsidRPr="000E2EFB" w:rsidRDefault="008347F0" w:rsidP="008347F0">
                            <w:pPr>
                              <w:spacing w:after="0"/>
                              <w:rPr>
                                <w:rFonts w:cstheme="minorHAnsi"/>
                                <w:lang w:val="de-CH"/>
                              </w:rPr>
                            </w:pPr>
                            <w:r w:rsidRPr="000E2EFB">
                              <w:rPr>
                                <w:lang w:val="de-CH"/>
                              </w:rPr>
                              <w:t>Phone: +41 44-317 22 04</w:t>
                            </w:r>
                          </w:p>
                          <w:p w14:paraId="7FE4CF92" w14:textId="77777777" w:rsidR="008347F0" w:rsidRPr="000E2EFB" w:rsidRDefault="008347F0" w:rsidP="008347F0">
                            <w:pPr>
                              <w:spacing w:after="0"/>
                              <w:rPr>
                                <w:rFonts w:cstheme="minorHAnsi"/>
                                <w:lang w:val="de-CH"/>
                              </w:rPr>
                            </w:pPr>
                            <w:r w:rsidRPr="000E2EFB">
                              <w:rPr>
                                <w:lang w:val="de-CH"/>
                              </w:rPr>
                              <w:t>email: s.gloor@unicef.ch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8E9E3F" id="_x0000_t202" coordsize="21600,21600" o:spt="202" path="m,l,21600r21600,l21600,xe">
                <v:stroke joinstyle="miter"/>
                <v:path gradientshapeok="t" o:connecttype="rect"/>
              </v:shapetype>
              <v:shape id="Textfeld 2" o:spid="_x0000_s1026" type="#_x0000_t202" style="position:absolute;margin-left:272.05pt;margin-top:8.15pt;width:199.2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" stroked="f">
                <v:textbox style="mso-fit-shape-to-text:t">
                  <w:txbxContent>
                    <w:p w14:paraId="7CA24770" w14:textId="77777777" w:rsidR="000760E9" w:rsidRPr="00B71C3E" w:rsidRDefault="000760E9" w:rsidP="008347F0">
                      <w:pPr>
                        <w:spacing w:after="0"/>
                        <w:rPr>
                          <w:rFonts w:cstheme="minorHAnsi"/>
                          <w:b/>
                        </w:rPr>
                      </w:pPr>
                      <w:r>
                        <w:rPr>
                          <w:b/>
                        </w:rPr>
                        <w:t xml:space="preserve">Committee for </w:t>
                      </w:r>
                    </w:p>
                    <w:p w14:paraId="789B98FB" w14:textId="77777777" w:rsidR="008347F0" w:rsidRPr="00B71C3E" w:rsidRDefault="008347F0" w:rsidP="008347F0">
                      <w:pPr>
                        <w:spacing w:after="0"/>
                        <w:rPr>
                          <w:rFonts w:cstheme="minorHAnsi"/>
                          <w:b/>
                        </w:rPr>
                      </w:pPr>
                      <w:r>
                        <w:rPr>
                          <w:b/>
                        </w:rPr>
                        <w:t>UNICEF Switzerland and Liechtenstein</w:t>
                      </w:r>
                    </w:p>
                    <w:p w14:paraId="0448DAC9" w14:textId="77777777" w:rsidR="000760E9" w:rsidRPr="00B71C3E" w:rsidRDefault="000760E9" w:rsidP="008347F0">
                      <w:pPr>
                        <w:spacing w:after="0"/>
                        <w:rPr>
                          <w:rFonts w:cstheme="minorHAnsi"/>
                        </w:rPr>
                      </w:pPr>
                    </w:p>
                    <w:p w14:paraId="79FDFF66" w14:textId="77777777" w:rsidR="008347F0" w:rsidRPr="00B71C3E" w:rsidRDefault="008347F0" w:rsidP="008347F0">
                      <w:pPr>
                        <w:spacing w:after="0"/>
                        <w:rPr>
                          <w:rFonts w:cstheme="minorHAnsi"/>
                        </w:rPr>
                      </w:pPr>
                    </w:p>
                    <w:p w14:paraId="203BD69B" w14:textId="77777777" w:rsidR="008347F0" w:rsidRPr="00B71C3E" w:rsidRDefault="008347F0" w:rsidP="008347F0">
                      <w:pPr>
                        <w:spacing w:after="0"/>
                        <w:rPr>
                          <w:rFonts w:cstheme="minorHAnsi"/>
                        </w:rPr>
                      </w:pPr>
                    </w:p>
                    <w:p w14:paraId="32A4B72D" w14:textId="77777777" w:rsidR="008347F0" w:rsidRPr="00B71C3E" w:rsidRDefault="008347F0" w:rsidP="008347F0">
                      <w:pPr>
                        <w:spacing w:after="0"/>
                        <w:rPr>
                          <w:rFonts w:cstheme="minorHAnsi"/>
                        </w:rPr>
                      </w:pPr>
                    </w:p>
                    <w:p w14:paraId="7413FC08" w14:textId="77777777" w:rsidR="008347F0" w:rsidRPr="00B71C3E" w:rsidRDefault="008347F0" w:rsidP="008347F0">
                      <w:pPr>
                        <w:spacing w:after="0"/>
                        <w:rPr>
                          <w:rFonts w:cstheme="minorHAnsi"/>
                        </w:rPr>
                      </w:pPr>
                    </w:p>
                    <w:p w14:paraId="3DB8B212" w14:textId="77777777" w:rsidR="008347F0" w:rsidRPr="00DD1BA9" w:rsidRDefault="008347F0" w:rsidP="008347F0">
                      <w:pPr>
                        <w:spacing w:after="0"/>
                        <w:rPr>
                          <w:rFonts w:cstheme="minorHAnsi"/>
                        </w:rPr>
                      </w:pPr>
                      <w:r>
                        <w:t>Sybille Gloor</w:t>
                      </w:r>
                    </w:p>
                    <w:p w14:paraId="71943D6B" w14:textId="77777777" w:rsidR="008347F0" w:rsidRPr="00DD1BA9" w:rsidRDefault="008347F0" w:rsidP="008347F0">
                      <w:pPr>
                        <w:spacing w:after="0"/>
                        <w:rPr>
                          <w:rFonts w:cstheme="minorHAnsi"/>
                        </w:rPr>
                      </w:pPr>
                      <w:r>
                        <w:t>Child Rights Advocacy</w:t>
                      </w:r>
                    </w:p>
                    <w:p w14:paraId="5F052CC0" w14:textId="77777777" w:rsidR="008347F0" w:rsidRPr="000E2EFB" w:rsidRDefault="008347F0" w:rsidP="008347F0">
                      <w:pPr>
                        <w:spacing w:after="0"/>
                        <w:rPr>
                          <w:rFonts w:cstheme="minorHAnsi"/>
                          <w:lang w:val="de-CH"/>
                        </w:rPr>
                      </w:pPr>
                      <w:r w:rsidRPr="000E2EFB">
                        <w:rPr>
                          <w:lang w:val="de-CH"/>
                        </w:rPr>
                        <w:t>Pfingstweidstrasse 10</w:t>
                      </w:r>
                    </w:p>
                    <w:p w14:paraId="6492BDC1" w14:textId="77777777" w:rsidR="008347F0" w:rsidRPr="000E2EFB" w:rsidRDefault="008347F0" w:rsidP="008347F0">
                      <w:pPr>
                        <w:spacing w:after="0"/>
                        <w:rPr>
                          <w:rFonts w:cstheme="minorHAnsi"/>
                          <w:lang w:val="de-CH"/>
                        </w:rPr>
                      </w:pPr>
                      <w:r w:rsidRPr="000E2EFB">
                        <w:rPr>
                          <w:lang w:val="de-CH"/>
                        </w:rPr>
                        <w:t>CH-8005 Zurich</w:t>
                      </w:r>
                    </w:p>
                    <w:p w14:paraId="6C86868D" w14:textId="77777777" w:rsidR="008347F0" w:rsidRPr="000E2EFB" w:rsidRDefault="008347F0" w:rsidP="008347F0">
                      <w:pPr>
                        <w:spacing w:after="0"/>
                        <w:rPr>
                          <w:rFonts w:cstheme="minorHAnsi"/>
                          <w:lang w:val="de-CH"/>
                        </w:rPr>
                      </w:pPr>
                      <w:r w:rsidRPr="000E2EFB">
                        <w:rPr>
                          <w:lang w:val="de-CH"/>
                        </w:rPr>
                        <w:t>Phone: +41 44-317 22 04</w:t>
                      </w:r>
                    </w:p>
                    <w:p w14:paraId="7FE4CF92" w14:textId="77777777" w:rsidR="008347F0" w:rsidRPr="000E2EFB" w:rsidRDefault="008347F0" w:rsidP="008347F0">
                      <w:pPr>
                        <w:spacing w:after="0"/>
                        <w:rPr>
                          <w:rFonts w:cstheme="minorHAnsi"/>
                          <w:lang w:val="de-CH"/>
                        </w:rPr>
                      </w:pPr>
                      <w:r w:rsidRPr="000E2EFB">
                        <w:rPr>
                          <w:lang w:val="de-CH"/>
                        </w:rPr>
                        <w:t>email: s.gloor@unicef.ch</w:t>
                      </w:r>
                    </w:p>
                  </w:txbxContent>
                </v:textbox>
                <w10:wrap anchorx="margin"/>
              </v:shape>
            </w:pict>
          </mc:Fallback>
        </mc:AlternateContent>
      </w:r>
      <w:r>
        <w:rPr>
          <w:rFonts w:ascii="Verdana" w:hAnsi="Verdana"/>
          <w:b/>
          <w:sz w:val="18"/>
          <w:shd w:val="clear" w:color="auto" w:fill="FFFFFF"/>
        </w:rPr>
        <w:br/>
      </w:r>
      <w:r>
        <w:rPr>
          <w:b/>
          <w:bCs/>
        </w:rPr>
        <w:t>Ombuds Office</w:t>
      </w:r>
      <w:r>
        <w:rPr>
          <w:b/>
          <w:bCs/>
        </w:rPr>
        <w:br/>
        <w:t>for Children and Young People</w:t>
      </w:r>
    </w:p>
    <w:p w14:paraId="15F212AC" w14:textId="77777777" w:rsidR="000760E9" w:rsidRPr="00B71C3E" w:rsidRDefault="00B71C3E" w:rsidP="008347F0">
      <w:pPr>
        <w:spacing w:line="240" w:lineRule="auto"/>
        <w:rPr>
          <w:rFonts w:cstheme="minorHAnsi"/>
        </w:rPr>
      </w:pPr>
      <w:r>
        <w:rPr>
          <w:noProof/>
        </w:rPr>
        <w:drawing>
          <wp:anchor distT="0" distB="0" distL="114300" distR="114300" simplePos="0" relativeHeight="251663360" behindDoc="0" locked="0" layoutInCell="1" allowOverlap="1" wp14:anchorId="100661F7" wp14:editId="5FE8FA93">
            <wp:simplePos x="0" y="0"/>
            <wp:positionH relativeFrom="margin">
              <wp:align>left</wp:align>
            </wp:positionH>
            <wp:positionV relativeFrom="paragraph">
              <wp:posOffset>151545</wp:posOffset>
            </wp:positionV>
            <wp:extent cx="1149790" cy="448146"/>
            <wp:effectExtent l="0" t="0" r="0" b="9525"/>
            <wp:wrapNone/>
            <wp:docPr id="7" name="Grafik 7"/>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1149790" cy="44814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7" behindDoc="0" locked="0" layoutInCell="1" allowOverlap="1" wp14:anchorId="07E1BBF0" wp14:editId="79F39431">
            <wp:simplePos x="0" y="0"/>
            <wp:positionH relativeFrom="column">
              <wp:posOffset>3570606</wp:posOffset>
            </wp:positionH>
            <wp:positionV relativeFrom="paragraph">
              <wp:posOffset>4445</wp:posOffset>
            </wp:positionV>
            <wp:extent cx="1022350" cy="672715"/>
            <wp:effectExtent l="0" t="0" r="6350" b="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37930" cy="682967"/>
                    </a:xfrm>
                    <a:prstGeom prst="rect">
                      <a:avLst/>
                    </a:prstGeom>
                  </pic:spPr>
                </pic:pic>
              </a:graphicData>
            </a:graphic>
            <wp14:sizeRelH relativeFrom="page">
              <wp14:pctWidth>0</wp14:pctWidth>
            </wp14:sizeRelH>
            <wp14:sizeRelV relativeFrom="page">
              <wp14:pctHeight>0</wp14:pctHeight>
            </wp14:sizeRelV>
          </wp:anchor>
        </w:drawing>
      </w:r>
    </w:p>
    <w:p w14:paraId="02C3114D" w14:textId="77777777" w:rsidR="008347F0" w:rsidRPr="00B71C3E" w:rsidRDefault="008347F0" w:rsidP="008347F0">
      <w:pPr>
        <w:spacing w:line="240" w:lineRule="auto"/>
        <w:rPr>
          <w:rFonts w:cstheme="minorHAnsi"/>
        </w:rPr>
      </w:pPr>
    </w:p>
    <w:p w14:paraId="107B6F06" w14:textId="77777777" w:rsidR="008347F0" w:rsidRPr="00B71C3E" w:rsidRDefault="008347F0" w:rsidP="008347F0">
      <w:pPr>
        <w:spacing w:line="240" w:lineRule="auto"/>
        <w:rPr>
          <w:rFonts w:cstheme="minorHAnsi"/>
        </w:rPr>
      </w:pPr>
    </w:p>
    <w:p w14:paraId="6A5EE78F" w14:textId="77777777" w:rsidR="008347F0" w:rsidRPr="000E2EFB" w:rsidRDefault="008347F0" w:rsidP="008347F0">
      <w:pPr>
        <w:spacing w:line="240" w:lineRule="auto"/>
        <w:rPr>
          <w:rFonts w:cstheme="minorHAnsi"/>
          <w:lang w:val="de-CH"/>
        </w:rPr>
      </w:pPr>
      <w:r w:rsidRPr="000E2EFB">
        <w:rPr>
          <w:lang w:val="de-CH"/>
        </w:rPr>
        <w:t>Margot Sele</w:t>
      </w:r>
      <w:r w:rsidRPr="000E2EFB">
        <w:rPr>
          <w:lang w:val="de-CH"/>
        </w:rPr>
        <w:br/>
        <w:t>Ombudsperson</w:t>
      </w:r>
      <w:r w:rsidRPr="000E2EFB">
        <w:rPr>
          <w:lang w:val="de-CH"/>
        </w:rPr>
        <w:br/>
        <w:t>Werdenbergerweg 20</w:t>
      </w:r>
      <w:r w:rsidRPr="000E2EFB">
        <w:rPr>
          <w:lang w:val="de-CH"/>
        </w:rPr>
        <w:br/>
        <w:t>FL-9490 Vaduz</w:t>
      </w:r>
      <w:r w:rsidRPr="000E2EFB">
        <w:rPr>
          <w:lang w:val="de-CH"/>
        </w:rPr>
        <w:br/>
        <w:t>Phone: +423 230 22 33</w:t>
      </w:r>
      <w:r w:rsidRPr="000E2EFB">
        <w:rPr>
          <w:lang w:val="de-CH"/>
        </w:rPr>
        <w:br/>
        <w:t>email: margot.sele@oskj.li</w:t>
      </w:r>
    </w:p>
    <w:p w14:paraId="55E65A80" w14:textId="77777777" w:rsidR="008347F0" w:rsidRPr="000E2EFB" w:rsidRDefault="008347F0" w:rsidP="008347F0">
      <w:pPr>
        <w:spacing w:line="240" w:lineRule="auto"/>
        <w:rPr>
          <w:rFonts w:cstheme="minorHAnsi"/>
          <w:lang w:val="de-CH"/>
        </w:rPr>
      </w:pPr>
    </w:p>
    <w:p w14:paraId="012ABC84" w14:textId="77777777" w:rsidR="002A1B30" w:rsidRPr="000E2EFB" w:rsidRDefault="002A1B30" w:rsidP="002A1B30">
      <w:pPr>
        <w:spacing w:line="240" w:lineRule="auto"/>
        <w:jc w:val="both"/>
        <w:rPr>
          <w:lang w:val="de-CH"/>
        </w:rPr>
      </w:pPr>
    </w:p>
    <w:p w14:paraId="5F8EC986" w14:textId="77777777" w:rsidR="002A1B30" w:rsidRPr="000E2EFB" w:rsidRDefault="002A1B30" w:rsidP="002A1B30">
      <w:pPr>
        <w:rPr>
          <w:lang w:val="de-CH"/>
        </w:rPr>
      </w:pPr>
    </w:p>
    <w:sectPr w:rsidR="002A1B30" w:rsidRPr="000E2EFB">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C1B08" w14:textId="77777777" w:rsidR="004D7271" w:rsidRDefault="004D7271" w:rsidP="002A1B30">
      <w:pPr>
        <w:spacing w:after="0" w:line="240" w:lineRule="auto"/>
      </w:pPr>
      <w:r>
        <w:separator/>
      </w:r>
    </w:p>
  </w:endnote>
  <w:endnote w:type="continuationSeparator" w:id="0">
    <w:p w14:paraId="1E1BA4CA" w14:textId="77777777" w:rsidR="004D7271" w:rsidRDefault="004D7271" w:rsidP="002A1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029069"/>
      <w:docPartObj>
        <w:docPartGallery w:val="Page Numbers (Bottom of Page)"/>
        <w:docPartUnique/>
      </w:docPartObj>
    </w:sdtPr>
    <w:sdtEndPr/>
    <w:sdtContent>
      <w:p w14:paraId="25A4CD21" w14:textId="77777777" w:rsidR="000760E9" w:rsidRDefault="000760E9">
        <w:pPr>
          <w:pStyle w:val="Footer"/>
          <w:jc w:val="right"/>
        </w:pPr>
        <w:r>
          <w:fldChar w:fldCharType="begin"/>
        </w:r>
        <w:r>
          <w:instrText>PAGE   \* MERGEFORMAT</w:instrText>
        </w:r>
        <w:r>
          <w:fldChar w:fldCharType="separate"/>
        </w:r>
        <w:r>
          <w:t>2</w:t>
        </w:r>
        <w:r>
          <w:fldChar w:fldCharType="end"/>
        </w:r>
      </w:p>
    </w:sdtContent>
  </w:sdt>
  <w:p w14:paraId="3E5E2CED" w14:textId="77777777" w:rsidR="000760E9" w:rsidRDefault="00076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DD12" w14:textId="77777777" w:rsidR="004D7271" w:rsidRDefault="004D7271" w:rsidP="002A1B30">
      <w:pPr>
        <w:spacing w:after="0" w:line="240" w:lineRule="auto"/>
      </w:pPr>
      <w:r>
        <w:separator/>
      </w:r>
    </w:p>
  </w:footnote>
  <w:footnote w:type="continuationSeparator" w:id="0">
    <w:p w14:paraId="4E04C853" w14:textId="77777777" w:rsidR="004D7271" w:rsidRDefault="004D7271" w:rsidP="002A1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DAAFB" w14:textId="77777777" w:rsidR="002A1B30" w:rsidRDefault="002A1B30">
    <w:pPr>
      <w:pStyle w:val="Header"/>
    </w:pPr>
    <w:r>
      <w:rPr>
        <w:noProof/>
      </w:rPr>
      <w:drawing>
        <wp:anchor distT="0" distB="0" distL="114300" distR="114300" simplePos="0" relativeHeight="251661312" behindDoc="0" locked="0" layoutInCell="1" allowOverlap="1" wp14:anchorId="426E430F" wp14:editId="1B0F6D25">
          <wp:simplePos x="0" y="0"/>
          <wp:positionH relativeFrom="margin">
            <wp:posOffset>3478854</wp:posOffset>
          </wp:positionH>
          <wp:positionV relativeFrom="paragraph">
            <wp:posOffset>-358037</wp:posOffset>
          </wp:positionV>
          <wp:extent cx="1236980" cy="1150965"/>
          <wp:effectExtent l="0" t="0" r="127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36980" cy="11509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9DADDFD" wp14:editId="1C82F992">
          <wp:simplePos x="0" y="0"/>
          <wp:positionH relativeFrom="column">
            <wp:posOffset>1099082</wp:posOffset>
          </wp:positionH>
          <wp:positionV relativeFrom="paragraph">
            <wp:posOffset>7620</wp:posOffset>
          </wp:positionV>
          <wp:extent cx="2126512" cy="379513"/>
          <wp:effectExtent l="0" t="0" r="7620" b="1905"/>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26512" cy="37951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7AD1487" wp14:editId="75F96B9C">
          <wp:simplePos x="0" y="0"/>
          <wp:positionH relativeFrom="margin">
            <wp:posOffset>-467833</wp:posOffset>
          </wp:positionH>
          <wp:positionV relativeFrom="paragraph">
            <wp:posOffset>-450850</wp:posOffset>
          </wp:positionV>
          <wp:extent cx="1294646" cy="872330"/>
          <wp:effectExtent l="0" t="0" r="1270" b="444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294646" cy="8723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B30"/>
    <w:rsid w:val="000760E9"/>
    <w:rsid w:val="000E2EFB"/>
    <w:rsid w:val="00173716"/>
    <w:rsid w:val="001D171D"/>
    <w:rsid w:val="001F202C"/>
    <w:rsid w:val="002A1B30"/>
    <w:rsid w:val="00306B69"/>
    <w:rsid w:val="00316EEC"/>
    <w:rsid w:val="003C29BA"/>
    <w:rsid w:val="004D7271"/>
    <w:rsid w:val="00663DD4"/>
    <w:rsid w:val="006C5A06"/>
    <w:rsid w:val="007D49C3"/>
    <w:rsid w:val="008347F0"/>
    <w:rsid w:val="00A9237B"/>
    <w:rsid w:val="00B71C3E"/>
    <w:rsid w:val="00DD1BA9"/>
    <w:rsid w:val="00DF695E"/>
    <w:rsid w:val="00E6117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AEA84"/>
  <w15:chartTrackingRefBased/>
  <w15:docId w15:val="{B08A6350-F74A-4F95-9491-8F34C3E16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B30"/>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B30"/>
    <w:pPr>
      <w:tabs>
        <w:tab w:val="center" w:pos="4536"/>
        <w:tab w:val="right" w:pos="9072"/>
      </w:tabs>
      <w:spacing w:after="0" w:line="240" w:lineRule="auto"/>
    </w:pPr>
  </w:style>
  <w:style w:type="character" w:customStyle="1" w:styleId="HeaderChar">
    <w:name w:val="Header Char"/>
    <w:basedOn w:val="DefaultParagraphFont"/>
    <w:link w:val="Header"/>
    <w:uiPriority w:val="99"/>
    <w:rsid w:val="002A1B30"/>
  </w:style>
  <w:style w:type="paragraph" w:styleId="Footer">
    <w:name w:val="footer"/>
    <w:basedOn w:val="Normal"/>
    <w:link w:val="FooterChar"/>
    <w:uiPriority w:val="99"/>
    <w:unhideWhenUsed/>
    <w:rsid w:val="002A1B30"/>
    <w:pPr>
      <w:tabs>
        <w:tab w:val="center" w:pos="4536"/>
        <w:tab w:val="right" w:pos="9072"/>
      </w:tabs>
      <w:spacing w:after="0" w:line="240" w:lineRule="auto"/>
    </w:pPr>
  </w:style>
  <w:style w:type="character" w:customStyle="1" w:styleId="FooterChar">
    <w:name w:val="Footer Char"/>
    <w:basedOn w:val="DefaultParagraphFont"/>
    <w:link w:val="Footer"/>
    <w:uiPriority w:val="99"/>
    <w:rsid w:val="002A1B30"/>
  </w:style>
  <w:style w:type="character" w:styleId="Hyperlink">
    <w:name w:val="Hyperlink"/>
    <w:uiPriority w:val="99"/>
    <w:rsid w:val="002A1B30"/>
    <w:rPr>
      <w:color w:val="0000FF"/>
      <w:u w:val="single"/>
    </w:rPr>
  </w:style>
  <w:style w:type="character" w:styleId="FollowedHyperlink">
    <w:name w:val="FollowedHyperlink"/>
    <w:basedOn w:val="DefaultParagraphFont"/>
    <w:uiPriority w:val="99"/>
    <w:semiHidden/>
    <w:unhideWhenUsed/>
    <w:rsid w:val="00663DD4"/>
    <w:rPr>
      <w:color w:val="954F72" w:themeColor="followedHyperlink"/>
      <w:u w:val="single"/>
    </w:rPr>
  </w:style>
  <w:style w:type="table" w:styleId="TableGrid">
    <w:name w:val="Table Grid"/>
    <w:basedOn w:val="TableNormal"/>
    <w:uiPriority w:val="39"/>
    <w:rsid w:val="00663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347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036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rchiv.llv.li/files/as/indikatoren_2021_internet.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chiv.llv.li/files/aaa/aaa-regierungsbericht-uno-de-inhalt.pd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1245</Words>
  <Characters>6726</Characters>
  <Application>Microsoft Office Word</Application>
  <DocSecurity>0</DocSecurity>
  <Lines>103</Lines>
  <Paragraphs>15</Paragraphs>
  <ScaleCrop>false</ScaleCrop>
  <HeadingPairs>
    <vt:vector size="2" baseType="variant">
      <vt:variant>
        <vt:lpstr>Titel</vt:lpstr>
      </vt:variant>
      <vt:variant>
        <vt:i4>1</vt:i4>
      </vt:variant>
    </vt:vector>
  </HeadingPairs>
  <TitlesOfParts>
    <vt:vector size="1" baseType="lpstr">
      <vt:lpstr/>
    </vt:vector>
  </TitlesOfParts>
  <Company>Komitee für UNICEF Schweiz und Liechtenstein</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Sybille Gloor</dc:creator>
  <cp:keywords/>
  <dc:description/>
  <cp:lastModifiedBy>James Boit</cp:lastModifiedBy>
  <cp:revision>2</cp:revision>
  <cp:lastPrinted>2023-07-06T09:58:00Z</cp:lastPrinted>
  <dcterms:created xsi:type="dcterms:W3CDTF">2023-07-25T10:25:00Z</dcterms:created>
  <dcterms:modified xsi:type="dcterms:W3CDTF">2023-07-25T10:25:00Z</dcterms:modified>
</cp:coreProperties>
</file>