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006" w:rsidRPr="00F47052" w:rsidRDefault="001D169C" w:rsidP="0073215F">
      <w:pPr>
        <w:jc w:val="both"/>
        <w:rPr>
          <w:rFonts w:ascii="Arial" w:hAnsi="Arial" w:cs="Arial"/>
          <w:i/>
          <w:sz w:val="24"/>
          <w:szCs w:val="24"/>
          <w:lang w:val="en-GB"/>
        </w:rPr>
      </w:pPr>
      <w:r w:rsidRPr="00F47052">
        <w:rPr>
          <w:rFonts w:ascii="Arial" w:hAnsi="Arial" w:cs="Arial"/>
          <w:i/>
          <w:sz w:val="24"/>
          <w:szCs w:val="24"/>
          <w:lang w:val="en-GB"/>
        </w:rPr>
        <w:t xml:space="preserve">Defamation types of criminal offences in the Republic of Slovenia – the decision of the Government of the Republic of Slovenia of May 2015 to not decriminalise them </w:t>
      </w:r>
      <w:r w:rsidR="008B5C48" w:rsidRPr="00F47052">
        <w:rPr>
          <w:rFonts w:ascii="Arial" w:hAnsi="Arial" w:cs="Arial"/>
          <w:i/>
          <w:sz w:val="24"/>
          <w:szCs w:val="24"/>
          <w:lang w:val="en-GB"/>
        </w:rPr>
        <w:t>with respect to the</w:t>
      </w:r>
      <w:r w:rsidRPr="00F47052">
        <w:rPr>
          <w:rFonts w:ascii="Arial" w:hAnsi="Arial" w:cs="Arial"/>
          <w:i/>
          <w:sz w:val="24"/>
          <w:szCs w:val="24"/>
          <w:lang w:val="en-GB"/>
        </w:rPr>
        <w:t xml:space="preserve"> Criminal Code</w:t>
      </w:r>
      <w:r w:rsidR="0016603D" w:rsidRPr="00F47052">
        <w:rPr>
          <w:rFonts w:ascii="Arial" w:hAnsi="Arial" w:cs="Arial"/>
          <w:i/>
          <w:sz w:val="24"/>
          <w:szCs w:val="24"/>
          <w:lang w:val="en-GB"/>
        </w:rPr>
        <w:t xml:space="preserve"> – with respect </w:t>
      </w:r>
      <w:r w:rsidR="009244E7" w:rsidRPr="00F47052">
        <w:rPr>
          <w:rFonts w:ascii="Arial" w:hAnsi="Arial" w:cs="Arial"/>
          <w:i/>
          <w:sz w:val="24"/>
          <w:szCs w:val="24"/>
          <w:lang w:val="en-GB"/>
        </w:rPr>
        <w:t xml:space="preserve">to </w:t>
      </w:r>
      <w:r w:rsidR="0016603D" w:rsidRPr="00F47052">
        <w:rPr>
          <w:rFonts w:ascii="Arial" w:hAnsi="Arial" w:cs="Arial"/>
          <w:i/>
          <w:sz w:val="24"/>
          <w:szCs w:val="24"/>
          <w:lang w:val="en-GB"/>
        </w:rPr>
        <w:t xml:space="preserve">Article 19 of the International Covenant on </w:t>
      </w:r>
      <w:r w:rsidR="00892995" w:rsidRPr="00F47052">
        <w:rPr>
          <w:rFonts w:ascii="Arial" w:hAnsi="Arial" w:cs="Arial"/>
          <w:i/>
          <w:sz w:val="24"/>
          <w:szCs w:val="24"/>
          <w:lang w:val="en-GB"/>
        </w:rPr>
        <w:t xml:space="preserve">Civil and </w:t>
      </w:r>
      <w:r w:rsidR="0016603D" w:rsidRPr="00F47052">
        <w:rPr>
          <w:rFonts w:ascii="Arial" w:hAnsi="Arial" w:cs="Arial"/>
          <w:i/>
          <w:sz w:val="24"/>
          <w:szCs w:val="24"/>
          <w:lang w:val="en-GB"/>
        </w:rPr>
        <w:t>Political Rights</w:t>
      </w:r>
    </w:p>
    <w:p w:rsidR="001D169C" w:rsidRPr="00F47052" w:rsidRDefault="001D169C" w:rsidP="0073215F">
      <w:pPr>
        <w:jc w:val="both"/>
        <w:rPr>
          <w:rFonts w:ascii="Arial" w:hAnsi="Arial" w:cs="Arial"/>
          <w:sz w:val="24"/>
          <w:szCs w:val="24"/>
          <w:lang w:val="en-GB"/>
        </w:rPr>
      </w:pPr>
    </w:p>
    <w:p w:rsidR="008B5C48" w:rsidRPr="00F47052" w:rsidRDefault="00C05126" w:rsidP="0073215F">
      <w:pPr>
        <w:jc w:val="both"/>
        <w:rPr>
          <w:rFonts w:ascii="Arial" w:hAnsi="Arial" w:cs="Arial"/>
          <w:sz w:val="24"/>
          <w:szCs w:val="24"/>
          <w:lang w:val="en-GB"/>
        </w:rPr>
      </w:pPr>
      <w:r w:rsidRPr="00F47052">
        <w:rPr>
          <w:rFonts w:ascii="Arial" w:hAnsi="Arial" w:cs="Arial"/>
          <w:sz w:val="24"/>
          <w:szCs w:val="24"/>
          <w:lang w:val="en-GB"/>
        </w:rPr>
        <w:t xml:space="preserve">We had </w:t>
      </w:r>
      <w:r w:rsidR="008B5C48" w:rsidRPr="00F47052">
        <w:rPr>
          <w:rFonts w:ascii="Arial" w:hAnsi="Arial" w:cs="Arial"/>
          <w:sz w:val="24"/>
          <w:szCs w:val="24"/>
          <w:lang w:val="en-GB"/>
        </w:rPr>
        <w:t xml:space="preserve">detailed </w:t>
      </w:r>
      <w:r w:rsidR="001E5E8F" w:rsidRPr="00F47052">
        <w:rPr>
          <w:rFonts w:ascii="Arial" w:hAnsi="Arial" w:cs="Arial"/>
          <w:sz w:val="24"/>
          <w:szCs w:val="24"/>
          <w:lang w:val="en-GB"/>
        </w:rPr>
        <w:t xml:space="preserve">and </w:t>
      </w:r>
      <w:r w:rsidR="008321C6">
        <w:rPr>
          <w:rFonts w:ascii="Arial" w:hAnsi="Arial" w:cs="Arial"/>
          <w:sz w:val="24"/>
          <w:szCs w:val="24"/>
          <w:lang w:val="en-GB"/>
        </w:rPr>
        <w:t>open</w:t>
      </w:r>
      <w:r w:rsidR="001E5E8F" w:rsidRPr="00F47052">
        <w:rPr>
          <w:rFonts w:ascii="Arial" w:hAnsi="Arial" w:cs="Arial"/>
          <w:sz w:val="24"/>
          <w:szCs w:val="24"/>
          <w:lang w:val="en-GB"/>
        </w:rPr>
        <w:t xml:space="preserve"> </w:t>
      </w:r>
      <w:r w:rsidRPr="00F47052">
        <w:rPr>
          <w:rFonts w:ascii="Arial" w:hAnsi="Arial" w:cs="Arial"/>
          <w:sz w:val="24"/>
          <w:szCs w:val="24"/>
          <w:lang w:val="en-GB"/>
        </w:rPr>
        <w:t>d</w:t>
      </w:r>
      <w:r w:rsidR="001E5E8F" w:rsidRPr="00F47052">
        <w:rPr>
          <w:rFonts w:ascii="Arial" w:hAnsi="Arial" w:cs="Arial"/>
          <w:sz w:val="24"/>
          <w:szCs w:val="24"/>
          <w:lang w:val="en-GB"/>
        </w:rPr>
        <w:t>iscussions</w:t>
      </w:r>
      <w:r w:rsidRPr="00F47052">
        <w:rPr>
          <w:rFonts w:ascii="Arial" w:hAnsi="Arial" w:cs="Arial"/>
          <w:sz w:val="24"/>
          <w:szCs w:val="24"/>
          <w:lang w:val="en-GB"/>
        </w:rPr>
        <w:t xml:space="preserve"> on thi</w:t>
      </w:r>
      <w:r w:rsidR="00DE7177" w:rsidRPr="00F47052">
        <w:rPr>
          <w:rFonts w:ascii="Arial" w:hAnsi="Arial" w:cs="Arial"/>
          <w:sz w:val="24"/>
          <w:szCs w:val="24"/>
          <w:lang w:val="en-GB"/>
        </w:rPr>
        <w:t>s is</w:t>
      </w:r>
      <w:r w:rsidR="00E13428" w:rsidRPr="00F47052">
        <w:rPr>
          <w:rFonts w:ascii="Arial" w:hAnsi="Arial" w:cs="Arial"/>
          <w:sz w:val="24"/>
          <w:szCs w:val="24"/>
          <w:lang w:val="en-GB"/>
        </w:rPr>
        <w:t>s</w:t>
      </w:r>
      <w:r w:rsidR="00DE7177" w:rsidRPr="00F47052">
        <w:rPr>
          <w:rFonts w:ascii="Arial" w:hAnsi="Arial" w:cs="Arial"/>
          <w:sz w:val="24"/>
          <w:szCs w:val="24"/>
          <w:lang w:val="en-GB"/>
        </w:rPr>
        <w:t>ue in November 2014 with the I</w:t>
      </w:r>
      <w:r w:rsidR="00DE7177" w:rsidRPr="00F47052">
        <w:rPr>
          <w:rFonts w:ascii="Arial" w:hAnsi="Arial" w:cs="Arial"/>
          <w:color w:val="000000"/>
          <w:sz w:val="24"/>
          <w:szCs w:val="24"/>
          <w:lang w:val="en-GB"/>
        </w:rPr>
        <w:t>nternational Press Institute</w:t>
      </w:r>
      <w:r w:rsidR="001D169C" w:rsidRPr="00F47052">
        <w:rPr>
          <w:rFonts w:ascii="Arial" w:hAnsi="Arial" w:cs="Arial"/>
          <w:sz w:val="24"/>
          <w:szCs w:val="24"/>
          <w:lang w:val="en-GB"/>
        </w:rPr>
        <w:t xml:space="preserve"> </w:t>
      </w:r>
      <w:r w:rsidR="008B5C48" w:rsidRPr="00F47052">
        <w:rPr>
          <w:rFonts w:ascii="Arial" w:hAnsi="Arial" w:cs="Arial"/>
          <w:sz w:val="24"/>
          <w:szCs w:val="24"/>
          <w:lang w:val="en-GB"/>
        </w:rPr>
        <w:t>(</w:t>
      </w:r>
      <w:r w:rsidR="001E5E8F" w:rsidRPr="00F47052">
        <w:rPr>
          <w:rFonts w:ascii="Arial" w:hAnsi="Arial" w:cs="Arial"/>
          <w:sz w:val="24"/>
          <w:szCs w:val="24"/>
          <w:lang w:val="en-GB"/>
        </w:rPr>
        <w:t xml:space="preserve">discussed were: </w:t>
      </w:r>
      <w:r w:rsidR="008B5C48" w:rsidRPr="00F47052">
        <w:rPr>
          <w:rFonts w:ascii="Arial" w:hAnsi="Arial" w:cs="Arial"/>
          <w:sz w:val="24"/>
          <w:szCs w:val="24"/>
          <w:lang w:val="en-GB"/>
        </w:rPr>
        <w:t>international law, ethics, comparative law, special emphasis on the First Amendment to the USA Constitution versus provision</w:t>
      </w:r>
      <w:r w:rsidR="00B43872" w:rsidRPr="00F47052">
        <w:rPr>
          <w:rFonts w:ascii="Arial" w:hAnsi="Arial" w:cs="Arial"/>
          <w:sz w:val="24"/>
          <w:szCs w:val="24"/>
          <w:lang w:val="en-GB"/>
        </w:rPr>
        <w:t>s</w:t>
      </w:r>
      <w:r w:rsidR="008B5C48" w:rsidRPr="00F47052">
        <w:rPr>
          <w:rFonts w:ascii="Arial" w:hAnsi="Arial" w:cs="Arial"/>
          <w:sz w:val="24"/>
          <w:szCs w:val="24"/>
          <w:lang w:val="en-GB"/>
        </w:rPr>
        <w:t xml:space="preserve"> and case law </w:t>
      </w:r>
      <w:r w:rsidR="00B43872" w:rsidRPr="00F47052">
        <w:rPr>
          <w:rFonts w:ascii="Arial" w:hAnsi="Arial" w:cs="Arial"/>
          <w:sz w:val="24"/>
          <w:szCs w:val="24"/>
          <w:lang w:val="en-GB"/>
        </w:rPr>
        <w:t>from the binding i</w:t>
      </w:r>
      <w:r w:rsidR="008B5C48" w:rsidRPr="00F47052">
        <w:rPr>
          <w:rFonts w:ascii="Arial" w:hAnsi="Arial" w:cs="Arial"/>
          <w:sz w:val="24"/>
          <w:szCs w:val="24"/>
          <w:lang w:val="en-GB"/>
        </w:rPr>
        <w:t xml:space="preserve">nternational human rights treaties, self-regulation, influences of media legislation, </w:t>
      </w:r>
      <w:r w:rsidR="001E5E8F" w:rsidRPr="00F47052">
        <w:rPr>
          <w:rFonts w:ascii="Arial" w:hAnsi="Arial" w:cs="Arial"/>
          <w:sz w:val="24"/>
          <w:szCs w:val="24"/>
          <w:lang w:val="en-GB"/>
        </w:rPr>
        <w:t>self-</w:t>
      </w:r>
      <w:r w:rsidR="0073215F" w:rsidRPr="00F47052">
        <w:rPr>
          <w:rFonts w:ascii="Arial" w:hAnsi="Arial" w:cs="Arial"/>
          <w:sz w:val="24"/>
          <w:szCs w:val="24"/>
          <w:lang w:val="en-GB"/>
        </w:rPr>
        <w:t>censorship</w:t>
      </w:r>
      <w:r w:rsidR="001E5E8F" w:rsidRPr="00F47052">
        <w:rPr>
          <w:rFonts w:ascii="Arial" w:hAnsi="Arial" w:cs="Arial"/>
          <w:sz w:val="24"/>
          <w:szCs w:val="24"/>
          <w:lang w:val="en-GB"/>
        </w:rPr>
        <w:t xml:space="preserve">, </w:t>
      </w:r>
      <w:r w:rsidR="008B5C48" w:rsidRPr="00F47052">
        <w:rPr>
          <w:rFonts w:ascii="Arial" w:hAnsi="Arial" w:cs="Arial"/>
          <w:sz w:val="24"/>
          <w:szCs w:val="24"/>
          <w:lang w:val="en-GB"/>
        </w:rPr>
        <w:t>real reasons of some Western Balkans States that have decriminalised defamation</w:t>
      </w:r>
      <w:r w:rsidR="00B43872" w:rsidRPr="00F47052">
        <w:rPr>
          <w:rFonts w:ascii="Arial" w:hAnsi="Arial" w:cs="Arial"/>
          <w:sz w:val="24"/>
          <w:szCs w:val="24"/>
          <w:lang w:val="en-GB"/>
        </w:rPr>
        <w:t xml:space="preserve"> etc.</w:t>
      </w:r>
      <w:r w:rsidR="008B5C48" w:rsidRPr="00F47052">
        <w:rPr>
          <w:rFonts w:ascii="Arial" w:hAnsi="Arial" w:cs="Arial"/>
          <w:sz w:val="24"/>
          <w:szCs w:val="24"/>
          <w:lang w:val="en-GB"/>
        </w:rPr>
        <w:t xml:space="preserve">).  And we had clearly stated that we shall not </w:t>
      </w:r>
      <w:r w:rsidR="0073215F" w:rsidRPr="00F47052">
        <w:rPr>
          <w:rFonts w:ascii="Arial" w:hAnsi="Arial" w:cs="Arial"/>
          <w:sz w:val="24"/>
          <w:szCs w:val="24"/>
          <w:lang w:val="en-GB"/>
        </w:rPr>
        <w:t>decriminalise</w:t>
      </w:r>
      <w:r w:rsidR="008B5C48" w:rsidRPr="00F47052">
        <w:rPr>
          <w:rFonts w:ascii="Arial" w:hAnsi="Arial" w:cs="Arial"/>
          <w:sz w:val="24"/>
          <w:szCs w:val="24"/>
          <w:lang w:val="en-GB"/>
        </w:rPr>
        <w:t xml:space="preserve"> </w:t>
      </w:r>
      <w:r w:rsidR="00B43872" w:rsidRPr="00F47052">
        <w:rPr>
          <w:rFonts w:ascii="Arial" w:hAnsi="Arial" w:cs="Arial"/>
          <w:sz w:val="24"/>
          <w:szCs w:val="24"/>
          <w:lang w:val="en-GB"/>
        </w:rPr>
        <w:t xml:space="preserve">the </w:t>
      </w:r>
      <w:r w:rsidR="008B5C48" w:rsidRPr="00F47052">
        <w:rPr>
          <w:rFonts w:ascii="Arial" w:hAnsi="Arial" w:cs="Arial"/>
          <w:sz w:val="24"/>
          <w:szCs w:val="24"/>
          <w:lang w:val="en-GB"/>
        </w:rPr>
        <w:t>defamation ty</w:t>
      </w:r>
      <w:r w:rsidR="00B43872" w:rsidRPr="00F47052">
        <w:rPr>
          <w:rFonts w:ascii="Arial" w:hAnsi="Arial" w:cs="Arial"/>
          <w:sz w:val="24"/>
          <w:szCs w:val="24"/>
          <w:lang w:val="en-GB"/>
        </w:rPr>
        <w:t>pe offences from our</w:t>
      </w:r>
      <w:r w:rsidR="008B5C48" w:rsidRPr="00F47052">
        <w:rPr>
          <w:rFonts w:ascii="Arial" w:hAnsi="Arial" w:cs="Arial"/>
          <w:sz w:val="24"/>
          <w:szCs w:val="24"/>
          <w:lang w:val="en-GB"/>
        </w:rPr>
        <w:t xml:space="preserve"> Criminal Code</w:t>
      </w:r>
      <w:r w:rsidR="00B43872" w:rsidRPr="00F47052">
        <w:rPr>
          <w:rFonts w:ascii="Arial" w:hAnsi="Arial" w:cs="Arial"/>
          <w:sz w:val="24"/>
          <w:szCs w:val="24"/>
          <w:lang w:val="en-GB"/>
        </w:rPr>
        <w:t xml:space="preserve"> as of 2008</w:t>
      </w:r>
      <w:r w:rsidR="008B5C48" w:rsidRPr="00F47052">
        <w:rPr>
          <w:rFonts w:ascii="Arial" w:hAnsi="Arial" w:cs="Arial"/>
          <w:sz w:val="24"/>
          <w:szCs w:val="24"/>
          <w:lang w:val="en-GB"/>
        </w:rPr>
        <w:t xml:space="preserve">, not even as a half measure – </w:t>
      </w:r>
      <w:r w:rsidR="00B43872" w:rsidRPr="00F47052">
        <w:rPr>
          <w:rFonts w:ascii="Arial" w:hAnsi="Arial" w:cs="Arial"/>
          <w:sz w:val="24"/>
          <w:szCs w:val="24"/>
          <w:lang w:val="en-GB"/>
        </w:rPr>
        <w:t xml:space="preserve">such as: to </w:t>
      </w:r>
      <w:r w:rsidR="008B5C48" w:rsidRPr="00F47052">
        <w:rPr>
          <w:rFonts w:ascii="Arial" w:hAnsi="Arial" w:cs="Arial"/>
          <w:sz w:val="24"/>
          <w:szCs w:val="24"/>
          <w:lang w:val="en-GB"/>
        </w:rPr>
        <w:t xml:space="preserve">delete the punishment by imprisonment and leave </w:t>
      </w:r>
      <w:r w:rsidR="00B43872" w:rsidRPr="00F47052">
        <w:rPr>
          <w:rFonts w:ascii="Arial" w:hAnsi="Arial" w:cs="Arial"/>
          <w:sz w:val="24"/>
          <w:szCs w:val="24"/>
          <w:lang w:val="en-GB"/>
        </w:rPr>
        <w:t xml:space="preserve">only </w:t>
      </w:r>
      <w:r w:rsidR="008B5C48" w:rsidRPr="00F47052">
        <w:rPr>
          <w:rFonts w:ascii="Arial" w:hAnsi="Arial" w:cs="Arial"/>
          <w:sz w:val="24"/>
          <w:szCs w:val="24"/>
          <w:lang w:val="en-GB"/>
        </w:rPr>
        <w:t xml:space="preserve">the punishment by fines. </w:t>
      </w:r>
    </w:p>
    <w:p w:rsidR="008B5C48" w:rsidRPr="00F47052" w:rsidRDefault="008B5C48" w:rsidP="0073215F">
      <w:pPr>
        <w:jc w:val="both"/>
        <w:rPr>
          <w:rFonts w:ascii="Arial" w:hAnsi="Arial" w:cs="Arial"/>
          <w:sz w:val="24"/>
          <w:szCs w:val="24"/>
          <w:lang w:val="en-GB"/>
        </w:rPr>
      </w:pPr>
      <w:r w:rsidRPr="00F47052">
        <w:rPr>
          <w:rFonts w:ascii="Arial" w:hAnsi="Arial" w:cs="Arial"/>
          <w:sz w:val="24"/>
          <w:szCs w:val="24"/>
          <w:lang w:val="en-GB"/>
        </w:rPr>
        <w:t xml:space="preserve">In the context above – the new Criminal Code </w:t>
      </w:r>
      <w:r w:rsidR="00A21FF9" w:rsidRPr="00F47052">
        <w:rPr>
          <w:rFonts w:ascii="Arial" w:hAnsi="Arial" w:cs="Arial"/>
          <w:sz w:val="24"/>
          <w:szCs w:val="24"/>
          <w:lang w:val="en-GB"/>
        </w:rPr>
        <w:t xml:space="preserve">of 2008 has not diminished the existing protections (defences; justification) for journalists or others from the Criminal Code of 1994. </w:t>
      </w:r>
    </w:p>
    <w:p w:rsidR="00A21FF9" w:rsidRPr="00F47052" w:rsidRDefault="00A21FF9" w:rsidP="0073215F">
      <w:pPr>
        <w:jc w:val="both"/>
        <w:rPr>
          <w:rFonts w:ascii="Arial" w:hAnsi="Arial" w:cs="Arial"/>
          <w:sz w:val="24"/>
          <w:szCs w:val="24"/>
          <w:lang w:val="en-GB"/>
        </w:rPr>
      </w:pPr>
      <w:r w:rsidRPr="00F47052">
        <w:rPr>
          <w:rFonts w:ascii="Arial" w:hAnsi="Arial" w:cs="Arial"/>
          <w:sz w:val="24"/>
          <w:szCs w:val="24"/>
          <w:lang w:val="en-GB"/>
        </w:rPr>
        <w:t>W</w:t>
      </w:r>
      <w:r w:rsidR="00DE7177" w:rsidRPr="00F47052">
        <w:rPr>
          <w:rFonts w:ascii="Arial" w:hAnsi="Arial" w:cs="Arial"/>
          <w:sz w:val="24"/>
          <w:szCs w:val="24"/>
          <w:lang w:val="en-GB"/>
        </w:rPr>
        <w:t xml:space="preserve">e have also received similar proposals </w:t>
      </w:r>
      <w:r w:rsidR="00C05126" w:rsidRPr="00F47052">
        <w:rPr>
          <w:rFonts w:ascii="Arial" w:hAnsi="Arial" w:cs="Arial"/>
          <w:sz w:val="24"/>
          <w:szCs w:val="24"/>
          <w:lang w:val="en-GB"/>
        </w:rPr>
        <w:t xml:space="preserve">in early 2015 </w:t>
      </w:r>
      <w:r w:rsidR="00B43872" w:rsidRPr="00F47052">
        <w:rPr>
          <w:rFonts w:ascii="Arial" w:hAnsi="Arial" w:cs="Arial"/>
          <w:sz w:val="24"/>
          <w:szCs w:val="24"/>
          <w:lang w:val="en-GB"/>
        </w:rPr>
        <w:t>from two representative</w:t>
      </w:r>
      <w:r w:rsidRPr="00F47052">
        <w:rPr>
          <w:rFonts w:ascii="Arial" w:hAnsi="Arial" w:cs="Arial"/>
          <w:sz w:val="24"/>
          <w:szCs w:val="24"/>
          <w:lang w:val="en-GB"/>
        </w:rPr>
        <w:t xml:space="preserve"> journalists` organisations</w:t>
      </w:r>
      <w:r w:rsidR="00B43872" w:rsidRPr="00F47052">
        <w:rPr>
          <w:rFonts w:ascii="Arial" w:hAnsi="Arial" w:cs="Arial"/>
          <w:sz w:val="24"/>
          <w:szCs w:val="24"/>
          <w:lang w:val="en-GB"/>
        </w:rPr>
        <w:t xml:space="preserve"> from Slovenia</w:t>
      </w:r>
      <w:r w:rsidRPr="00F47052">
        <w:rPr>
          <w:rFonts w:ascii="Arial" w:hAnsi="Arial" w:cs="Arial"/>
          <w:sz w:val="24"/>
          <w:szCs w:val="24"/>
          <w:lang w:val="en-GB"/>
        </w:rPr>
        <w:t xml:space="preserve"> – </w:t>
      </w:r>
      <w:r w:rsidR="00B43872" w:rsidRPr="00F47052">
        <w:rPr>
          <w:rFonts w:ascii="Arial" w:hAnsi="Arial" w:cs="Arial"/>
          <w:sz w:val="24"/>
          <w:szCs w:val="24"/>
          <w:lang w:val="en-GB"/>
        </w:rPr>
        <w:t xml:space="preserve">they have proposed to the Government </w:t>
      </w:r>
      <w:r w:rsidRPr="00F47052">
        <w:rPr>
          <w:rFonts w:ascii="Arial" w:hAnsi="Arial" w:cs="Arial"/>
          <w:sz w:val="24"/>
          <w:szCs w:val="24"/>
          <w:lang w:val="en-GB"/>
        </w:rPr>
        <w:t xml:space="preserve">to decriminalise defamation type offences from the Criminal Code (Insult, Defamation) and in addition – to decriminalise also the Secrecy of (private, confidential) communications (phone, fax, email, letters…). </w:t>
      </w:r>
      <w:r w:rsidR="00C05126" w:rsidRPr="00F47052">
        <w:rPr>
          <w:rFonts w:ascii="Arial" w:hAnsi="Arial" w:cs="Arial"/>
          <w:sz w:val="24"/>
          <w:szCs w:val="24"/>
          <w:lang w:val="en-GB"/>
        </w:rPr>
        <w:t xml:space="preserve"> </w:t>
      </w:r>
    </w:p>
    <w:p w:rsidR="00997EF4" w:rsidRPr="00F47052" w:rsidRDefault="00DE7177" w:rsidP="0073215F">
      <w:pPr>
        <w:jc w:val="both"/>
        <w:rPr>
          <w:rFonts w:ascii="Arial" w:hAnsi="Arial" w:cs="Arial"/>
          <w:sz w:val="24"/>
          <w:szCs w:val="24"/>
          <w:lang w:val="en-GB"/>
        </w:rPr>
      </w:pPr>
      <w:r w:rsidRPr="00F47052">
        <w:rPr>
          <w:rFonts w:ascii="Arial" w:hAnsi="Arial" w:cs="Arial"/>
          <w:sz w:val="24"/>
          <w:szCs w:val="24"/>
          <w:lang w:val="en-GB"/>
        </w:rPr>
        <w:t xml:space="preserve">The </w:t>
      </w:r>
      <w:r w:rsidR="00E13428" w:rsidRPr="00F47052">
        <w:rPr>
          <w:rFonts w:ascii="Arial" w:hAnsi="Arial" w:cs="Arial"/>
          <w:sz w:val="24"/>
          <w:szCs w:val="24"/>
          <w:lang w:val="en-GB"/>
        </w:rPr>
        <w:t>G</w:t>
      </w:r>
      <w:r w:rsidRPr="00F47052">
        <w:rPr>
          <w:rFonts w:ascii="Arial" w:hAnsi="Arial" w:cs="Arial"/>
          <w:sz w:val="24"/>
          <w:szCs w:val="24"/>
          <w:lang w:val="en-GB"/>
        </w:rPr>
        <w:t>overnm</w:t>
      </w:r>
      <w:r w:rsidR="00E13428" w:rsidRPr="00F47052">
        <w:rPr>
          <w:rFonts w:ascii="Arial" w:hAnsi="Arial" w:cs="Arial"/>
          <w:sz w:val="24"/>
          <w:szCs w:val="24"/>
          <w:lang w:val="en-GB"/>
        </w:rPr>
        <w:t>en</w:t>
      </w:r>
      <w:r w:rsidRPr="00F47052">
        <w:rPr>
          <w:rFonts w:ascii="Arial" w:hAnsi="Arial" w:cs="Arial"/>
          <w:sz w:val="24"/>
          <w:szCs w:val="24"/>
          <w:lang w:val="en-GB"/>
        </w:rPr>
        <w:t>t of the Republic of Slovenia decided on 21 May 2015 that it shall not decr</w:t>
      </w:r>
      <w:r w:rsidR="00C05126" w:rsidRPr="00F47052">
        <w:rPr>
          <w:rFonts w:ascii="Arial" w:hAnsi="Arial" w:cs="Arial"/>
          <w:sz w:val="24"/>
          <w:szCs w:val="24"/>
          <w:lang w:val="en-GB"/>
        </w:rPr>
        <w:t>i</w:t>
      </w:r>
      <w:r w:rsidRPr="00F47052">
        <w:rPr>
          <w:rFonts w:ascii="Arial" w:hAnsi="Arial" w:cs="Arial"/>
          <w:sz w:val="24"/>
          <w:szCs w:val="24"/>
          <w:lang w:val="en-GB"/>
        </w:rPr>
        <w:t>minalise the criminal offences of de</w:t>
      </w:r>
      <w:r w:rsidR="00C05126" w:rsidRPr="00F47052">
        <w:rPr>
          <w:rFonts w:ascii="Arial" w:hAnsi="Arial" w:cs="Arial"/>
          <w:sz w:val="24"/>
          <w:szCs w:val="24"/>
          <w:lang w:val="en-GB"/>
        </w:rPr>
        <w:t>famation</w:t>
      </w:r>
      <w:r w:rsidR="00A21FF9" w:rsidRPr="00F47052">
        <w:rPr>
          <w:rFonts w:ascii="Arial" w:hAnsi="Arial" w:cs="Arial"/>
          <w:sz w:val="24"/>
          <w:szCs w:val="24"/>
          <w:lang w:val="en-GB"/>
        </w:rPr>
        <w:t xml:space="preserve"> and shall also not </w:t>
      </w:r>
      <w:r w:rsidR="00B43872" w:rsidRPr="00F47052">
        <w:rPr>
          <w:rFonts w:ascii="Arial" w:hAnsi="Arial" w:cs="Arial"/>
          <w:sz w:val="24"/>
          <w:szCs w:val="24"/>
          <w:lang w:val="en-GB"/>
        </w:rPr>
        <w:t xml:space="preserve">decriminalise the </w:t>
      </w:r>
      <w:r w:rsidR="00A21FF9" w:rsidRPr="00F47052">
        <w:rPr>
          <w:rFonts w:ascii="Arial" w:hAnsi="Arial" w:cs="Arial"/>
          <w:sz w:val="24"/>
          <w:szCs w:val="24"/>
          <w:lang w:val="en-GB"/>
        </w:rPr>
        <w:t xml:space="preserve">Secrecy of (private, confidential) communications </w:t>
      </w:r>
      <w:r w:rsidR="00C05126" w:rsidRPr="00F47052">
        <w:rPr>
          <w:rFonts w:ascii="Arial" w:hAnsi="Arial" w:cs="Arial"/>
          <w:sz w:val="24"/>
          <w:szCs w:val="24"/>
          <w:lang w:val="en-GB"/>
        </w:rPr>
        <w:t>from the Criminal Code</w:t>
      </w:r>
      <w:r w:rsidR="00A21FF9" w:rsidRPr="00F47052">
        <w:rPr>
          <w:rFonts w:ascii="Arial" w:hAnsi="Arial" w:cs="Arial"/>
          <w:sz w:val="24"/>
          <w:szCs w:val="24"/>
          <w:lang w:val="en-GB"/>
        </w:rPr>
        <w:t>. This was decided on 21 May 201</w:t>
      </w:r>
      <w:r w:rsidR="00B43872" w:rsidRPr="00F47052">
        <w:rPr>
          <w:rFonts w:ascii="Arial" w:hAnsi="Arial" w:cs="Arial"/>
          <w:sz w:val="24"/>
          <w:szCs w:val="24"/>
          <w:lang w:val="en-GB"/>
        </w:rPr>
        <w:t>5</w:t>
      </w:r>
      <w:r w:rsidR="00A21FF9" w:rsidRPr="00F47052">
        <w:rPr>
          <w:rFonts w:ascii="Arial" w:hAnsi="Arial" w:cs="Arial"/>
          <w:sz w:val="24"/>
          <w:szCs w:val="24"/>
          <w:lang w:val="en-GB"/>
        </w:rPr>
        <w:t xml:space="preserve"> </w:t>
      </w:r>
      <w:r w:rsidR="00C05126" w:rsidRPr="00F47052">
        <w:rPr>
          <w:rFonts w:ascii="Arial" w:hAnsi="Arial" w:cs="Arial"/>
          <w:sz w:val="24"/>
          <w:szCs w:val="24"/>
          <w:lang w:val="en-GB"/>
        </w:rPr>
        <w:t xml:space="preserve">when adopting the Draft (Bill) </w:t>
      </w:r>
      <w:r w:rsidR="00153A56" w:rsidRPr="00F47052">
        <w:rPr>
          <w:rFonts w:ascii="Arial" w:hAnsi="Arial" w:cs="Arial"/>
          <w:sz w:val="24"/>
          <w:szCs w:val="24"/>
          <w:lang w:val="en-GB"/>
        </w:rPr>
        <w:t>on Amendments and Changes to the Criminal Code (in Slovene languag</w:t>
      </w:r>
      <w:r w:rsidR="00A21FF9" w:rsidRPr="00F47052">
        <w:rPr>
          <w:rFonts w:ascii="Arial" w:hAnsi="Arial" w:cs="Arial"/>
          <w:sz w:val="24"/>
          <w:szCs w:val="24"/>
          <w:lang w:val="en-GB"/>
        </w:rPr>
        <w:t xml:space="preserve">e: </w:t>
      </w:r>
      <w:r w:rsidR="0073215F" w:rsidRPr="00F47052">
        <w:rPr>
          <w:rFonts w:ascii="Arial" w:hAnsi="Arial" w:cs="Arial"/>
          <w:sz w:val="24"/>
          <w:szCs w:val="24"/>
          <w:lang w:val="en-GB"/>
        </w:rPr>
        <w:t>“</w:t>
      </w:r>
      <w:proofErr w:type="spellStart"/>
      <w:r w:rsidR="00A21FF9" w:rsidRPr="00F47052">
        <w:rPr>
          <w:rFonts w:ascii="Arial" w:hAnsi="Arial" w:cs="Arial"/>
          <w:i/>
          <w:sz w:val="24"/>
          <w:szCs w:val="24"/>
          <w:lang w:val="en-GB"/>
        </w:rPr>
        <w:t>Predlog</w:t>
      </w:r>
      <w:proofErr w:type="spellEnd"/>
      <w:r w:rsidR="00A21FF9" w:rsidRPr="00F47052">
        <w:rPr>
          <w:rFonts w:ascii="Arial" w:hAnsi="Arial" w:cs="Arial"/>
          <w:i/>
          <w:sz w:val="24"/>
          <w:szCs w:val="24"/>
          <w:lang w:val="en-GB"/>
        </w:rPr>
        <w:t xml:space="preserve"> </w:t>
      </w:r>
      <w:proofErr w:type="spellStart"/>
      <w:r w:rsidR="00A21FF9" w:rsidRPr="00F47052">
        <w:rPr>
          <w:rFonts w:ascii="Arial" w:hAnsi="Arial" w:cs="Arial"/>
          <w:i/>
          <w:sz w:val="24"/>
          <w:szCs w:val="24"/>
          <w:lang w:val="en-GB"/>
        </w:rPr>
        <w:t>Zakona</w:t>
      </w:r>
      <w:proofErr w:type="spellEnd"/>
      <w:r w:rsidR="00A21FF9" w:rsidRPr="00F47052">
        <w:rPr>
          <w:rFonts w:ascii="Arial" w:hAnsi="Arial" w:cs="Arial"/>
          <w:i/>
          <w:sz w:val="24"/>
          <w:szCs w:val="24"/>
          <w:lang w:val="en-GB"/>
        </w:rPr>
        <w:t xml:space="preserve"> o </w:t>
      </w:r>
      <w:proofErr w:type="spellStart"/>
      <w:r w:rsidR="00A21FF9" w:rsidRPr="00F47052">
        <w:rPr>
          <w:rFonts w:ascii="Arial" w:hAnsi="Arial" w:cs="Arial"/>
          <w:i/>
          <w:sz w:val="24"/>
          <w:szCs w:val="24"/>
          <w:lang w:val="en-GB"/>
        </w:rPr>
        <w:t>spremembah</w:t>
      </w:r>
      <w:proofErr w:type="spellEnd"/>
      <w:r w:rsidR="00A21FF9" w:rsidRPr="00F47052">
        <w:rPr>
          <w:rFonts w:ascii="Arial" w:hAnsi="Arial" w:cs="Arial"/>
          <w:i/>
          <w:sz w:val="24"/>
          <w:szCs w:val="24"/>
          <w:lang w:val="en-GB"/>
        </w:rPr>
        <w:t xml:space="preserve"> in </w:t>
      </w:r>
      <w:proofErr w:type="spellStart"/>
      <w:r w:rsidR="00A21FF9" w:rsidRPr="00F47052">
        <w:rPr>
          <w:rFonts w:ascii="Arial" w:hAnsi="Arial" w:cs="Arial"/>
          <w:i/>
          <w:sz w:val="24"/>
          <w:szCs w:val="24"/>
          <w:lang w:val="en-GB"/>
        </w:rPr>
        <w:t>dopolnitvah</w:t>
      </w:r>
      <w:proofErr w:type="spellEnd"/>
      <w:r w:rsidR="00A21FF9" w:rsidRPr="00F47052">
        <w:rPr>
          <w:rFonts w:ascii="Arial" w:hAnsi="Arial" w:cs="Arial"/>
          <w:i/>
          <w:sz w:val="24"/>
          <w:szCs w:val="24"/>
          <w:lang w:val="en-GB"/>
        </w:rPr>
        <w:t xml:space="preserve"> </w:t>
      </w:r>
      <w:proofErr w:type="spellStart"/>
      <w:r w:rsidR="00A21FF9" w:rsidRPr="00F47052">
        <w:rPr>
          <w:rFonts w:ascii="Arial" w:hAnsi="Arial" w:cs="Arial"/>
          <w:i/>
          <w:sz w:val="24"/>
          <w:szCs w:val="24"/>
          <w:lang w:val="en-GB"/>
        </w:rPr>
        <w:t>Kazenskega</w:t>
      </w:r>
      <w:proofErr w:type="spellEnd"/>
      <w:r w:rsidR="00A21FF9" w:rsidRPr="00F47052">
        <w:rPr>
          <w:rFonts w:ascii="Arial" w:hAnsi="Arial" w:cs="Arial"/>
          <w:i/>
          <w:sz w:val="24"/>
          <w:szCs w:val="24"/>
          <w:lang w:val="en-GB"/>
        </w:rPr>
        <w:t xml:space="preserve"> </w:t>
      </w:r>
      <w:proofErr w:type="spellStart"/>
      <w:r w:rsidR="00A21FF9" w:rsidRPr="00F47052">
        <w:rPr>
          <w:rFonts w:ascii="Arial" w:hAnsi="Arial" w:cs="Arial"/>
          <w:i/>
          <w:sz w:val="24"/>
          <w:szCs w:val="24"/>
          <w:lang w:val="en-GB"/>
        </w:rPr>
        <w:t>zak</w:t>
      </w:r>
      <w:r w:rsidR="00997EF4" w:rsidRPr="00F47052">
        <w:rPr>
          <w:rFonts w:ascii="Arial" w:hAnsi="Arial" w:cs="Arial"/>
          <w:i/>
          <w:sz w:val="24"/>
          <w:szCs w:val="24"/>
          <w:lang w:val="en-GB"/>
        </w:rPr>
        <w:t>onika</w:t>
      </w:r>
      <w:proofErr w:type="spellEnd"/>
      <w:r w:rsidR="0073215F" w:rsidRPr="00F47052">
        <w:rPr>
          <w:rFonts w:ascii="Arial" w:hAnsi="Arial" w:cs="Arial"/>
          <w:sz w:val="24"/>
          <w:szCs w:val="24"/>
          <w:lang w:val="en-GB"/>
        </w:rPr>
        <w:t>”</w:t>
      </w:r>
      <w:r w:rsidR="00997EF4" w:rsidRPr="00F47052">
        <w:rPr>
          <w:rFonts w:ascii="Arial" w:hAnsi="Arial" w:cs="Arial"/>
          <w:sz w:val="24"/>
          <w:szCs w:val="24"/>
          <w:lang w:val="en-GB"/>
        </w:rPr>
        <w:t xml:space="preserve">; official acronym: KZ-1C). The National Assembly (the Parliament) received detailed reasons on this issue, which included not just the case law of the European Court of Human Rights and additional legal and philosophical (doctrinaire) reasons, </w:t>
      </w:r>
      <w:r w:rsidR="001E5E8F" w:rsidRPr="00F47052">
        <w:rPr>
          <w:rFonts w:ascii="Arial" w:hAnsi="Arial" w:cs="Arial"/>
          <w:sz w:val="24"/>
          <w:szCs w:val="24"/>
          <w:lang w:val="en-GB"/>
        </w:rPr>
        <w:t xml:space="preserve">such as </w:t>
      </w:r>
      <w:r w:rsidR="0073215F" w:rsidRPr="00F47052">
        <w:rPr>
          <w:rFonts w:ascii="Arial" w:hAnsi="Arial" w:cs="Arial"/>
          <w:sz w:val="24"/>
          <w:szCs w:val="24"/>
          <w:lang w:val="en-GB"/>
        </w:rPr>
        <w:t>information</w:t>
      </w:r>
      <w:r w:rsidR="001E5E8F" w:rsidRPr="00F47052">
        <w:rPr>
          <w:rFonts w:ascii="Arial" w:hAnsi="Arial" w:cs="Arial"/>
          <w:sz w:val="24"/>
          <w:szCs w:val="24"/>
          <w:lang w:val="en-GB"/>
        </w:rPr>
        <w:t xml:space="preserve"> on the recent </w:t>
      </w:r>
      <w:r w:rsidR="001E5E8F" w:rsidRPr="00F47052">
        <w:rPr>
          <w:rFonts w:ascii="Arial" w:hAnsi="Arial" w:cs="Arial"/>
          <w:iCs/>
          <w:sz w:val="24"/>
          <w:szCs w:val="24"/>
          <w:lang w:val="en-GB" w:eastAsia="sl-SI"/>
        </w:rPr>
        <w:t>"News International/News of the World affair"</w:t>
      </w:r>
      <w:r w:rsidR="0073215F" w:rsidRPr="00F47052">
        <w:rPr>
          <w:rFonts w:ascii="Arial" w:hAnsi="Arial" w:cs="Arial"/>
          <w:iCs/>
          <w:sz w:val="24"/>
          <w:szCs w:val="24"/>
          <w:lang w:val="en-GB" w:eastAsia="sl-SI"/>
        </w:rPr>
        <w:t xml:space="preserve"> and</w:t>
      </w:r>
      <w:r w:rsidR="001E5E8F" w:rsidRPr="00F47052">
        <w:rPr>
          <w:rFonts w:ascii="Arial" w:hAnsi="Arial" w:cs="Arial"/>
          <w:iCs/>
          <w:sz w:val="24"/>
          <w:szCs w:val="24"/>
          <w:lang w:val="en-GB" w:eastAsia="sl-SI"/>
        </w:rPr>
        <w:t xml:space="preserve"> »</w:t>
      </w:r>
      <w:r w:rsidR="0073215F" w:rsidRPr="00F47052">
        <w:rPr>
          <w:rFonts w:ascii="Arial" w:hAnsi="Arial" w:cs="Arial"/>
          <w:iCs/>
          <w:sz w:val="24"/>
          <w:szCs w:val="24"/>
          <w:lang w:val="en-GB" w:eastAsia="sl-SI"/>
        </w:rPr>
        <w:t xml:space="preserve">The </w:t>
      </w:r>
      <w:proofErr w:type="spellStart"/>
      <w:r w:rsidR="001E5E8F" w:rsidRPr="00F47052">
        <w:rPr>
          <w:rFonts w:ascii="Arial" w:hAnsi="Arial" w:cs="Arial"/>
          <w:iCs/>
          <w:sz w:val="24"/>
          <w:szCs w:val="24"/>
          <w:lang w:val="en-GB" w:eastAsia="sl-SI"/>
        </w:rPr>
        <w:t>Leveson</w:t>
      </w:r>
      <w:proofErr w:type="spellEnd"/>
      <w:r w:rsidR="001E5E8F" w:rsidRPr="00F47052">
        <w:rPr>
          <w:rFonts w:ascii="Arial" w:hAnsi="Arial" w:cs="Arial"/>
          <w:iCs/>
          <w:sz w:val="24"/>
          <w:szCs w:val="24"/>
          <w:lang w:val="en-GB" w:eastAsia="sl-SI"/>
        </w:rPr>
        <w:t xml:space="preserve"> Inquiry Report« as of 29 November 2012. </w:t>
      </w:r>
    </w:p>
    <w:p w:rsidR="001D169C" w:rsidRPr="00F47052" w:rsidRDefault="00997EF4" w:rsidP="0073215F">
      <w:pPr>
        <w:jc w:val="both"/>
        <w:rPr>
          <w:rFonts w:ascii="Arial" w:hAnsi="Arial" w:cs="Arial"/>
          <w:sz w:val="24"/>
          <w:szCs w:val="24"/>
          <w:lang w:val="en-GB"/>
        </w:rPr>
      </w:pPr>
      <w:r w:rsidRPr="00F47052">
        <w:rPr>
          <w:rFonts w:ascii="Arial" w:hAnsi="Arial" w:cs="Arial"/>
          <w:sz w:val="24"/>
          <w:szCs w:val="24"/>
          <w:lang w:val="en-GB"/>
        </w:rPr>
        <w:t xml:space="preserve">And the National Assembly also approved the Government`s decision on no- decriminalisation – </w:t>
      </w:r>
      <w:r w:rsidR="001E5E8F" w:rsidRPr="00F47052">
        <w:rPr>
          <w:rFonts w:ascii="Arial" w:hAnsi="Arial" w:cs="Arial"/>
          <w:sz w:val="24"/>
          <w:szCs w:val="24"/>
          <w:lang w:val="en-GB"/>
        </w:rPr>
        <w:t>as already stated – t</w:t>
      </w:r>
      <w:r w:rsidRPr="00F47052">
        <w:rPr>
          <w:rFonts w:ascii="Arial" w:hAnsi="Arial" w:cs="Arial"/>
          <w:sz w:val="24"/>
          <w:szCs w:val="24"/>
          <w:lang w:val="en-GB"/>
        </w:rPr>
        <w:t>he Government namely sent all its arguments on no-decr</w:t>
      </w:r>
      <w:r w:rsidR="001E5E8F" w:rsidRPr="00F47052">
        <w:rPr>
          <w:rFonts w:ascii="Arial" w:hAnsi="Arial" w:cs="Arial"/>
          <w:sz w:val="24"/>
          <w:szCs w:val="24"/>
          <w:lang w:val="en-GB"/>
        </w:rPr>
        <w:t>i</w:t>
      </w:r>
      <w:r w:rsidRPr="00F47052">
        <w:rPr>
          <w:rFonts w:ascii="Arial" w:hAnsi="Arial" w:cs="Arial"/>
          <w:sz w:val="24"/>
          <w:szCs w:val="24"/>
          <w:lang w:val="en-GB"/>
        </w:rPr>
        <w:t xml:space="preserve">minalisation to the National Assembly. </w:t>
      </w:r>
    </w:p>
    <w:p w:rsidR="00997EF4" w:rsidRPr="00F47052" w:rsidRDefault="00997EF4" w:rsidP="0073215F">
      <w:pPr>
        <w:jc w:val="both"/>
        <w:rPr>
          <w:rFonts w:ascii="Arial" w:hAnsi="Arial" w:cs="Arial"/>
          <w:sz w:val="24"/>
          <w:szCs w:val="24"/>
          <w:lang w:val="en-GB"/>
        </w:rPr>
      </w:pPr>
      <w:r w:rsidRPr="00F47052">
        <w:rPr>
          <w:rFonts w:ascii="Arial" w:hAnsi="Arial" w:cs="Arial"/>
          <w:sz w:val="24"/>
          <w:szCs w:val="24"/>
          <w:lang w:val="en-GB"/>
        </w:rPr>
        <w:t>The</w:t>
      </w:r>
      <w:r w:rsidR="001E5E8F" w:rsidRPr="00F47052">
        <w:rPr>
          <w:rFonts w:ascii="Arial" w:hAnsi="Arial" w:cs="Arial"/>
          <w:sz w:val="24"/>
          <w:szCs w:val="24"/>
          <w:lang w:val="en-GB"/>
        </w:rPr>
        <w:t xml:space="preserve"> relevant case law of the Consti</w:t>
      </w:r>
      <w:r w:rsidRPr="00F47052">
        <w:rPr>
          <w:rFonts w:ascii="Arial" w:hAnsi="Arial" w:cs="Arial"/>
          <w:sz w:val="24"/>
          <w:szCs w:val="24"/>
          <w:lang w:val="en-GB"/>
        </w:rPr>
        <w:t>t</w:t>
      </w:r>
      <w:r w:rsidR="001E5E8F" w:rsidRPr="00F47052">
        <w:rPr>
          <w:rFonts w:ascii="Arial" w:hAnsi="Arial" w:cs="Arial"/>
          <w:sz w:val="24"/>
          <w:szCs w:val="24"/>
          <w:lang w:val="en-GB"/>
        </w:rPr>
        <w:t>ut</w:t>
      </w:r>
      <w:r w:rsidRPr="00F47052">
        <w:rPr>
          <w:rFonts w:ascii="Arial" w:hAnsi="Arial" w:cs="Arial"/>
          <w:sz w:val="24"/>
          <w:szCs w:val="24"/>
          <w:lang w:val="en-GB"/>
        </w:rPr>
        <w:t xml:space="preserve">ional Court of </w:t>
      </w:r>
      <w:r w:rsidR="00F26781" w:rsidRPr="00F47052">
        <w:rPr>
          <w:rFonts w:ascii="Arial" w:hAnsi="Arial" w:cs="Arial"/>
          <w:sz w:val="24"/>
          <w:szCs w:val="24"/>
          <w:lang w:val="en-GB"/>
        </w:rPr>
        <w:t>the Republic of Slov</w:t>
      </w:r>
      <w:r w:rsidRPr="00F47052">
        <w:rPr>
          <w:rFonts w:ascii="Arial" w:hAnsi="Arial" w:cs="Arial"/>
          <w:sz w:val="24"/>
          <w:szCs w:val="24"/>
          <w:lang w:val="en-GB"/>
        </w:rPr>
        <w:t xml:space="preserve">enia on no-decriminalisation of defamation type offences from the Criminal Code: </w:t>
      </w:r>
    </w:p>
    <w:p w:rsidR="00997EF4" w:rsidRPr="00F47052" w:rsidRDefault="001E5E8F" w:rsidP="0073215F">
      <w:pPr>
        <w:pStyle w:val="ListParagraph"/>
        <w:numPr>
          <w:ilvl w:val="0"/>
          <w:numId w:val="1"/>
        </w:numPr>
        <w:jc w:val="both"/>
        <w:rPr>
          <w:rFonts w:ascii="Arial" w:hAnsi="Arial" w:cs="Arial"/>
          <w:sz w:val="24"/>
          <w:szCs w:val="24"/>
          <w:lang w:val="en-GB"/>
        </w:rPr>
      </w:pPr>
      <w:r w:rsidRPr="00F47052">
        <w:rPr>
          <w:rFonts w:ascii="Arial" w:hAnsi="Arial" w:cs="Arial"/>
          <w:i/>
          <w:sz w:val="24"/>
          <w:szCs w:val="24"/>
          <w:lang w:val="en-GB"/>
        </w:rPr>
        <w:t xml:space="preserve">Decision of the </w:t>
      </w:r>
      <w:r w:rsidR="0073215F" w:rsidRPr="00F47052">
        <w:rPr>
          <w:rFonts w:ascii="Arial" w:hAnsi="Arial" w:cs="Arial"/>
          <w:i/>
          <w:sz w:val="24"/>
          <w:szCs w:val="24"/>
          <w:lang w:val="en-GB"/>
        </w:rPr>
        <w:t>Constitutional</w:t>
      </w:r>
      <w:r w:rsidRPr="00F47052">
        <w:rPr>
          <w:rFonts w:ascii="Arial" w:hAnsi="Arial" w:cs="Arial"/>
          <w:i/>
          <w:sz w:val="24"/>
          <w:szCs w:val="24"/>
          <w:lang w:val="en-GB"/>
        </w:rPr>
        <w:t xml:space="preserve"> Court of the Republic of Slovenia, </w:t>
      </w:r>
      <w:r w:rsidRPr="00F47052">
        <w:rPr>
          <w:rFonts w:ascii="Arial" w:hAnsi="Arial" w:cs="Arial"/>
          <w:i/>
          <w:iCs/>
          <w:sz w:val="24"/>
          <w:szCs w:val="24"/>
          <w:lang w:val="en-GB" w:eastAsia="sl-SI"/>
        </w:rPr>
        <w:t xml:space="preserve">No. U-I-226/95, 8 July 1999 </w:t>
      </w:r>
      <w:r w:rsidRPr="00F47052">
        <w:rPr>
          <w:rFonts w:ascii="Arial" w:hAnsi="Arial" w:cs="Arial"/>
          <w:iCs/>
          <w:sz w:val="24"/>
          <w:szCs w:val="24"/>
          <w:lang w:val="en-GB" w:eastAsia="sl-SI"/>
        </w:rPr>
        <w:t xml:space="preserve">(published in: Official Gazette of the RS, No. 60/99 and </w:t>
      </w:r>
      <w:proofErr w:type="spellStart"/>
      <w:r w:rsidRPr="00F47052">
        <w:rPr>
          <w:rFonts w:ascii="Arial" w:hAnsi="Arial" w:cs="Arial"/>
          <w:iCs/>
          <w:sz w:val="24"/>
          <w:szCs w:val="24"/>
          <w:lang w:val="en-GB" w:eastAsia="sl-SI"/>
        </w:rPr>
        <w:t>OdlUS</w:t>
      </w:r>
      <w:proofErr w:type="spellEnd"/>
      <w:r w:rsidRPr="00F47052">
        <w:rPr>
          <w:rFonts w:ascii="Arial" w:hAnsi="Arial" w:cs="Arial"/>
          <w:iCs/>
          <w:sz w:val="24"/>
          <w:szCs w:val="24"/>
          <w:lang w:val="en-GB" w:eastAsia="sl-SI"/>
        </w:rPr>
        <w:t xml:space="preserve"> VIII, 174) – provisions of the then Criminal Code that prescribe punishment for defamation type offences are not contrary to the Constitution of </w:t>
      </w:r>
      <w:r w:rsidRPr="00F47052">
        <w:rPr>
          <w:rFonts w:ascii="Arial" w:hAnsi="Arial" w:cs="Arial"/>
          <w:iCs/>
          <w:sz w:val="24"/>
          <w:szCs w:val="24"/>
          <w:lang w:val="en-GB" w:eastAsia="sl-SI"/>
        </w:rPr>
        <w:lastRenderedPageBreak/>
        <w:t>the Republic of Slovenia, the European Convention on Human Rights and quoted case law of the European Court of Human Rights.</w:t>
      </w:r>
    </w:p>
    <w:p w:rsidR="001E5E8F" w:rsidRPr="00F47052" w:rsidRDefault="001E5E8F" w:rsidP="0073215F">
      <w:pPr>
        <w:jc w:val="both"/>
        <w:rPr>
          <w:rFonts w:ascii="Arial" w:hAnsi="Arial" w:cs="Arial"/>
          <w:sz w:val="24"/>
          <w:szCs w:val="24"/>
          <w:lang w:val="en-GB"/>
        </w:rPr>
      </w:pPr>
      <w:r w:rsidRPr="00F47052">
        <w:rPr>
          <w:rFonts w:ascii="Arial" w:hAnsi="Arial" w:cs="Arial"/>
          <w:sz w:val="24"/>
          <w:szCs w:val="24"/>
          <w:lang w:val="en-GB"/>
        </w:rPr>
        <w:t>Context of this case:</w:t>
      </w:r>
    </w:p>
    <w:p w:rsidR="001E5E8F" w:rsidRPr="00F47052" w:rsidRDefault="001E5E8F" w:rsidP="0073215F">
      <w:pPr>
        <w:jc w:val="both"/>
        <w:rPr>
          <w:rFonts w:ascii="Arial" w:hAnsi="Arial" w:cs="Arial"/>
          <w:sz w:val="24"/>
          <w:szCs w:val="24"/>
          <w:lang w:val="en-GB"/>
        </w:rPr>
      </w:pPr>
      <w:r w:rsidRPr="00F47052">
        <w:rPr>
          <w:rFonts w:ascii="Arial" w:hAnsi="Arial" w:cs="Arial"/>
          <w:sz w:val="24"/>
          <w:szCs w:val="24"/>
          <w:lang w:val="en-GB"/>
        </w:rPr>
        <w:t xml:space="preserve">Former head of the national security agency wanted these criminal offences to be deleted from the Criminal Code, since journalists, whom he has </w:t>
      </w:r>
      <w:r w:rsidR="0073215F" w:rsidRPr="00F47052">
        <w:rPr>
          <w:rFonts w:ascii="Arial" w:hAnsi="Arial" w:cs="Arial"/>
          <w:sz w:val="24"/>
          <w:szCs w:val="24"/>
          <w:lang w:val="en-GB"/>
        </w:rPr>
        <w:t>supposedly</w:t>
      </w:r>
      <w:r w:rsidRPr="00F47052">
        <w:rPr>
          <w:rFonts w:ascii="Arial" w:hAnsi="Arial" w:cs="Arial"/>
          <w:sz w:val="24"/>
          <w:szCs w:val="24"/>
          <w:lang w:val="en-GB"/>
        </w:rPr>
        <w:t xml:space="preserve"> defamed, sued him (private action) for defamation criminal offences (differ</w:t>
      </w:r>
      <w:r w:rsidR="003663A1" w:rsidRPr="00F47052">
        <w:rPr>
          <w:rFonts w:ascii="Arial" w:hAnsi="Arial" w:cs="Arial"/>
          <w:sz w:val="24"/>
          <w:szCs w:val="24"/>
          <w:lang w:val="en-GB"/>
        </w:rPr>
        <w:t>e</w:t>
      </w:r>
      <w:r w:rsidRPr="00F47052">
        <w:rPr>
          <w:rFonts w:ascii="Arial" w:hAnsi="Arial" w:cs="Arial"/>
          <w:sz w:val="24"/>
          <w:szCs w:val="24"/>
          <w:lang w:val="en-GB"/>
        </w:rPr>
        <w:t xml:space="preserve">nt </w:t>
      </w:r>
      <w:r w:rsidR="0073215F" w:rsidRPr="00F47052">
        <w:rPr>
          <w:rFonts w:ascii="Arial" w:hAnsi="Arial" w:cs="Arial"/>
          <w:sz w:val="24"/>
          <w:szCs w:val="24"/>
          <w:lang w:val="en-GB"/>
        </w:rPr>
        <w:t>journalists</w:t>
      </w:r>
      <w:r w:rsidRPr="00F47052">
        <w:rPr>
          <w:rFonts w:ascii="Arial" w:hAnsi="Arial" w:cs="Arial"/>
          <w:sz w:val="24"/>
          <w:szCs w:val="24"/>
          <w:lang w:val="en-GB"/>
        </w:rPr>
        <w:t xml:space="preserve"> sued him for </w:t>
      </w:r>
      <w:r w:rsidR="0073215F" w:rsidRPr="00F47052">
        <w:rPr>
          <w:rFonts w:ascii="Arial" w:hAnsi="Arial" w:cs="Arial"/>
          <w:sz w:val="24"/>
          <w:szCs w:val="24"/>
          <w:lang w:val="en-GB"/>
        </w:rPr>
        <w:t>different</w:t>
      </w:r>
      <w:r w:rsidRPr="00F47052">
        <w:rPr>
          <w:rFonts w:ascii="Arial" w:hAnsi="Arial" w:cs="Arial"/>
          <w:sz w:val="24"/>
          <w:szCs w:val="24"/>
          <w:lang w:val="en-GB"/>
        </w:rPr>
        <w:t xml:space="preserve"> criminal offences from the Criminal Code). </w:t>
      </w:r>
      <w:r w:rsidR="005A7730" w:rsidRPr="00F47052">
        <w:rPr>
          <w:rFonts w:ascii="Arial" w:hAnsi="Arial" w:cs="Arial"/>
          <w:sz w:val="24"/>
          <w:szCs w:val="24"/>
          <w:lang w:val="en-GB"/>
        </w:rPr>
        <w:t>Therefore</w:t>
      </w:r>
      <w:r w:rsidRPr="00F47052">
        <w:rPr>
          <w:rFonts w:ascii="Arial" w:hAnsi="Arial" w:cs="Arial"/>
          <w:sz w:val="24"/>
          <w:szCs w:val="24"/>
          <w:lang w:val="en-GB"/>
        </w:rPr>
        <w:t xml:space="preserve">, their </w:t>
      </w:r>
      <w:r w:rsidR="0073215F" w:rsidRPr="00F47052">
        <w:rPr>
          <w:rFonts w:ascii="Arial" w:hAnsi="Arial" w:cs="Arial"/>
          <w:sz w:val="24"/>
          <w:szCs w:val="24"/>
          <w:lang w:val="en-GB"/>
        </w:rPr>
        <w:t>interpretation</w:t>
      </w:r>
      <w:r w:rsidRPr="00F47052">
        <w:rPr>
          <w:rFonts w:ascii="Arial" w:hAnsi="Arial" w:cs="Arial"/>
          <w:sz w:val="24"/>
          <w:szCs w:val="24"/>
          <w:lang w:val="en-GB"/>
        </w:rPr>
        <w:t xml:space="preserve"> was that he has </w:t>
      </w:r>
      <w:r w:rsidR="0073215F" w:rsidRPr="00F47052">
        <w:rPr>
          <w:rFonts w:ascii="Arial" w:hAnsi="Arial" w:cs="Arial"/>
          <w:sz w:val="24"/>
          <w:szCs w:val="24"/>
          <w:lang w:val="en-GB"/>
        </w:rPr>
        <w:t>supposedly</w:t>
      </w:r>
      <w:r w:rsidRPr="00F47052">
        <w:rPr>
          <w:rFonts w:ascii="Arial" w:hAnsi="Arial" w:cs="Arial"/>
          <w:sz w:val="24"/>
          <w:szCs w:val="24"/>
          <w:lang w:val="en-GB"/>
        </w:rPr>
        <w:t xml:space="preserve"> defamed them and they have used the tool from the Criminal Code against him to properly restore their honour and personal integrity</w:t>
      </w:r>
      <w:r w:rsidR="00B43872" w:rsidRPr="00F47052">
        <w:rPr>
          <w:rFonts w:ascii="Arial" w:hAnsi="Arial" w:cs="Arial"/>
          <w:sz w:val="24"/>
          <w:szCs w:val="24"/>
          <w:lang w:val="en-GB"/>
        </w:rPr>
        <w:t xml:space="preserve"> (proper just satisfaction from their viewpoint)</w:t>
      </w:r>
      <w:r w:rsidRPr="00F47052">
        <w:rPr>
          <w:rFonts w:ascii="Arial" w:hAnsi="Arial" w:cs="Arial"/>
          <w:sz w:val="24"/>
          <w:szCs w:val="24"/>
          <w:lang w:val="en-GB"/>
        </w:rPr>
        <w:t>. The former head of the national security agency therefore lost his ca</w:t>
      </w:r>
      <w:r w:rsidR="003663A1" w:rsidRPr="00F47052">
        <w:rPr>
          <w:rFonts w:ascii="Arial" w:hAnsi="Arial" w:cs="Arial"/>
          <w:sz w:val="24"/>
          <w:szCs w:val="24"/>
          <w:lang w:val="en-GB"/>
        </w:rPr>
        <w:t xml:space="preserve">se at the Constitutional Court and the journalists won (were able to continue to sue him for criminal defamation offences). </w:t>
      </w:r>
      <w:r w:rsidR="005A7730" w:rsidRPr="00F47052">
        <w:rPr>
          <w:rFonts w:ascii="Arial" w:hAnsi="Arial" w:cs="Arial"/>
          <w:sz w:val="24"/>
          <w:szCs w:val="24"/>
          <w:lang w:val="en-GB"/>
        </w:rPr>
        <w:t>Apparently,</w:t>
      </w:r>
      <w:r w:rsidR="003663A1" w:rsidRPr="00F47052">
        <w:rPr>
          <w:rFonts w:ascii="Arial" w:hAnsi="Arial" w:cs="Arial"/>
          <w:sz w:val="24"/>
          <w:szCs w:val="24"/>
          <w:lang w:val="en-GB"/>
        </w:rPr>
        <w:t xml:space="preserve"> in at least one case they have </w:t>
      </w:r>
      <w:r w:rsidR="0073215F" w:rsidRPr="00F47052">
        <w:rPr>
          <w:rFonts w:ascii="Arial" w:hAnsi="Arial" w:cs="Arial"/>
          <w:sz w:val="24"/>
          <w:szCs w:val="24"/>
          <w:lang w:val="en-GB"/>
        </w:rPr>
        <w:t>succeeded</w:t>
      </w:r>
      <w:r w:rsidR="003663A1" w:rsidRPr="00F47052">
        <w:rPr>
          <w:rFonts w:ascii="Arial" w:hAnsi="Arial" w:cs="Arial"/>
          <w:sz w:val="24"/>
          <w:szCs w:val="24"/>
          <w:lang w:val="en-GB"/>
        </w:rPr>
        <w:t xml:space="preserve"> and received a </w:t>
      </w:r>
      <w:r w:rsidR="000D4419" w:rsidRPr="00F47052">
        <w:rPr>
          <w:rFonts w:ascii="Arial" w:hAnsi="Arial" w:cs="Arial"/>
          <w:sz w:val="24"/>
          <w:szCs w:val="24"/>
          <w:lang w:val="en-GB"/>
        </w:rPr>
        <w:t xml:space="preserve">criminal </w:t>
      </w:r>
      <w:r w:rsidR="003663A1" w:rsidRPr="00F47052">
        <w:rPr>
          <w:rFonts w:ascii="Arial" w:hAnsi="Arial" w:cs="Arial"/>
          <w:sz w:val="24"/>
          <w:szCs w:val="24"/>
          <w:lang w:val="en-GB"/>
        </w:rPr>
        <w:t>conviction of the aforementioned claimant</w:t>
      </w:r>
      <w:r w:rsidR="000D4419" w:rsidRPr="00F47052">
        <w:rPr>
          <w:rFonts w:ascii="Arial" w:hAnsi="Arial" w:cs="Arial"/>
          <w:sz w:val="24"/>
          <w:szCs w:val="24"/>
          <w:lang w:val="en-GB"/>
        </w:rPr>
        <w:t xml:space="preserve"> for the then criminal offence of defamation</w:t>
      </w:r>
      <w:r w:rsidR="003663A1" w:rsidRPr="00F47052">
        <w:rPr>
          <w:rFonts w:ascii="Arial" w:hAnsi="Arial" w:cs="Arial"/>
          <w:sz w:val="24"/>
          <w:szCs w:val="24"/>
          <w:lang w:val="en-GB"/>
        </w:rPr>
        <w:t xml:space="preserve">. </w:t>
      </w:r>
    </w:p>
    <w:p w:rsidR="00997EF4" w:rsidRPr="00F47052" w:rsidRDefault="00997EF4" w:rsidP="0073215F">
      <w:pPr>
        <w:jc w:val="both"/>
        <w:rPr>
          <w:rFonts w:ascii="Arial" w:hAnsi="Arial" w:cs="Arial"/>
          <w:sz w:val="24"/>
          <w:szCs w:val="24"/>
          <w:lang w:val="en-GB"/>
        </w:rPr>
      </w:pPr>
    </w:p>
    <w:p w:rsidR="00997EF4" w:rsidRPr="00F47052" w:rsidRDefault="003663A1" w:rsidP="0073215F">
      <w:pPr>
        <w:pStyle w:val="ListParagraph"/>
        <w:numPr>
          <w:ilvl w:val="0"/>
          <w:numId w:val="1"/>
        </w:numPr>
        <w:jc w:val="both"/>
        <w:rPr>
          <w:rFonts w:ascii="Arial" w:hAnsi="Arial" w:cs="Arial"/>
          <w:iCs/>
          <w:sz w:val="24"/>
          <w:szCs w:val="24"/>
          <w:lang w:val="en-GB" w:eastAsia="sl-SI"/>
        </w:rPr>
      </w:pPr>
      <w:r w:rsidRPr="00F47052">
        <w:rPr>
          <w:rFonts w:ascii="Arial" w:hAnsi="Arial" w:cs="Arial"/>
          <w:i/>
          <w:iCs/>
          <w:sz w:val="24"/>
          <w:szCs w:val="24"/>
          <w:lang w:val="en-GB" w:eastAsia="sl-SI"/>
        </w:rPr>
        <w:t xml:space="preserve">Decision of the </w:t>
      </w:r>
      <w:r w:rsidR="00F26781" w:rsidRPr="00F47052">
        <w:rPr>
          <w:rFonts w:ascii="Arial" w:hAnsi="Arial" w:cs="Arial"/>
          <w:i/>
          <w:sz w:val="24"/>
          <w:szCs w:val="24"/>
          <w:lang w:val="en-GB"/>
        </w:rPr>
        <w:t>Constitut</w:t>
      </w:r>
      <w:r w:rsidRPr="00F47052">
        <w:rPr>
          <w:rFonts w:ascii="Arial" w:hAnsi="Arial" w:cs="Arial"/>
          <w:i/>
          <w:sz w:val="24"/>
          <w:szCs w:val="24"/>
          <w:lang w:val="en-GB"/>
        </w:rPr>
        <w:t>ional Court of the Republic of Slovenia</w:t>
      </w:r>
      <w:r w:rsidRPr="00F47052">
        <w:rPr>
          <w:rFonts w:ascii="Arial" w:hAnsi="Arial" w:cs="Arial"/>
          <w:i/>
          <w:iCs/>
          <w:sz w:val="24"/>
          <w:szCs w:val="24"/>
          <w:lang w:val="en-GB" w:eastAsia="sl-SI"/>
        </w:rPr>
        <w:t>, No. Up-1019/12, 26 March 2015</w:t>
      </w:r>
      <w:r w:rsidR="00B70BDC" w:rsidRPr="00F47052">
        <w:rPr>
          <w:rFonts w:ascii="Arial" w:hAnsi="Arial" w:cs="Arial"/>
          <w:iCs/>
          <w:sz w:val="24"/>
          <w:szCs w:val="24"/>
          <w:lang w:val="en-GB" w:eastAsia="sl-SI"/>
        </w:rPr>
        <w:t xml:space="preserve"> (published in: Official Gazette of the RS, No. 30/15) </w:t>
      </w:r>
      <w:r w:rsidR="00B43872" w:rsidRPr="00F47052">
        <w:rPr>
          <w:rFonts w:ascii="Arial" w:hAnsi="Arial" w:cs="Arial"/>
          <w:sz w:val="24"/>
          <w:szCs w:val="24"/>
          <w:lang w:val="en-GB"/>
        </w:rPr>
        <w:t>–</w:t>
      </w:r>
      <w:r w:rsidR="00B70BDC" w:rsidRPr="00F47052">
        <w:rPr>
          <w:rFonts w:ascii="Arial" w:hAnsi="Arial" w:cs="Arial"/>
          <w:iCs/>
          <w:sz w:val="24"/>
          <w:szCs w:val="24"/>
          <w:lang w:val="en-GB" w:eastAsia="sl-SI"/>
        </w:rPr>
        <w:t xml:space="preserve"> the </w:t>
      </w:r>
      <w:r w:rsidR="00F26781" w:rsidRPr="00F47052">
        <w:rPr>
          <w:rFonts w:ascii="Arial" w:hAnsi="Arial" w:cs="Arial"/>
          <w:iCs/>
          <w:sz w:val="24"/>
          <w:szCs w:val="24"/>
          <w:lang w:val="en-GB" w:eastAsia="sl-SI"/>
        </w:rPr>
        <w:t xml:space="preserve">abovementioned Decision of </w:t>
      </w:r>
      <w:r w:rsidR="00F26781" w:rsidRPr="00F47052">
        <w:rPr>
          <w:rFonts w:ascii="Arial" w:hAnsi="Arial" w:cs="Arial"/>
          <w:sz w:val="24"/>
          <w:szCs w:val="24"/>
          <w:lang w:val="en-GB"/>
        </w:rPr>
        <w:t xml:space="preserve">the Constitutional Court of the Republic of Slovenia of 1999 was re-confirmed as still »good case law«, so no decriminalisation of defamation type of </w:t>
      </w:r>
      <w:r w:rsidR="0073215F" w:rsidRPr="00F47052">
        <w:rPr>
          <w:rFonts w:ascii="Arial" w:hAnsi="Arial" w:cs="Arial"/>
          <w:sz w:val="24"/>
          <w:szCs w:val="24"/>
          <w:lang w:val="en-GB"/>
        </w:rPr>
        <w:t>criminal</w:t>
      </w:r>
      <w:r w:rsidR="00F26781" w:rsidRPr="00F47052">
        <w:rPr>
          <w:rFonts w:ascii="Arial" w:hAnsi="Arial" w:cs="Arial"/>
          <w:sz w:val="24"/>
          <w:szCs w:val="24"/>
          <w:lang w:val="en-GB"/>
        </w:rPr>
        <w:t xml:space="preserve"> offences</w:t>
      </w:r>
      <w:r w:rsidR="00B43872" w:rsidRPr="00F47052">
        <w:rPr>
          <w:rFonts w:ascii="Arial" w:hAnsi="Arial" w:cs="Arial"/>
          <w:sz w:val="24"/>
          <w:szCs w:val="24"/>
          <w:lang w:val="en-GB"/>
        </w:rPr>
        <w:t xml:space="preserve"> was stated, if anything, the Constitutional Court explained additionally which constitutional values are in conflict and what are their limits and that is why these criminal offences remain</w:t>
      </w:r>
      <w:r w:rsidR="00F26781" w:rsidRPr="00F47052">
        <w:rPr>
          <w:rFonts w:ascii="Arial" w:hAnsi="Arial" w:cs="Arial"/>
          <w:sz w:val="24"/>
          <w:szCs w:val="24"/>
          <w:lang w:val="en-GB"/>
        </w:rPr>
        <w:t xml:space="preserve">. And the case law of the European Court of Human Rights and of the Federal Constitutional Court of the Republic of </w:t>
      </w:r>
      <w:r w:rsidR="0073215F" w:rsidRPr="00F47052">
        <w:rPr>
          <w:rFonts w:ascii="Arial" w:hAnsi="Arial" w:cs="Arial"/>
          <w:sz w:val="24"/>
          <w:szCs w:val="24"/>
          <w:lang w:val="en-GB"/>
        </w:rPr>
        <w:t>Germany</w:t>
      </w:r>
      <w:r w:rsidR="00F26781" w:rsidRPr="00F47052">
        <w:rPr>
          <w:rFonts w:ascii="Arial" w:hAnsi="Arial" w:cs="Arial"/>
          <w:sz w:val="24"/>
          <w:szCs w:val="24"/>
          <w:lang w:val="en-GB"/>
        </w:rPr>
        <w:t xml:space="preserve"> are abundantly quoted in this </w:t>
      </w:r>
      <w:r w:rsidR="0073215F" w:rsidRPr="00F47052">
        <w:rPr>
          <w:rFonts w:ascii="Arial" w:hAnsi="Arial" w:cs="Arial"/>
          <w:sz w:val="24"/>
          <w:szCs w:val="24"/>
          <w:lang w:val="en-GB"/>
        </w:rPr>
        <w:t>Decision</w:t>
      </w:r>
      <w:r w:rsidR="00F26781" w:rsidRPr="00F47052">
        <w:rPr>
          <w:rFonts w:ascii="Arial" w:hAnsi="Arial" w:cs="Arial"/>
          <w:sz w:val="24"/>
          <w:szCs w:val="24"/>
          <w:lang w:val="en-GB"/>
        </w:rPr>
        <w:t xml:space="preserve"> </w:t>
      </w:r>
      <w:r w:rsidR="0073215F" w:rsidRPr="00F47052">
        <w:rPr>
          <w:rFonts w:ascii="Arial" w:hAnsi="Arial" w:cs="Arial"/>
          <w:sz w:val="24"/>
          <w:szCs w:val="24"/>
          <w:lang w:val="en-GB"/>
        </w:rPr>
        <w:t>(</w:t>
      </w:r>
      <w:r w:rsidR="00F26781" w:rsidRPr="00F47052">
        <w:rPr>
          <w:rFonts w:ascii="Arial" w:hAnsi="Arial" w:cs="Arial"/>
          <w:sz w:val="24"/>
          <w:szCs w:val="24"/>
          <w:lang w:val="en-GB"/>
        </w:rPr>
        <w:t>also the new, mo</w:t>
      </w:r>
      <w:r w:rsidR="008A44D1" w:rsidRPr="00F47052">
        <w:rPr>
          <w:rFonts w:ascii="Arial" w:hAnsi="Arial" w:cs="Arial"/>
          <w:sz w:val="24"/>
          <w:szCs w:val="24"/>
          <w:lang w:val="en-GB"/>
        </w:rPr>
        <w:t>s</w:t>
      </w:r>
      <w:r w:rsidR="00F26781" w:rsidRPr="00F47052">
        <w:rPr>
          <w:rFonts w:ascii="Arial" w:hAnsi="Arial" w:cs="Arial"/>
          <w:sz w:val="24"/>
          <w:szCs w:val="24"/>
          <w:lang w:val="en-GB"/>
        </w:rPr>
        <w:t xml:space="preserve">t recent case law) as well as </w:t>
      </w:r>
      <w:r w:rsidR="008A44D1" w:rsidRPr="00F47052">
        <w:rPr>
          <w:rFonts w:ascii="Arial" w:hAnsi="Arial" w:cs="Arial"/>
          <w:sz w:val="24"/>
          <w:szCs w:val="24"/>
          <w:lang w:val="en-GB"/>
        </w:rPr>
        <w:t xml:space="preserve">some </w:t>
      </w:r>
      <w:r w:rsidR="00F26781" w:rsidRPr="00F47052">
        <w:rPr>
          <w:rFonts w:ascii="Arial" w:hAnsi="Arial" w:cs="Arial"/>
          <w:sz w:val="24"/>
          <w:szCs w:val="24"/>
          <w:lang w:val="en-GB"/>
        </w:rPr>
        <w:t xml:space="preserve">positions of legal academia from other </w:t>
      </w:r>
      <w:r w:rsidR="0073215F" w:rsidRPr="00F47052">
        <w:rPr>
          <w:rFonts w:ascii="Arial" w:hAnsi="Arial" w:cs="Arial"/>
          <w:sz w:val="24"/>
          <w:szCs w:val="24"/>
          <w:lang w:val="en-GB"/>
        </w:rPr>
        <w:t>countries</w:t>
      </w:r>
      <w:r w:rsidR="00F26781" w:rsidRPr="00F47052">
        <w:rPr>
          <w:rFonts w:ascii="Arial" w:hAnsi="Arial" w:cs="Arial"/>
          <w:sz w:val="24"/>
          <w:szCs w:val="24"/>
          <w:lang w:val="en-GB"/>
        </w:rPr>
        <w:t xml:space="preserve"> of Europe. </w:t>
      </w:r>
    </w:p>
    <w:p w:rsidR="00B70BDC" w:rsidRPr="00F47052" w:rsidRDefault="00B70BDC" w:rsidP="00B70BDC">
      <w:pPr>
        <w:pStyle w:val="ListParagraph"/>
        <w:jc w:val="both"/>
        <w:rPr>
          <w:rFonts w:ascii="Arial" w:hAnsi="Arial" w:cs="Arial"/>
          <w:lang w:val="en-GB"/>
        </w:rPr>
      </w:pPr>
    </w:p>
    <w:p w:rsidR="001D169C" w:rsidRPr="005A0067" w:rsidRDefault="005A0067" w:rsidP="005A0067">
      <w:pPr>
        <w:suppressAutoHyphens/>
        <w:spacing w:before="240" w:after="0" w:line="240" w:lineRule="atLeast"/>
        <w:ind w:left="1134" w:right="1134"/>
        <w:jc w:val="center"/>
        <w:rPr>
          <w:u w:val="single"/>
          <w:lang w:val="en-GB"/>
        </w:rPr>
      </w:pPr>
      <w:r>
        <w:rPr>
          <w:u w:val="single"/>
          <w:lang w:val="en-GB"/>
        </w:rPr>
        <w:tab/>
      </w:r>
      <w:r>
        <w:rPr>
          <w:u w:val="single"/>
          <w:lang w:val="en-GB"/>
        </w:rPr>
        <w:tab/>
      </w:r>
      <w:r>
        <w:rPr>
          <w:u w:val="single"/>
          <w:lang w:val="en-GB"/>
        </w:rPr>
        <w:tab/>
      </w:r>
    </w:p>
    <w:p w:rsidR="005A0067" w:rsidRPr="00982762" w:rsidRDefault="005A0067" w:rsidP="005A0067">
      <w:pPr>
        <w:spacing w:after="0" w:line="260" w:lineRule="exact"/>
        <w:rPr>
          <w:rFonts w:ascii="Arial" w:hAnsi="Arial" w:cs="Arial"/>
          <w:b/>
          <w:sz w:val="20"/>
          <w:szCs w:val="20"/>
          <w:lang w:val="en-GB"/>
        </w:rPr>
      </w:pPr>
      <w:r>
        <w:rPr>
          <w:rFonts w:ascii="Arial" w:hAnsi="Arial" w:cs="Arial"/>
          <w:b/>
          <w:sz w:val="20"/>
          <w:szCs w:val="20"/>
          <w:lang w:val="en-GB"/>
        </w:rPr>
        <w:t>INTERNATIONAL PROTECTION ACT</w:t>
      </w:r>
      <w:r w:rsidRPr="00982762">
        <w:rPr>
          <w:rFonts w:ascii="Arial" w:hAnsi="Arial" w:cs="Arial"/>
          <w:b/>
          <w:sz w:val="20"/>
          <w:szCs w:val="20"/>
          <w:lang w:val="en-GB"/>
        </w:rPr>
        <w:t xml:space="preserve"> (PR</w:t>
      </w:r>
      <w:r>
        <w:rPr>
          <w:rFonts w:ascii="Arial" w:hAnsi="Arial" w:cs="Arial"/>
          <w:b/>
          <w:sz w:val="20"/>
          <w:szCs w:val="20"/>
          <w:lang w:val="en-GB"/>
        </w:rPr>
        <w:t>OPOSAL</w:t>
      </w:r>
      <w:r w:rsidRPr="00982762">
        <w:rPr>
          <w:rFonts w:ascii="Arial" w:hAnsi="Arial" w:cs="Arial"/>
          <w:b/>
          <w:sz w:val="20"/>
          <w:szCs w:val="20"/>
          <w:lang w:val="en-GB"/>
        </w:rPr>
        <w:t>)</w:t>
      </w:r>
    </w:p>
    <w:p w:rsidR="005A0067" w:rsidRPr="00982762" w:rsidRDefault="005A0067" w:rsidP="005A0067">
      <w:pPr>
        <w:spacing w:after="0" w:line="260" w:lineRule="exact"/>
        <w:rPr>
          <w:rFonts w:ascii="Arial" w:hAnsi="Arial" w:cs="Arial"/>
          <w:sz w:val="20"/>
          <w:szCs w:val="20"/>
          <w:lang w:val="en-GB"/>
        </w:rPr>
      </w:pPr>
      <w:r>
        <w:rPr>
          <w:rFonts w:ascii="Arial" w:hAnsi="Arial" w:cs="Arial"/>
          <w:sz w:val="20"/>
          <w:szCs w:val="20"/>
          <w:lang w:val="en-GB"/>
        </w:rPr>
        <w:t xml:space="preserve">The proposal for this act has already been approved at March 4, 2016 National Assembly session but it </w:t>
      </w:r>
      <w:r w:rsidRPr="00FD72C4">
        <w:rPr>
          <w:rFonts w:ascii="Arial" w:hAnsi="Arial" w:cs="Arial"/>
          <w:b/>
          <w:sz w:val="20"/>
          <w:szCs w:val="20"/>
          <w:u w:val="single"/>
          <w:lang w:val="en-GB"/>
        </w:rPr>
        <w:t>has not yet been</w:t>
      </w:r>
      <w:r>
        <w:rPr>
          <w:rFonts w:ascii="Arial" w:hAnsi="Arial" w:cs="Arial"/>
          <w:b/>
          <w:sz w:val="20"/>
          <w:szCs w:val="20"/>
          <w:u w:val="single"/>
          <w:lang w:val="en-GB"/>
        </w:rPr>
        <w:t xml:space="preserve"> finally </w:t>
      </w:r>
      <w:r w:rsidRPr="00FD72C4">
        <w:rPr>
          <w:rFonts w:ascii="Arial" w:hAnsi="Arial" w:cs="Arial"/>
          <w:b/>
          <w:sz w:val="20"/>
          <w:szCs w:val="20"/>
          <w:u w:val="single"/>
          <w:lang w:val="en-GB"/>
        </w:rPr>
        <w:t>adopted</w:t>
      </w:r>
      <w:r>
        <w:rPr>
          <w:rFonts w:ascii="Arial" w:hAnsi="Arial" w:cs="Arial"/>
          <w:sz w:val="20"/>
          <w:szCs w:val="20"/>
          <w:lang w:val="en-GB"/>
        </w:rPr>
        <w:t xml:space="preserve">, due to a </w:t>
      </w:r>
      <w:r w:rsidRPr="00FD72C4">
        <w:rPr>
          <w:rFonts w:ascii="Arial" w:hAnsi="Arial" w:cs="Arial"/>
          <w:sz w:val="20"/>
          <w:szCs w:val="20"/>
          <w:lang w:val="en-GB"/>
        </w:rPr>
        <w:t>process of collecting signatures for a referendum</w:t>
      </w:r>
      <w:r>
        <w:rPr>
          <w:rFonts w:ascii="Arial" w:hAnsi="Arial" w:cs="Arial"/>
          <w:sz w:val="20"/>
          <w:szCs w:val="20"/>
          <w:lang w:val="en-GB"/>
        </w:rPr>
        <w:t>.</w:t>
      </w:r>
      <w:r w:rsidRPr="00982762">
        <w:rPr>
          <w:rFonts w:ascii="Arial" w:hAnsi="Arial" w:cs="Arial"/>
          <w:sz w:val="20"/>
          <w:szCs w:val="20"/>
          <w:lang w:val="en-GB"/>
        </w:rPr>
        <w:t xml:space="preserve"> </w:t>
      </w:r>
    </w:p>
    <w:p w:rsidR="005A0067" w:rsidRPr="00982762" w:rsidRDefault="005A0067" w:rsidP="005A0067">
      <w:pPr>
        <w:spacing w:after="0" w:line="260" w:lineRule="exact"/>
        <w:rPr>
          <w:rFonts w:ascii="Arial" w:hAnsi="Arial" w:cs="Arial"/>
          <w:sz w:val="20"/>
          <w:szCs w:val="20"/>
          <w:lang w:val="en-GB"/>
        </w:rPr>
      </w:pPr>
    </w:p>
    <w:p w:rsidR="005A0067" w:rsidRPr="00982762" w:rsidRDefault="005A0067" w:rsidP="005A0067">
      <w:pPr>
        <w:spacing w:after="0" w:line="260" w:lineRule="exact"/>
        <w:rPr>
          <w:rFonts w:ascii="Arial" w:hAnsi="Arial" w:cs="Arial"/>
          <w:i/>
          <w:sz w:val="20"/>
          <w:szCs w:val="20"/>
          <w:lang w:val="en-GB"/>
        </w:rPr>
      </w:pPr>
      <w:r w:rsidRPr="00982762">
        <w:rPr>
          <w:rFonts w:ascii="Arial" w:hAnsi="Arial" w:cs="Arial"/>
          <w:b/>
          <w:sz w:val="20"/>
          <w:szCs w:val="20"/>
          <w:lang w:val="en-GB"/>
        </w:rPr>
        <w:t>P</w:t>
      </w:r>
      <w:r>
        <w:rPr>
          <w:rFonts w:ascii="Arial" w:hAnsi="Arial" w:cs="Arial"/>
          <w:b/>
          <w:sz w:val="20"/>
          <w:szCs w:val="20"/>
          <w:lang w:val="en-GB"/>
        </w:rPr>
        <w:t>ROCEDURAL NOVELITES:</w:t>
      </w: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13: </w:t>
      </w:r>
      <w:r>
        <w:rPr>
          <w:rFonts w:ascii="Arial" w:hAnsi="Arial" w:cs="Arial"/>
          <w:sz w:val="20"/>
          <w:szCs w:val="20"/>
          <w:lang w:val="en-GB"/>
        </w:rPr>
        <w:t>The proposal defines more clearly and in more details special guarantees for applicants with special needs concerning the reception and the applicants who need particular procedural guarantees. Special needs are assessed during the examination, which takes place prior to the reception of an application, yet they can be identified at any time later in the procedure</w:t>
      </w:r>
      <w:r w:rsidRPr="00982762">
        <w:rPr>
          <w:rFonts w:ascii="Arial" w:hAnsi="Arial" w:cs="Arial"/>
          <w:sz w:val="20"/>
          <w:szCs w:val="20"/>
          <w:lang w:val="en-GB"/>
        </w:rPr>
        <w:t xml:space="preserve">; </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51: </w:t>
      </w:r>
      <w:r>
        <w:rPr>
          <w:rFonts w:ascii="Arial" w:hAnsi="Arial" w:cs="Arial"/>
          <w:sz w:val="20"/>
          <w:szCs w:val="20"/>
          <w:lang w:val="en-GB"/>
        </w:rPr>
        <w:t>It defines more clearly the term of an inadmissible application and the deadlines for issuing the first instance decision for conducting procedures in shorter time and therefore the treatment of applicants for international protection. The proposal defines exactly the decision making deadlines</w:t>
      </w:r>
      <w:r w:rsidRPr="00982762">
        <w:rPr>
          <w:rFonts w:ascii="Arial" w:hAnsi="Arial" w:cs="Arial"/>
          <w:sz w:val="20"/>
          <w:szCs w:val="20"/>
          <w:lang w:val="en-GB"/>
        </w:rPr>
        <w:t xml:space="preserve"> (</w:t>
      </w:r>
      <w:r>
        <w:rPr>
          <w:rFonts w:ascii="Arial" w:hAnsi="Arial" w:cs="Arial"/>
          <w:sz w:val="20"/>
          <w:szCs w:val="20"/>
          <w:lang w:val="en-GB"/>
        </w:rPr>
        <w:t xml:space="preserve">Article </w:t>
      </w:r>
      <w:r w:rsidRPr="00982762">
        <w:rPr>
          <w:rFonts w:ascii="Arial" w:hAnsi="Arial" w:cs="Arial"/>
          <w:sz w:val="20"/>
          <w:szCs w:val="20"/>
          <w:lang w:val="en-GB"/>
        </w:rPr>
        <w:t>47)</w:t>
      </w:r>
      <w:r>
        <w:rPr>
          <w:rFonts w:ascii="Arial" w:hAnsi="Arial" w:cs="Arial"/>
          <w:sz w:val="20"/>
          <w:szCs w:val="20"/>
          <w:lang w:val="en-GB"/>
        </w:rPr>
        <w:t xml:space="preserve"> meaning that the competent authority must take the decision in the shortest time possible and if a quicker decision is not possible, no later than in six months since the application was lodged. The cases where this deadline can be renewed are exactly defined, as well as the deadlines for making the decision</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lastRenderedPageBreak/>
        <w:t xml:space="preserve">Article </w:t>
      </w:r>
      <w:r w:rsidRPr="00982762">
        <w:rPr>
          <w:rFonts w:ascii="Arial" w:hAnsi="Arial" w:cs="Arial"/>
          <w:sz w:val="20"/>
          <w:szCs w:val="20"/>
          <w:lang w:val="en-GB"/>
        </w:rPr>
        <w:t>70, 47</w:t>
      </w:r>
      <w:r>
        <w:rPr>
          <w:rFonts w:ascii="Arial" w:hAnsi="Arial" w:cs="Arial"/>
          <w:sz w:val="20"/>
          <w:szCs w:val="20"/>
          <w:lang w:val="en-GB"/>
        </w:rPr>
        <w:t>: The proposal provides for longer deadlines for taking a decision in accelerated procedures (the competent authority has to decide the case in two months since the reception of an application); the deadline for filing an appeal against the decision in an accelerated procedure is three days and the Administrative Court has to decide on the administrative action in seven days</w:t>
      </w:r>
      <w:r w:rsidRPr="00982762">
        <w:rPr>
          <w:rFonts w:ascii="Arial" w:hAnsi="Arial" w:cs="Arial"/>
          <w:sz w:val="20"/>
          <w:szCs w:val="20"/>
          <w:lang w:val="en-GB"/>
        </w:rPr>
        <w:t>;</w:t>
      </w:r>
    </w:p>
    <w:p w:rsidR="005A0067"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sidRPr="0050505A">
        <w:rPr>
          <w:rFonts w:ascii="Arial" w:hAnsi="Arial" w:cs="Arial"/>
          <w:sz w:val="20"/>
          <w:szCs w:val="20"/>
          <w:lang w:val="en-GB"/>
        </w:rPr>
        <w:t xml:space="preserve">Article 70: the appeal as a regular remedy with the Administrative Court of the Republic of Slovenia to the Supreme Court was abolished. </w:t>
      </w:r>
      <w:r>
        <w:rPr>
          <w:rFonts w:ascii="Arial" w:hAnsi="Arial" w:cs="Arial"/>
          <w:sz w:val="20"/>
          <w:szCs w:val="20"/>
          <w:lang w:val="en-GB"/>
        </w:rPr>
        <w:t xml:space="preserve">The situation would be this: </w:t>
      </w:r>
      <w:r w:rsidRPr="0050505A">
        <w:rPr>
          <w:rFonts w:ascii="Arial" w:hAnsi="Arial" w:cs="Arial"/>
          <w:sz w:val="20"/>
          <w:szCs w:val="20"/>
          <w:lang w:val="en-GB"/>
        </w:rPr>
        <w:t>it is open to appeal to the Administrative Court of the Republic of Slovenia</w:t>
      </w:r>
      <w:r w:rsidRPr="000A4C3E">
        <w:rPr>
          <w:rFonts w:ascii="Arial" w:hAnsi="Arial" w:cs="Arial"/>
          <w:sz w:val="20"/>
          <w:szCs w:val="20"/>
          <w:lang w:val="en-GB"/>
        </w:rPr>
        <w:t xml:space="preserve"> </w:t>
      </w:r>
      <w:r>
        <w:rPr>
          <w:rFonts w:ascii="Arial" w:hAnsi="Arial" w:cs="Arial"/>
          <w:sz w:val="20"/>
          <w:szCs w:val="20"/>
          <w:lang w:val="en-GB"/>
        </w:rPr>
        <w:t>a</w:t>
      </w:r>
      <w:r w:rsidRPr="0050505A">
        <w:rPr>
          <w:rFonts w:ascii="Arial" w:hAnsi="Arial" w:cs="Arial"/>
          <w:sz w:val="20"/>
          <w:szCs w:val="20"/>
          <w:lang w:val="en-GB"/>
        </w:rPr>
        <w:t>gainst the decision, and</w:t>
      </w:r>
      <w:r>
        <w:rPr>
          <w:rFonts w:ascii="Arial" w:hAnsi="Arial" w:cs="Arial"/>
          <w:sz w:val="20"/>
          <w:szCs w:val="20"/>
          <w:lang w:val="en-GB"/>
        </w:rPr>
        <w:t xml:space="preserve"> after its decision</w:t>
      </w:r>
      <w:r w:rsidRPr="0050505A">
        <w:rPr>
          <w:rFonts w:ascii="Arial" w:hAnsi="Arial" w:cs="Arial"/>
          <w:sz w:val="20"/>
          <w:szCs w:val="20"/>
          <w:lang w:val="en-GB"/>
        </w:rPr>
        <w:t xml:space="preserve"> </w:t>
      </w:r>
      <w:r>
        <w:rPr>
          <w:rFonts w:ascii="Arial" w:hAnsi="Arial" w:cs="Arial"/>
          <w:sz w:val="20"/>
          <w:szCs w:val="20"/>
          <w:lang w:val="en-GB"/>
        </w:rPr>
        <w:t>to file</w:t>
      </w:r>
      <w:r w:rsidRPr="0050505A">
        <w:rPr>
          <w:rFonts w:ascii="Arial" w:hAnsi="Arial" w:cs="Arial"/>
          <w:sz w:val="20"/>
          <w:szCs w:val="20"/>
          <w:lang w:val="en-GB"/>
        </w:rPr>
        <w:t xml:space="preserve"> </w:t>
      </w:r>
      <w:r>
        <w:rPr>
          <w:rFonts w:ascii="Arial" w:hAnsi="Arial" w:cs="Arial"/>
          <w:sz w:val="20"/>
          <w:szCs w:val="20"/>
          <w:lang w:val="en-GB"/>
        </w:rPr>
        <w:t xml:space="preserve">an </w:t>
      </w:r>
      <w:r w:rsidRPr="0050505A">
        <w:rPr>
          <w:rFonts w:ascii="Arial" w:hAnsi="Arial" w:cs="Arial"/>
          <w:sz w:val="20"/>
          <w:szCs w:val="20"/>
          <w:lang w:val="en-GB"/>
        </w:rPr>
        <w:t xml:space="preserve">extraordinary appeal (judicial review) to the Supreme Court. On the basis of the law which governs proceedings before the Constitutional Court, applicants for international protection </w:t>
      </w:r>
      <w:r>
        <w:rPr>
          <w:rFonts w:ascii="Arial" w:hAnsi="Arial" w:cs="Arial"/>
          <w:sz w:val="20"/>
          <w:szCs w:val="20"/>
          <w:lang w:val="en-GB"/>
        </w:rPr>
        <w:t xml:space="preserve">may </w:t>
      </w:r>
      <w:r w:rsidRPr="0050505A">
        <w:rPr>
          <w:rFonts w:ascii="Arial" w:hAnsi="Arial" w:cs="Arial"/>
          <w:sz w:val="20"/>
          <w:szCs w:val="20"/>
          <w:lang w:val="en-GB"/>
        </w:rPr>
        <w:t xml:space="preserve">lodge a constitutional </w:t>
      </w:r>
      <w:r>
        <w:rPr>
          <w:rFonts w:ascii="Arial" w:hAnsi="Arial" w:cs="Arial"/>
          <w:sz w:val="20"/>
          <w:szCs w:val="20"/>
          <w:lang w:val="en-GB"/>
        </w:rPr>
        <w:t>complaint</w:t>
      </w:r>
      <w:r w:rsidRPr="0050505A">
        <w:rPr>
          <w:rFonts w:ascii="Arial" w:hAnsi="Arial" w:cs="Arial"/>
          <w:sz w:val="20"/>
          <w:szCs w:val="20"/>
          <w:lang w:val="en-GB"/>
        </w:rPr>
        <w:t xml:space="preserve">, which means that </w:t>
      </w:r>
      <w:r>
        <w:rPr>
          <w:rFonts w:ascii="Arial" w:hAnsi="Arial" w:cs="Arial"/>
          <w:sz w:val="20"/>
          <w:szCs w:val="20"/>
          <w:lang w:val="en-GB"/>
        </w:rPr>
        <w:t xml:space="preserve">effective judicial protection is still ensured to the </w:t>
      </w:r>
      <w:r w:rsidRPr="0050505A">
        <w:rPr>
          <w:rFonts w:ascii="Arial" w:hAnsi="Arial" w:cs="Arial"/>
          <w:sz w:val="20"/>
          <w:szCs w:val="20"/>
          <w:lang w:val="en-GB"/>
        </w:rPr>
        <w:t>applicants for international protection.</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84: </w:t>
      </w:r>
      <w:r>
        <w:rPr>
          <w:rFonts w:ascii="Arial" w:hAnsi="Arial" w:cs="Arial"/>
          <w:sz w:val="20"/>
          <w:szCs w:val="20"/>
          <w:lang w:val="en-GB"/>
        </w:rPr>
        <w:t>Compared to the currently applicable law the national legal order is harmonised with the directive as regards the detention of international protection applicants. A</w:t>
      </w:r>
      <w:r w:rsidRPr="00096F4B">
        <w:rPr>
          <w:rFonts w:ascii="Arial" w:hAnsi="Arial" w:cs="Arial"/>
          <w:sz w:val="20"/>
          <w:szCs w:val="20"/>
          <w:lang w:val="en-GB"/>
        </w:rPr>
        <w:t xml:space="preserve"> new control mechanism for the implementation of a measure restricting </w:t>
      </w:r>
      <w:r>
        <w:rPr>
          <w:rFonts w:ascii="Arial" w:hAnsi="Arial" w:cs="Arial"/>
          <w:sz w:val="20"/>
          <w:szCs w:val="20"/>
          <w:lang w:val="en-GB"/>
        </w:rPr>
        <w:t xml:space="preserve">applicant`s </w:t>
      </w:r>
      <w:r w:rsidRPr="00096F4B">
        <w:rPr>
          <w:rFonts w:ascii="Arial" w:hAnsi="Arial" w:cs="Arial"/>
          <w:sz w:val="20"/>
          <w:szCs w:val="20"/>
          <w:lang w:val="en-GB"/>
        </w:rPr>
        <w:t>movement</w:t>
      </w:r>
      <w:r>
        <w:rPr>
          <w:rFonts w:ascii="Arial" w:hAnsi="Arial" w:cs="Arial"/>
          <w:sz w:val="20"/>
          <w:szCs w:val="20"/>
          <w:lang w:val="en-GB"/>
        </w:rPr>
        <w:t xml:space="preserve"> is introduced</w:t>
      </w:r>
      <w:r w:rsidRPr="00096F4B">
        <w:rPr>
          <w:rFonts w:ascii="Arial" w:hAnsi="Arial" w:cs="Arial"/>
          <w:sz w:val="20"/>
          <w:szCs w:val="20"/>
          <w:lang w:val="en-GB"/>
        </w:rPr>
        <w:t xml:space="preserve">. Administrative Court of the Republic of Slovenia may carry out direct control over the implementation of a measure restricting movement or a more lenient measure. If the judge </w:t>
      </w:r>
      <w:r>
        <w:rPr>
          <w:rFonts w:ascii="Arial" w:hAnsi="Arial" w:cs="Arial"/>
          <w:sz w:val="20"/>
          <w:szCs w:val="20"/>
          <w:lang w:val="en-GB"/>
        </w:rPr>
        <w:t xml:space="preserve">concludes that </w:t>
      </w:r>
      <w:r w:rsidRPr="00096F4B">
        <w:rPr>
          <w:rFonts w:ascii="Arial" w:hAnsi="Arial" w:cs="Arial"/>
          <w:sz w:val="20"/>
          <w:szCs w:val="20"/>
          <w:lang w:val="en-GB"/>
        </w:rPr>
        <w:t>in the context of controls carried out to determine the reasons for limiting the movement for a particular applicant no longer exist,</w:t>
      </w:r>
      <w:r>
        <w:rPr>
          <w:rFonts w:ascii="Arial" w:hAnsi="Arial" w:cs="Arial"/>
          <w:sz w:val="20"/>
          <w:szCs w:val="20"/>
          <w:lang w:val="en-GB"/>
        </w:rPr>
        <w:t xml:space="preserve"> he/she</w:t>
      </w:r>
      <w:r w:rsidRPr="00096F4B">
        <w:rPr>
          <w:rFonts w:ascii="Arial" w:hAnsi="Arial" w:cs="Arial"/>
          <w:sz w:val="20"/>
          <w:szCs w:val="20"/>
          <w:lang w:val="en-GB"/>
        </w:rPr>
        <w:t xml:space="preserve"> order</w:t>
      </w:r>
      <w:r>
        <w:rPr>
          <w:rFonts w:ascii="Arial" w:hAnsi="Arial" w:cs="Arial"/>
          <w:sz w:val="20"/>
          <w:szCs w:val="20"/>
          <w:lang w:val="en-GB"/>
        </w:rPr>
        <w:t>s</w:t>
      </w:r>
      <w:r w:rsidRPr="00096F4B">
        <w:rPr>
          <w:rFonts w:ascii="Arial" w:hAnsi="Arial" w:cs="Arial"/>
          <w:sz w:val="20"/>
          <w:szCs w:val="20"/>
          <w:lang w:val="en-GB"/>
        </w:rPr>
        <w:t xml:space="preserve"> the lifting of the measure. If the reasons </w:t>
      </w:r>
      <w:r>
        <w:rPr>
          <w:rFonts w:ascii="Arial" w:hAnsi="Arial" w:cs="Arial"/>
          <w:sz w:val="20"/>
          <w:szCs w:val="20"/>
          <w:lang w:val="en-GB"/>
        </w:rPr>
        <w:t xml:space="preserve">for </w:t>
      </w:r>
      <w:r w:rsidRPr="00096F4B">
        <w:rPr>
          <w:rFonts w:ascii="Arial" w:hAnsi="Arial" w:cs="Arial"/>
          <w:sz w:val="20"/>
          <w:szCs w:val="20"/>
          <w:lang w:val="en-GB"/>
        </w:rPr>
        <w:t xml:space="preserve">more lenient measure or measure movement restrictions </w:t>
      </w:r>
      <w:r>
        <w:rPr>
          <w:rFonts w:ascii="Arial" w:hAnsi="Arial" w:cs="Arial"/>
          <w:sz w:val="20"/>
          <w:szCs w:val="20"/>
          <w:lang w:val="en-GB"/>
        </w:rPr>
        <w:t xml:space="preserve">cease than </w:t>
      </w:r>
      <w:r w:rsidRPr="00096F4B">
        <w:rPr>
          <w:rFonts w:ascii="Arial" w:hAnsi="Arial" w:cs="Arial"/>
          <w:sz w:val="20"/>
          <w:szCs w:val="20"/>
          <w:lang w:val="en-GB"/>
        </w:rPr>
        <w:t>the measure is eliminate</w:t>
      </w:r>
      <w:r>
        <w:rPr>
          <w:rFonts w:ascii="Arial" w:hAnsi="Arial" w:cs="Arial"/>
          <w:sz w:val="20"/>
          <w:szCs w:val="20"/>
          <w:lang w:val="en-GB"/>
        </w:rPr>
        <w:t>d ex officio. This is an additional new control mechanism that establishes semi-habeas corpus judge</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46</w:t>
      </w:r>
      <w:r>
        <w:rPr>
          <w:rFonts w:ascii="Arial" w:hAnsi="Arial" w:cs="Arial"/>
          <w:sz w:val="20"/>
          <w:szCs w:val="20"/>
          <w:lang w:val="en-GB"/>
        </w:rPr>
        <w:t>: For the implementation of the Dublin procedure, the proposal provides a personal interview (before this, a personal interview was not mandatory in the Dublin procedure</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66</w:t>
      </w:r>
      <w:r>
        <w:rPr>
          <w:rFonts w:ascii="Arial" w:hAnsi="Arial" w:cs="Arial"/>
          <w:sz w:val="20"/>
          <w:szCs w:val="20"/>
          <w:lang w:val="en-GB"/>
        </w:rPr>
        <w:t>: It introduces a new possibility that a person who has been granted subsidiary protection does not apply for the renewal of subsidiary protection once this status expires but he or she can file a request for instigating a new international protection procedure if the person believes that in his or her case new circumstances emerged which require a new assessment of the reasons for which the international protection is granted</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15: </w:t>
      </w:r>
      <w:r>
        <w:rPr>
          <w:rFonts w:ascii="Arial" w:hAnsi="Arial" w:cs="Arial"/>
          <w:sz w:val="20"/>
          <w:szCs w:val="20"/>
          <w:lang w:val="en-GB"/>
        </w:rPr>
        <w:t>As regards the unaccompanied minors the proposal defines anew the factors to be considered by the competent authority in assessing the child's best interests</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64: </w:t>
      </w:r>
      <w:r>
        <w:rPr>
          <w:rFonts w:ascii="Arial" w:hAnsi="Arial" w:cs="Arial"/>
          <w:sz w:val="20"/>
          <w:szCs w:val="20"/>
          <w:lang w:val="en-GB"/>
        </w:rPr>
        <w:t>It restricts the possibility to file new applications, namely, an applicant whose first request for instigating a new procedure is finally rejected can be included in proceedings under the provisions of the Aliens Act</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50: </w:t>
      </w:r>
      <w:r>
        <w:rPr>
          <w:rFonts w:ascii="Arial" w:hAnsi="Arial" w:cs="Arial"/>
          <w:sz w:val="20"/>
          <w:szCs w:val="20"/>
          <w:lang w:val="en-GB"/>
        </w:rPr>
        <w:t>The possibility of filing new applications is of a limited duration if the applicant left the Asylum Centre on his or her own initiative and the procedure is discontinued by the decision</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49: </w:t>
      </w:r>
      <w:r>
        <w:rPr>
          <w:rFonts w:ascii="Arial" w:hAnsi="Arial" w:cs="Arial"/>
          <w:sz w:val="20"/>
          <w:szCs w:val="20"/>
          <w:lang w:val="en-GB"/>
        </w:rPr>
        <w:t>The proposal envisages the possibility of taking a decision on the merits (content related) also in cases where an applicant leaves the Asylum Centre on his or her initiative if the personal interview already took place and there is sufficient evidence available to take a decision on the merits. The current legislation does not envisage this possibility</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Default="005A0067" w:rsidP="005A0067">
      <w:pPr>
        <w:spacing w:after="0" w:line="260" w:lineRule="exact"/>
        <w:jc w:val="both"/>
        <w:rPr>
          <w:rFonts w:ascii="Arial" w:hAnsi="Arial" w:cs="Arial"/>
          <w:sz w:val="20"/>
          <w:szCs w:val="20"/>
          <w:lang w:val="en-GB"/>
        </w:rPr>
      </w:pPr>
      <w:r w:rsidRPr="0050505A">
        <w:rPr>
          <w:rFonts w:ascii="Arial" w:hAnsi="Arial" w:cs="Arial"/>
          <w:sz w:val="20"/>
          <w:szCs w:val="20"/>
          <w:lang w:val="en-GB"/>
        </w:rPr>
        <w:t xml:space="preserve">Article 43: </w:t>
      </w:r>
      <w:r>
        <w:rPr>
          <w:rFonts w:ascii="Arial" w:hAnsi="Arial" w:cs="Arial"/>
          <w:sz w:val="20"/>
          <w:szCs w:val="20"/>
          <w:lang w:val="en-GB"/>
        </w:rPr>
        <w:t>the proposal</w:t>
      </w:r>
      <w:r w:rsidRPr="0050505A">
        <w:rPr>
          <w:rFonts w:ascii="Arial" w:hAnsi="Arial" w:cs="Arial"/>
          <w:sz w:val="20"/>
          <w:szCs w:val="20"/>
          <w:lang w:val="en-GB"/>
        </w:rPr>
        <w:t xml:space="preserve"> redefine</w:t>
      </w:r>
      <w:r>
        <w:rPr>
          <w:rFonts w:ascii="Arial" w:hAnsi="Arial" w:cs="Arial"/>
          <w:sz w:val="20"/>
          <w:szCs w:val="20"/>
          <w:lang w:val="en-GB"/>
        </w:rPr>
        <w:t>s</w:t>
      </w:r>
      <w:r w:rsidRPr="0050505A">
        <w:rPr>
          <w:rFonts w:ascii="Arial" w:hAnsi="Arial" w:cs="Arial"/>
          <w:sz w:val="20"/>
          <w:szCs w:val="20"/>
          <w:lang w:val="en-GB"/>
        </w:rPr>
        <w:t xml:space="preserve"> border procedures. In accordance with </w:t>
      </w:r>
      <w:r>
        <w:rPr>
          <w:rFonts w:ascii="Arial" w:hAnsi="Arial" w:cs="Arial"/>
          <w:sz w:val="20"/>
          <w:szCs w:val="20"/>
          <w:lang w:val="en-GB"/>
        </w:rPr>
        <w:t xml:space="preserve">the </w:t>
      </w:r>
      <w:r w:rsidRPr="0050505A">
        <w:rPr>
          <w:rFonts w:ascii="Arial" w:hAnsi="Arial" w:cs="Arial"/>
          <w:sz w:val="20"/>
          <w:szCs w:val="20"/>
          <w:lang w:val="en-GB"/>
        </w:rPr>
        <w:t>Directive 2013/32/EU, Member States may provide procedures, in which at the border or transit zones deci</w:t>
      </w:r>
      <w:r>
        <w:rPr>
          <w:rFonts w:ascii="Arial" w:hAnsi="Arial" w:cs="Arial"/>
          <w:sz w:val="20"/>
          <w:szCs w:val="20"/>
          <w:lang w:val="en-GB"/>
        </w:rPr>
        <w:t>sion</w:t>
      </w:r>
      <w:r w:rsidRPr="0050505A">
        <w:rPr>
          <w:rFonts w:ascii="Arial" w:hAnsi="Arial" w:cs="Arial"/>
          <w:sz w:val="20"/>
          <w:szCs w:val="20"/>
          <w:lang w:val="en-GB"/>
        </w:rPr>
        <w:t xml:space="preserve"> on the admissibility of the application (determining the Member State responsible, the procedure safe third country, the process of European safe third country or proceedings countries of first asylum) or the substance of an application in an accelerated procedure (already referred to in the application itself applicant clearly does not qualify for international protection is given one of the reasons why the </w:t>
      </w:r>
      <w:r w:rsidRPr="0050505A">
        <w:rPr>
          <w:rFonts w:ascii="Arial" w:hAnsi="Arial" w:cs="Arial"/>
          <w:sz w:val="20"/>
          <w:szCs w:val="20"/>
          <w:lang w:val="en-GB"/>
        </w:rPr>
        <w:lastRenderedPageBreak/>
        <w:t>application is considered as manifestly ill-founded)</w:t>
      </w:r>
      <w:r>
        <w:rPr>
          <w:rFonts w:ascii="Arial" w:hAnsi="Arial" w:cs="Arial"/>
          <w:sz w:val="20"/>
          <w:szCs w:val="20"/>
          <w:lang w:val="en-GB"/>
        </w:rPr>
        <w:t xml:space="preserve"> is </w:t>
      </w:r>
      <w:proofErr w:type="spellStart"/>
      <w:r>
        <w:rPr>
          <w:rFonts w:ascii="Arial" w:hAnsi="Arial" w:cs="Arial"/>
          <w:sz w:val="20"/>
          <w:szCs w:val="20"/>
          <w:lang w:val="en-GB"/>
        </w:rPr>
        <w:t>layed</w:t>
      </w:r>
      <w:proofErr w:type="spellEnd"/>
      <w:r>
        <w:rPr>
          <w:rFonts w:ascii="Arial" w:hAnsi="Arial" w:cs="Arial"/>
          <w:sz w:val="20"/>
          <w:szCs w:val="20"/>
          <w:lang w:val="en-GB"/>
        </w:rPr>
        <w:t xml:space="preserve"> out</w:t>
      </w:r>
      <w:r w:rsidRPr="0050505A">
        <w:rPr>
          <w:rFonts w:ascii="Arial" w:hAnsi="Arial" w:cs="Arial"/>
          <w:sz w:val="20"/>
          <w:szCs w:val="20"/>
          <w:lang w:val="en-GB"/>
        </w:rPr>
        <w:t xml:space="preserve">. </w:t>
      </w:r>
      <w:r>
        <w:rPr>
          <w:rFonts w:ascii="Arial" w:hAnsi="Arial" w:cs="Arial"/>
          <w:sz w:val="20"/>
          <w:szCs w:val="20"/>
          <w:lang w:val="en-GB"/>
        </w:rPr>
        <w:t>All</w:t>
      </w:r>
      <w:r w:rsidRPr="0050505A">
        <w:rPr>
          <w:rFonts w:ascii="Arial" w:hAnsi="Arial" w:cs="Arial"/>
          <w:sz w:val="20"/>
          <w:szCs w:val="20"/>
          <w:lang w:val="en-GB"/>
        </w:rPr>
        <w:t xml:space="preserve"> border procedures</w:t>
      </w:r>
      <w:r>
        <w:rPr>
          <w:rFonts w:ascii="Arial" w:hAnsi="Arial" w:cs="Arial"/>
          <w:sz w:val="20"/>
          <w:szCs w:val="20"/>
          <w:lang w:val="en-GB"/>
        </w:rPr>
        <w:t xml:space="preserve"> have</w:t>
      </w:r>
      <w:r w:rsidRPr="0050505A">
        <w:rPr>
          <w:rFonts w:ascii="Arial" w:hAnsi="Arial" w:cs="Arial"/>
          <w:sz w:val="20"/>
          <w:szCs w:val="20"/>
          <w:lang w:val="en-GB"/>
        </w:rPr>
        <w:t xml:space="preserve"> fundamental procedural guarantees (information, interpretation and translation, access to UNHCR and to receive a written decision by a translation of the relevant parts in the language they understand). The decision must be made within 14 days</w:t>
      </w:r>
      <w:r>
        <w:rPr>
          <w:rFonts w:ascii="Arial" w:hAnsi="Arial" w:cs="Arial"/>
          <w:sz w:val="20"/>
          <w:szCs w:val="20"/>
          <w:lang w:val="en-GB"/>
        </w:rPr>
        <w:t>;</w:t>
      </w:r>
      <w:r w:rsidRPr="0050505A">
        <w:rPr>
          <w:rFonts w:ascii="Arial" w:hAnsi="Arial" w:cs="Arial"/>
          <w:sz w:val="20"/>
          <w:szCs w:val="20"/>
          <w:lang w:val="en-GB"/>
        </w:rPr>
        <w:t xml:space="preserve"> </w:t>
      </w:r>
      <w:r>
        <w:rPr>
          <w:rFonts w:ascii="Arial" w:hAnsi="Arial" w:cs="Arial"/>
          <w:sz w:val="20"/>
          <w:szCs w:val="20"/>
          <w:lang w:val="en-GB"/>
        </w:rPr>
        <w:t xml:space="preserve">if not, </w:t>
      </w:r>
      <w:r w:rsidRPr="0050505A">
        <w:rPr>
          <w:rFonts w:ascii="Arial" w:hAnsi="Arial" w:cs="Arial"/>
          <w:sz w:val="20"/>
          <w:szCs w:val="20"/>
          <w:lang w:val="en-GB"/>
        </w:rPr>
        <w:t xml:space="preserve">the applicant for international protection </w:t>
      </w:r>
      <w:r>
        <w:rPr>
          <w:rFonts w:ascii="Arial" w:hAnsi="Arial" w:cs="Arial"/>
          <w:sz w:val="20"/>
          <w:szCs w:val="20"/>
          <w:lang w:val="en-GB"/>
        </w:rPr>
        <w:t xml:space="preserve">is </w:t>
      </w:r>
      <w:r w:rsidRPr="0050505A">
        <w:rPr>
          <w:rFonts w:ascii="Arial" w:hAnsi="Arial" w:cs="Arial"/>
          <w:sz w:val="20"/>
          <w:szCs w:val="20"/>
          <w:lang w:val="en-GB"/>
        </w:rPr>
        <w:t xml:space="preserve">accommodated in </w:t>
      </w:r>
      <w:r>
        <w:rPr>
          <w:rFonts w:ascii="Arial" w:hAnsi="Arial" w:cs="Arial"/>
          <w:sz w:val="20"/>
          <w:szCs w:val="20"/>
          <w:lang w:val="en-GB"/>
        </w:rPr>
        <w:t>the</w:t>
      </w:r>
      <w:r w:rsidRPr="0050505A">
        <w:rPr>
          <w:rFonts w:ascii="Arial" w:hAnsi="Arial" w:cs="Arial"/>
          <w:sz w:val="20"/>
          <w:szCs w:val="20"/>
          <w:lang w:val="en-GB"/>
        </w:rPr>
        <w:t xml:space="preserve"> asylum home.</w:t>
      </w:r>
    </w:p>
    <w:p w:rsidR="005A0067" w:rsidRPr="00982762" w:rsidRDefault="005A0067" w:rsidP="005A0067">
      <w:pPr>
        <w:spacing w:after="0" w:line="260" w:lineRule="exact"/>
        <w:jc w:val="both"/>
        <w:rPr>
          <w:rFonts w:ascii="Arial" w:hAnsi="Arial" w:cs="Arial"/>
          <w:sz w:val="20"/>
          <w:szCs w:val="20"/>
          <w:lang w:val="en-GB"/>
        </w:rPr>
      </w:pPr>
    </w:p>
    <w:p w:rsidR="005A0067" w:rsidRPr="00FD72C4" w:rsidRDefault="005A0067" w:rsidP="005A0067">
      <w:pPr>
        <w:spacing w:after="0" w:line="260" w:lineRule="exact"/>
        <w:rPr>
          <w:rFonts w:ascii="Arial" w:hAnsi="Arial" w:cs="Arial"/>
          <w:b/>
          <w:i/>
          <w:sz w:val="20"/>
          <w:szCs w:val="20"/>
          <w:lang w:val="en-GB"/>
        </w:rPr>
      </w:pPr>
      <w:r w:rsidRPr="00FD72C4">
        <w:rPr>
          <w:rFonts w:ascii="Arial" w:hAnsi="Arial" w:cs="Arial"/>
          <w:b/>
          <w:sz w:val="20"/>
          <w:szCs w:val="20"/>
          <w:lang w:val="en-GB"/>
        </w:rPr>
        <w:t xml:space="preserve">NOVELTIES </w:t>
      </w:r>
      <w:r>
        <w:rPr>
          <w:rFonts w:ascii="Arial" w:hAnsi="Arial" w:cs="Arial"/>
          <w:b/>
          <w:sz w:val="20"/>
          <w:szCs w:val="20"/>
          <w:lang w:val="en-GB"/>
        </w:rPr>
        <w:t>WHICH MAY REPRESENT</w:t>
      </w:r>
      <w:r w:rsidRPr="00FD72C4">
        <w:rPr>
          <w:rFonts w:ascii="Arial" w:hAnsi="Arial" w:cs="Arial"/>
          <w:b/>
          <w:sz w:val="20"/>
          <w:szCs w:val="20"/>
          <w:lang w:val="en-GB"/>
        </w:rPr>
        <w:t xml:space="preserve"> THE REDUCTION OF STANDARDS</w:t>
      </w:r>
      <w:r>
        <w:rPr>
          <w:rFonts w:ascii="Arial" w:hAnsi="Arial" w:cs="Arial"/>
          <w:b/>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Article </w:t>
      </w:r>
      <w:r w:rsidRPr="00982762">
        <w:rPr>
          <w:rFonts w:ascii="Arial" w:hAnsi="Arial" w:cs="Arial"/>
          <w:sz w:val="20"/>
          <w:szCs w:val="20"/>
          <w:lang w:val="en-GB"/>
        </w:rPr>
        <w:t xml:space="preserve">97: </w:t>
      </w:r>
      <w:r>
        <w:rPr>
          <w:rFonts w:ascii="Arial" w:hAnsi="Arial" w:cs="Arial"/>
          <w:sz w:val="20"/>
          <w:szCs w:val="20"/>
          <w:lang w:val="en-GB"/>
        </w:rPr>
        <w:t>The proposal defines anew the right to financial compensation for private housing of persons under international protection. Now the right to this financial compensation is conditioned upon the participation in the Slovenian language course</w:t>
      </w:r>
      <w:r w:rsidRPr="00982762">
        <w:rPr>
          <w:rFonts w:ascii="Arial" w:hAnsi="Arial" w:cs="Arial"/>
          <w:sz w:val="20"/>
          <w:szCs w:val="20"/>
          <w:lang w:val="en-GB"/>
        </w:rPr>
        <w:t xml:space="preserve"> (</w:t>
      </w:r>
      <w:r>
        <w:rPr>
          <w:rFonts w:ascii="Arial" w:hAnsi="Arial" w:cs="Arial"/>
          <w:sz w:val="20"/>
          <w:szCs w:val="20"/>
          <w:lang w:val="en-GB"/>
        </w:rPr>
        <w:t>a person under international protection is entitled to private housing financial compensation for further eighteen months if he or she participated in this language course or in a uniform course after the status had been granted, and attended at least 80 percent of hours)</w:t>
      </w:r>
      <w:r w:rsidRPr="00982762">
        <w:rPr>
          <w:rFonts w:ascii="Arial" w:hAnsi="Arial" w:cs="Arial"/>
          <w:sz w:val="20"/>
          <w:szCs w:val="20"/>
          <w:lang w:val="en-GB"/>
        </w:rPr>
        <w:t xml:space="preserve">. </w:t>
      </w:r>
      <w:r>
        <w:rPr>
          <w:rFonts w:ascii="Arial" w:hAnsi="Arial" w:cs="Arial"/>
          <w:sz w:val="20"/>
          <w:szCs w:val="20"/>
          <w:lang w:val="en-GB"/>
        </w:rPr>
        <w:t>Under the currently applicable law a person under international protection received the financial compensation for private housing for 3 years after the date the status had been granted no matter if he or she participated in the Slovenian language course, or not</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The unique financial aid has been cancelled since it was introduced in order to bridge the period from going out of the Asylum Centre to the reception of the first social assistance</w:t>
      </w:r>
      <w:r w:rsidRPr="00982762">
        <w:rPr>
          <w:rFonts w:ascii="Arial" w:hAnsi="Arial" w:cs="Arial"/>
          <w:sz w:val="20"/>
          <w:szCs w:val="20"/>
          <w:lang w:val="en-GB"/>
        </w:rPr>
        <w:t xml:space="preserve">. </w:t>
      </w:r>
      <w:r>
        <w:rPr>
          <w:rFonts w:ascii="Arial" w:hAnsi="Arial" w:cs="Arial"/>
          <w:sz w:val="20"/>
          <w:szCs w:val="20"/>
          <w:lang w:val="en-GB"/>
        </w:rPr>
        <w:t>By cancelling this aid, the persons under international protection are now equal to Slovenian nationals in terms of social benefits</w:t>
      </w:r>
      <w:r w:rsidRPr="00982762">
        <w:rPr>
          <w:rFonts w:ascii="Arial" w:hAnsi="Arial" w:cs="Arial"/>
          <w:sz w:val="20"/>
          <w:szCs w:val="20"/>
          <w:lang w:val="en-GB"/>
        </w:rPr>
        <w:t xml:space="preserve"> (</w:t>
      </w:r>
      <w:r>
        <w:rPr>
          <w:rFonts w:ascii="Arial" w:hAnsi="Arial" w:cs="Arial"/>
          <w:sz w:val="20"/>
          <w:szCs w:val="20"/>
          <w:lang w:val="en-GB"/>
        </w:rPr>
        <w:t>the unique financial aid was namely an additional income which Slovenian nationals otherwise do not receive and overlapped with the reception of social assistance</w:t>
      </w:r>
      <w:r w:rsidRPr="00982762">
        <w:rPr>
          <w:rFonts w:ascii="Arial" w:hAnsi="Arial" w:cs="Arial"/>
          <w:sz w:val="20"/>
          <w:szCs w:val="20"/>
          <w:lang w:val="en-GB"/>
        </w:rPr>
        <w:t>) (</w:t>
      </w:r>
      <w:r>
        <w:rPr>
          <w:rFonts w:ascii="Arial" w:hAnsi="Arial" w:cs="Arial"/>
          <w:sz w:val="20"/>
          <w:szCs w:val="20"/>
          <w:lang w:val="en-GB"/>
        </w:rPr>
        <w:t xml:space="preserve">Article </w:t>
      </w:r>
      <w:r w:rsidRPr="00982762">
        <w:rPr>
          <w:rFonts w:ascii="Arial" w:hAnsi="Arial" w:cs="Arial"/>
          <w:sz w:val="20"/>
          <w:szCs w:val="20"/>
          <w:lang w:val="en-GB"/>
        </w:rPr>
        <w:t>92</w:t>
      </w:r>
      <w:r>
        <w:rPr>
          <w:rFonts w:ascii="Arial" w:hAnsi="Arial" w:cs="Arial"/>
          <w:sz w:val="20"/>
          <w:szCs w:val="20"/>
          <w:lang w:val="en-GB"/>
        </w:rPr>
        <w:t xml:space="preserve"> of the currently applicable law)</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 xml:space="preserve">Financial compensation for private housing of family members, reunited with the person under subsidiary protection, has been cancelled. Only the persons who have been granted the refugee status are entitled to financial compensation for private housing and who under the law regulating the entry, departure and residence of aliens are reunited with the family, namely, on the date of the arrival of family members to Slovenia (Article </w:t>
      </w:r>
      <w:r w:rsidRPr="00982762">
        <w:rPr>
          <w:rFonts w:ascii="Arial" w:hAnsi="Arial" w:cs="Arial"/>
          <w:sz w:val="20"/>
          <w:szCs w:val="20"/>
          <w:lang w:val="en-GB"/>
        </w:rPr>
        <w:t>93</w:t>
      </w:r>
      <w:r>
        <w:rPr>
          <w:rFonts w:ascii="Arial" w:hAnsi="Arial" w:cs="Arial"/>
          <w:sz w:val="20"/>
          <w:szCs w:val="20"/>
          <w:lang w:val="en-GB"/>
        </w:rPr>
        <w:t xml:space="preserve"> of the currently applicable law</w:t>
      </w:r>
      <w:r w:rsidRPr="00982762">
        <w:rPr>
          <w:rFonts w:ascii="Arial" w:hAnsi="Arial" w:cs="Arial"/>
          <w:sz w:val="20"/>
          <w:szCs w:val="20"/>
          <w:lang w:val="en-GB"/>
        </w:rPr>
        <w:t>).</w:t>
      </w:r>
    </w:p>
    <w:p w:rsidR="005A0067" w:rsidRDefault="005A0067" w:rsidP="005A0067">
      <w:pPr>
        <w:spacing w:after="0"/>
        <w:rPr>
          <w:rFonts w:ascii="Arial" w:hAnsi="Arial" w:cs="Arial"/>
          <w:sz w:val="20"/>
          <w:szCs w:val="20"/>
          <w:lang w:val="en-GB"/>
        </w:rPr>
      </w:pPr>
    </w:p>
    <w:p w:rsidR="005A0067" w:rsidRPr="00FD72C4" w:rsidRDefault="005A0067" w:rsidP="005A0067">
      <w:pPr>
        <w:spacing w:after="0"/>
        <w:rPr>
          <w:rFonts w:ascii="Arial" w:hAnsi="Arial" w:cs="Arial"/>
          <w:b/>
          <w:sz w:val="20"/>
          <w:szCs w:val="20"/>
          <w:lang w:val="en-GB"/>
        </w:rPr>
      </w:pPr>
      <w:r w:rsidRPr="00FD72C4">
        <w:rPr>
          <w:rFonts w:ascii="Arial" w:hAnsi="Arial" w:cs="Arial"/>
          <w:b/>
          <w:sz w:val="20"/>
          <w:szCs w:val="20"/>
          <w:lang w:val="en-GB"/>
        </w:rPr>
        <w:t>RIGHTS OF APPLICANTS AND PERSONS UNDER INTERNATIONAL PROTECTION</w:t>
      </w:r>
      <w:r>
        <w:rPr>
          <w:rFonts w:ascii="Arial" w:hAnsi="Arial" w:cs="Arial"/>
          <w:b/>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The proposal for the new law does not modify the reception rights of international protection applicants. In comparison with the current law the proposal defines clearly and in more details particular guarantees for applicant with special needs concerning the reception and applicants in need of special procedural guarantees</w:t>
      </w:r>
      <w:r w:rsidRPr="00982762">
        <w:rPr>
          <w:rFonts w:ascii="Arial" w:hAnsi="Arial" w:cs="Arial"/>
          <w:color w:val="000000"/>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The proposal however modifies the rights of persons under international protection, namely, the unique financial aid on leaving Asylum Centre has been cancelled. Until now it was paid to persons under international protection in the amount of social financial assistance. Accommodation in the integration house is possible only for as long as its capacities are available and the financial compensation for private housing is connected with the participation in the Slovenian language courses</w:t>
      </w:r>
      <w:r w:rsidRPr="00982762">
        <w:rPr>
          <w:rFonts w:ascii="Arial" w:hAnsi="Arial" w:cs="Arial"/>
          <w:sz w:val="20"/>
          <w:szCs w:val="20"/>
          <w:lang w:val="en-GB"/>
        </w:rPr>
        <w:t xml:space="preserve"> (</w:t>
      </w:r>
      <w:r>
        <w:rPr>
          <w:rFonts w:ascii="Arial" w:hAnsi="Arial" w:cs="Arial"/>
          <w:sz w:val="20"/>
          <w:szCs w:val="20"/>
          <w:lang w:val="en-GB"/>
        </w:rPr>
        <w:t xml:space="preserve">if the person attends at </w:t>
      </w:r>
      <w:proofErr w:type="spellStart"/>
      <w:r>
        <w:rPr>
          <w:rFonts w:ascii="Arial" w:hAnsi="Arial" w:cs="Arial"/>
          <w:sz w:val="20"/>
          <w:szCs w:val="20"/>
          <w:lang w:val="en-GB"/>
        </w:rPr>
        <w:t>lest</w:t>
      </w:r>
      <w:proofErr w:type="spellEnd"/>
      <w:r>
        <w:rPr>
          <w:rFonts w:ascii="Arial" w:hAnsi="Arial" w:cs="Arial"/>
          <w:sz w:val="20"/>
          <w:szCs w:val="20"/>
          <w:lang w:val="en-GB"/>
        </w:rPr>
        <w:t xml:space="preserve"> 80% of hours he or she will be entitled to financial compensation for further 18 months</w:t>
      </w:r>
      <w:r w:rsidRPr="00982762">
        <w:rPr>
          <w:rFonts w:ascii="Arial" w:hAnsi="Arial" w:cs="Arial"/>
          <w:sz w:val="20"/>
          <w:szCs w:val="20"/>
          <w:lang w:val="en-GB"/>
        </w:rPr>
        <w:t>).</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International Protection Act also defines the concept of preserving the unity of a family concerning the international protection applicants</w:t>
      </w:r>
      <w:r w:rsidRPr="00982762">
        <w:rPr>
          <w:rFonts w:ascii="Arial" w:hAnsi="Arial" w:cs="Arial"/>
          <w:sz w:val="20"/>
          <w:szCs w:val="20"/>
          <w:lang w:val="en-GB"/>
        </w:rPr>
        <w:t xml:space="preserve">. </w:t>
      </w:r>
      <w:r>
        <w:rPr>
          <w:rFonts w:ascii="Arial" w:hAnsi="Arial" w:cs="Arial"/>
          <w:sz w:val="20"/>
          <w:szCs w:val="20"/>
          <w:lang w:val="en-GB"/>
        </w:rPr>
        <w:t>The concept of family reunification concerning the persons under international protection in Slovenia</w:t>
      </w:r>
      <w:r w:rsidRPr="00982762">
        <w:rPr>
          <w:rFonts w:ascii="Arial" w:hAnsi="Arial" w:cs="Arial"/>
          <w:sz w:val="20"/>
          <w:szCs w:val="20"/>
          <w:lang w:val="en-GB"/>
        </w:rPr>
        <w:t xml:space="preserve"> (</w:t>
      </w:r>
      <w:r>
        <w:rPr>
          <w:rFonts w:ascii="Arial" w:hAnsi="Arial" w:cs="Arial"/>
          <w:sz w:val="20"/>
          <w:szCs w:val="20"/>
          <w:lang w:val="en-GB"/>
        </w:rPr>
        <w:t>persons granted the refugee status or subsidiary protection status) is regulated by the Aliens Act</w:t>
      </w:r>
      <w:r w:rsidRPr="00982762">
        <w:rPr>
          <w:rFonts w:ascii="Arial" w:hAnsi="Arial" w:cs="Arial"/>
          <w:sz w:val="20"/>
          <w:szCs w:val="20"/>
          <w:lang w:val="en-GB"/>
        </w:rPr>
        <w:t xml:space="preserve">. </w:t>
      </w:r>
    </w:p>
    <w:p w:rsidR="005A0067" w:rsidRPr="00982762" w:rsidRDefault="005A0067" w:rsidP="005A0067">
      <w:pPr>
        <w:spacing w:after="0" w:line="260" w:lineRule="exact"/>
        <w:jc w:val="both"/>
        <w:rPr>
          <w:rFonts w:ascii="Arial" w:hAnsi="Arial" w:cs="Arial"/>
          <w:sz w:val="20"/>
          <w:szCs w:val="20"/>
          <w:lang w:val="en-GB"/>
        </w:rPr>
      </w:pPr>
    </w:p>
    <w:p w:rsidR="005A0067" w:rsidRPr="00982762" w:rsidRDefault="005A0067" w:rsidP="005A0067">
      <w:pPr>
        <w:spacing w:after="0" w:line="260" w:lineRule="exact"/>
        <w:jc w:val="both"/>
        <w:rPr>
          <w:rFonts w:ascii="Arial" w:hAnsi="Arial" w:cs="Arial"/>
          <w:sz w:val="20"/>
          <w:szCs w:val="20"/>
          <w:lang w:val="en-GB"/>
        </w:rPr>
      </w:pPr>
      <w:r>
        <w:rPr>
          <w:rFonts w:ascii="Arial" w:hAnsi="Arial" w:cs="Arial"/>
          <w:sz w:val="20"/>
          <w:szCs w:val="20"/>
          <w:lang w:val="en-GB"/>
        </w:rPr>
        <w:t>The proposal gives a new definition of factors to be considered by the competent authority in assessing the child's best interests</w:t>
      </w:r>
      <w:r w:rsidRPr="00982762">
        <w:rPr>
          <w:rFonts w:ascii="Arial" w:hAnsi="Arial" w:cs="Arial"/>
          <w:sz w:val="20"/>
          <w:szCs w:val="20"/>
          <w:lang w:val="en-GB"/>
        </w:rPr>
        <w:t xml:space="preserve"> (</w:t>
      </w:r>
      <w:r>
        <w:rPr>
          <w:rFonts w:ascii="Arial" w:hAnsi="Arial" w:cs="Arial"/>
          <w:sz w:val="20"/>
          <w:szCs w:val="20"/>
          <w:lang w:val="en-GB"/>
        </w:rPr>
        <w:t>these must be</w:t>
      </w:r>
      <w:r w:rsidRPr="00982762">
        <w:rPr>
          <w:rFonts w:ascii="Arial" w:hAnsi="Arial" w:cs="Arial"/>
          <w:sz w:val="20"/>
          <w:szCs w:val="20"/>
          <w:lang w:val="en-GB"/>
        </w:rPr>
        <w:t xml:space="preserve">: </w:t>
      </w:r>
      <w:r>
        <w:rPr>
          <w:rFonts w:ascii="Arial" w:hAnsi="Arial" w:cs="Arial"/>
          <w:sz w:val="20"/>
          <w:szCs w:val="20"/>
          <w:lang w:val="en-GB"/>
        </w:rPr>
        <w:t>the possibility of a renewed family reunification, wellbeing and social development of adolescents, security and protection issues, a minor may express his/her opinion in line with his or her age and maturity). Regular training has to be provided to officials who deal with minors and offer them assistance in the effective application of their rights</w:t>
      </w:r>
      <w:r w:rsidRPr="00982762">
        <w:rPr>
          <w:rFonts w:ascii="Arial" w:hAnsi="Arial" w:cs="Arial"/>
          <w:sz w:val="20"/>
          <w:szCs w:val="20"/>
          <w:lang w:val="en-GB"/>
        </w:rPr>
        <w:t xml:space="preserve">. </w:t>
      </w:r>
    </w:p>
    <w:p w:rsidR="001D169C" w:rsidRDefault="001D169C">
      <w:pPr>
        <w:rPr>
          <w:lang w:val="en-GB"/>
        </w:rPr>
      </w:pPr>
    </w:p>
    <w:p w:rsidR="005A0067" w:rsidRPr="005A0067" w:rsidRDefault="005A0067" w:rsidP="005A0067">
      <w:pPr>
        <w:suppressAutoHyphens/>
        <w:spacing w:before="240" w:after="0" w:line="240" w:lineRule="atLeast"/>
        <w:ind w:left="1134" w:right="1134"/>
        <w:jc w:val="center"/>
        <w:rPr>
          <w:u w:val="single"/>
          <w:lang w:val="en-GB"/>
        </w:rPr>
      </w:pPr>
      <w:r>
        <w:rPr>
          <w:u w:val="single"/>
          <w:lang w:val="en-GB"/>
        </w:rPr>
        <w:tab/>
      </w:r>
      <w:r>
        <w:rPr>
          <w:u w:val="single"/>
          <w:lang w:val="en-GB"/>
        </w:rPr>
        <w:tab/>
      </w:r>
      <w:r>
        <w:rPr>
          <w:u w:val="single"/>
          <w:lang w:val="en-GB"/>
        </w:rPr>
        <w:tab/>
      </w:r>
    </w:p>
    <w:p w:rsidR="005A0067" w:rsidRPr="00C079CD" w:rsidRDefault="005A0067" w:rsidP="005A0067">
      <w:pPr>
        <w:jc w:val="both"/>
        <w:rPr>
          <w:rFonts w:ascii="Arial" w:hAnsi="Arial" w:cs="Arial"/>
          <w:b/>
          <w:lang w:val="en-GB"/>
        </w:rPr>
      </w:pPr>
      <w:r w:rsidRPr="00C079CD">
        <w:rPr>
          <w:rFonts w:ascii="Arial" w:hAnsi="Arial" w:cs="Arial"/>
          <w:b/>
          <w:lang w:val="en-GB"/>
        </w:rPr>
        <w:t xml:space="preserve">With regard to the question of Mrs. Seibert </w:t>
      </w:r>
      <w:proofErr w:type="spellStart"/>
      <w:r w:rsidRPr="00C079CD">
        <w:rPr>
          <w:rFonts w:ascii="Arial" w:hAnsi="Arial" w:cs="Arial"/>
          <w:b/>
          <w:lang w:val="en-GB"/>
        </w:rPr>
        <w:t>Fohr</w:t>
      </w:r>
      <w:proofErr w:type="spellEnd"/>
      <w:r w:rsidRPr="00C079CD">
        <w:rPr>
          <w:rFonts w:ascii="Arial" w:hAnsi="Arial" w:cs="Arial"/>
          <w:b/>
          <w:lang w:val="en-GB"/>
        </w:rPr>
        <w:t>, asked during the presentation of Sloven</w:t>
      </w:r>
      <w:r>
        <w:rPr>
          <w:rFonts w:ascii="Arial" w:hAnsi="Arial" w:cs="Arial"/>
          <w:b/>
          <w:lang w:val="en-GB"/>
        </w:rPr>
        <w:t>ia's</w:t>
      </w:r>
      <w:r w:rsidRPr="00C079CD">
        <w:rPr>
          <w:rFonts w:ascii="Arial" w:hAnsi="Arial" w:cs="Arial"/>
          <w:b/>
          <w:lang w:val="en-GB"/>
        </w:rPr>
        <w:t xml:space="preserve"> report to the Human Rights Committee, on statistics of pre-trial detention and </w:t>
      </w:r>
      <w:proofErr w:type="spellStart"/>
      <w:r w:rsidRPr="00C079CD">
        <w:rPr>
          <w:rFonts w:ascii="Arial" w:hAnsi="Arial" w:cs="Arial"/>
          <w:b/>
          <w:lang w:val="en-GB"/>
        </w:rPr>
        <w:t>overcrow</w:t>
      </w:r>
      <w:r>
        <w:rPr>
          <w:rFonts w:ascii="Arial" w:hAnsi="Arial" w:cs="Arial"/>
          <w:b/>
          <w:lang w:val="en-GB"/>
        </w:rPr>
        <w:t>ing</w:t>
      </w:r>
      <w:proofErr w:type="spellEnd"/>
      <w:r>
        <w:rPr>
          <w:rFonts w:ascii="Arial" w:hAnsi="Arial" w:cs="Arial"/>
          <w:b/>
          <w:lang w:val="en-GB"/>
        </w:rPr>
        <w:t xml:space="preserve"> in</w:t>
      </w:r>
      <w:r w:rsidRPr="00C079CD">
        <w:rPr>
          <w:rFonts w:ascii="Arial" w:hAnsi="Arial" w:cs="Arial"/>
          <w:b/>
          <w:lang w:val="en-GB"/>
        </w:rPr>
        <w:t xml:space="preserve"> prisons (under Point 12 of </w:t>
      </w:r>
      <w:r>
        <w:rPr>
          <w:rFonts w:ascii="Arial" w:hAnsi="Arial" w:cs="Arial"/>
          <w:b/>
          <w:lang w:val="en-GB"/>
        </w:rPr>
        <w:t>the List of issues prior to reporting</w:t>
      </w:r>
      <w:r w:rsidRPr="00C079CD">
        <w:rPr>
          <w:rFonts w:ascii="Arial" w:hAnsi="Arial" w:cs="Arial"/>
          <w:b/>
          <w:lang w:val="en-GB"/>
        </w:rPr>
        <w:t>), we enclose the following data:</w:t>
      </w:r>
    </w:p>
    <w:p w:rsidR="005A0067" w:rsidRPr="00C079CD" w:rsidRDefault="005A0067" w:rsidP="005A0067">
      <w:pPr>
        <w:rPr>
          <w:rFonts w:ascii="Arial" w:hAnsi="Arial" w:cs="Arial"/>
          <w:lang w:val="en-GB"/>
        </w:rPr>
      </w:pPr>
    </w:p>
    <w:p w:rsidR="005A0067" w:rsidRPr="00C079CD" w:rsidRDefault="005A0067" w:rsidP="005A0067">
      <w:pPr>
        <w:autoSpaceDE w:val="0"/>
        <w:autoSpaceDN w:val="0"/>
        <w:adjustRightInd w:val="0"/>
        <w:rPr>
          <w:rFonts w:ascii="Arial" w:hAnsi="Arial" w:cs="Arial"/>
          <w:b/>
          <w:lang w:val="en-GB"/>
        </w:rPr>
      </w:pPr>
      <w:r w:rsidRPr="00C079CD">
        <w:rPr>
          <w:rFonts w:ascii="Arial" w:hAnsi="Arial" w:cs="Arial"/>
          <w:b/>
          <w:lang w:val="en-GB"/>
        </w:rPr>
        <w:t>Statistics of juveniles in prisons (so-called juvenile prison)</w:t>
      </w:r>
    </w:p>
    <w:tbl>
      <w:tblPr>
        <w:tblStyle w:val="TableGrid"/>
        <w:tblW w:w="0" w:type="auto"/>
        <w:tblLook w:val="04A0" w:firstRow="1" w:lastRow="0" w:firstColumn="1" w:lastColumn="0" w:noHBand="0" w:noVBand="1"/>
      </w:tblPr>
      <w:tblGrid>
        <w:gridCol w:w="3020"/>
        <w:gridCol w:w="3021"/>
        <w:gridCol w:w="3021"/>
      </w:tblGrid>
      <w:tr w:rsidR="005A0067" w:rsidRPr="00C079CD" w:rsidTr="00E671BE">
        <w:tc>
          <w:tcPr>
            <w:tcW w:w="3020"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2012</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2013</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2014</w:t>
            </w:r>
          </w:p>
        </w:tc>
      </w:tr>
      <w:tr w:rsidR="005A0067" w:rsidRPr="00C079CD" w:rsidTr="00E671BE">
        <w:tc>
          <w:tcPr>
            <w:tcW w:w="3020"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5</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5</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5</w:t>
            </w:r>
          </w:p>
        </w:tc>
      </w:tr>
    </w:tbl>
    <w:p w:rsidR="005A0067" w:rsidRPr="00C079CD" w:rsidRDefault="005A0067" w:rsidP="005A0067">
      <w:pPr>
        <w:autoSpaceDE w:val="0"/>
        <w:autoSpaceDN w:val="0"/>
        <w:adjustRightInd w:val="0"/>
        <w:rPr>
          <w:rFonts w:ascii="Arial" w:hAnsi="Arial" w:cs="Arial"/>
          <w:color w:val="000000"/>
          <w:lang w:val="en-GB"/>
        </w:rPr>
      </w:pPr>
    </w:p>
    <w:p w:rsidR="005A0067" w:rsidRPr="00C079CD" w:rsidRDefault="005A0067" w:rsidP="005A0067">
      <w:pPr>
        <w:autoSpaceDE w:val="0"/>
        <w:autoSpaceDN w:val="0"/>
        <w:adjustRightInd w:val="0"/>
        <w:rPr>
          <w:rFonts w:ascii="Arial" w:hAnsi="Arial" w:cs="Arial"/>
          <w:b/>
          <w:color w:val="000000"/>
          <w:lang w:val="en-GB"/>
        </w:rPr>
      </w:pPr>
      <w:r w:rsidRPr="00C079CD">
        <w:rPr>
          <w:rFonts w:ascii="Arial" w:hAnsi="Arial" w:cs="Arial"/>
          <w:b/>
          <w:color w:val="000000"/>
          <w:lang w:val="en-GB"/>
        </w:rPr>
        <w:t>Statistics of juveniles in detention</w:t>
      </w:r>
    </w:p>
    <w:tbl>
      <w:tblPr>
        <w:tblStyle w:val="TableGrid"/>
        <w:tblW w:w="0" w:type="auto"/>
        <w:tblLook w:val="04A0" w:firstRow="1" w:lastRow="0" w:firstColumn="1" w:lastColumn="0" w:noHBand="0" w:noVBand="1"/>
      </w:tblPr>
      <w:tblGrid>
        <w:gridCol w:w="3020"/>
        <w:gridCol w:w="3021"/>
        <w:gridCol w:w="3021"/>
      </w:tblGrid>
      <w:tr w:rsidR="005A0067" w:rsidRPr="00C079CD" w:rsidTr="00E671BE">
        <w:tc>
          <w:tcPr>
            <w:tcW w:w="3020"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2012</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2013</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2014</w:t>
            </w:r>
          </w:p>
        </w:tc>
      </w:tr>
      <w:tr w:rsidR="005A0067" w:rsidRPr="00C079CD" w:rsidTr="00E671BE">
        <w:tc>
          <w:tcPr>
            <w:tcW w:w="3020"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13</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14</w:t>
            </w:r>
          </w:p>
        </w:tc>
        <w:tc>
          <w:tcPr>
            <w:tcW w:w="3021" w:type="dxa"/>
          </w:tcPr>
          <w:p w:rsidR="005A0067" w:rsidRPr="00C079CD" w:rsidRDefault="005A0067" w:rsidP="00E671BE">
            <w:pPr>
              <w:autoSpaceDE w:val="0"/>
              <w:autoSpaceDN w:val="0"/>
              <w:adjustRightInd w:val="0"/>
              <w:rPr>
                <w:rFonts w:ascii="Arial" w:hAnsi="Arial" w:cs="Arial"/>
                <w:color w:val="000000"/>
                <w:sz w:val="22"/>
                <w:szCs w:val="22"/>
                <w:lang w:val="en-GB"/>
              </w:rPr>
            </w:pPr>
            <w:r w:rsidRPr="00C079CD">
              <w:rPr>
                <w:rFonts w:ascii="Arial" w:hAnsi="Arial" w:cs="Arial"/>
                <w:color w:val="000000"/>
                <w:sz w:val="22"/>
                <w:szCs w:val="22"/>
                <w:lang w:val="en-GB"/>
              </w:rPr>
              <w:t>6</w:t>
            </w:r>
          </w:p>
        </w:tc>
      </w:tr>
    </w:tbl>
    <w:p w:rsidR="005A0067" w:rsidRPr="00C079CD" w:rsidRDefault="005A0067" w:rsidP="005A0067">
      <w:pPr>
        <w:autoSpaceDE w:val="0"/>
        <w:autoSpaceDN w:val="0"/>
        <w:adjustRightInd w:val="0"/>
        <w:rPr>
          <w:rFonts w:ascii="Arial" w:hAnsi="Arial" w:cs="Arial"/>
          <w:color w:val="000000"/>
          <w:lang w:val="en-GB"/>
        </w:rPr>
      </w:pPr>
    </w:p>
    <w:p w:rsidR="005A0067" w:rsidRPr="00C079CD" w:rsidRDefault="005A0067" w:rsidP="005A0067">
      <w:pPr>
        <w:autoSpaceDE w:val="0"/>
        <w:autoSpaceDN w:val="0"/>
        <w:adjustRightInd w:val="0"/>
        <w:rPr>
          <w:rFonts w:ascii="Arial" w:hAnsi="Arial" w:cs="Arial"/>
          <w:color w:val="000000"/>
          <w:lang w:val="en-GB"/>
        </w:rPr>
      </w:pPr>
    </w:p>
    <w:p w:rsidR="005A0067" w:rsidRPr="00C079CD" w:rsidRDefault="005A0067" w:rsidP="005A0067">
      <w:pPr>
        <w:autoSpaceDE w:val="0"/>
        <w:autoSpaceDN w:val="0"/>
        <w:adjustRightInd w:val="0"/>
        <w:rPr>
          <w:rFonts w:ascii="Arial" w:hAnsi="Arial" w:cs="Arial"/>
          <w:b/>
          <w:color w:val="000000"/>
          <w:lang w:val="en-GB"/>
        </w:rPr>
      </w:pPr>
      <w:r w:rsidRPr="00C079CD">
        <w:rPr>
          <w:rFonts w:ascii="Arial" w:hAnsi="Arial" w:cs="Arial"/>
          <w:b/>
          <w:color w:val="000000"/>
          <w:lang w:val="en-GB"/>
        </w:rPr>
        <w:t>Statistics regarding the usage of capacity of prisons and departments of prisons given the average number of imprisoned persons (per year)</w:t>
      </w:r>
    </w:p>
    <w:p w:rsidR="005A0067" w:rsidRPr="00FD2C0F" w:rsidRDefault="005A0067" w:rsidP="005A0067">
      <w:pPr>
        <w:autoSpaceDE w:val="0"/>
        <w:autoSpaceDN w:val="0"/>
        <w:adjustRightInd w:val="0"/>
        <w:rPr>
          <w:i/>
          <w:sz w:val="20"/>
        </w:rPr>
      </w:pPr>
    </w:p>
    <w:p w:rsidR="005A0067" w:rsidRPr="0073437E" w:rsidRDefault="005A0067" w:rsidP="005A0067">
      <w:pPr>
        <w:pStyle w:val="Telobesedila21"/>
        <w:rPr>
          <w:b/>
          <w:sz w:val="20"/>
        </w:rPr>
      </w:pPr>
      <w:r w:rsidRPr="0073437E">
        <w:rPr>
          <w:b/>
          <w:sz w:val="20"/>
        </w:rPr>
        <w:t>2010</w:t>
      </w:r>
    </w:p>
    <w:tbl>
      <w:tblPr>
        <w:tblW w:w="7620" w:type="dxa"/>
        <w:tblInd w:w="57" w:type="dxa"/>
        <w:tblCellMar>
          <w:left w:w="70" w:type="dxa"/>
          <w:right w:w="70" w:type="dxa"/>
        </w:tblCellMar>
        <w:tblLook w:val="0000" w:firstRow="0" w:lastRow="0" w:firstColumn="0" w:lastColumn="0" w:noHBand="0" w:noVBand="0"/>
      </w:tblPr>
      <w:tblGrid>
        <w:gridCol w:w="1420"/>
        <w:gridCol w:w="1360"/>
        <w:gridCol w:w="2400"/>
        <w:gridCol w:w="2440"/>
      </w:tblGrid>
      <w:tr w:rsidR="005A0067" w:rsidRPr="00D00EFE" w:rsidTr="00E671BE">
        <w:trPr>
          <w:trHeight w:val="255"/>
        </w:trPr>
        <w:tc>
          <w:tcPr>
            <w:tcW w:w="1420" w:type="dxa"/>
            <w:tcBorders>
              <w:top w:val="single" w:sz="4" w:space="0" w:color="808080"/>
              <w:left w:val="single" w:sz="4" w:space="0" w:color="808080"/>
              <w:bottom w:val="single" w:sz="4" w:space="0" w:color="808080"/>
              <w:right w:val="single" w:sz="4" w:space="0" w:color="808080"/>
            </w:tcBorders>
            <w:shd w:val="clear" w:color="auto" w:fill="800080"/>
            <w:noWrap/>
            <w:vAlign w:val="bottom"/>
          </w:tcPr>
          <w:p w:rsidR="005A0067" w:rsidRPr="00D00EFE" w:rsidRDefault="005A0067" w:rsidP="00E671BE">
            <w:pPr>
              <w:jc w:val="center"/>
              <w:rPr>
                <w:rFonts w:cs="Arial"/>
                <w:color w:val="FFFFFF"/>
                <w:sz w:val="20"/>
              </w:rPr>
            </w:pPr>
            <w:r>
              <w:rPr>
                <w:rFonts w:cs="Arial"/>
                <w:color w:val="FFFFFF"/>
                <w:sz w:val="20"/>
              </w:rPr>
              <w:t>PRISON</w:t>
            </w:r>
          </w:p>
        </w:tc>
        <w:tc>
          <w:tcPr>
            <w:tcW w:w="1360" w:type="dxa"/>
            <w:tcBorders>
              <w:top w:val="single" w:sz="4" w:space="0" w:color="808080"/>
              <w:left w:val="nil"/>
              <w:bottom w:val="single" w:sz="4" w:space="0" w:color="808080"/>
              <w:right w:val="single" w:sz="4" w:space="0" w:color="808080"/>
            </w:tcBorders>
            <w:shd w:val="clear" w:color="auto" w:fill="800080"/>
            <w:noWrap/>
            <w:vAlign w:val="bottom"/>
          </w:tcPr>
          <w:p w:rsidR="005A0067" w:rsidRPr="00D00EFE" w:rsidRDefault="005A0067" w:rsidP="00E671BE">
            <w:pPr>
              <w:jc w:val="center"/>
              <w:rPr>
                <w:rFonts w:cs="Arial"/>
                <w:color w:val="FFFFFF"/>
                <w:sz w:val="20"/>
              </w:rPr>
            </w:pPr>
            <w:r>
              <w:rPr>
                <w:rFonts w:cs="Arial"/>
                <w:color w:val="FFFFFF"/>
                <w:sz w:val="20"/>
              </w:rPr>
              <w:t>CAPACITY</w:t>
            </w:r>
          </w:p>
        </w:tc>
        <w:tc>
          <w:tcPr>
            <w:tcW w:w="2400" w:type="dxa"/>
            <w:tcBorders>
              <w:top w:val="single" w:sz="4" w:space="0" w:color="808080"/>
              <w:left w:val="nil"/>
              <w:bottom w:val="single" w:sz="4" w:space="0" w:color="808080"/>
              <w:right w:val="single" w:sz="4" w:space="0" w:color="808080"/>
            </w:tcBorders>
            <w:shd w:val="clear" w:color="auto" w:fill="800080"/>
            <w:noWrap/>
            <w:vAlign w:val="bottom"/>
          </w:tcPr>
          <w:p w:rsidR="005A0067" w:rsidRPr="00D00EFE" w:rsidRDefault="005A0067" w:rsidP="00E671BE">
            <w:pPr>
              <w:jc w:val="center"/>
              <w:rPr>
                <w:rFonts w:cs="Arial"/>
                <w:color w:val="FFFFFF"/>
                <w:sz w:val="20"/>
              </w:rPr>
            </w:pPr>
            <w:r>
              <w:rPr>
                <w:rFonts w:cs="Arial"/>
                <w:color w:val="FFFFFF"/>
                <w:sz w:val="20"/>
              </w:rPr>
              <w:t>AVERAGE NUMBER OF PRISONERS</w:t>
            </w:r>
          </w:p>
        </w:tc>
        <w:tc>
          <w:tcPr>
            <w:tcW w:w="2440" w:type="dxa"/>
            <w:tcBorders>
              <w:top w:val="single" w:sz="4" w:space="0" w:color="808080"/>
              <w:left w:val="nil"/>
              <w:bottom w:val="single" w:sz="4" w:space="0" w:color="808080"/>
              <w:right w:val="single" w:sz="4" w:space="0" w:color="808080"/>
            </w:tcBorders>
            <w:shd w:val="clear" w:color="auto" w:fill="800080"/>
            <w:noWrap/>
            <w:vAlign w:val="bottom"/>
          </w:tcPr>
          <w:p w:rsidR="005A0067" w:rsidRPr="00D00EFE" w:rsidRDefault="005A0067" w:rsidP="00E671BE">
            <w:pPr>
              <w:jc w:val="center"/>
              <w:rPr>
                <w:rFonts w:cs="Arial"/>
                <w:color w:val="FFFFFF"/>
                <w:sz w:val="20"/>
              </w:rPr>
            </w:pPr>
            <w:r>
              <w:rPr>
                <w:rFonts w:cs="Arial"/>
                <w:color w:val="FFFFFF"/>
                <w:sz w:val="20"/>
              </w:rPr>
              <w:t xml:space="preserve">SHARE OF USED CAPACITIES </w:t>
            </w:r>
            <w:r w:rsidRPr="00D00EFE">
              <w:rPr>
                <w:rFonts w:cs="Arial"/>
                <w:color w:val="FFFFFF"/>
                <w:sz w:val="20"/>
              </w:rPr>
              <w:t xml:space="preserve"> (</w:t>
            </w:r>
            <w:r>
              <w:rPr>
                <w:rFonts w:cs="Arial"/>
                <w:color w:val="FFFFFF"/>
                <w:sz w:val="20"/>
              </w:rPr>
              <w:t>IN</w:t>
            </w:r>
            <w:r w:rsidRPr="00D00EFE">
              <w:rPr>
                <w:rFonts w:cs="Arial"/>
                <w:color w:val="FFFFFF"/>
                <w:sz w:val="20"/>
              </w:rPr>
              <w:t xml:space="preserve"> %)</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Dob</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233</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412,4</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177,00</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Slov. vas</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63</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51,3</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81,43</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Puščava</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17</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16,2</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95,29</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Ig</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83</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49,6</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59,76</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Celje</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96</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90,9</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94,69</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Koper</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110</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133,7</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121,55</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N. Gorica</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32</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29,8</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93,13</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Ljubljana</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128</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245</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191,41</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N. mesto</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35</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45,3</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129,43</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OO Ig</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27</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18,1</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67,04</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Maribor</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146</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178,8</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122,47</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M. Sobota</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41</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37,6</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91,71</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OO Rogoza</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36</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38,9</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108,06</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tcPr>
          <w:p w:rsidR="005A0067" w:rsidRPr="00D00EFE" w:rsidRDefault="005A0067" w:rsidP="00E671BE">
            <w:pPr>
              <w:rPr>
                <w:rFonts w:cs="Arial"/>
                <w:sz w:val="20"/>
              </w:rPr>
            </w:pPr>
            <w:r w:rsidRPr="00D00EFE">
              <w:rPr>
                <w:rFonts w:cs="Arial"/>
                <w:sz w:val="20"/>
              </w:rPr>
              <w:t>Radeče</w:t>
            </w:r>
          </w:p>
        </w:tc>
        <w:tc>
          <w:tcPr>
            <w:tcW w:w="136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right"/>
              <w:rPr>
                <w:rFonts w:cs="Arial"/>
                <w:sz w:val="20"/>
              </w:rPr>
            </w:pPr>
            <w:r w:rsidRPr="00D00EFE">
              <w:rPr>
                <w:rFonts w:cs="Arial"/>
                <w:sz w:val="20"/>
              </w:rPr>
              <w:t>68</w:t>
            </w:r>
          </w:p>
        </w:tc>
        <w:tc>
          <w:tcPr>
            <w:tcW w:w="2400" w:type="dxa"/>
            <w:tcBorders>
              <w:top w:val="nil"/>
              <w:left w:val="nil"/>
              <w:bottom w:val="single" w:sz="4" w:space="0" w:color="808080"/>
              <w:right w:val="single" w:sz="4" w:space="0" w:color="808080"/>
            </w:tcBorders>
            <w:shd w:val="clear" w:color="auto" w:fill="auto"/>
            <w:noWrap/>
            <w:vAlign w:val="bottom"/>
          </w:tcPr>
          <w:p w:rsidR="005A0067" w:rsidRPr="00D00EFE" w:rsidRDefault="005A0067" w:rsidP="00E671BE">
            <w:pPr>
              <w:jc w:val="center"/>
              <w:rPr>
                <w:rFonts w:cs="Arial"/>
                <w:sz w:val="20"/>
              </w:rPr>
            </w:pPr>
            <w:r w:rsidRPr="00D00EFE">
              <w:rPr>
                <w:rFonts w:cs="Arial"/>
                <w:sz w:val="20"/>
              </w:rPr>
              <w:t>26,1</w:t>
            </w:r>
          </w:p>
        </w:tc>
        <w:tc>
          <w:tcPr>
            <w:tcW w:w="2440" w:type="dxa"/>
            <w:tcBorders>
              <w:top w:val="single" w:sz="4" w:space="0" w:color="808080"/>
              <w:left w:val="nil"/>
              <w:bottom w:val="single" w:sz="4" w:space="0" w:color="808080"/>
              <w:right w:val="single" w:sz="4" w:space="0" w:color="808080"/>
            </w:tcBorders>
            <w:shd w:val="clear" w:color="auto" w:fill="FFFF99"/>
            <w:noWrap/>
            <w:vAlign w:val="bottom"/>
          </w:tcPr>
          <w:p w:rsidR="005A0067" w:rsidRPr="00D00EFE" w:rsidRDefault="005A0067" w:rsidP="00E671BE">
            <w:pPr>
              <w:jc w:val="center"/>
              <w:rPr>
                <w:rFonts w:cs="Arial"/>
                <w:sz w:val="20"/>
              </w:rPr>
            </w:pPr>
            <w:r w:rsidRPr="00D00EFE">
              <w:rPr>
                <w:rFonts w:cs="Arial"/>
                <w:sz w:val="20"/>
              </w:rPr>
              <w:t>38,38</w:t>
            </w:r>
          </w:p>
        </w:tc>
      </w:tr>
      <w:tr w:rsidR="005A0067" w:rsidRPr="00D00EFE" w:rsidTr="00E671BE">
        <w:trPr>
          <w:trHeight w:val="255"/>
        </w:trPr>
        <w:tc>
          <w:tcPr>
            <w:tcW w:w="1420" w:type="dxa"/>
            <w:tcBorders>
              <w:top w:val="nil"/>
              <w:left w:val="single" w:sz="4" w:space="0" w:color="808080"/>
              <w:bottom w:val="single" w:sz="4" w:space="0" w:color="808080"/>
              <w:right w:val="single" w:sz="4" w:space="0" w:color="808080"/>
            </w:tcBorders>
            <w:shd w:val="clear" w:color="auto" w:fill="CC99FF"/>
            <w:noWrap/>
            <w:vAlign w:val="bottom"/>
          </w:tcPr>
          <w:p w:rsidR="005A0067" w:rsidRPr="001B4084" w:rsidRDefault="005A0067" w:rsidP="00E671BE">
            <w:pPr>
              <w:rPr>
                <w:rFonts w:cs="Arial"/>
                <w:sz w:val="20"/>
                <w:lang w:val="en-GB"/>
              </w:rPr>
            </w:pPr>
            <w:r>
              <w:rPr>
                <w:rFonts w:cs="Arial"/>
                <w:sz w:val="20"/>
                <w:lang w:val="en-GB"/>
              </w:rPr>
              <w:lastRenderedPageBreak/>
              <w:t>TOGETHER</w:t>
            </w:r>
          </w:p>
        </w:tc>
        <w:tc>
          <w:tcPr>
            <w:tcW w:w="1360" w:type="dxa"/>
            <w:tcBorders>
              <w:top w:val="nil"/>
              <w:left w:val="nil"/>
              <w:bottom w:val="single" w:sz="4" w:space="0" w:color="808080"/>
              <w:right w:val="single" w:sz="4" w:space="0" w:color="808080"/>
            </w:tcBorders>
            <w:shd w:val="clear" w:color="auto" w:fill="CC99FF"/>
            <w:noWrap/>
            <w:vAlign w:val="bottom"/>
          </w:tcPr>
          <w:p w:rsidR="005A0067" w:rsidRPr="00D00EFE" w:rsidRDefault="005A0067" w:rsidP="00E671BE">
            <w:pPr>
              <w:jc w:val="right"/>
              <w:rPr>
                <w:rFonts w:cs="Arial"/>
                <w:sz w:val="20"/>
              </w:rPr>
            </w:pPr>
            <w:r w:rsidRPr="00D00EFE">
              <w:rPr>
                <w:rFonts w:cs="Arial"/>
                <w:sz w:val="20"/>
              </w:rPr>
              <w:t>1115</w:t>
            </w:r>
          </w:p>
        </w:tc>
        <w:tc>
          <w:tcPr>
            <w:tcW w:w="2400" w:type="dxa"/>
            <w:tcBorders>
              <w:top w:val="nil"/>
              <w:left w:val="nil"/>
              <w:bottom w:val="single" w:sz="4" w:space="0" w:color="808080"/>
              <w:right w:val="single" w:sz="4" w:space="0" w:color="808080"/>
            </w:tcBorders>
            <w:shd w:val="clear" w:color="auto" w:fill="CC99FF"/>
            <w:noWrap/>
            <w:vAlign w:val="bottom"/>
          </w:tcPr>
          <w:p w:rsidR="005A0067" w:rsidRPr="00D00EFE" w:rsidRDefault="005A0067" w:rsidP="00E671BE">
            <w:pPr>
              <w:jc w:val="center"/>
              <w:rPr>
                <w:rFonts w:cs="Arial"/>
                <w:sz w:val="20"/>
              </w:rPr>
            </w:pPr>
            <w:r w:rsidRPr="00D00EFE">
              <w:rPr>
                <w:rFonts w:cs="Arial"/>
                <w:sz w:val="20"/>
              </w:rPr>
              <w:t>1373,7</w:t>
            </w:r>
          </w:p>
        </w:tc>
        <w:tc>
          <w:tcPr>
            <w:tcW w:w="2440" w:type="dxa"/>
            <w:tcBorders>
              <w:top w:val="nil"/>
              <w:left w:val="nil"/>
              <w:bottom w:val="single" w:sz="4" w:space="0" w:color="808080"/>
              <w:right w:val="single" w:sz="4" w:space="0" w:color="808080"/>
            </w:tcBorders>
            <w:shd w:val="clear" w:color="auto" w:fill="CC99FF"/>
            <w:noWrap/>
            <w:vAlign w:val="bottom"/>
          </w:tcPr>
          <w:p w:rsidR="005A0067" w:rsidRPr="00D00EFE" w:rsidRDefault="005A0067" w:rsidP="00E671BE">
            <w:pPr>
              <w:jc w:val="center"/>
              <w:rPr>
                <w:rFonts w:cs="Arial"/>
                <w:sz w:val="20"/>
              </w:rPr>
            </w:pPr>
            <w:r w:rsidRPr="00D00EFE">
              <w:rPr>
                <w:rFonts w:cs="Arial"/>
                <w:sz w:val="20"/>
              </w:rPr>
              <w:t>123,20</w:t>
            </w:r>
          </w:p>
        </w:tc>
      </w:tr>
    </w:tbl>
    <w:p w:rsidR="005A0067" w:rsidRDefault="005A0067" w:rsidP="005A0067">
      <w:pPr>
        <w:autoSpaceDE w:val="0"/>
        <w:autoSpaceDN w:val="0"/>
        <w:adjustRightInd w:val="0"/>
        <w:rPr>
          <w:rFonts w:ascii="Helv" w:hAnsi="Helv" w:cs="Helv"/>
          <w:color w:val="000000"/>
          <w:sz w:val="20"/>
          <w:szCs w:val="20"/>
        </w:rPr>
      </w:pPr>
    </w:p>
    <w:p w:rsidR="005A0067" w:rsidRDefault="005A0067" w:rsidP="005A0067">
      <w:pPr>
        <w:autoSpaceDE w:val="0"/>
        <w:autoSpaceDN w:val="0"/>
        <w:adjustRightInd w:val="0"/>
        <w:rPr>
          <w:rFonts w:ascii="Helv" w:hAnsi="Helv" w:cs="Helv"/>
          <w:color w:val="000000"/>
          <w:sz w:val="20"/>
          <w:szCs w:val="20"/>
        </w:rPr>
      </w:pPr>
    </w:p>
    <w:p w:rsidR="005A0067" w:rsidRPr="00373AF3" w:rsidRDefault="005A0067" w:rsidP="005A0067">
      <w:pPr>
        <w:rPr>
          <w:rFonts w:ascii="Arial" w:hAnsi="Arial" w:cs="Arial"/>
          <w:b/>
          <w:sz w:val="20"/>
          <w:szCs w:val="20"/>
          <w:lang w:val="en-GB"/>
        </w:rPr>
      </w:pPr>
      <w:r w:rsidRPr="00373AF3">
        <w:rPr>
          <w:rFonts w:ascii="Arial" w:hAnsi="Arial" w:cs="Arial"/>
          <w:b/>
          <w:sz w:val="20"/>
          <w:szCs w:val="20"/>
          <w:lang w:val="en-GB"/>
        </w:rPr>
        <w:t>2011</w:t>
      </w:r>
    </w:p>
    <w:tbl>
      <w:tblPr>
        <w:tblW w:w="7595" w:type="dxa"/>
        <w:tblInd w:w="55" w:type="dxa"/>
        <w:tblCellMar>
          <w:left w:w="70" w:type="dxa"/>
          <w:right w:w="70" w:type="dxa"/>
        </w:tblCellMar>
        <w:tblLook w:val="04A0" w:firstRow="1" w:lastRow="0" w:firstColumn="1" w:lastColumn="0" w:noHBand="0" w:noVBand="1"/>
      </w:tblPr>
      <w:tblGrid>
        <w:gridCol w:w="1359"/>
        <w:gridCol w:w="1303"/>
        <w:gridCol w:w="2309"/>
        <w:gridCol w:w="2624"/>
      </w:tblGrid>
      <w:tr w:rsidR="005A0067" w:rsidRPr="00FE64D8" w:rsidTr="00E671BE">
        <w:trPr>
          <w:trHeight w:val="255"/>
        </w:trPr>
        <w:tc>
          <w:tcPr>
            <w:tcW w:w="1359" w:type="dxa"/>
            <w:tcBorders>
              <w:top w:val="single" w:sz="4" w:space="0" w:color="808080"/>
              <w:left w:val="single" w:sz="4" w:space="0" w:color="808080"/>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PRISON</w:t>
            </w:r>
          </w:p>
        </w:tc>
        <w:tc>
          <w:tcPr>
            <w:tcW w:w="1303"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CAPACITY</w:t>
            </w:r>
          </w:p>
        </w:tc>
        <w:tc>
          <w:tcPr>
            <w:tcW w:w="2309"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AVERAGE NUMBER OF PRISONERS</w:t>
            </w:r>
          </w:p>
        </w:tc>
        <w:tc>
          <w:tcPr>
            <w:tcW w:w="2624"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 xml:space="preserve">SHARE OF USED CAPACITIES </w:t>
            </w:r>
            <w:r w:rsidRPr="00D00EFE">
              <w:rPr>
                <w:rFonts w:cs="Arial"/>
                <w:color w:val="FFFFFF"/>
                <w:sz w:val="20"/>
              </w:rPr>
              <w:t xml:space="preserve"> (</w:t>
            </w:r>
            <w:r>
              <w:rPr>
                <w:rFonts w:cs="Arial"/>
                <w:color w:val="FFFFFF"/>
                <w:sz w:val="20"/>
              </w:rPr>
              <w:t>IN</w:t>
            </w:r>
            <w:r w:rsidRPr="00D00EFE">
              <w:rPr>
                <w:rFonts w:cs="Arial"/>
                <w:color w:val="FFFFFF"/>
                <w:sz w:val="20"/>
              </w:rPr>
              <w:t xml:space="preserve"> %)</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Dob</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420</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422</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100,48</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Slov. vas</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63</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58,9</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93,49</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Puščava</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17</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15,3</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90,00</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Ig</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83</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64,2</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77,35</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Celje</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96</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77,5</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80,73</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Koper</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110</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128,6</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116,91</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N. Gorica</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32</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32,7</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102,19</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Ljubljana</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128</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233,3</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182,27</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N. mesto</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35</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40,7</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116,29</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OO Ig</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27</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16,9</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62,59</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Maribor</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146</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152,8</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104,66</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M. Sobota</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41</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33</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80,49</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OO Rogoza</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36</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34</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94,44</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E64D8" w:rsidRDefault="005A0067" w:rsidP="00E671BE">
            <w:pPr>
              <w:rPr>
                <w:rFonts w:cs="Arial"/>
                <w:sz w:val="20"/>
              </w:rPr>
            </w:pPr>
            <w:r w:rsidRPr="00FE64D8">
              <w:rPr>
                <w:rFonts w:cs="Arial"/>
                <w:sz w:val="20"/>
              </w:rPr>
              <w:t>Radeče</w:t>
            </w:r>
          </w:p>
        </w:tc>
        <w:tc>
          <w:tcPr>
            <w:tcW w:w="1303"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right"/>
              <w:rPr>
                <w:rFonts w:cs="Arial"/>
                <w:sz w:val="20"/>
              </w:rPr>
            </w:pPr>
            <w:r w:rsidRPr="00FE64D8">
              <w:rPr>
                <w:rFonts w:cs="Arial"/>
                <w:sz w:val="20"/>
              </w:rPr>
              <w:t>68</w:t>
            </w:r>
          </w:p>
        </w:tc>
        <w:tc>
          <w:tcPr>
            <w:tcW w:w="2309" w:type="dxa"/>
            <w:tcBorders>
              <w:top w:val="nil"/>
              <w:left w:val="nil"/>
              <w:bottom w:val="single" w:sz="4" w:space="0" w:color="808080"/>
              <w:right w:val="single" w:sz="4" w:space="0" w:color="808080"/>
            </w:tcBorders>
            <w:shd w:val="clear" w:color="auto" w:fill="auto"/>
            <w:noWrap/>
            <w:vAlign w:val="bottom"/>
            <w:hideMark/>
          </w:tcPr>
          <w:p w:rsidR="005A0067" w:rsidRPr="00FE64D8" w:rsidRDefault="005A0067" w:rsidP="00E671BE">
            <w:pPr>
              <w:jc w:val="center"/>
              <w:rPr>
                <w:rFonts w:cs="Arial"/>
                <w:sz w:val="20"/>
              </w:rPr>
            </w:pPr>
            <w:r w:rsidRPr="00FE64D8">
              <w:rPr>
                <w:rFonts w:cs="Arial"/>
                <w:sz w:val="20"/>
              </w:rPr>
              <w:t>27,5</w:t>
            </w:r>
          </w:p>
        </w:tc>
        <w:tc>
          <w:tcPr>
            <w:tcW w:w="2624" w:type="dxa"/>
            <w:tcBorders>
              <w:top w:val="nil"/>
              <w:left w:val="nil"/>
              <w:bottom w:val="single" w:sz="4" w:space="0" w:color="808080"/>
              <w:right w:val="single" w:sz="4" w:space="0" w:color="808080"/>
            </w:tcBorders>
            <w:shd w:val="clear" w:color="000000" w:fill="FFFF99"/>
            <w:noWrap/>
            <w:vAlign w:val="bottom"/>
            <w:hideMark/>
          </w:tcPr>
          <w:p w:rsidR="005A0067" w:rsidRPr="00FE64D8" w:rsidRDefault="005A0067" w:rsidP="00E671BE">
            <w:pPr>
              <w:jc w:val="right"/>
              <w:rPr>
                <w:rFonts w:cs="Arial"/>
                <w:sz w:val="20"/>
              </w:rPr>
            </w:pPr>
            <w:r w:rsidRPr="00FE64D8">
              <w:rPr>
                <w:rFonts w:cs="Arial"/>
                <w:sz w:val="20"/>
              </w:rPr>
              <w:t>40,44</w:t>
            </w:r>
          </w:p>
        </w:tc>
      </w:tr>
      <w:tr w:rsidR="005A0067" w:rsidRPr="00FE64D8" w:rsidTr="00E671BE">
        <w:trPr>
          <w:trHeight w:val="255"/>
        </w:trPr>
        <w:tc>
          <w:tcPr>
            <w:tcW w:w="1359" w:type="dxa"/>
            <w:tcBorders>
              <w:top w:val="nil"/>
              <w:left w:val="single" w:sz="4" w:space="0" w:color="808080"/>
              <w:bottom w:val="single" w:sz="4" w:space="0" w:color="808080"/>
              <w:right w:val="single" w:sz="4" w:space="0" w:color="808080"/>
            </w:tcBorders>
            <w:shd w:val="clear" w:color="000000" w:fill="CC99FF"/>
            <w:noWrap/>
            <w:vAlign w:val="bottom"/>
            <w:hideMark/>
          </w:tcPr>
          <w:p w:rsidR="005A0067" w:rsidRPr="00FE64D8" w:rsidRDefault="005A0067" w:rsidP="00E671BE">
            <w:pPr>
              <w:rPr>
                <w:rFonts w:cs="Arial"/>
                <w:sz w:val="20"/>
              </w:rPr>
            </w:pPr>
            <w:r>
              <w:rPr>
                <w:rFonts w:cs="Arial"/>
                <w:sz w:val="20"/>
              </w:rPr>
              <w:t>TOGETHER</w:t>
            </w:r>
          </w:p>
        </w:tc>
        <w:tc>
          <w:tcPr>
            <w:tcW w:w="1303" w:type="dxa"/>
            <w:tcBorders>
              <w:top w:val="nil"/>
              <w:left w:val="nil"/>
              <w:bottom w:val="single" w:sz="4" w:space="0" w:color="808080"/>
              <w:right w:val="single" w:sz="4" w:space="0" w:color="808080"/>
            </w:tcBorders>
            <w:shd w:val="clear" w:color="000000" w:fill="CC99FF"/>
            <w:noWrap/>
            <w:vAlign w:val="bottom"/>
            <w:hideMark/>
          </w:tcPr>
          <w:p w:rsidR="005A0067" w:rsidRPr="00FE64D8" w:rsidRDefault="005A0067" w:rsidP="00E671BE">
            <w:pPr>
              <w:jc w:val="right"/>
              <w:rPr>
                <w:rFonts w:cs="Arial"/>
                <w:sz w:val="20"/>
              </w:rPr>
            </w:pPr>
            <w:r w:rsidRPr="00FE64D8">
              <w:rPr>
                <w:rFonts w:cs="Arial"/>
                <w:sz w:val="20"/>
              </w:rPr>
              <w:t>1302</w:t>
            </w:r>
          </w:p>
        </w:tc>
        <w:tc>
          <w:tcPr>
            <w:tcW w:w="2309" w:type="dxa"/>
            <w:tcBorders>
              <w:top w:val="nil"/>
              <w:left w:val="nil"/>
              <w:bottom w:val="single" w:sz="4" w:space="0" w:color="808080"/>
              <w:right w:val="single" w:sz="4" w:space="0" w:color="808080"/>
            </w:tcBorders>
            <w:shd w:val="clear" w:color="000000" w:fill="CC99FF"/>
            <w:noWrap/>
            <w:vAlign w:val="bottom"/>
            <w:hideMark/>
          </w:tcPr>
          <w:p w:rsidR="005A0067" w:rsidRPr="00FE64D8" w:rsidRDefault="005A0067" w:rsidP="00E671BE">
            <w:pPr>
              <w:jc w:val="center"/>
              <w:rPr>
                <w:rFonts w:cs="Arial"/>
                <w:sz w:val="20"/>
              </w:rPr>
            </w:pPr>
            <w:r w:rsidRPr="00FE64D8">
              <w:rPr>
                <w:rFonts w:cs="Arial"/>
                <w:sz w:val="20"/>
              </w:rPr>
              <w:t>1337,4</w:t>
            </w:r>
          </w:p>
        </w:tc>
        <w:tc>
          <w:tcPr>
            <w:tcW w:w="2624" w:type="dxa"/>
            <w:tcBorders>
              <w:top w:val="nil"/>
              <w:left w:val="nil"/>
              <w:bottom w:val="single" w:sz="4" w:space="0" w:color="808080"/>
              <w:right w:val="single" w:sz="4" w:space="0" w:color="808080"/>
            </w:tcBorders>
            <w:shd w:val="clear" w:color="000000" w:fill="CC99FF"/>
            <w:noWrap/>
            <w:vAlign w:val="bottom"/>
            <w:hideMark/>
          </w:tcPr>
          <w:p w:rsidR="005A0067" w:rsidRPr="00FE64D8" w:rsidRDefault="005A0067" w:rsidP="00E671BE">
            <w:pPr>
              <w:jc w:val="right"/>
              <w:rPr>
                <w:rFonts w:cs="Arial"/>
                <w:sz w:val="20"/>
              </w:rPr>
            </w:pPr>
            <w:r w:rsidRPr="00FE64D8">
              <w:rPr>
                <w:rFonts w:cs="Arial"/>
                <w:sz w:val="20"/>
              </w:rPr>
              <w:t>102,72</w:t>
            </w:r>
          </w:p>
        </w:tc>
      </w:tr>
    </w:tbl>
    <w:p w:rsidR="005A0067" w:rsidRDefault="005A0067" w:rsidP="005A0067">
      <w:pPr>
        <w:rPr>
          <w:lang w:val="en-GB"/>
        </w:rPr>
      </w:pPr>
    </w:p>
    <w:p w:rsidR="005A0067" w:rsidRPr="00CC1691" w:rsidRDefault="005A0067" w:rsidP="005A0067">
      <w:pPr>
        <w:rPr>
          <w:rFonts w:ascii="Arial" w:hAnsi="Arial" w:cs="Arial"/>
          <w:b/>
          <w:sz w:val="20"/>
          <w:szCs w:val="20"/>
          <w:lang w:val="en-GB"/>
        </w:rPr>
      </w:pPr>
      <w:r w:rsidRPr="00CC1691">
        <w:rPr>
          <w:rFonts w:ascii="Arial" w:hAnsi="Arial" w:cs="Arial"/>
          <w:b/>
          <w:sz w:val="20"/>
          <w:szCs w:val="20"/>
          <w:lang w:val="en-GB"/>
        </w:rPr>
        <w:t>2012</w:t>
      </w:r>
    </w:p>
    <w:tbl>
      <w:tblPr>
        <w:tblW w:w="7595" w:type="dxa"/>
        <w:tblInd w:w="55" w:type="dxa"/>
        <w:tblCellMar>
          <w:left w:w="70" w:type="dxa"/>
          <w:right w:w="70" w:type="dxa"/>
        </w:tblCellMar>
        <w:tblLook w:val="04A0" w:firstRow="1" w:lastRow="0" w:firstColumn="1" w:lastColumn="0" w:noHBand="0" w:noVBand="1"/>
      </w:tblPr>
      <w:tblGrid>
        <w:gridCol w:w="1460"/>
        <w:gridCol w:w="1400"/>
        <w:gridCol w:w="2480"/>
        <w:gridCol w:w="2255"/>
      </w:tblGrid>
      <w:tr w:rsidR="005A0067" w:rsidRPr="00C63874" w:rsidTr="00E671BE">
        <w:trPr>
          <w:trHeight w:val="510"/>
        </w:trPr>
        <w:tc>
          <w:tcPr>
            <w:tcW w:w="1460" w:type="dxa"/>
            <w:tcBorders>
              <w:top w:val="single" w:sz="4" w:space="0" w:color="808080"/>
              <w:left w:val="single" w:sz="4" w:space="0" w:color="808080"/>
              <w:bottom w:val="single" w:sz="4" w:space="0" w:color="808080"/>
              <w:right w:val="single" w:sz="4" w:space="0" w:color="808080"/>
            </w:tcBorders>
            <w:shd w:val="clear" w:color="000000" w:fill="800080"/>
            <w:noWrap/>
            <w:vAlign w:val="bottom"/>
          </w:tcPr>
          <w:p w:rsidR="005A0067" w:rsidRPr="00D00EFE" w:rsidRDefault="005A0067" w:rsidP="00E671BE">
            <w:pPr>
              <w:jc w:val="center"/>
              <w:rPr>
                <w:rFonts w:cs="Arial"/>
                <w:color w:val="FFFFFF"/>
                <w:sz w:val="20"/>
              </w:rPr>
            </w:pPr>
            <w:r>
              <w:rPr>
                <w:rFonts w:cs="Arial"/>
                <w:color w:val="FFFFFF"/>
                <w:sz w:val="20"/>
              </w:rPr>
              <w:t>PRISON</w:t>
            </w:r>
          </w:p>
        </w:tc>
        <w:tc>
          <w:tcPr>
            <w:tcW w:w="1400" w:type="dxa"/>
            <w:tcBorders>
              <w:top w:val="single" w:sz="4" w:space="0" w:color="808080"/>
              <w:left w:val="nil"/>
              <w:bottom w:val="single" w:sz="4" w:space="0" w:color="808080"/>
              <w:right w:val="single" w:sz="4" w:space="0" w:color="808080"/>
            </w:tcBorders>
            <w:shd w:val="clear" w:color="000000" w:fill="800080"/>
            <w:noWrap/>
            <w:vAlign w:val="bottom"/>
          </w:tcPr>
          <w:p w:rsidR="005A0067" w:rsidRPr="00D00EFE" w:rsidRDefault="005A0067" w:rsidP="00E671BE">
            <w:pPr>
              <w:jc w:val="center"/>
              <w:rPr>
                <w:rFonts w:cs="Arial"/>
                <w:color w:val="FFFFFF"/>
                <w:sz w:val="20"/>
              </w:rPr>
            </w:pPr>
            <w:r>
              <w:rPr>
                <w:rFonts w:cs="Arial"/>
                <w:color w:val="FFFFFF"/>
                <w:sz w:val="20"/>
              </w:rPr>
              <w:t>CAPACITY</w:t>
            </w:r>
          </w:p>
        </w:tc>
        <w:tc>
          <w:tcPr>
            <w:tcW w:w="2480" w:type="dxa"/>
            <w:tcBorders>
              <w:top w:val="single" w:sz="4" w:space="0" w:color="808080"/>
              <w:left w:val="nil"/>
              <w:bottom w:val="single" w:sz="4" w:space="0" w:color="808080"/>
              <w:right w:val="single" w:sz="4" w:space="0" w:color="808080"/>
            </w:tcBorders>
            <w:shd w:val="clear" w:color="000000" w:fill="800080"/>
            <w:noWrap/>
            <w:vAlign w:val="bottom"/>
          </w:tcPr>
          <w:p w:rsidR="005A0067" w:rsidRPr="00D00EFE" w:rsidRDefault="005A0067" w:rsidP="00E671BE">
            <w:pPr>
              <w:jc w:val="center"/>
              <w:rPr>
                <w:rFonts w:cs="Arial"/>
                <w:color w:val="FFFFFF"/>
                <w:sz w:val="20"/>
              </w:rPr>
            </w:pPr>
            <w:r>
              <w:rPr>
                <w:rFonts w:cs="Arial"/>
                <w:color w:val="FFFFFF"/>
                <w:sz w:val="20"/>
              </w:rPr>
              <w:t>AVERAGE NUMBER OF PRISONERS</w:t>
            </w:r>
          </w:p>
        </w:tc>
        <w:tc>
          <w:tcPr>
            <w:tcW w:w="2255" w:type="dxa"/>
            <w:tcBorders>
              <w:top w:val="single" w:sz="4" w:space="0" w:color="808080"/>
              <w:left w:val="nil"/>
              <w:bottom w:val="single" w:sz="4" w:space="0" w:color="808080"/>
              <w:right w:val="single" w:sz="4" w:space="0" w:color="808080"/>
            </w:tcBorders>
            <w:shd w:val="clear" w:color="000000" w:fill="800080"/>
            <w:noWrap/>
            <w:vAlign w:val="bottom"/>
          </w:tcPr>
          <w:p w:rsidR="005A0067" w:rsidRPr="00D00EFE" w:rsidRDefault="005A0067" w:rsidP="00E671BE">
            <w:pPr>
              <w:jc w:val="center"/>
              <w:rPr>
                <w:rFonts w:cs="Arial"/>
                <w:color w:val="FFFFFF"/>
                <w:sz w:val="20"/>
              </w:rPr>
            </w:pPr>
            <w:r>
              <w:rPr>
                <w:rFonts w:cs="Arial"/>
                <w:color w:val="FFFFFF"/>
                <w:sz w:val="20"/>
              </w:rPr>
              <w:t xml:space="preserve">SHARE OF USED CAPACITIES </w:t>
            </w:r>
            <w:r w:rsidRPr="00D00EFE">
              <w:rPr>
                <w:rFonts w:cs="Arial"/>
                <w:color w:val="FFFFFF"/>
                <w:sz w:val="20"/>
              </w:rPr>
              <w:t xml:space="preserve"> (</w:t>
            </w:r>
            <w:r>
              <w:rPr>
                <w:rFonts w:cs="Arial"/>
                <w:color w:val="FFFFFF"/>
                <w:sz w:val="20"/>
              </w:rPr>
              <w:t>IN</w:t>
            </w:r>
            <w:r w:rsidRPr="00D00EFE">
              <w:rPr>
                <w:rFonts w:cs="Arial"/>
                <w:color w:val="FFFFFF"/>
                <w:sz w:val="20"/>
              </w:rPr>
              <w:t xml:space="preserve"> %)</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Dob</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420</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448,3</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106,74</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Slov. vas</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63</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57,5</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91,27</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Puščava</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17</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15,5</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91,18</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Ig</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83</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64,5</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77,71</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Celje</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96</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96</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100,00</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Koper</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110</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134,6</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122,36</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N. Gorica</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32</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33,3</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104,06</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Ljubljana</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135</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214,8</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159,11</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lastRenderedPageBreak/>
              <w:t>N. mesto</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35</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45,4</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129,71</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OO Ig</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27</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27,1</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100,37</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Maribor</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146</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184,8</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126,58</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M. Sobota</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41</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38,9</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94,88</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OO Rogoza</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36</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36</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100,00</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auto" w:fill="auto"/>
            <w:noWrap/>
            <w:vAlign w:val="bottom"/>
          </w:tcPr>
          <w:p w:rsidR="005A0067" w:rsidRPr="00C63874" w:rsidRDefault="005A0067" w:rsidP="00E671BE">
            <w:pPr>
              <w:rPr>
                <w:rFonts w:cs="Arial"/>
                <w:sz w:val="20"/>
              </w:rPr>
            </w:pPr>
            <w:r w:rsidRPr="00C63874">
              <w:rPr>
                <w:rFonts w:cs="Arial"/>
                <w:sz w:val="20"/>
              </w:rPr>
              <w:t>Radeče</w:t>
            </w:r>
          </w:p>
        </w:tc>
        <w:tc>
          <w:tcPr>
            <w:tcW w:w="140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right"/>
              <w:rPr>
                <w:rFonts w:cs="Arial"/>
                <w:sz w:val="20"/>
              </w:rPr>
            </w:pPr>
            <w:r w:rsidRPr="00C63874">
              <w:rPr>
                <w:rFonts w:cs="Arial"/>
                <w:sz w:val="20"/>
              </w:rPr>
              <w:t>68</w:t>
            </w:r>
          </w:p>
        </w:tc>
        <w:tc>
          <w:tcPr>
            <w:tcW w:w="2480" w:type="dxa"/>
            <w:tcBorders>
              <w:top w:val="nil"/>
              <w:left w:val="nil"/>
              <w:bottom w:val="single" w:sz="4" w:space="0" w:color="808080"/>
              <w:right w:val="single" w:sz="4" w:space="0" w:color="808080"/>
            </w:tcBorders>
            <w:shd w:val="clear" w:color="auto" w:fill="auto"/>
            <w:noWrap/>
            <w:vAlign w:val="bottom"/>
          </w:tcPr>
          <w:p w:rsidR="005A0067" w:rsidRPr="00C63874" w:rsidRDefault="005A0067" w:rsidP="00E671BE">
            <w:pPr>
              <w:jc w:val="center"/>
              <w:rPr>
                <w:rFonts w:cs="Arial"/>
                <w:sz w:val="20"/>
              </w:rPr>
            </w:pPr>
            <w:r w:rsidRPr="00C63874">
              <w:rPr>
                <w:rFonts w:cs="Arial"/>
                <w:sz w:val="20"/>
              </w:rPr>
              <w:t>21,7</w:t>
            </w:r>
          </w:p>
        </w:tc>
        <w:tc>
          <w:tcPr>
            <w:tcW w:w="2255" w:type="dxa"/>
            <w:tcBorders>
              <w:top w:val="nil"/>
              <w:left w:val="nil"/>
              <w:bottom w:val="single" w:sz="4" w:space="0" w:color="808080"/>
              <w:right w:val="single" w:sz="4" w:space="0" w:color="808080"/>
            </w:tcBorders>
            <w:shd w:val="clear" w:color="000000" w:fill="FFFF99"/>
            <w:noWrap/>
            <w:vAlign w:val="bottom"/>
          </w:tcPr>
          <w:p w:rsidR="005A0067" w:rsidRPr="00C63874" w:rsidRDefault="005A0067" w:rsidP="00E671BE">
            <w:pPr>
              <w:jc w:val="right"/>
              <w:rPr>
                <w:rFonts w:cs="Arial"/>
                <w:sz w:val="20"/>
              </w:rPr>
            </w:pPr>
            <w:r w:rsidRPr="00C63874">
              <w:rPr>
                <w:rFonts w:cs="Arial"/>
                <w:sz w:val="20"/>
              </w:rPr>
              <w:t>31,91</w:t>
            </w:r>
          </w:p>
        </w:tc>
      </w:tr>
      <w:tr w:rsidR="005A0067" w:rsidRPr="00C63874" w:rsidTr="00E671BE">
        <w:trPr>
          <w:trHeight w:val="264"/>
        </w:trPr>
        <w:tc>
          <w:tcPr>
            <w:tcW w:w="1460" w:type="dxa"/>
            <w:tcBorders>
              <w:top w:val="nil"/>
              <w:left w:val="single" w:sz="4" w:space="0" w:color="808080"/>
              <w:bottom w:val="single" w:sz="4" w:space="0" w:color="808080"/>
              <w:right w:val="single" w:sz="4" w:space="0" w:color="808080"/>
            </w:tcBorders>
            <w:shd w:val="clear" w:color="000000" w:fill="CC99FF"/>
            <w:noWrap/>
            <w:vAlign w:val="bottom"/>
          </w:tcPr>
          <w:p w:rsidR="005A0067" w:rsidRPr="00C63874" w:rsidRDefault="005A0067" w:rsidP="00E671BE">
            <w:pPr>
              <w:rPr>
                <w:rFonts w:cs="Arial"/>
                <w:sz w:val="20"/>
              </w:rPr>
            </w:pPr>
            <w:r>
              <w:rPr>
                <w:rFonts w:cs="Arial"/>
                <w:sz w:val="20"/>
              </w:rPr>
              <w:t>TOGETHER</w:t>
            </w:r>
          </w:p>
        </w:tc>
        <w:tc>
          <w:tcPr>
            <w:tcW w:w="1400" w:type="dxa"/>
            <w:tcBorders>
              <w:top w:val="nil"/>
              <w:left w:val="nil"/>
              <w:bottom w:val="single" w:sz="4" w:space="0" w:color="808080"/>
              <w:right w:val="single" w:sz="4" w:space="0" w:color="808080"/>
            </w:tcBorders>
            <w:shd w:val="clear" w:color="000000" w:fill="CC99FF"/>
            <w:noWrap/>
            <w:vAlign w:val="bottom"/>
          </w:tcPr>
          <w:p w:rsidR="005A0067" w:rsidRPr="00C63874" w:rsidRDefault="005A0067" w:rsidP="00E671BE">
            <w:pPr>
              <w:jc w:val="right"/>
              <w:rPr>
                <w:rFonts w:cs="Arial"/>
                <w:sz w:val="20"/>
              </w:rPr>
            </w:pPr>
            <w:r w:rsidRPr="00C63874">
              <w:rPr>
                <w:rFonts w:cs="Arial"/>
                <w:sz w:val="20"/>
              </w:rPr>
              <w:t>1309</w:t>
            </w:r>
          </w:p>
        </w:tc>
        <w:tc>
          <w:tcPr>
            <w:tcW w:w="2480" w:type="dxa"/>
            <w:tcBorders>
              <w:top w:val="nil"/>
              <w:left w:val="nil"/>
              <w:bottom w:val="single" w:sz="4" w:space="0" w:color="808080"/>
              <w:right w:val="single" w:sz="4" w:space="0" w:color="808080"/>
            </w:tcBorders>
            <w:shd w:val="clear" w:color="000000" w:fill="CC99FF"/>
            <w:noWrap/>
            <w:vAlign w:val="bottom"/>
          </w:tcPr>
          <w:p w:rsidR="005A0067" w:rsidRPr="00C63874" w:rsidRDefault="005A0067" w:rsidP="00E671BE">
            <w:pPr>
              <w:jc w:val="center"/>
              <w:rPr>
                <w:rFonts w:cs="Arial"/>
                <w:sz w:val="20"/>
              </w:rPr>
            </w:pPr>
            <w:r w:rsidRPr="00C63874">
              <w:rPr>
                <w:rFonts w:cs="Arial"/>
                <w:sz w:val="20"/>
              </w:rPr>
              <w:t>1418,4</w:t>
            </w:r>
          </w:p>
        </w:tc>
        <w:tc>
          <w:tcPr>
            <w:tcW w:w="2255" w:type="dxa"/>
            <w:tcBorders>
              <w:top w:val="nil"/>
              <w:left w:val="nil"/>
              <w:bottom w:val="single" w:sz="4" w:space="0" w:color="808080"/>
              <w:right w:val="single" w:sz="4" w:space="0" w:color="808080"/>
            </w:tcBorders>
            <w:shd w:val="clear" w:color="000000" w:fill="CC99FF"/>
            <w:noWrap/>
            <w:vAlign w:val="bottom"/>
          </w:tcPr>
          <w:p w:rsidR="005A0067" w:rsidRPr="00C63874" w:rsidRDefault="005A0067" w:rsidP="00E671BE">
            <w:pPr>
              <w:jc w:val="right"/>
              <w:rPr>
                <w:rFonts w:cs="Arial"/>
                <w:sz w:val="20"/>
              </w:rPr>
            </w:pPr>
            <w:r w:rsidRPr="00C63874">
              <w:rPr>
                <w:rFonts w:cs="Arial"/>
                <w:sz w:val="20"/>
              </w:rPr>
              <w:t>108,36</w:t>
            </w:r>
          </w:p>
        </w:tc>
      </w:tr>
    </w:tbl>
    <w:p w:rsidR="005A0067" w:rsidRDefault="005A0067" w:rsidP="005A0067">
      <w:pPr>
        <w:rPr>
          <w:lang w:val="en-GB"/>
        </w:rPr>
      </w:pPr>
    </w:p>
    <w:p w:rsidR="005A0067" w:rsidRPr="00CC1691" w:rsidRDefault="005A0067" w:rsidP="005A0067">
      <w:pPr>
        <w:rPr>
          <w:rFonts w:ascii="Arial" w:hAnsi="Arial" w:cs="Arial"/>
          <w:b/>
          <w:sz w:val="20"/>
          <w:szCs w:val="20"/>
          <w:lang w:val="en-GB"/>
        </w:rPr>
      </w:pPr>
      <w:r w:rsidRPr="00CC1691">
        <w:rPr>
          <w:rFonts w:ascii="Arial" w:hAnsi="Arial" w:cs="Arial"/>
          <w:b/>
          <w:sz w:val="20"/>
          <w:szCs w:val="20"/>
          <w:lang w:val="en-GB"/>
        </w:rPr>
        <w:t>2013</w:t>
      </w:r>
    </w:p>
    <w:tbl>
      <w:tblPr>
        <w:tblW w:w="7595" w:type="dxa"/>
        <w:tblInd w:w="55" w:type="dxa"/>
        <w:tblCellMar>
          <w:left w:w="70" w:type="dxa"/>
          <w:right w:w="70" w:type="dxa"/>
        </w:tblCellMar>
        <w:tblLook w:val="04A0" w:firstRow="1" w:lastRow="0" w:firstColumn="1" w:lastColumn="0" w:noHBand="0" w:noVBand="1"/>
      </w:tblPr>
      <w:tblGrid>
        <w:gridCol w:w="1420"/>
        <w:gridCol w:w="1360"/>
        <w:gridCol w:w="2400"/>
        <w:gridCol w:w="2415"/>
      </w:tblGrid>
      <w:tr w:rsidR="005A0067" w:rsidRPr="00F72428" w:rsidTr="00E671BE">
        <w:trPr>
          <w:trHeight w:val="510"/>
        </w:trPr>
        <w:tc>
          <w:tcPr>
            <w:tcW w:w="1420" w:type="dxa"/>
            <w:tcBorders>
              <w:top w:val="single" w:sz="4" w:space="0" w:color="808080"/>
              <w:left w:val="single" w:sz="4" w:space="0" w:color="808080"/>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PRISON</w:t>
            </w:r>
          </w:p>
        </w:tc>
        <w:tc>
          <w:tcPr>
            <w:tcW w:w="1360"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CAPACITY</w:t>
            </w:r>
          </w:p>
        </w:tc>
        <w:tc>
          <w:tcPr>
            <w:tcW w:w="2400"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AVERAGE NUMBER OF PRISONERS</w:t>
            </w:r>
          </w:p>
        </w:tc>
        <w:tc>
          <w:tcPr>
            <w:tcW w:w="2415"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 xml:space="preserve">SHARE OF USED CAPACITIES </w:t>
            </w:r>
            <w:r w:rsidRPr="00D00EFE">
              <w:rPr>
                <w:rFonts w:cs="Arial"/>
                <w:color w:val="FFFFFF"/>
                <w:sz w:val="20"/>
              </w:rPr>
              <w:t xml:space="preserve"> (</w:t>
            </w:r>
            <w:r>
              <w:rPr>
                <w:rFonts w:cs="Arial"/>
                <w:color w:val="FFFFFF"/>
                <w:sz w:val="20"/>
              </w:rPr>
              <w:t>IN</w:t>
            </w:r>
            <w:r w:rsidRPr="00D00EFE">
              <w:rPr>
                <w:rFonts w:cs="Arial"/>
                <w:color w:val="FFFFFF"/>
                <w:sz w:val="20"/>
              </w:rPr>
              <w:t xml:space="preserve"> %)</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Dob</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420</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498,7</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118,74</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Slov. vas</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70</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62,7</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89,57</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Puščava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21</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17,4</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82,86</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Ig</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86</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65,6</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76,28</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Celje</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98</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78,5</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80,10</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Koper</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110</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119,9</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109,00</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N. Gorica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28</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24</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85,71</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Ljubljana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135</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210,7</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156,07</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N. mesto</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35</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43,7</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124,86</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OO Ig</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27</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28,8</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106,67</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Maribor</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146</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180,3</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123,49</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M. Sobota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34</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36,5</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107,35</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OO Rogoza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36</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40,4</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112,22</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F72428" w:rsidRDefault="005A0067" w:rsidP="00E671BE">
            <w:pPr>
              <w:rPr>
                <w:rFonts w:cs="Arial"/>
                <w:sz w:val="20"/>
              </w:rPr>
            </w:pPr>
            <w:r w:rsidRPr="00F72428">
              <w:rPr>
                <w:rFonts w:cs="Arial"/>
                <w:sz w:val="20"/>
              </w:rPr>
              <w:t>Radeče</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right"/>
              <w:rPr>
                <w:rFonts w:cs="Arial"/>
                <w:sz w:val="20"/>
              </w:rPr>
            </w:pPr>
            <w:r w:rsidRPr="00F72428">
              <w:rPr>
                <w:rFonts w:cs="Arial"/>
                <w:sz w:val="20"/>
              </w:rPr>
              <w:t>47</w:t>
            </w:r>
          </w:p>
        </w:tc>
        <w:tc>
          <w:tcPr>
            <w:tcW w:w="2400" w:type="dxa"/>
            <w:tcBorders>
              <w:top w:val="nil"/>
              <w:left w:val="nil"/>
              <w:bottom w:val="single" w:sz="4" w:space="0" w:color="808080"/>
              <w:right w:val="single" w:sz="4" w:space="0" w:color="808080"/>
            </w:tcBorders>
            <w:shd w:val="clear" w:color="auto" w:fill="auto"/>
            <w:noWrap/>
            <w:vAlign w:val="bottom"/>
            <w:hideMark/>
          </w:tcPr>
          <w:p w:rsidR="005A0067" w:rsidRPr="00F72428" w:rsidRDefault="005A0067" w:rsidP="00E671BE">
            <w:pPr>
              <w:jc w:val="center"/>
              <w:rPr>
                <w:rFonts w:cs="Arial"/>
                <w:sz w:val="20"/>
              </w:rPr>
            </w:pPr>
            <w:r w:rsidRPr="00F72428">
              <w:rPr>
                <w:rFonts w:cs="Arial"/>
                <w:sz w:val="20"/>
              </w:rPr>
              <w:t>23,1</w:t>
            </w:r>
          </w:p>
        </w:tc>
        <w:tc>
          <w:tcPr>
            <w:tcW w:w="2415" w:type="dxa"/>
            <w:tcBorders>
              <w:top w:val="nil"/>
              <w:left w:val="nil"/>
              <w:bottom w:val="single" w:sz="4" w:space="0" w:color="808080"/>
              <w:right w:val="single" w:sz="4" w:space="0" w:color="808080"/>
            </w:tcBorders>
            <w:shd w:val="clear" w:color="000000" w:fill="FFFF99"/>
            <w:noWrap/>
            <w:vAlign w:val="bottom"/>
            <w:hideMark/>
          </w:tcPr>
          <w:p w:rsidR="005A0067" w:rsidRPr="00F72428" w:rsidRDefault="005A0067" w:rsidP="00E671BE">
            <w:pPr>
              <w:jc w:val="right"/>
              <w:rPr>
                <w:rFonts w:cs="Arial"/>
                <w:sz w:val="20"/>
              </w:rPr>
            </w:pPr>
            <w:r w:rsidRPr="00F72428">
              <w:rPr>
                <w:rFonts w:cs="Arial"/>
                <w:sz w:val="20"/>
              </w:rPr>
              <w:t>49,15</w:t>
            </w:r>
          </w:p>
        </w:tc>
      </w:tr>
      <w:tr w:rsidR="005A0067" w:rsidRPr="00F72428" w:rsidTr="00E671BE">
        <w:trPr>
          <w:trHeight w:val="255"/>
        </w:trPr>
        <w:tc>
          <w:tcPr>
            <w:tcW w:w="1420" w:type="dxa"/>
            <w:tcBorders>
              <w:top w:val="nil"/>
              <w:left w:val="single" w:sz="4" w:space="0" w:color="808080"/>
              <w:bottom w:val="single" w:sz="4" w:space="0" w:color="808080"/>
              <w:right w:val="single" w:sz="4" w:space="0" w:color="808080"/>
            </w:tcBorders>
            <w:shd w:val="clear" w:color="000000" w:fill="CC99FF"/>
            <w:noWrap/>
            <w:vAlign w:val="bottom"/>
            <w:hideMark/>
          </w:tcPr>
          <w:p w:rsidR="005A0067" w:rsidRPr="00F72428" w:rsidRDefault="005A0067" w:rsidP="00E671BE">
            <w:pPr>
              <w:rPr>
                <w:rFonts w:cs="Arial"/>
                <w:sz w:val="20"/>
              </w:rPr>
            </w:pPr>
            <w:r w:rsidRPr="00F72428">
              <w:rPr>
                <w:rFonts w:cs="Arial"/>
                <w:sz w:val="20"/>
              </w:rPr>
              <w:t>SKUPAJ</w:t>
            </w:r>
          </w:p>
        </w:tc>
        <w:tc>
          <w:tcPr>
            <w:tcW w:w="1360" w:type="dxa"/>
            <w:tcBorders>
              <w:top w:val="nil"/>
              <w:left w:val="nil"/>
              <w:bottom w:val="single" w:sz="4" w:space="0" w:color="808080"/>
              <w:right w:val="single" w:sz="4" w:space="0" w:color="808080"/>
            </w:tcBorders>
            <w:shd w:val="clear" w:color="000000" w:fill="CC99FF"/>
            <w:noWrap/>
            <w:vAlign w:val="bottom"/>
            <w:hideMark/>
          </w:tcPr>
          <w:p w:rsidR="005A0067" w:rsidRPr="00F72428" w:rsidRDefault="005A0067" w:rsidP="00E671BE">
            <w:pPr>
              <w:jc w:val="right"/>
              <w:rPr>
                <w:rFonts w:cs="Arial"/>
                <w:sz w:val="20"/>
              </w:rPr>
            </w:pPr>
            <w:r w:rsidRPr="00F72428">
              <w:rPr>
                <w:rFonts w:cs="Arial"/>
                <w:sz w:val="20"/>
              </w:rPr>
              <w:t>1293</w:t>
            </w:r>
          </w:p>
        </w:tc>
        <w:tc>
          <w:tcPr>
            <w:tcW w:w="2400" w:type="dxa"/>
            <w:tcBorders>
              <w:top w:val="nil"/>
              <w:left w:val="nil"/>
              <w:bottom w:val="single" w:sz="4" w:space="0" w:color="808080"/>
              <w:right w:val="single" w:sz="4" w:space="0" w:color="808080"/>
            </w:tcBorders>
            <w:shd w:val="clear" w:color="000000" w:fill="CC99FF"/>
            <w:noWrap/>
            <w:vAlign w:val="bottom"/>
            <w:hideMark/>
          </w:tcPr>
          <w:p w:rsidR="005A0067" w:rsidRPr="00F72428" w:rsidRDefault="005A0067" w:rsidP="00E671BE">
            <w:pPr>
              <w:jc w:val="center"/>
              <w:rPr>
                <w:rFonts w:cs="Arial"/>
                <w:sz w:val="20"/>
              </w:rPr>
            </w:pPr>
            <w:r w:rsidRPr="00F72428">
              <w:rPr>
                <w:rFonts w:cs="Arial"/>
                <w:sz w:val="20"/>
              </w:rPr>
              <w:t>1430,3</w:t>
            </w:r>
          </w:p>
        </w:tc>
        <w:tc>
          <w:tcPr>
            <w:tcW w:w="2415" w:type="dxa"/>
            <w:tcBorders>
              <w:top w:val="nil"/>
              <w:left w:val="nil"/>
              <w:bottom w:val="single" w:sz="4" w:space="0" w:color="808080"/>
              <w:right w:val="single" w:sz="4" w:space="0" w:color="808080"/>
            </w:tcBorders>
            <w:shd w:val="clear" w:color="000000" w:fill="CC99FF"/>
            <w:noWrap/>
            <w:vAlign w:val="bottom"/>
            <w:hideMark/>
          </w:tcPr>
          <w:p w:rsidR="005A0067" w:rsidRPr="00F72428" w:rsidRDefault="005A0067" w:rsidP="00E671BE">
            <w:pPr>
              <w:jc w:val="right"/>
              <w:rPr>
                <w:rFonts w:cs="Arial"/>
                <w:sz w:val="20"/>
              </w:rPr>
            </w:pPr>
            <w:r w:rsidRPr="00F72428">
              <w:rPr>
                <w:rFonts w:cs="Arial"/>
                <w:sz w:val="20"/>
              </w:rPr>
              <w:t>110,62</w:t>
            </w:r>
          </w:p>
        </w:tc>
      </w:tr>
    </w:tbl>
    <w:p w:rsidR="005A0067" w:rsidRDefault="005A0067" w:rsidP="005A0067">
      <w:pPr>
        <w:rPr>
          <w:lang w:val="en-GB"/>
        </w:rPr>
      </w:pPr>
    </w:p>
    <w:p w:rsidR="005A0067" w:rsidRPr="00CC1691" w:rsidRDefault="005A0067" w:rsidP="005A0067">
      <w:pPr>
        <w:rPr>
          <w:rFonts w:ascii="Arial" w:hAnsi="Arial" w:cs="Arial"/>
          <w:b/>
          <w:sz w:val="20"/>
          <w:szCs w:val="20"/>
          <w:lang w:val="en-GB"/>
        </w:rPr>
      </w:pPr>
      <w:r w:rsidRPr="00CC1691">
        <w:rPr>
          <w:rFonts w:ascii="Arial" w:hAnsi="Arial" w:cs="Arial"/>
          <w:b/>
          <w:sz w:val="20"/>
          <w:szCs w:val="20"/>
          <w:lang w:val="en-GB"/>
        </w:rPr>
        <w:t>2014</w:t>
      </w:r>
    </w:p>
    <w:tbl>
      <w:tblPr>
        <w:tblW w:w="7595" w:type="dxa"/>
        <w:tblInd w:w="55" w:type="dxa"/>
        <w:tblCellMar>
          <w:left w:w="70" w:type="dxa"/>
          <w:right w:w="70" w:type="dxa"/>
        </w:tblCellMar>
        <w:tblLook w:val="04A0" w:firstRow="1" w:lastRow="0" w:firstColumn="1" w:lastColumn="0" w:noHBand="0" w:noVBand="1"/>
      </w:tblPr>
      <w:tblGrid>
        <w:gridCol w:w="1420"/>
        <w:gridCol w:w="1360"/>
        <w:gridCol w:w="2400"/>
        <w:gridCol w:w="2415"/>
      </w:tblGrid>
      <w:tr w:rsidR="005A0067" w:rsidRPr="0032761F" w:rsidTr="00E671BE">
        <w:trPr>
          <w:trHeight w:val="510"/>
        </w:trPr>
        <w:tc>
          <w:tcPr>
            <w:tcW w:w="1420" w:type="dxa"/>
            <w:tcBorders>
              <w:top w:val="single" w:sz="4" w:space="0" w:color="808080"/>
              <w:left w:val="single" w:sz="4" w:space="0" w:color="808080"/>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PRISON</w:t>
            </w:r>
          </w:p>
        </w:tc>
        <w:tc>
          <w:tcPr>
            <w:tcW w:w="1360"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CAPACITY</w:t>
            </w:r>
          </w:p>
        </w:tc>
        <w:tc>
          <w:tcPr>
            <w:tcW w:w="2400"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AVERAGE NUMBER OF PRISONERS</w:t>
            </w:r>
          </w:p>
        </w:tc>
        <w:tc>
          <w:tcPr>
            <w:tcW w:w="2415" w:type="dxa"/>
            <w:tcBorders>
              <w:top w:val="single" w:sz="4" w:space="0" w:color="808080"/>
              <w:left w:val="nil"/>
              <w:bottom w:val="single" w:sz="4" w:space="0" w:color="808080"/>
              <w:right w:val="single" w:sz="4" w:space="0" w:color="808080"/>
            </w:tcBorders>
            <w:shd w:val="clear" w:color="000000" w:fill="800080"/>
            <w:noWrap/>
            <w:vAlign w:val="bottom"/>
            <w:hideMark/>
          </w:tcPr>
          <w:p w:rsidR="005A0067" w:rsidRPr="00D00EFE" w:rsidRDefault="005A0067" w:rsidP="00E671BE">
            <w:pPr>
              <w:jc w:val="center"/>
              <w:rPr>
                <w:rFonts w:cs="Arial"/>
                <w:color w:val="FFFFFF"/>
                <w:sz w:val="20"/>
              </w:rPr>
            </w:pPr>
            <w:r>
              <w:rPr>
                <w:rFonts w:cs="Arial"/>
                <w:color w:val="FFFFFF"/>
                <w:sz w:val="20"/>
              </w:rPr>
              <w:t xml:space="preserve">SHARE OF USED CAPACITIES </w:t>
            </w:r>
            <w:r w:rsidRPr="00D00EFE">
              <w:rPr>
                <w:rFonts w:cs="Arial"/>
                <w:color w:val="FFFFFF"/>
                <w:sz w:val="20"/>
              </w:rPr>
              <w:t xml:space="preserve"> (</w:t>
            </w:r>
            <w:r>
              <w:rPr>
                <w:rFonts w:cs="Arial"/>
                <w:color w:val="FFFFFF"/>
                <w:sz w:val="20"/>
              </w:rPr>
              <w:t>IN</w:t>
            </w:r>
            <w:r w:rsidRPr="00D00EFE">
              <w:rPr>
                <w:rFonts w:cs="Arial"/>
                <w:color w:val="FFFFFF"/>
                <w:sz w:val="20"/>
              </w:rPr>
              <w:t xml:space="preserve"> %)</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Dob</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420</w:t>
            </w:r>
          </w:p>
        </w:tc>
        <w:tc>
          <w:tcPr>
            <w:tcW w:w="2400" w:type="dxa"/>
            <w:tcBorders>
              <w:top w:val="single" w:sz="4" w:space="0" w:color="000000"/>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531,9</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126,64</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Slov. vas</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70</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65,0</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92,90</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lastRenderedPageBreak/>
              <w:t>Puščava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21</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18,4</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87,81</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Ig</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86</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82,2</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95,62</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Celje</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98</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102,0</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104,03</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Koper</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110</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131,6</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119,60</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N. Gorica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28</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29,5</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105,20</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Ljubljana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135</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211,3</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156,55</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N. mesto</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35</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43,2</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123,48</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OO Ig</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27</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28,5</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105,54</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Maribor</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146</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175,3</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120,04</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M. Sobota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34</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36,6</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107,58</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OO Rogoza</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36</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37,9</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105,36</w:t>
            </w:r>
          </w:p>
        </w:tc>
      </w:tr>
      <w:tr w:rsidR="005A0067" w:rsidRPr="0032761F" w:rsidTr="00E671BE">
        <w:trPr>
          <w:trHeight w:val="285"/>
        </w:trPr>
        <w:tc>
          <w:tcPr>
            <w:tcW w:w="1420" w:type="dxa"/>
            <w:tcBorders>
              <w:top w:val="nil"/>
              <w:left w:val="single" w:sz="4" w:space="0" w:color="808080"/>
              <w:bottom w:val="single" w:sz="4" w:space="0" w:color="808080"/>
              <w:right w:val="single" w:sz="4" w:space="0" w:color="808080"/>
            </w:tcBorders>
            <w:shd w:val="clear" w:color="auto" w:fill="auto"/>
            <w:noWrap/>
            <w:vAlign w:val="bottom"/>
            <w:hideMark/>
          </w:tcPr>
          <w:p w:rsidR="005A0067" w:rsidRPr="0032761F" w:rsidRDefault="005A0067" w:rsidP="00E671BE">
            <w:pPr>
              <w:rPr>
                <w:rFonts w:cs="Arial"/>
                <w:sz w:val="20"/>
              </w:rPr>
            </w:pPr>
            <w:r w:rsidRPr="0032761F">
              <w:rPr>
                <w:rFonts w:cs="Arial"/>
                <w:sz w:val="20"/>
              </w:rPr>
              <w:t>Radeče</w:t>
            </w:r>
          </w:p>
        </w:tc>
        <w:tc>
          <w:tcPr>
            <w:tcW w:w="1360" w:type="dxa"/>
            <w:tcBorders>
              <w:top w:val="nil"/>
              <w:left w:val="nil"/>
              <w:bottom w:val="single" w:sz="4" w:space="0" w:color="808080"/>
              <w:right w:val="single" w:sz="4" w:space="0" w:color="808080"/>
            </w:tcBorders>
            <w:shd w:val="clear" w:color="auto" w:fill="auto"/>
            <w:noWrap/>
            <w:vAlign w:val="bottom"/>
            <w:hideMark/>
          </w:tcPr>
          <w:p w:rsidR="005A0067" w:rsidRPr="0032761F" w:rsidRDefault="005A0067" w:rsidP="00E671BE">
            <w:pPr>
              <w:jc w:val="right"/>
              <w:rPr>
                <w:rFonts w:cs="Arial"/>
                <w:sz w:val="20"/>
              </w:rPr>
            </w:pPr>
            <w:r w:rsidRPr="0032761F">
              <w:rPr>
                <w:rFonts w:cs="Arial"/>
                <w:sz w:val="20"/>
              </w:rPr>
              <w:t>47</w:t>
            </w:r>
          </w:p>
        </w:tc>
        <w:tc>
          <w:tcPr>
            <w:tcW w:w="2400" w:type="dxa"/>
            <w:tcBorders>
              <w:top w:val="nil"/>
              <w:left w:val="single" w:sz="4" w:space="0" w:color="000000"/>
              <w:bottom w:val="single" w:sz="4" w:space="0" w:color="000000"/>
              <w:right w:val="single" w:sz="4" w:space="0" w:color="000000"/>
            </w:tcBorders>
            <w:shd w:val="clear" w:color="000000" w:fill="FFFFFF"/>
            <w:noWrap/>
            <w:hideMark/>
          </w:tcPr>
          <w:p w:rsidR="005A0067" w:rsidRPr="0032761F" w:rsidRDefault="005A0067" w:rsidP="00E671BE">
            <w:pPr>
              <w:jc w:val="center"/>
              <w:rPr>
                <w:rFonts w:cs="Arial"/>
                <w:color w:val="000000"/>
              </w:rPr>
            </w:pPr>
            <w:r w:rsidRPr="0032761F">
              <w:rPr>
                <w:rFonts w:cs="Arial"/>
                <w:color w:val="000000"/>
              </w:rPr>
              <w:t>17,7</w:t>
            </w:r>
          </w:p>
        </w:tc>
        <w:tc>
          <w:tcPr>
            <w:tcW w:w="2415" w:type="dxa"/>
            <w:tcBorders>
              <w:top w:val="nil"/>
              <w:left w:val="single" w:sz="4" w:space="0" w:color="808080"/>
              <w:bottom w:val="single" w:sz="4" w:space="0" w:color="808080"/>
              <w:right w:val="single" w:sz="4" w:space="0" w:color="808080"/>
            </w:tcBorders>
            <w:shd w:val="clear" w:color="000000" w:fill="FFFF99"/>
            <w:noWrap/>
            <w:vAlign w:val="bottom"/>
            <w:hideMark/>
          </w:tcPr>
          <w:p w:rsidR="005A0067" w:rsidRPr="0032761F" w:rsidRDefault="005A0067" w:rsidP="00E671BE">
            <w:pPr>
              <w:jc w:val="right"/>
              <w:rPr>
                <w:rFonts w:cs="Arial"/>
                <w:sz w:val="20"/>
              </w:rPr>
            </w:pPr>
            <w:r w:rsidRPr="0032761F">
              <w:rPr>
                <w:rFonts w:cs="Arial"/>
                <w:sz w:val="20"/>
              </w:rPr>
              <w:t>37,72</w:t>
            </w:r>
          </w:p>
        </w:tc>
      </w:tr>
      <w:tr w:rsidR="005A0067" w:rsidRPr="0032761F" w:rsidTr="00E671BE">
        <w:trPr>
          <w:trHeight w:val="255"/>
        </w:trPr>
        <w:tc>
          <w:tcPr>
            <w:tcW w:w="1420" w:type="dxa"/>
            <w:tcBorders>
              <w:top w:val="nil"/>
              <w:left w:val="single" w:sz="4" w:space="0" w:color="808080"/>
              <w:bottom w:val="single" w:sz="4" w:space="0" w:color="808080"/>
              <w:right w:val="single" w:sz="4" w:space="0" w:color="808080"/>
            </w:tcBorders>
            <w:shd w:val="clear" w:color="000000" w:fill="CC99FF"/>
            <w:noWrap/>
            <w:vAlign w:val="bottom"/>
            <w:hideMark/>
          </w:tcPr>
          <w:p w:rsidR="005A0067" w:rsidRPr="0032761F" w:rsidRDefault="005A0067" w:rsidP="00E671BE">
            <w:pPr>
              <w:rPr>
                <w:rFonts w:cs="Arial"/>
                <w:sz w:val="20"/>
              </w:rPr>
            </w:pPr>
            <w:r>
              <w:rPr>
                <w:rFonts w:cs="Arial"/>
                <w:sz w:val="20"/>
              </w:rPr>
              <w:t>TOGETHER</w:t>
            </w:r>
          </w:p>
        </w:tc>
        <w:tc>
          <w:tcPr>
            <w:tcW w:w="1360" w:type="dxa"/>
            <w:tcBorders>
              <w:top w:val="nil"/>
              <w:left w:val="nil"/>
              <w:bottom w:val="single" w:sz="4" w:space="0" w:color="808080"/>
              <w:right w:val="single" w:sz="4" w:space="0" w:color="808080"/>
            </w:tcBorders>
            <w:shd w:val="clear" w:color="000000" w:fill="CC99FF"/>
            <w:noWrap/>
            <w:vAlign w:val="bottom"/>
            <w:hideMark/>
          </w:tcPr>
          <w:p w:rsidR="005A0067" w:rsidRPr="0032761F" w:rsidRDefault="005A0067" w:rsidP="00E671BE">
            <w:pPr>
              <w:jc w:val="right"/>
              <w:rPr>
                <w:rFonts w:cs="Arial"/>
                <w:sz w:val="20"/>
              </w:rPr>
            </w:pPr>
            <w:r w:rsidRPr="0032761F">
              <w:rPr>
                <w:rFonts w:cs="Arial"/>
                <w:sz w:val="20"/>
              </w:rPr>
              <w:t>1293</w:t>
            </w:r>
          </w:p>
        </w:tc>
        <w:tc>
          <w:tcPr>
            <w:tcW w:w="2400" w:type="dxa"/>
            <w:tcBorders>
              <w:top w:val="single" w:sz="4" w:space="0" w:color="808080"/>
              <w:left w:val="nil"/>
              <w:bottom w:val="single" w:sz="4" w:space="0" w:color="808080"/>
              <w:right w:val="single" w:sz="4" w:space="0" w:color="808080"/>
            </w:tcBorders>
            <w:shd w:val="clear" w:color="000000" w:fill="CC99FF"/>
            <w:noWrap/>
            <w:vAlign w:val="bottom"/>
            <w:hideMark/>
          </w:tcPr>
          <w:p w:rsidR="005A0067" w:rsidRPr="0032761F" w:rsidRDefault="005A0067" w:rsidP="00E671BE">
            <w:pPr>
              <w:jc w:val="center"/>
              <w:rPr>
                <w:rFonts w:cs="Arial"/>
                <w:sz w:val="20"/>
              </w:rPr>
            </w:pPr>
            <w:r w:rsidRPr="0032761F">
              <w:rPr>
                <w:rFonts w:cs="Arial"/>
                <w:sz w:val="20"/>
              </w:rPr>
              <w:t>1511,1</w:t>
            </w:r>
          </w:p>
        </w:tc>
        <w:tc>
          <w:tcPr>
            <w:tcW w:w="2415" w:type="dxa"/>
            <w:tcBorders>
              <w:top w:val="nil"/>
              <w:left w:val="nil"/>
              <w:bottom w:val="single" w:sz="4" w:space="0" w:color="808080"/>
              <w:right w:val="single" w:sz="4" w:space="0" w:color="808080"/>
            </w:tcBorders>
            <w:shd w:val="clear" w:color="000000" w:fill="CC99FF"/>
            <w:noWrap/>
            <w:vAlign w:val="bottom"/>
            <w:hideMark/>
          </w:tcPr>
          <w:p w:rsidR="005A0067" w:rsidRPr="0032761F" w:rsidRDefault="005A0067" w:rsidP="00E671BE">
            <w:pPr>
              <w:jc w:val="right"/>
              <w:rPr>
                <w:rFonts w:cs="Arial"/>
                <w:sz w:val="20"/>
              </w:rPr>
            </w:pPr>
            <w:r w:rsidRPr="0032761F">
              <w:rPr>
                <w:rFonts w:cs="Arial"/>
                <w:sz w:val="20"/>
              </w:rPr>
              <w:t>116,87</w:t>
            </w:r>
          </w:p>
        </w:tc>
      </w:tr>
    </w:tbl>
    <w:p w:rsidR="005A0067" w:rsidRDefault="005A0067" w:rsidP="005A0067">
      <w:pPr>
        <w:rPr>
          <w:lang w:val="en-GB"/>
        </w:rPr>
      </w:pPr>
    </w:p>
    <w:p w:rsidR="005A0067" w:rsidRPr="00C079CD" w:rsidRDefault="005A0067" w:rsidP="005A0067">
      <w:pPr>
        <w:jc w:val="both"/>
        <w:rPr>
          <w:rFonts w:ascii="Arial" w:hAnsi="Arial" w:cs="Arial"/>
          <w:lang w:val="en-GB"/>
        </w:rPr>
      </w:pPr>
      <w:r w:rsidRPr="00C079CD">
        <w:rPr>
          <w:rFonts w:ascii="Arial" w:hAnsi="Arial" w:cs="Arial"/>
          <w:lang w:val="en-GB"/>
        </w:rPr>
        <w:t xml:space="preserve">We would also like to emphasize that the plans to build a new prison facility at the outskirts of Ljubljana are well on their way, which in our opinion represents the most sustainable solution for the problem of overcrowding. The new prison facility is expected to be completed by 2020 and it will accommodate 450 prisoners. To this aim the Government of the Republic of Slovenia already acquired the land measuring approximately 45.000 m2. It is estimated that the construction of the new prison in Ljubljana will cost around 70 million EUR. In 2016, the Government appropriated initial funds for this purpose in the State Budget, notably 60.000,00 EUR. </w:t>
      </w:r>
    </w:p>
    <w:p w:rsidR="005A0067" w:rsidRPr="00C079CD" w:rsidRDefault="005A0067" w:rsidP="005A0067">
      <w:pPr>
        <w:jc w:val="both"/>
        <w:rPr>
          <w:rFonts w:ascii="Arial" w:hAnsi="Arial" w:cs="Arial"/>
          <w:lang w:val="en-GB"/>
        </w:rPr>
      </w:pPr>
    </w:p>
    <w:p w:rsidR="005A0067" w:rsidRDefault="005A0067" w:rsidP="005A0067">
      <w:pPr>
        <w:jc w:val="both"/>
        <w:rPr>
          <w:rFonts w:ascii="Arial" w:hAnsi="Arial" w:cs="Arial"/>
          <w:lang w:val="en-GB"/>
        </w:rPr>
      </w:pPr>
    </w:p>
    <w:p w:rsidR="005A0067" w:rsidRDefault="005A0067" w:rsidP="005A0067">
      <w:pPr>
        <w:jc w:val="both"/>
        <w:rPr>
          <w:rFonts w:ascii="Arial" w:hAnsi="Arial" w:cs="Arial"/>
          <w:lang w:val="en-GB"/>
        </w:rPr>
      </w:pPr>
    </w:p>
    <w:p w:rsidR="005A0067" w:rsidRPr="00C079CD" w:rsidRDefault="005A0067" w:rsidP="005A0067">
      <w:pPr>
        <w:jc w:val="both"/>
        <w:rPr>
          <w:rFonts w:ascii="Arial" w:hAnsi="Arial" w:cs="Arial"/>
          <w:lang w:val="en-GB"/>
        </w:rPr>
      </w:pPr>
    </w:p>
    <w:p w:rsidR="005A0067" w:rsidRPr="00C079CD" w:rsidRDefault="005A0067" w:rsidP="005A0067">
      <w:pPr>
        <w:jc w:val="both"/>
        <w:rPr>
          <w:rFonts w:ascii="Arial" w:hAnsi="Arial" w:cs="Arial"/>
          <w:b/>
          <w:lang w:val="en-GB"/>
        </w:rPr>
      </w:pPr>
      <w:r w:rsidRPr="00C079CD">
        <w:rPr>
          <w:rFonts w:ascii="Arial" w:hAnsi="Arial" w:cs="Arial"/>
          <w:b/>
          <w:lang w:val="en-GB"/>
        </w:rPr>
        <w:t>Police and Deprivation of Liberty:</w:t>
      </w:r>
    </w:p>
    <w:p w:rsidR="005A0067" w:rsidRPr="00C079CD" w:rsidRDefault="005A0067" w:rsidP="005A0067">
      <w:pPr>
        <w:jc w:val="both"/>
        <w:rPr>
          <w:rFonts w:ascii="Arial" w:hAnsi="Arial" w:cs="Arial"/>
          <w:lang w:val="en-GB"/>
        </w:rPr>
      </w:pPr>
    </w:p>
    <w:p w:rsidR="005A0067" w:rsidRPr="00C079CD" w:rsidRDefault="005A0067" w:rsidP="005A0067">
      <w:pPr>
        <w:jc w:val="both"/>
        <w:rPr>
          <w:rFonts w:ascii="Arial" w:hAnsi="Arial" w:cs="Arial"/>
          <w:lang w:val="en-GB"/>
        </w:rPr>
      </w:pPr>
      <w:r w:rsidRPr="00C079CD">
        <w:rPr>
          <w:rFonts w:ascii="Arial" w:hAnsi="Arial" w:cs="Arial"/>
          <w:lang w:val="en-GB"/>
        </w:rPr>
        <w:t>Adult persons and Deprivation of Liberty (temporary police custody):</w:t>
      </w:r>
    </w:p>
    <w:p w:rsidR="005A0067" w:rsidRPr="00C079CD" w:rsidRDefault="005A0067" w:rsidP="005A0067">
      <w:pPr>
        <w:jc w:val="both"/>
        <w:rPr>
          <w:rFonts w:ascii="Arial" w:hAnsi="Arial" w:cs="Arial"/>
          <w:lang w:val="en-GB"/>
        </w:rPr>
      </w:pPr>
    </w:p>
    <w:p w:rsidR="005A0067" w:rsidRPr="00C079CD" w:rsidRDefault="005A0067" w:rsidP="005A0067">
      <w:pPr>
        <w:jc w:val="both"/>
        <w:rPr>
          <w:rFonts w:ascii="Arial" w:hAnsi="Arial" w:cs="Arial"/>
          <w:lang w:val="en-GB"/>
        </w:rPr>
      </w:pPr>
      <w:r w:rsidRPr="00C079CD">
        <w:rPr>
          <w:rFonts w:ascii="Arial" w:hAnsi="Arial" w:cs="Arial"/>
          <w:lang w:val="en-GB"/>
        </w:rPr>
        <w:t>2010 - 15115 persons.</w:t>
      </w:r>
    </w:p>
    <w:p w:rsidR="005A0067" w:rsidRPr="00C079CD" w:rsidRDefault="005A0067" w:rsidP="005A0067">
      <w:pPr>
        <w:jc w:val="both"/>
        <w:rPr>
          <w:rFonts w:ascii="Arial" w:hAnsi="Arial" w:cs="Arial"/>
          <w:lang w:val="en-GB"/>
        </w:rPr>
      </w:pPr>
      <w:r w:rsidRPr="00C079CD">
        <w:rPr>
          <w:rFonts w:ascii="Arial" w:hAnsi="Arial" w:cs="Arial"/>
          <w:lang w:val="en-GB"/>
        </w:rPr>
        <w:t>2011 - 13046 persons.</w:t>
      </w:r>
    </w:p>
    <w:p w:rsidR="005A0067" w:rsidRPr="00C079CD" w:rsidRDefault="005A0067" w:rsidP="005A0067">
      <w:pPr>
        <w:jc w:val="both"/>
        <w:rPr>
          <w:rFonts w:ascii="Arial" w:hAnsi="Arial" w:cs="Arial"/>
          <w:lang w:val="en-GB"/>
        </w:rPr>
      </w:pPr>
      <w:r w:rsidRPr="00C079CD">
        <w:rPr>
          <w:rFonts w:ascii="Arial" w:hAnsi="Arial" w:cs="Arial"/>
          <w:lang w:val="en-GB"/>
        </w:rPr>
        <w:t>2012 - 8974 persons.</w:t>
      </w:r>
    </w:p>
    <w:p w:rsidR="005A0067" w:rsidRPr="00C079CD" w:rsidRDefault="005A0067" w:rsidP="005A0067">
      <w:pPr>
        <w:jc w:val="both"/>
        <w:rPr>
          <w:rFonts w:ascii="Arial" w:hAnsi="Arial" w:cs="Arial"/>
          <w:lang w:val="en-GB"/>
        </w:rPr>
      </w:pPr>
      <w:r w:rsidRPr="00C079CD">
        <w:rPr>
          <w:rFonts w:ascii="Arial" w:hAnsi="Arial" w:cs="Arial"/>
          <w:lang w:val="en-GB"/>
        </w:rPr>
        <w:t>2013 - 5559 persons.</w:t>
      </w:r>
    </w:p>
    <w:p w:rsidR="005A0067" w:rsidRPr="00C079CD" w:rsidRDefault="005A0067" w:rsidP="005A0067">
      <w:pPr>
        <w:jc w:val="both"/>
        <w:rPr>
          <w:rFonts w:ascii="Arial" w:hAnsi="Arial" w:cs="Arial"/>
          <w:lang w:val="en-GB"/>
        </w:rPr>
      </w:pPr>
      <w:r w:rsidRPr="00C079CD">
        <w:rPr>
          <w:rFonts w:ascii="Arial" w:hAnsi="Arial" w:cs="Arial"/>
          <w:lang w:val="en-GB"/>
        </w:rPr>
        <w:lastRenderedPageBreak/>
        <w:t>2014 - 5161 persons.</w:t>
      </w:r>
    </w:p>
    <w:p w:rsidR="005A0067" w:rsidRPr="00C079CD" w:rsidRDefault="005A0067" w:rsidP="005A0067">
      <w:pPr>
        <w:jc w:val="both"/>
        <w:rPr>
          <w:rFonts w:ascii="Arial" w:hAnsi="Arial" w:cs="Arial"/>
          <w:lang w:val="en-GB"/>
        </w:rPr>
      </w:pPr>
      <w:r w:rsidRPr="00C079CD">
        <w:rPr>
          <w:rFonts w:ascii="Arial" w:hAnsi="Arial" w:cs="Arial"/>
          <w:lang w:val="en-GB"/>
        </w:rPr>
        <w:t>2015 - 3982 persons.</w:t>
      </w:r>
    </w:p>
    <w:p w:rsidR="005A0067" w:rsidRPr="00C079CD" w:rsidRDefault="005A0067" w:rsidP="005A0067">
      <w:pPr>
        <w:jc w:val="both"/>
        <w:rPr>
          <w:rFonts w:ascii="Arial" w:hAnsi="Arial" w:cs="Arial"/>
          <w:lang w:val="en-GB"/>
        </w:rPr>
      </w:pPr>
    </w:p>
    <w:p w:rsidR="005A0067" w:rsidRDefault="005A0067" w:rsidP="005A0067">
      <w:pPr>
        <w:jc w:val="both"/>
        <w:rPr>
          <w:rFonts w:ascii="Arial" w:hAnsi="Arial" w:cs="Arial"/>
          <w:lang w:val="en-GB"/>
        </w:rPr>
      </w:pPr>
      <w:r>
        <w:rPr>
          <w:rFonts w:ascii="Arial" w:hAnsi="Arial" w:cs="Arial"/>
          <w:color w:val="000000"/>
        </w:rPr>
        <w:t>Of these there were on average 7.3% females.</w:t>
      </w:r>
    </w:p>
    <w:p w:rsidR="005A0067" w:rsidRPr="00C079CD" w:rsidRDefault="005A0067" w:rsidP="005A0067">
      <w:pPr>
        <w:jc w:val="both"/>
        <w:rPr>
          <w:rFonts w:ascii="Arial" w:hAnsi="Arial" w:cs="Arial"/>
          <w:lang w:val="en-GB"/>
        </w:rPr>
      </w:pPr>
    </w:p>
    <w:p w:rsidR="005A0067" w:rsidRPr="00C079CD" w:rsidRDefault="005A0067" w:rsidP="005A0067">
      <w:pPr>
        <w:jc w:val="both"/>
        <w:rPr>
          <w:rFonts w:ascii="Arial" w:hAnsi="Arial" w:cs="Arial"/>
          <w:lang w:val="en-GB"/>
        </w:rPr>
      </w:pPr>
      <w:r w:rsidRPr="00C079CD">
        <w:rPr>
          <w:rFonts w:ascii="Arial" w:hAnsi="Arial" w:cs="Arial"/>
          <w:lang w:val="en-GB"/>
        </w:rPr>
        <w:t>Juveniles and Deprivation of Liberty (temporary police custody):</w:t>
      </w:r>
    </w:p>
    <w:p w:rsidR="005A0067" w:rsidRPr="00C079CD" w:rsidRDefault="005A0067" w:rsidP="005A0067">
      <w:pPr>
        <w:jc w:val="both"/>
        <w:rPr>
          <w:rFonts w:ascii="Arial" w:hAnsi="Arial" w:cs="Arial"/>
          <w:lang w:val="en-GB"/>
        </w:rPr>
      </w:pPr>
    </w:p>
    <w:p w:rsidR="005A0067" w:rsidRPr="00C079CD" w:rsidRDefault="005A0067" w:rsidP="005A0067">
      <w:pPr>
        <w:jc w:val="both"/>
        <w:rPr>
          <w:rFonts w:ascii="Arial" w:hAnsi="Arial" w:cs="Arial"/>
          <w:lang w:val="en-GB"/>
        </w:rPr>
      </w:pPr>
      <w:r w:rsidRPr="00C079CD">
        <w:rPr>
          <w:rFonts w:ascii="Arial" w:hAnsi="Arial" w:cs="Arial"/>
          <w:lang w:val="en-GB"/>
        </w:rPr>
        <w:t>In the period from 2010 up to 2015: 130 persons, on average around 20 persons per year</w:t>
      </w:r>
      <w:r>
        <w:rPr>
          <w:rFonts w:ascii="Arial" w:hAnsi="Arial" w:cs="Arial"/>
          <w:lang w:val="en-GB"/>
        </w:rPr>
        <w:t xml:space="preserve"> (in some </w:t>
      </w:r>
      <w:proofErr w:type="gramStart"/>
      <w:r>
        <w:rPr>
          <w:rFonts w:ascii="Arial" w:hAnsi="Arial" w:cs="Arial"/>
          <w:lang w:val="en-GB"/>
        </w:rPr>
        <w:t>years</w:t>
      </w:r>
      <w:proofErr w:type="gramEnd"/>
      <w:r>
        <w:rPr>
          <w:rFonts w:ascii="Arial" w:hAnsi="Arial" w:cs="Arial"/>
          <w:lang w:val="en-GB"/>
        </w:rPr>
        <w:t xml:space="preserve"> </w:t>
      </w:r>
      <w:r w:rsidRPr="00C079CD">
        <w:rPr>
          <w:rFonts w:ascii="Arial" w:hAnsi="Arial" w:cs="Arial"/>
          <w:lang w:val="en-GB"/>
        </w:rPr>
        <w:t xml:space="preserve">even </w:t>
      </w:r>
      <w:r>
        <w:rPr>
          <w:rFonts w:ascii="Arial" w:hAnsi="Arial" w:cs="Arial"/>
          <w:lang w:val="en-GB"/>
        </w:rPr>
        <w:t>fewer than</w:t>
      </w:r>
      <w:r w:rsidRPr="00C079CD">
        <w:rPr>
          <w:rFonts w:ascii="Arial" w:hAnsi="Arial" w:cs="Arial"/>
          <w:lang w:val="en-GB"/>
        </w:rPr>
        <w:t xml:space="preserve"> ten persons). </w:t>
      </w:r>
    </w:p>
    <w:p w:rsidR="005A0067" w:rsidRPr="00C079CD" w:rsidRDefault="005A0067" w:rsidP="005A0067">
      <w:pPr>
        <w:jc w:val="both"/>
        <w:rPr>
          <w:rFonts w:ascii="Arial" w:hAnsi="Arial" w:cs="Arial"/>
          <w:lang w:val="en-GB"/>
        </w:rPr>
      </w:pPr>
    </w:p>
    <w:p w:rsidR="001D169C" w:rsidRPr="005A0067" w:rsidRDefault="005A0067" w:rsidP="005A0067">
      <w:pPr>
        <w:suppressAutoHyphens/>
        <w:spacing w:before="240" w:after="0" w:line="240" w:lineRule="atLeast"/>
        <w:ind w:left="1134" w:right="1134"/>
        <w:jc w:val="center"/>
        <w:rPr>
          <w:u w:val="single"/>
        </w:rPr>
      </w:pPr>
      <w:bookmarkStart w:id="0" w:name="_GoBack"/>
      <w:bookmarkEnd w:id="0"/>
      <w:r>
        <w:rPr>
          <w:u w:val="single"/>
        </w:rPr>
        <w:tab/>
      </w:r>
      <w:r>
        <w:rPr>
          <w:u w:val="single"/>
        </w:rPr>
        <w:tab/>
      </w:r>
      <w:r>
        <w:rPr>
          <w:u w:val="single"/>
        </w:rPr>
        <w:tab/>
      </w:r>
    </w:p>
    <w:p w:rsidR="001D169C" w:rsidRDefault="001D169C"/>
    <w:p w:rsidR="001D169C" w:rsidRDefault="001D169C"/>
    <w:p w:rsidR="001D169C" w:rsidRDefault="001D169C"/>
    <w:p w:rsidR="001D169C" w:rsidRDefault="001D169C"/>
    <w:p w:rsidR="001D169C" w:rsidRDefault="001D169C"/>
    <w:p w:rsidR="001D169C" w:rsidRDefault="001D169C"/>
    <w:sectPr w:rsidR="001D16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D5359"/>
    <w:multiLevelType w:val="hybridMultilevel"/>
    <w:tmpl w:val="7ED8989E"/>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9C"/>
    <w:rsid w:val="000D4419"/>
    <w:rsid w:val="00153A56"/>
    <w:rsid w:val="0016603D"/>
    <w:rsid w:val="001D169C"/>
    <w:rsid w:val="001E5E8F"/>
    <w:rsid w:val="003663A1"/>
    <w:rsid w:val="005A0067"/>
    <w:rsid w:val="005A7730"/>
    <w:rsid w:val="0073215F"/>
    <w:rsid w:val="008321C6"/>
    <w:rsid w:val="00892995"/>
    <w:rsid w:val="008A44D1"/>
    <w:rsid w:val="008B5C48"/>
    <w:rsid w:val="009244E7"/>
    <w:rsid w:val="00997EF4"/>
    <w:rsid w:val="00A21FF9"/>
    <w:rsid w:val="00B43872"/>
    <w:rsid w:val="00B70BDC"/>
    <w:rsid w:val="00C05126"/>
    <w:rsid w:val="00CD2C3C"/>
    <w:rsid w:val="00D2096B"/>
    <w:rsid w:val="00DE7177"/>
    <w:rsid w:val="00E13428"/>
    <w:rsid w:val="00F26781"/>
    <w:rsid w:val="00F4705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E8F"/>
    <w:pPr>
      <w:ind w:left="720"/>
      <w:contextualSpacing/>
    </w:pPr>
  </w:style>
  <w:style w:type="table" w:styleId="TableGrid">
    <w:name w:val="Table Grid"/>
    <w:basedOn w:val="TableNormal"/>
    <w:uiPriority w:val="39"/>
    <w:rsid w:val="005A0067"/>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lobesedila21">
    <w:name w:val="Telo besedila 21"/>
    <w:basedOn w:val="Normal"/>
    <w:rsid w:val="005A0067"/>
    <w:pPr>
      <w:tabs>
        <w:tab w:val="left" w:pos="1276"/>
      </w:tabs>
      <w:overflowPunct w:val="0"/>
      <w:autoSpaceDE w:val="0"/>
      <w:autoSpaceDN w:val="0"/>
      <w:adjustRightInd w:val="0"/>
      <w:spacing w:before="120" w:after="0" w:line="240" w:lineRule="auto"/>
      <w:jc w:val="both"/>
      <w:textAlignment w:val="baseline"/>
    </w:pPr>
    <w:rPr>
      <w:rFonts w:ascii="Arial" w:eastAsia="Times New Roman" w:hAnsi="Arial" w:cs="Times New Roman"/>
      <w:szCs w:val="20"/>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E8F"/>
    <w:pPr>
      <w:ind w:left="720"/>
      <w:contextualSpacing/>
    </w:pPr>
  </w:style>
  <w:style w:type="table" w:styleId="TableGrid">
    <w:name w:val="Table Grid"/>
    <w:basedOn w:val="TableNormal"/>
    <w:uiPriority w:val="39"/>
    <w:rsid w:val="005A0067"/>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lobesedila21">
    <w:name w:val="Telo besedila 21"/>
    <w:basedOn w:val="Normal"/>
    <w:rsid w:val="005A0067"/>
    <w:pPr>
      <w:tabs>
        <w:tab w:val="left" w:pos="1276"/>
      </w:tabs>
      <w:overflowPunct w:val="0"/>
      <w:autoSpaceDE w:val="0"/>
      <w:autoSpaceDN w:val="0"/>
      <w:adjustRightInd w:val="0"/>
      <w:spacing w:before="120" w:after="0" w:line="240" w:lineRule="auto"/>
      <w:jc w:val="both"/>
      <w:textAlignment w:val="baseline"/>
    </w:pPr>
    <w:rPr>
      <w:rFonts w:ascii="Arial" w:eastAsia="Times New Roman" w:hAnsi="Arial" w:cs="Times New Roman"/>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7F67A3-540D-4A74-8DD9-45CF9A676FEE}"/>
</file>

<file path=customXml/itemProps2.xml><?xml version="1.0" encoding="utf-8"?>
<ds:datastoreItem xmlns:ds="http://schemas.openxmlformats.org/officeDocument/2006/customXml" ds:itemID="{65E9F24B-B0ED-4CB9-9E52-FAA0C82C7ECF}"/>
</file>

<file path=customXml/itemProps3.xml><?xml version="1.0" encoding="utf-8"?>
<ds:datastoreItem xmlns:ds="http://schemas.openxmlformats.org/officeDocument/2006/customXml" ds:itemID="{403BDF1E-3215-4DC7-AEAA-86E39C6607D1}"/>
</file>

<file path=docProps/app.xml><?xml version="1.0" encoding="utf-8"?>
<Properties xmlns="http://schemas.openxmlformats.org/officeDocument/2006/extended-properties" xmlns:vt="http://schemas.openxmlformats.org/officeDocument/2006/docPropsVTypes">
  <Template>Normal</Template>
  <TotalTime>0</TotalTime>
  <Pages>9</Pages>
  <Words>2741</Words>
  <Characters>15630</Characters>
  <Application>Microsoft Office Word</Application>
  <DocSecurity>0</DocSecurity>
  <Lines>130</Lines>
  <Paragraphs>36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Ministrstvo za pravosodje</Company>
  <LinksUpToDate>false</LinksUpToDate>
  <CharactersWithSpaces>18335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Thodiyil Sindu</cp:lastModifiedBy>
  <cp:revision>3</cp:revision>
  <dcterms:created xsi:type="dcterms:W3CDTF">2016-03-18T10:39:00Z</dcterms:created>
  <dcterms:modified xsi:type="dcterms:W3CDTF">2016-03-18T13:22:00Z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