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E6FB" w14:textId="77777777" w:rsidR="003565F2" w:rsidRPr="00600A11" w:rsidRDefault="003565F2" w:rsidP="003565F2">
      <w:pPr>
        <w:spacing w:after="0" w:line="240" w:lineRule="auto"/>
        <w:jc w:val="center"/>
        <w:rPr>
          <w:rFonts w:cs="Times New Roman"/>
          <w:b/>
          <w:sz w:val="24"/>
        </w:rPr>
      </w:pPr>
      <w:bookmarkStart w:id="0" w:name="_Toc458688090"/>
      <w:bookmarkStart w:id="1" w:name="_GoBack"/>
      <w:bookmarkEnd w:id="1"/>
      <w:r w:rsidRPr="00600A11">
        <w:rPr>
          <w:rFonts w:cs="Times New Roman"/>
          <w:b/>
          <w:sz w:val="24"/>
        </w:rPr>
        <w:t>United Nations Convention on the Rights of the Child</w:t>
      </w:r>
    </w:p>
    <w:p w14:paraId="5814FCEE" w14:textId="77777777" w:rsidR="003565F2" w:rsidRPr="00600A11" w:rsidRDefault="003565F2" w:rsidP="003565F2">
      <w:pPr>
        <w:spacing w:after="0" w:line="240" w:lineRule="auto"/>
        <w:jc w:val="center"/>
        <w:rPr>
          <w:rFonts w:cs="Times New Roman"/>
          <w:b/>
          <w:sz w:val="24"/>
        </w:rPr>
      </w:pPr>
      <w:r w:rsidRPr="00600A11">
        <w:rPr>
          <w:rFonts w:cs="Times New Roman"/>
          <w:b/>
          <w:sz w:val="24"/>
        </w:rPr>
        <w:t xml:space="preserve">Singapore’s Fourth and Fifth Periodic Report  </w:t>
      </w:r>
    </w:p>
    <w:p w14:paraId="03D5AA56" w14:textId="7709EC14" w:rsidR="008F0616" w:rsidRPr="00217716" w:rsidRDefault="00EE305D" w:rsidP="00217716">
      <w:pPr>
        <w:jc w:val="center"/>
        <w:rPr>
          <w:rFonts w:cs="Times New Roman"/>
          <w:b/>
          <w:sz w:val="32"/>
        </w:rPr>
      </w:pPr>
      <w:r>
        <w:rPr>
          <w:rFonts w:cs="Times New Roman"/>
          <w:b/>
          <w:sz w:val="32"/>
        </w:rPr>
        <w:t>Annex</w:t>
      </w:r>
      <w:r w:rsidR="003565F2">
        <w:rPr>
          <w:rFonts w:cs="Times New Roman"/>
          <w:b/>
          <w:sz w:val="32"/>
        </w:rPr>
        <w:t>es</w:t>
      </w:r>
      <w:r w:rsidR="009D39C7">
        <w:rPr>
          <w:rFonts w:cs="Times New Roman"/>
          <w:b/>
          <w:sz w:val="32"/>
        </w:rPr>
        <w:t xml:space="preserve"> A &amp; B</w:t>
      </w:r>
    </w:p>
    <w:sdt>
      <w:sdtPr>
        <w:rPr>
          <w:rFonts w:ascii="Times New Roman" w:eastAsiaTheme="minorHAnsi" w:hAnsi="Times New Roman" w:cs="Times New Roman"/>
          <w:color w:val="auto"/>
          <w:sz w:val="22"/>
          <w:szCs w:val="22"/>
          <w:lang w:val="en-SG"/>
        </w:rPr>
        <w:id w:val="531311101"/>
        <w:docPartObj>
          <w:docPartGallery w:val="Table of Contents"/>
          <w:docPartUnique/>
        </w:docPartObj>
      </w:sdtPr>
      <w:sdtEndPr>
        <w:rPr>
          <w:b/>
          <w:bCs/>
          <w:noProof/>
        </w:rPr>
      </w:sdtEndPr>
      <w:sdtContent>
        <w:p w14:paraId="36F44730" w14:textId="767614C0" w:rsidR="008F0616" w:rsidRPr="004E5838" w:rsidRDefault="008F0616" w:rsidP="00B6414C">
          <w:pPr>
            <w:pStyle w:val="TOCHeading"/>
            <w:jc w:val="both"/>
            <w:rPr>
              <w:rFonts w:ascii="Times New Roman" w:hAnsi="Times New Roman" w:cs="Times New Roman"/>
              <w:b/>
              <w:color w:val="auto"/>
            </w:rPr>
          </w:pPr>
          <w:r w:rsidRPr="00507F72">
            <w:rPr>
              <w:rFonts w:ascii="Times New Roman" w:hAnsi="Times New Roman" w:cs="Times New Roman"/>
              <w:b/>
              <w:color w:val="auto"/>
            </w:rPr>
            <w:t>Contents</w:t>
          </w:r>
        </w:p>
        <w:p w14:paraId="08CACA27" w14:textId="77777777" w:rsidR="00914F62" w:rsidRDefault="008F0616">
          <w:pPr>
            <w:pStyle w:val="TOC1"/>
            <w:tabs>
              <w:tab w:val="right" w:leader="dot" w:pos="9016"/>
            </w:tabs>
            <w:rPr>
              <w:rFonts w:asciiTheme="minorHAnsi" w:hAnsiTheme="minorHAnsi" w:cstheme="minorBidi"/>
              <w:noProof/>
              <w:lang w:val="en-SG" w:eastAsia="zh-CN"/>
            </w:rPr>
          </w:pPr>
          <w:r w:rsidRPr="008F0616">
            <w:fldChar w:fldCharType="begin"/>
          </w:r>
          <w:r w:rsidRPr="008F0616">
            <w:instrText xml:space="preserve"> TOC \o "1-3" \h \z \u </w:instrText>
          </w:r>
          <w:r w:rsidRPr="008F0616">
            <w:fldChar w:fldCharType="separate"/>
          </w:r>
          <w:hyperlink w:anchor="_Toc495686626" w:history="1">
            <w:r w:rsidR="00914F62" w:rsidRPr="00E1598A">
              <w:rPr>
                <w:rStyle w:val="Hyperlink"/>
                <w:noProof/>
              </w:rPr>
              <w:t>Annex A</w:t>
            </w:r>
            <w:r w:rsidR="00914F62">
              <w:rPr>
                <w:noProof/>
                <w:webHidden/>
              </w:rPr>
              <w:tab/>
            </w:r>
            <w:r w:rsidR="00914F62">
              <w:rPr>
                <w:noProof/>
                <w:webHidden/>
              </w:rPr>
              <w:fldChar w:fldCharType="begin"/>
            </w:r>
            <w:r w:rsidR="00914F62">
              <w:rPr>
                <w:noProof/>
                <w:webHidden/>
              </w:rPr>
              <w:instrText xml:space="preserve"> PAGEREF _Toc495686626 \h </w:instrText>
            </w:r>
            <w:r w:rsidR="00914F62">
              <w:rPr>
                <w:noProof/>
                <w:webHidden/>
              </w:rPr>
            </w:r>
            <w:r w:rsidR="00914F62">
              <w:rPr>
                <w:noProof/>
                <w:webHidden/>
              </w:rPr>
              <w:fldChar w:fldCharType="separate"/>
            </w:r>
            <w:r w:rsidR="00F6582D">
              <w:rPr>
                <w:noProof/>
                <w:webHidden/>
              </w:rPr>
              <w:t>2</w:t>
            </w:r>
            <w:r w:rsidR="00914F62">
              <w:rPr>
                <w:noProof/>
                <w:webHidden/>
              </w:rPr>
              <w:fldChar w:fldCharType="end"/>
            </w:r>
          </w:hyperlink>
        </w:p>
        <w:p w14:paraId="66B9F9A1" w14:textId="77777777" w:rsidR="00914F62" w:rsidRDefault="008A44F5">
          <w:pPr>
            <w:pStyle w:val="TOC2"/>
            <w:tabs>
              <w:tab w:val="right" w:leader="dot" w:pos="9016"/>
            </w:tabs>
            <w:rPr>
              <w:rFonts w:asciiTheme="minorHAnsi" w:hAnsiTheme="minorHAnsi" w:cstheme="minorBidi"/>
              <w:noProof/>
              <w:lang w:val="en-SG" w:eastAsia="zh-CN"/>
            </w:rPr>
          </w:pPr>
          <w:hyperlink w:anchor="_Toc495686627" w:history="1">
            <w:r w:rsidR="00914F62" w:rsidRPr="00E1598A">
              <w:rPr>
                <w:rStyle w:val="Hyperlink"/>
                <w:noProof/>
              </w:rPr>
              <w:t>RECENT PUBLIC ENGAGEMENTS ADDRESSING CHILDREN’S ISSUES</w:t>
            </w:r>
            <w:r w:rsidR="00914F62">
              <w:rPr>
                <w:noProof/>
                <w:webHidden/>
              </w:rPr>
              <w:tab/>
            </w:r>
            <w:r w:rsidR="00914F62">
              <w:rPr>
                <w:noProof/>
                <w:webHidden/>
              </w:rPr>
              <w:fldChar w:fldCharType="begin"/>
            </w:r>
            <w:r w:rsidR="00914F62">
              <w:rPr>
                <w:noProof/>
                <w:webHidden/>
              </w:rPr>
              <w:instrText xml:space="preserve"> PAGEREF _Toc495686627 \h </w:instrText>
            </w:r>
            <w:r w:rsidR="00914F62">
              <w:rPr>
                <w:noProof/>
                <w:webHidden/>
              </w:rPr>
            </w:r>
            <w:r w:rsidR="00914F62">
              <w:rPr>
                <w:noProof/>
                <w:webHidden/>
              </w:rPr>
              <w:fldChar w:fldCharType="separate"/>
            </w:r>
            <w:r w:rsidR="00F6582D">
              <w:rPr>
                <w:noProof/>
                <w:webHidden/>
              </w:rPr>
              <w:t>2</w:t>
            </w:r>
            <w:r w:rsidR="00914F62">
              <w:rPr>
                <w:noProof/>
                <w:webHidden/>
              </w:rPr>
              <w:fldChar w:fldCharType="end"/>
            </w:r>
          </w:hyperlink>
        </w:p>
        <w:p w14:paraId="07AA8FED" w14:textId="77777777" w:rsidR="00914F62" w:rsidRDefault="008A44F5">
          <w:pPr>
            <w:pStyle w:val="TOC1"/>
            <w:tabs>
              <w:tab w:val="right" w:leader="dot" w:pos="9016"/>
            </w:tabs>
            <w:rPr>
              <w:rFonts w:asciiTheme="minorHAnsi" w:hAnsiTheme="minorHAnsi" w:cstheme="minorBidi"/>
              <w:noProof/>
              <w:lang w:val="en-SG" w:eastAsia="zh-CN"/>
            </w:rPr>
          </w:pPr>
          <w:hyperlink w:anchor="_Toc495686628" w:history="1">
            <w:r w:rsidR="00914F62" w:rsidRPr="00E1598A">
              <w:rPr>
                <w:rStyle w:val="Hyperlink"/>
                <w:noProof/>
              </w:rPr>
              <w:t>Annex B</w:t>
            </w:r>
            <w:r w:rsidR="00914F62">
              <w:rPr>
                <w:noProof/>
                <w:webHidden/>
              </w:rPr>
              <w:tab/>
            </w:r>
            <w:r w:rsidR="00914F62">
              <w:rPr>
                <w:noProof/>
                <w:webHidden/>
              </w:rPr>
              <w:fldChar w:fldCharType="begin"/>
            </w:r>
            <w:r w:rsidR="00914F62">
              <w:rPr>
                <w:noProof/>
                <w:webHidden/>
              </w:rPr>
              <w:instrText xml:space="preserve"> PAGEREF _Toc495686628 \h </w:instrText>
            </w:r>
            <w:r w:rsidR="00914F62">
              <w:rPr>
                <w:noProof/>
                <w:webHidden/>
              </w:rPr>
            </w:r>
            <w:r w:rsidR="00914F62">
              <w:rPr>
                <w:noProof/>
                <w:webHidden/>
              </w:rPr>
              <w:fldChar w:fldCharType="separate"/>
            </w:r>
            <w:r w:rsidR="00F6582D">
              <w:rPr>
                <w:noProof/>
                <w:webHidden/>
              </w:rPr>
              <w:t>5</w:t>
            </w:r>
            <w:r w:rsidR="00914F62">
              <w:rPr>
                <w:noProof/>
                <w:webHidden/>
              </w:rPr>
              <w:fldChar w:fldCharType="end"/>
            </w:r>
          </w:hyperlink>
        </w:p>
        <w:p w14:paraId="356022EF" w14:textId="77777777" w:rsidR="00914F62" w:rsidRDefault="008A44F5">
          <w:pPr>
            <w:pStyle w:val="TOC2"/>
            <w:tabs>
              <w:tab w:val="right" w:leader="dot" w:pos="9016"/>
            </w:tabs>
            <w:rPr>
              <w:rFonts w:asciiTheme="minorHAnsi" w:hAnsiTheme="minorHAnsi" w:cstheme="minorBidi"/>
              <w:noProof/>
              <w:lang w:val="en-SG" w:eastAsia="zh-CN"/>
            </w:rPr>
          </w:pPr>
          <w:hyperlink w:anchor="_Toc495686629" w:history="1">
            <w:r w:rsidR="00914F62" w:rsidRPr="00E1598A">
              <w:rPr>
                <w:rStyle w:val="Hyperlink"/>
                <w:noProof/>
              </w:rPr>
              <w:t>GENERAL MEASURES OF IMPLEMENTATION</w:t>
            </w:r>
            <w:r w:rsidR="00914F62">
              <w:rPr>
                <w:noProof/>
                <w:webHidden/>
              </w:rPr>
              <w:tab/>
            </w:r>
            <w:r w:rsidR="00914F62">
              <w:rPr>
                <w:noProof/>
                <w:webHidden/>
              </w:rPr>
              <w:fldChar w:fldCharType="begin"/>
            </w:r>
            <w:r w:rsidR="00914F62">
              <w:rPr>
                <w:noProof/>
                <w:webHidden/>
              </w:rPr>
              <w:instrText xml:space="preserve"> PAGEREF _Toc495686629 \h </w:instrText>
            </w:r>
            <w:r w:rsidR="00914F62">
              <w:rPr>
                <w:noProof/>
                <w:webHidden/>
              </w:rPr>
            </w:r>
            <w:r w:rsidR="00914F62">
              <w:rPr>
                <w:noProof/>
                <w:webHidden/>
              </w:rPr>
              <w:fldChar w:fldCharType="separate"/>
            </w:r>
            <w:r w:rsidR="00F6582D">
              <w:rPr>
                <w:noProof/>
                <w:webHidden/>
              </w:rPr>
              <w:t>5</w:t>
            </w:r>
            <w:r w:rsidR="00914F62">
              <w:rPr>
                <w:noProof/>
                <w:webHidden/>
              </w:rPr>
              <w:fldChar w:fldCharType="end"/>
            </w:r>
          </w:hyperlink>
        </w:p>
        <w:p w14:paraId="4428E844" w14:textId="77777777" w:rsidR="00914F62" w:rsidRDefault="008A44F5">
          <w:pPr>
            <w:pStyle w:val="TOC3"/>
            <w:tabs>
              <w:tab w:val="right" w:leader="dot" w:pos="9016"/>
            </w:tabs>
            <w:rPr>
              <w:rFonts w:asciiTheme="minorHAnsi" w:hAnsiTheme="minorHAnsi" w:cstheme="minorBidi"/>
              <w:noProof/>
              <w:lang w:val="en-SG" w:eastAsia="zh-CN"/>
            </w:rPr>
          </w:pPr>
          <w:hyperlink w:anchor="_Toc495686630" w:history="1">
            <w:r w:rsidR="00914F62" w:rsidRPr="00E1598A">
              <w:rPr>
                <w:rStyle w:val="Hyperlink"/>
                <w:noProof/>
              </w:rPr>
              <w:t>Coordination and National Plan of Action (Article 4)</w:t>
            </w:r>
            <w:r w:rsidR="00914F62">
              <w:rPr>
                <w:noProof/>
                <w:webHidden/>
              </w:rPr>
              <w:tab/>
            </w:r>
            <w:r w:rsidR="00914F62">
              <w:rPr>
                <w:noProof/>
                <w:webHidden/>
              </w:rPr>
              <w:fldChar w:fldCharType="begin"/>
            </w:r>
            <w:r w:rsidR="00914F62">
              <w:rPr>
                <w:noProof/>
                <w:webHidden/>
              </w:rPr>
              <w:instrText xml:space="preserve"> PAGEREF _Toc495686630 \h </w:instrText>
            </w:r>
            <w:r w:rsidR="00914F62">
              <w:rPr>
                <w:noProof/>
                <w:webHidden/>
              </w:rPr>
            </w:r>
            <w:r w:rsidR="00914F62">
              <w:rPr>
                <w:noProof/>
                <w:webHidden/>
              </w:rPr>
              <w:fldChar w:fldCharType="separate"/>
            </w:r>
            <w:r w:rsidR="00F6582D">
              <w:rPr>
                <w:noProof/>
                <w:webHidden/>
              </w:rPr>
              <w:t>5</w:t>
            </w:r>
            <w:r w:rsidR="00914F62">
              <w:rPr>
                <w:noProof/>
                <w:webHidden/>
              </w:rPr>
              <w:fldChar w:fldCharType="end"/>
            </w:r>
          </w:hyperlink>
        </w:p>
        <w:p w14:paraId="70635071" w14:textId="77777777" w:rsidR="00914F62" w:rsidRDefault="008A44F5">
          <w:pPr>
            <w:pStyle w:val="TOC3"/>
            <w:tabs>
              <w:tab w:val="right" w:leader="dot" w:pos="9016"/>
            </w:tabs>
            <w:rPr>
              <w:rFonts w:asciiTheme="minorHAnsi" w:hAnsiTheme="minorHAnsi" w:cstheme="minorBidi"/>
              <w:noProof/>
              <w:lang w:val="en-SG" w:eastAsia="zh-CN"/>
            </w:rPr>
          </w:pPr>
          <w:hyperlink w:anchor="_Toc495686631" w:history="1">
            <w:r w:rsidR="00914F62" w:rsidRPr="00E1598A">
              <w:rPr>
                <w:rStyle w:val="Hyperlink"/>
                <w:noProof/>
              </w:rPr>
              <w:t>Dissemination and awareness-raising (Articles 42 and 44(6))</w:t>
            </w:r>
            <w:r w:rsidR="00914F62">
              <w:rPr>
                <w:noProof/>
                <w:webHidden/>
              </w:rPr>
              <w:tab/>
            </w:r>
            <w:r w:rsidR="00914F62">
              <w:rPr>
                <w:noProof/>
                <w:webHidden/>
              </w:rPr>
              <w:fldChar w:fldCharType="begin"/>
            </w:r>
            <w:r w:rsidR="00914F62">
              <w:rPr>
                <w:noProof/>
                <w:webHidden/>
              </w:rPr>
              <w:instrText xml:space="preserve"> PAGEREF _Toc495686631 \h </w:instrText>
            </w:r>
            <w:r w:rsidR="00914F62">
              <w:rPr>
                <w:noProof/>
                <w:webHidden/>
              </w:rPr>
            </w:r>
            <w:r w:rsidR="00914F62">
              <w:rPr>
                <w:noProof/>
                <w:webHidden/>
              </w:rPr>
              <w:fldChar w:fldCharType="separate"/>
            </w:r>
            <w:r w:rsidR="00F6582D">
              <w:rPr>
                <w:noProof/>
                <w:webHidden/>
              </w:rPr>
              <w:t>5</w:t>
            </w:r>
            <w:r w:rsidR="00914F62">
              <w:rPr>
                <w:noProof/>
                <w:webHidden/>
              </w:rPr>
              <w:fldChar w:fldCharType="end"/>
            </w:r>
          </w:hyperlink>
        </w:p>
        <w:p w14:paraId="2D11F3CA" w14:textId="77777777" w:rsidR="00914F62" w:rsidRDefault="008A44F5">
          <w:pPr>
            <w:pStyle w:val="TOC3"/>
            <w:tabs>
              <w:tab w:val="right" w:leader="dot" w:pos="9016"/>
            </w:tabs>
            <w:rPr>
              <w:rFonts w:asciiTheme="minorHAnsi" w:hAnsiTheme="minorHAnsi" w:cstheme="minorBidi"/>
              <w:noProof/>
              <w:lang w:val="en-SG" w:eastAsia="zh-CN"/>
            </w:rPr>
          </w:pPr>
          <w:hyperlink w:anchor="_Toc495686632" w:history="1">
            <w:r w:rsidR="00914F62" w:rsidRPr="00E1598A">
              <w:rPr>
                <w:rStyle w:val="Hyperlink"/>
                <w:noProof/>
              </w:rPr>
              <w:t>Training (Article 3(3))</w:t>
            </w:r>
            <w:r w:rsidR="00914F62">
              <w:rPr>
                <w:noProof/>
                <w:webHidden/>
              </w:rPr>
              <w:tab/>
            </w:r>
            <w:r w:rsidR="00914F62">
              <w:rPr>
                <w:noProof/>
                <w:webHidden/>
              </w:rPr>
              <w:fldChar w:fldCharType="begin"/>
            </w:r>
            <w:r w:rsidR="00914F62">
              <w:rPr>
                <w:noProof/>
                <w:webHidden/>
              </w:rPr>
              <w:instrText xml:space="preserve"> PAGEREF _Toc495686632 \h </w:instrText>
            </w:r>
            <w:r w:rsidR="00914F62">
              <w:rPr>
                <w:noProof/>
                <w:webHidden/>
              </w:rPr>
            </w:r>
            <w:r w:rsidR="00914F62">
              <w:rPr>
                <w:noProof/>
                <w:webHidden/>
              </w:rPr>
              <w:fldChar w:fldCharType="separate"/>
            </w:r>
            <w:r w:rsidR="00F6582D">
              <w:rPr>
                <w:noProof/>
                <w:webHidden/>
              </w:rPr>
              <w:t>6</w:t>
            </w:r>
            <w:r w:rsidR="00914F62">
              <w:rPr>
                <w:noProof/>
                <w:webHidden/>
              </w:rPr>
              <w:fldChar w:fldCharType="end"/>
            </w:r>
          </w:hyperlink>
        </w:p>
        <w:p w14:paraId="24C26639" w14:textId="21CDC188" w:rsidR="00914F62" w:rsidRDefault="008A44F5">
          <w:pPr>
            <w:pStyle w:val="TOC2"/>
            <w:tabs>
              <w:tab w:val="right" w:leader="dot" w:pos="9016"/>
            </w:tabs>
            <w:rPr>
              <w:rFonts w:asciiTheme="minorHAnsi" w:hAnsiTheme="minorHAnsi" w:cstheme="minorBidi"/>
              <w:noProof/>
              <w:lang w:val="en-SG" w:eastAsia="zh-CN"/>
            </w:rPr>
          </w:pPr>
          <w:hyperlink w:anchor="_Toc495686633" w:history="1">
            <w:r w:rsidR="00914F62" w:rsidRPr="00E1598A">
              <w:rPr>
                <w:rStyle w:val="Hyperlink"/>
                <w:noProof/>
              </w:rPr>
              <w:t>GENERAL PRINCIPLES</w:t>
            </w:r>
            <w:r w:rsidR="00914F62">
              <w:rPr>
                <w:noProof/>
                <w:webHidden/>
              </w:rPr>
              <w:tab/>
            </w:r>
            <w:r w:rsidR="00914F62">
              <w:rPr>
                <w:noProof/>
                <w:webHidden/>
              </w:rPr>
              <w:fldChar w:fldCharType="begin"/>
            </w:r>
            <w:r w:rsidR="00914F62">
              <w:rPr>
                <w:noProof/>
                <w:webHidden/>
              </w:rPr>
              <w:instrText xml:space="preserve"> PAGEREF _Toc495686633 \h </w:instrText>
            </w:r>
            <w:r w:rsidR="00914F62">
              <w:rPr>
                <w:noProof/>
                <w:webHidden/>
              </w:rPr>
            </w:r>
            <w:r w:rsidR="00914F62">
              <w:rPr>
                <w:noProof/>
                <w:webHidden/>
              </w:rPr>
              <w:fldChar w:fldCharType="separate"/>
            </w:r>
            <w:r w:rsidR="00F6582D">
              <w:rPr>
                <w:noProof/>
                <w:webHidden/>
              </w:rPr>
              <w:t>7</w:t>
            </w:r>
            <w:r w:rsidR="00914F62">
              <w:rPr>
                <w:noProof/>
                <w:webHidden/>
              </w:rPr>
              <w:fldChar w:fldCharType="end"/>
            </w:r>
          </w:hyperlink>
        </w:p>
        <w:p w14:paraId="50D86A61" w14:textId="6D8643A3" w:rsidR="00914F62" w:rsidRDefault="008A44F5">
          <w:pPr>
            <w:pStyle w:val="TOC3"/>
            <w:tabs>
              <w:tab w:val="right" w:leader="dot" w:pos="9016"/>
            </w:tabs>
            <w:rPr>
              <w:rFonts w:asciiTheme="minorHAnsi" w:hAnsiTheme="minorHAnsi" w:cstheme="minorBidi"/>
              <w:noProof/>
              <w:lang w:val="en-SG" w:eastAsia="zh-CN"/>
            </w:rPr>
          </w:pPr>
          <w:hyperlink w:anchor="_Toc495686634" w:history="1">
            <w:r w:rsidR="00914F62" w:rsidRPr="00E1598A">
              <w:rPr>
                <w:rStyle w:val="Hyperlink"/>
                <w:noProof/>
              </w:rPr>
              <w:t>Non-discrimination (Article 2)</w:t>
            </w:r>
            <w:r w:rsidR="00914F62">
              <w:rPr>
                <w:noProof/>
                <w:webHidden/>
              </w:rPr>
              <w:tab/>
            </w:r>
            <w:r w:rsidR="00914F62">
              <w:rPr>
                <w:noProof/>
                <w:webHidden/>
              </w:rPr>
              <w:fldChar w:fldCharType="begin"/>
            </w:r>
            <w:r w:rsidR="00914F62">
              <w:rPr>
                <w:noProof/>
                <w:webHidden/>
              </w:rPr>
              <w:instrText xml:space="preserve"> PAGEREF _Toc495686634 \h </w:instrText>
            </w:r>
            <w:r w:rsidR="00914F62">
              <w:rPr>
                <w:noProof/>
                <w:webHidden/>
              </w:rPr>
            </w:r>
            <w:r w:rsidR="00914F62">
              <w:rPr>
                <w:noProof/>
                <w:webHidden/>
              </w:rPr>
              <w:fldChar w:fldCharType="separate"/>
            </w:r>
            <w:r w:rsidR="00F6582D">
              <w:rPr>
                <w:noProof/>
                <w:webHidden/>
              </w:rPr>
              <w:t>7</w:t>
            </w:r>
            <w:r w:rsidR="00914F62">
              <w:rPr>
                <w:noProof/>
                <w:webHidden/>
              </w:rPr>
              <w:fldChar w:fldCharType="end"/>
            </w:r>
          </w:hyperlink>
        </w:p>
        <w:p w14:paraId="1975E4A1" w14:textId="52DDBE1F" w:rsidR="00914F62" w:rsidRDefault="008A44F5">
          <w:pPr>
            <w:pStyle w:val="TOC2"/>
            <w:tabs>
              <w:tab w:val="right" w:leader="dot" w:pos="9016"/>
            </w:tabs>
            <w:rPr>
              <w:rFonts w:asciiTheme="minorHAnsi" w:hAnsiTheme="minorHAnsi" w:cstheme="minorBidi"/>
              <w:noProof/>
              <w:lang w:val="en-SG" w:eastAsia="zh-CN"/>
            </w:rPr>
          </w:pPr>
          <w:hyperlink w:anchor="_Toc495686635" w:history="1">
            <w:r w:rsidR="00914F62" w:rsidRPr="00E1598A">
              <w:rPr>
                <w:rStyle w:val="Hyperlink"/>
                <w:noProof/>
              </w:rPr>
              <w:t>CIVIL RIGHTS AND FREEDOM</w:t>
            </w:r>
            <w:r w:rsidR="00914F62">
              <w:rPr>
                <w:noProof/>
                <w:webHidden/>
              </w:rPr>
              <w:tab/>
            </w:r>
            <w:r w:rsidR="00914F62">
              <w:rPr>
                <w:noProof/>
                <w:webHidden/>
              </w:rPr>
              <w:fldChar w:fldCharType="begin"/>
            </w:r>
            <w:r w:rsidR="00914F62">
              <w:rPr>
                <w:noProof/>
                <w:webHidden/>
              </w:rPr>
              <w:instrText xml:space="preserve"> PAGEREF _Toc495686635 \h </w:instrText>
            </w:r>
            <w:r w:rsidR="00914F62">
              <w:rPr>
                <w:noProof/>
                <w:webHidden/>
              </w:rPr>
            </w:r>
            <w:r w:rsidR="00914F62">
              <w:rPr>
                <w:noProof/>
                <w:webHidden/>
              </w:rPr>
              <w:fldChar w:fldCharType="separate"/>
            </w:r>
            <w:r w:rsidR="00F6582D">
              <w:rPr>
                <w:noProof/>
                <w:webHidden/>
              </w:rPr>
              <w:t>8</w:t>
            </w:r>
            <w:r w:rsidR="00914F62">
              <w:rPr>
                <w:noProof/>
                <w:webHidden/>
              </w:rPr>
              <w:fldChar w:fldCharType="end"/>
            </w:r>
          </w:hyperlink>
        </w:p>
        <w:p w14:paraId="5AD0C2B6" w14:textId="1FD3997C" w:rsidR="00914F62" w:rsidRDefault="008A44F5">
          <w:pPr>
            <w:pStyle w:val="TOC3"/>
            <w:tabs>
              <w:tab w:val="right" w:leader="dot" w:pos="9016"/>
            </w:tabs>
            <w:rPr>
              <w:rFonts w:asciiTheme="minorHAnsi" w:hAnsiTheme="minorHAnsi" w:cstheme="minorBidi"/>
              <w:noProof/>
              <w:lang w:val="en-SG" w:eastAsia="zh-CN"/>
            </w:rPr>
          </w:pPr>
          <w:hyperlink w:anchor="_Toc495686636" w:history="1">
            <w:r w:rsidR="00914F62" w:rsidRPr="00E1598A">
              <w:rPr>
                <w:rStyle w:val="Hyperlink"/>
                <w:noProof/>
              </w:rPr>
              <w:t>Access to appropriate information (Article 17)</w:t>
            </w:r>
            <w:r w:rsidR="00914F62">
              <w:rPr>
                <w:noProof/>
                <w:webHidden/>
              </w:rPr>
              <w:tab/>
            </w:r>
            <w:r w:rsidR="00914F62">
              <w:rPr>
                <w:noProof/>
                <w:webHidden/>
              </w:rPr>
              <w:fldChar w:fldCharType="begin"/>
            </w:r>
            <w:r w:rsidR="00914F62">
              <w:rPr>
                <w:noProof/>
                <w:webHidden/>
              </w:rPr>
              <w:instrText xml:space="preserve"> PAGEREF _Toc495686636 \h </w:instrText>
            </w:r>
            <w:r w:rsidR="00914F62">
              <w:rPr>
                <w:noProof/>
                <w:webHidden/>
              </w:rPr>
            </w:r>
            <w:r w:rsidR="00914F62">
              <w:rPr>
                <w:noProof/>
                <w:webHidden/>
              </w:rPr>
              <w:fldChar w:fldCharType="separate"/>
            </w:r>
            <w:r w:rsidR="00F6582D">
              <w:rPr>
                <w:noProof/>
                <w:webHidden/>
              </w:rPr>
              <w:t>8</w:t>
            </w:r>
            <w:r w:rsidR="00914F62">
              <w:rPr>
                <w:noProof/>
                <w:webHidden/>
              </w:rPr>
              <w:fldChar w:fldCharType="end"/>
            </w:r>
          </w:hyperlink>
        </w:p>
        <w:p w14:paraId="15CAB23C" w14:textId="13B3E4F2" w:rsidR="00914F62" w:rsidRDefault="008A44F5">
          <w:pPr>
            <w:pStyle w:val="TOC2"/>
            <w:tabs>
              <w:tab w:val="right" w:leader="dot" w:pos="9016"/>
            </w:tabs>
            <w:rPr>
              <w:rFonts w:asciiTheme="minorHAnsi" w:hAnsiTheme="minorHAnsi" w:cstheme="minorBidi"/>
              <w:noProof/>
              <w:lang w:val="en-SG" w:eastAsia="zh-CN"/>
            </w:rPr>
          </w:pPr>
          <w:hyperlink w:anchor="_Toc495686637" w:history="1">
            <w:r w:rsidR="00914F62" w:rsidRPr="00E1598A">
              <w:rPr>
                <w:rStyle w:val="Hyperlink"/>
                <w:noProof/>
              </w:rPr>
              <w:t>VIOLENCE AGAINST CHILDREN</w:t>
            </w:r>
            <w:r w:rsidR="00914F62">
              <w:rPr>
                <w:noProof/>
                <w:webHidden/>
              </w:rPr>
              <w:tab/>
            </w:r>
            <w:r w:rsidR="00914F62">
              <w:rPr>
                <w:noProof/>
                <w:webHidden/>
              </w:rPr>
              <w:fldChar w:fldCharType="begin"/>
            </w:r>
            <w:r w:rsidR="00914F62">
              <w:rPr>
                <w:noProof/>
                <w:webHidden/>
              </w:rPr>
              <w:instrText xml:space="preserve"> PAGEREF _Toc495686637 \h </w:instrText>
            </w:r>
            <w:r w:rsidR="00914F62">
              <w:rPr>
                <w:noProof/>
                <w:webHidden/>
              </w:rPr>
            </w:r>
            <w:r w:rsidR="00914F62">
              <w:rPr>
                <w:noProof/>
                <w:webHidden/>
              </w:rPr>
              <w:fldChar w:fldCharType="separate"/>
            </w:r>
            <w:r w:rsidR="00F6582D">
              <w:rPr>
                <w:noProof/>
                <w:webHidden/>
              </w:rPr>
              <w:t>10</w:t>
            </w:r>
            <w:r w:rsidR="00914F62">
              <w:rPr>
                <w:noProof/>
                <w:webHidden/>
              </w:rPr>
              <w:fldChar w:fldCharType="end"/>
            </w:r>
          </w:hyperlink>
        </w:p>
        <w:p w14:paraId="1C2473C7" w14:textId="7762C28C" w:rsidR="00914F62" w:rsidRDefault="008A44F5">
          <w:pPr>
            <w:pStyle w:val="TOC3"/>
            <w:tabs>
              <w:tab w:val="right" w:leader="dot" w:pos="9016"/>
            </w:tabs>
            <w:rPr>
              <w:rFonts w:asciiTheme="minorHAnsi" w:hAnsiTheme="minorHAnsi" w:cstheme="minorBidi"/>
              <w:noProof/>
              <w:lang w:val="en-SG" w:eastAsia="zh-CN"/>
            </w:rPr>
          </w:pPr>
          <w:hyperlink w:anchor="_Toc495686638" w:history="1">
            <w:r w:rsidR="00914F62" w:rsidRPr="00E1598A">
              <w:rPr>
                <w:rStyle w:val="Hyperlink"/>
                <w:noProof/>
              </w:rPr>
              <w:t>Torture or other cruel, inhuman or degrading treatment or punishment, including corporal punishment (Articles 37(a) and 28, para.2)</w:t>
            </w:r>
            <w:r w:rsidR="00914F62">
              <w:rPr>
                <w:noProof/>
                <w:webHidden/>
              </w:rPr>
              <w:tab/>
            </w:r>
            <w:r w:rsidR="00914F62">
              <w:rPr>
                <w:noProof/>
                <w:webHidden/>
              </w:rPr>
              <w:fldChar w:fldCharType="begin"/>
            </w:r>
            <w:r w:rsidR="00914F62">
              <w:rPr>
                <w:noProof/>
                <w:webHidden/>
              </w:rPr>
              <w:instrText xml:space="preserve"> PAGEREF _Toc495686638 \h </w:instrText>
            </w:r>
            <w:r w:rsidR="00914F62">
              <w:rPr>
                <w:noProof/>
                <w:webHidden/>
              </w:rPr>
            </w:r>
            <w:r w:rsidR="00914F62">
              <w:rPr>
                <w:noProof/>
                <w:webHidden/>
              </w:rPr>
              <w:fldChar w:fldCharType="separate"/>
            </w:r>
            <w:r w:rsidR="00F6582D">
              <w:rPr>
                <w:noProof/>
                <w:webHidden/>
              </w:rPr>
              <w:t>10</w:t>
            </w:r>
            <w:r w:rsidR="00914F62">
              <w:rPr>
                <w:noProof/>
                <w:webHidden/>
              </w:rPr>
              <w:fldChar w:fldCharType="end"/>
            </w:r>
          </w:hyperlink>
        </w:p>
        <w:p w14:paraId="3D7A53D0" w14:textId="22CE5C43" w:rsidR="00914F62" w:rsidRDefault="008A44F5">
          <w:pPr>
            <w:pStyle w:val="TOC3"/>
            <w:tabs>
              <w:tab w:val="right" w:leader="dot" w:pos="9016"/>
            </w:tabs>
            <w:rPr>
              <w:rFonts w:asciiTheme="minorHAnsi" w:hAnsiTheme="minorHAnsi" w:cstheme="minorBidi"/>
              <w:noProof/>
              <w:lang w:val="en-SG" w:eastAsia="zh-CN"/>
            </w:rPr>
          </w:pPr>
          <w:hyperlink w:anchor="_Toc495686639" w:history="1">
            <w:r w:rsidR="00914F62" w:rsidRPr="00E1598A">
              <w:rPr>
                <w:rStyle w:val="Hyperlink"/>
                <w:noProof/>
              </w:rPr>
              <w:t>Physical and psychological recovery and social reintegration of child victims (Article 39)</w:t>
            </w:r>
            <w:r w:rsidR="00914F62">
              <w:rPr>
                <w:noProof/>
                <w:webHidden/>
              </w:rPr>
              <w:tab/>
            </w:r>
            <w:r w:rsidR="00914F62">
              <w:rPr>
                <w:noProof/>
                <w:webHidden/>
              </w:rPr>
              <w:fldChar w:fldCharType="begin"/>
            </w:r>
            <w:r w:rsidR="00914F62">
              <w:rPr>
                <w:noProof/>
                <w:webHidden/>
              </w:rPr>
              <w:instrText xml:space="preserve"> PAGEREF _Toc495686639 \h </w:instrText>
            </w:r>
            <w:r w:rsidR="00914F62">
              <w:rPr>
                <w:noProof/>
                <w:webHidden/>
              </w:rPr>
            </w:r>
            <w:r w:rsidR="00914F62">
              <w:rPr>
                <w:noProof/>
                <w:webHidden/>
              </w:rPr>
              <w:fldChar w:fldCharType="separate"/>
            </w:r>
            <w:r w:rsidR="00F6582D">
              <w:rPr>
                <w:noProof/>
                <w:webHidden/>
              </w:rPr>
              <w:t>10</w:t>
            </w:r>
            <w:r w:rsidR="00914F62">
              <w:rPr>
                <w:noProof/>
                <w:webHidden/>
              </w:rPr>
              <w:fldChar w:fldCharType="end"/>
            </w:r>
          </w:hyperlink>
        </w:p>
        <w:p w14:paraId="18EE2716" w14:textId="61B6434A" w:rsidR="00914F62" w:rsidRDefault="008A44F5">
          <w:pPr>
            <w:pStyle w:val="TOC2"/>
            <w:tabs>
              <w:tab w:val="right" w:leader="dot" w:pos="9016"/>
            </w:tabs>
            <w:rPr>
              <w:rFonts w:asciiTheme="minorHAnsi" w:hAnsiTheme="minorHAnsi" w:cstheme="minorBidi"/>
              <w:noProof/>
              <w:lang w:val="en-SG" w:eastAsia="zh-CN"/>
            </w:rPr>
          </w:pPr>
          <w:hyperlink w:anchor="_Toc495686640" w:history="1">
            <w:r w:rsidR="00914F62" w:rsidRPr="00E1598A">
              <w:rPr>
                <w:rStyle w:val="Hyperlink"/>
                <w:noProof/>
              </w:rPr>
              <w:t>FAMILY ENVIRONMENT AND ALTERNATIVE CARE</w:t>
            </w:r>
            <w:r w:rsidR="00914F62">
              <w:rPr>
                <w:noProof/>
                <w:webHidden/>
              </w:rPr>
              <w:tab/>
            </w:r>
            <w:r w:rsidR="00914F62">
              <w:rPr>
                <w:noProof/>
                <w:webHidden/>
              </w:rPr>
              <w:fldChar w:fldCharType="begin"/>
            </w:r>
            <w:r w:rsidR="00914F62">
              <w:rPr>
                <w:noProof/>
                <w:webHidden/>
              </w:rPr>
              <w:instrText xml:space="preserve"> PAGEREF _Toc495686640 \h </w:instrText>
            </w:r>
            <w:r w:rsidR="00914F62">
              <w:rPr>
                <w:noProof/>
                <w:webHidden/>
              </w:rPr>
            </w:r>
            <w:r w:rsidR="00914F62">
              <w:rPr>
                <w:noProof/>
                <w:webHidden/>
              </w:rPr>
              <w:fldChar w:fldCharType="separate"/>
            </w:r>
            <w:r w:rsidR="00F6582D">
              <w:rPr>
                <w:noProof/>
                <w:webHidden/>
              </w:rPr>
              <w:t>11</w:t>
            </w:r>
            <w:r w:rsidR="00914F62">
              <w:rPr>
                <w:noProof/>
                <w:webHidden/>
              </w:rPr>
              <w:fldChar w:fldCharType="end"/>
            </w:r>
          </w:hyperlink>
        </w:p>
        <w:p w14:paraId="035E2647" w14:textId="28405CA1" w:rsidR="00914F62" w:rsidRDefault="008A44F5">
          <w:pPr>
            <w:pStyle w:val="TOC3"/>
            <w:tabs>
              <w:tab w:val="right" w:leader="dot" w:pos="9016"/>
            </w:tabs>
            <w:rPr>
              <w:rFonts w:asciiTheme="minorHAnsi" w:hAnsiTheme="minorHAnsi" w:cstheme="minorBidi"/>
              <w:noProof/>
              <w:lang w:val="en-SG" w:eastAsia="zh-CN"/>
            </w:rPr>
          </w:pPr>
          <w:hyperlink w:anchor="_Toc495686641" w:history="1">
            <w:r w:rsidR="00914F62" w:rsidRPr="00E1598A">
              <w:rPr>
                <w:rStyle w:val="Hyperlink"/>
                <w:noProof/>
              </w:rPr>
              <w:t>Family environment and parental guidance (Article 5) and Parental Responsibilities (Article 18)</w:t>
            </w:r>
            <w:r w:rsidR="00914F62">
              <w:rPr>
                <w:noProof/>
                <w:webHidden/>
              </w:rPr>
              <w:tab/>
            </w:r>
            <w:r w:rsidR="00914F62">
              <w:rPr>
                <w:noProof/>
                <w:webHidden/>
              </w:rPr>
              <w:fldChar w:fldCharType="begin"/>
            </w:r>
            <w:r w:rsidR="00914F62">
              <w:rPr>
                <w:noProof/>
                <w:webHidden/>
              </w:rPr>
              <w:instrText xml:space="preserve"> PAGEREF _Toc495686641 \h </w:instrText>
            </w:r>
            <w:r w:rsidR="00914F62">
              <w:rPr>
                <w:noProof/>
                <w:webHidden/>
              </w:rPr>
            </w:r>
            <w:r w:rsidR="00914F62">
              <w:rPr>
                <w:noProof/>
                <w:webHidden/>
              </w:rPr>
              <w:fldChar w:fldCharType="separate"/>
            </w:r>
            <w:r w:rsidR="00F6582D">
              <w:rPr>
                <w:noProof/>
                <w:webHidden/>
              </w:rPr>
              <w:t>11</w:t>
            </w:r>
            <w:r w:rsidR="00914F62">
              <w:rPr>
                <w:noProof/>
                <w:webHidden/>
              </w:rPr>
              <w:fldChar w:fldCharType="end"/>
            </w:r>
          </w:hyperlink>
        </w:p>
        <w:p w14:paraId="4DEF1682" w14:textId="482E51CC" w:rsidR="00914F62" w:rsidRDefault="008A44F5">
          <w:pPr>
            <w:pStyle w:val="TOC2"/>
            <w:tabs>
              <w:tab w:val="right" w:leader="dot" w:pos="9016"/>
            </w:tabs>
            <w:rPr>
              <w:rFonts w:asciiTheme="minorHAnsi" w:hAnsiTheme="minorHAnsi" w:cstheme="minorBidi"/>
              <w:noProof/>
              <w:lang w:val="en-SG" w:eastAsia="zh-CN"/>
            </w:rPr>
          </w:pPr>
          <w:hyperlink w:anchor="_Toc495686642" w:history="1">
            <w:r w:rsidR="00914F62" w:rsidRPr="00E1598A">
              <w:rPr>
                <w:rStyle w:val="Hyperlink"/>
                <w:noProof/>
              </w:rPr>
              <w:t>DISABILITY, BASIC HEALTH AND WELFARE</w:t>
            </w:r>
            <w:r w:rsidR="00914F62">
              <w:rPr>
                <w:noProof/>
                <w:webHidden/>
              </w:rPr>
              <w:tab/>
            </w:r>
            <w:r w:rsidR="00914F62">
              <w:rPr>
                <w:noProof/>
                <w:webHidden/>
              </w:rPr>
              <w:fldChar w:fldCharType="begin"/>
            </w:r>
            <w:r w:rsidR="00914F62">
              <w:rPr>
                <w:noProof/>
                <w:webHidden/>
              </w:rPr>
              <w:instrText xml:space="preserve"> PAGEREF _Toc495686642 \h </w:instrText>
            </w:r>
            <w:r w:rsidR="00914F62">
              <w:rPr>
                <w:noProof/>
                <w:webHidden/>
              </w:rPr>
            </w:r>
            <w:r w:rsidR="00914F62">
              <w:rPr>
                <w:noProof/>
                <w:webHidden/>
              </w:rPr>
              <w:fldChar w:fldCharType="separate"/>
            </w:r>
            <w:r w:rsidR="00F6582D">
              <w:rPr>
                <w:noProof/>
                <w:webHidden/>
              </w:rPr>
              <w:t>13</w:t>
            </w:r>
            <w:r w:rsidR="00914F62">
              <w:rPr>
                <w:noProof/>
                <w:webHidden/>
              </w:rPr>
              <w:fldChar w:fldCharType="end"/>
            </w:r>
          </w:hyperlink>
        </w:p>
        <w:p w14:paraId="683F5337" w14:textId="3404D9A0" w:rsidR="00914F62" w:rsidRDefault="008A44F5">
          <w:pPr>
            <w:pStyle w:val="TOC3"/>
            <w:tabs>
              <w:tab w:val="right" w:leader="dot" w:pos="9016"/>
            </w:tabs>
            <w:rPr>
              <w:rFonts w:asciiTheme="minorHAnsi" w:hAnsiTheme="minorHAnsi" w:cstheme="minorBidi"/>
              <w:noProof/>
              <w:lang w:val="en-SG" w:eastAsia="zh-CN"/>
            </w:rPr>
          </w:pPr>
          <w:hyperlink w:anchor="_Toc495686643" w:history="1">
            <w:r w:rsidR="00914F62" w:rsidRPr="00E1598A">
              <w:rPr>
                <w:rStyle w:val="Hyperlink"/>
                <w:noProof/>
              </w:rPr>
              <w:t>Social security (Article 26)</w:t>
            </w:r>
            <w:r w:rsidR="00914F62">
              <w:rPr>
                <w:noProof/>
                <w:webHidden/>
              </w:rPr>
              <w:tab/>
            </w:r>
            <w:r w:rsidR="00914F62">
              <w:rPr>
                <w:noProof/>
                <w:webHidden/>
              </w:rPr>
              <w:fldChar w:fldCharType="begin"/>
            </w:r>
            <w:r w:rsidR="00914F62">
              <w:rPr>
                <w:noProof/>
                <w:webHidden/>
              </w:rPr>
              <w:instrText xml:space="preserve"> PAGEREF _Toc495686643 \h </w:instrText>
            </w:r>
            <w:r w:rsidR="00914F62">
              <w:rPr>
                <w:noProof/>
                <w:webHidden/>
              </w:rPr>
            </w:r>
            <w:r w:rsidR="00914F62">
              <w:rPr>
                <w:noProof/>
                <w:webHidden/>
              </w:rPr>
              <w:fldChar w:fldCharType="separate"/>
            </w:r>
            <w:r w:rsidR="00F6582D">
              <w:rPr>
                <w:noProof/>
                <w:webHidden/>
              </w:rPr>
              <w:t>13</w:t>
            </w:r>
            <w:r w:rsidR="00914F62">
              <w:rPr>
                <w:noProof/>
                <w:webHidden/>
              </w:rPr>
              <w:fldChar w:fldCharType="end"/>
            </w:r>
          </w:hyperlink>
        </w:p>
        <w:p w14:paraId="60684496" w14:textId="391D92C9" w:rsidR="00914F62" w:rsidRDefault="008A44F5">
          <w:pPr>
            <w:pStyle w:val="TOC3"/>
            <w:tabs>
              <w:tab w:val="right" w:leader="dot" w:pos="9016"/>
            </w:tabs>
            <w:rPr>
              <w:rFonts w:asciiTheme="minorHAnsi" w:hAnsiTheme="minorHAnsi" w:cstheme="minorBidi"/>
              <w:noProof/>
              <w:lang w:val="en-SG" w:eastAsia="zh-CN"/>
            </w:rPr>
          </w:pPr>
          <w:hyperlink w:anchor="_Toc495686644" w:history="1">
            <w:r w:rsidR="00914F62" w:rsidRPr="00E1598A">
              <w:rPr>
                <w:rStyle w:val="Hyperlink"/>
                <w:noProof/>
              </w:rPr>
              <w:t>Standard of living (Article 27, para.1-3)</w:t>
            </w:r>
            <w:r w:rsidR="00914F62">
              <w:rPr>
                <w:noProof/>
                <w:webHidden/>
              </w:rPr>
              <w:tab/>
            </w:r>
            <w:r w:rsidR="00914F62">
              <w:rPr>
                <w:noProof/>
                <w:webHidden/>
              </w:rPr>
              <w:fldChar w:fldCharType="begin"/>
            </w:r>
            <w:r w:rsidR="00914F62">
              <w:rPr>
                <w:noProof/>
                <w:webHidden/>
              </w:rPr>
              <w:instrText xml:space="preserve"> PAGEREF _Toc495686644 \h </w:instrText>
            </w:r>
            <w:r w:rsidR="00914F62">
              <w:rPr>
                <w:noProof/>
                <w:webHidden/>
              </w:rPr>
            </w:r>
            <w:r w:rsidR="00914F62">
              <w:rPr>
                <w:noProof/>
                <w:webHidden/>
              </w:rPr>
              <w:fldChar w:fldCharType="separate"/>
            </w:r>
            <w:r w:rsidR="00F6582D">
              <w:rPr>
                <w:noProof/>
                <w:webHidden/>
              </w:rPr>
              <w:t>13</w:t>
            </w:r>
            <w:r w:rsidR="00914F62">
              <w:rPr>
                <w:noProof/>
                <w:webHidden/>
              </w:rPr>
              <w:fldChar w:fldCharType="end"/>
            </w:r>
          </w:hyperlink>
        </w:p>
        <w:p w14:paraId="1B1C2601" w14:textId="3E9503AF" w:rsidR="00914F62" w:rsidRDefault="008A44F5">
          <w:pPr>
            <w:pStyle w:val="TOC2"/>
            <w:tabs>
              <w:tab w:val="right" w:leader="dot" w:pos="9016"/>
            </w:tabs>
            <w:rPr>
              <w:rFonts w:asciiTheme="minorHAnsi" w:hAnsiTheme="minorHAnsi" w:cstheme="minorBidi"/>
              <w:noProof/>
              <w:lang w:val="en-SG" w:eastAsia="zh-CN"/>
            </w:rPr>
          </w:pPr>
          <w:hyperlink w:anchor="_Toc495686645" w:history="1">
            <w:r w:rsidR="00914F62" w:rsidRPr="00E1598A">
              <w:rPr>
                <w:rStyle w:val="Hyperlink"/>
                <w:noProof/>
              </w:rPr>
              <w:t>EDUCATION, LEISURE AND CULTURAL ACTIVITIES</w:t>
            </w:r>
            <w:r w:rsidR="00914F62">
              <w:rPr>
                <w:noProof/>
                <w:webHidden/>
              </w:rPr>
              <w:tab/>
            </w:r>
            <w:r w:rsidR="00914F62">
              <w:rPr>
                <w:noProof/>
                <w:webHidden/>
              </w:rPr>
              <w:fldChar w:fldCharType="begin"/>
            </w:r>
            <w:r w:rsidR="00914F62">
              <w:rPr>
                <w:noProof/>
                <w:webHidden/>
              </w:rPr>
              <w:instrText xml:space="preserve"> PAGEREF _Toc495686645 \h </w:instrText>
            </w:r>
            <w:r w:rsidR="00914F62">
              <w:rPr>
                <w:noProof/>
                <w:webHidden/>
              </w:rPr>
            </w:r>
            <w:r w:rsidR="00914F62">
              <w:rPr>
                <w:noProof/>
                <w:webHidden/>
              </w:rPr>
              <w:fldChar w:fldCharType="separate"/>
            </w:r>
            <w:r w:rsidR="00F6582D">
              <w:rPr>
                <w:noProof/>
                <w:webHidden/>
              </w:rPr>
              <w:t>14</w:t>
            </w:r>
            <w:r w:rsidR="00914F62">
              <w:rPr>
                <w:noProof/>
                <w:webHidden/>
              </w:rPr>
              <w:fldChar w:fldCharType="end"/>
            </w:r>
          </w:hyperlink>
        </w:p>
        <w:p w14:paraId="21EAC357" w14:textId="75BB222B" w:rsidR="00914F62" w:rsidRDefault="008A44F5">
          <w:pPr>
            <w:pStyle w:val="TOC3"/>
            <w:tabs>
              <w:tab w:val="right" w:leader="dot" w:pos="9016"/>
            </w:tabs>
            <w:rPr>
              <w:rFonts w:asciiTheme="minorHAnsi" w:hAnsiTheme="minorHAnsi" w:cstheme="minorBidi"/>
              <w:noProof/>
              <w:lang w:val="en-SG" w:eastAsia="zh-CN"/>
            </w:rPr>
          </w:pPr>
          <w:hyperlink w:anchor="_Toc495686646" w:history="1">
            <w:r w:rsidR="00914F62" w:rsidRPr="00E1598A">
              <w:rPr>
                <w:rStyle w:val="Hyperlink"/>
                <w:noProof/>
              </w:rPr>
              <w:t>Rest, play, leisure, recreation and cultural and artistic activities (Article 31)</w:t>
            </w:r>
            <w:r w:rsidR="00914F62">
              <w:rPr>
                <w:noProof/>
                <w:webHidden/>
              </w:rPr>
              <w:tab/>
            </w:r>
            <w:r w:rsidR="00914F62">
              <w:rPr>
                <w:noProof/>
                <w:webHidden/>
              </w:rPr>
              <w:fldChar w:fldCharType="begin"/>
            </w:r>
            <w:r w:rsidR="00914F62">
              <w:rPr>
                <w:noProof/>
                <w:webHidden/>
              </w:rPr>
              <w:instrText xml:space="preserve"> PAGEREF _Toc495686646 \h </w:instrText>
            </w:r>
            <w:r w:rsidR="00914F62">
              <w:rPr>
                <w:noProof/>
                <w:webHidden/>
              </w:rPr>
            </w:r>
            <w:r w:rsidR="00914F62">
              <w:rPr>
                <w:noProof/>
                <w:webHidden/>
              </w:rPr>
              <w:fldChar w:fldCharType="separate"/>
            </w:r>
            <w:r w:rsidR="00F6582D">
              <w:rPr>
                <w:noProof/>
                <w:webHidden/>
              </w:rPr>
              <w:t>14</w:t>
            </w:r>
            <w:r w:rsidR="00914F62">
              <w:rPr>
                <w:noProof/>
                <w:webHidden/>
              </w:rPr>
              <w:fldChar w:fldCharType="end"/>
            </w:r>
          </w:hyperlink>
        </w:p>
        <w:p w14:paraId="4654A551" w14:textId="271AC468" w:rsidR="00914F62" w:rsidRDefault="008A44F5">
          <w:pPr>
            <w:pStyle w:val="TOC2"/>
            <w:tabs>
              <w:tab w:val="right" w:leader="dot" w:pos="9016"/>
            </w:tabs>
            <w:rPr>
              <w:rFonts w:asciiTheme="minorHAnsi" w:hAnsiTheme="minorHAnsi" w:cstheme="minorBidi"/>
              <w:noProof/>
              <w:lang w:val="en-SG" w:eastAsia="zh-CN"/>
            </w:rPr>
          </w:pPr>
          <w:hyperlink w:anchor="_Toc495686647" w:history="1">
            <w:r w:rsidR="00914F62" w:rsidRPr="00E1598A">
              <w:rPr>
                <w:rStyle w:val="Hyperlink"/>
                <w:noProof/>
              </w:rPr>
              <w:t>SPECIAL PROTECTION MEASURES</w:t>
            </w:r>
            <w:r w:rsidR="00914F62">
              <w:rPr>
                <w:noProof/>
                <w:webHidden/>
              </w:rPr>
              <w:tab/>
            </w:r>
            <w:r w:rsidR="00914F62">
              <w:rPr>
                <w:noProof/>
                <w:webHidden/>
              </w:rPr>
              <w:fldChar w:fldCharType="begin"/>
            </w:r>
            <w:r w:rsidR="00914F62">
              <w:rPr>
                <w:noProof/>
                <w:webHidden/>
              </w:rPr>
              <w:instrText xml:space="preserve"> PAGEREF _Toc495686647 \h </w:instrText>
            </w:r>
            <w:r w:rsidR="00914F62">
              <w:rPr>
                <w:noProof/>
                <w:webHidden/>
              </w:rPr>
            </w:r>
            <w:r w:rsidR="00914F62">
              <w:rPr>
                <w:noProof/>
                <w:webHidden/>
              </w:rPr>
              <w:fldChar w:fldCharType="separate"/>
            </w:r>
            <w:r w:rsidR="00F6582D">
              <w:rPr>
                <w:noProof/>
                <w:webHidden/>
              </w:rPr>
              <w:t>16</w:t>
            </w:r>
            <w:r w:rsidR="00914F62">
              <w:rPr>
                <w:noProof/>
                <w:webHidden/>
              </w:rPr>
              <w:fldChar w:fldCharType="end"/>
            </w:r>
          </w:hyperlink>
        </w:p>
        <w:p w14:paraId="3856DD8E" w14:textId="48ED9C21" w:rsidR="00914F62" w:rsidRDefault="008A44F5">
          <w:pPr>
            <w:pStyle w:val="TOC3"/>
            <w:tabs>
              <w:tab w:val="right" w:leader="dot" w:pos="9016"/>
            </w:tabs>
            <w:rPr>
              <w:rFonts w:asciiTheme="minorHAnsi" w:hAnsiTheme="minorHAnsi" w:cstheme="minorBidi"/>
              <w:noProof/>
              <w:lang w:val="en-SG" w:eastAsia="zh-CN"/>
            </w:rPr>
          </w:pPr>
          <w:hyperlink w:anchor="_Toc495686648" w:history="1">
            <w:r w:rsidR="00914F62" w:rsidRPr="00E1598A">
              <w:rPr>
                <w:rStyle w:val="Hyperlink"/>
                <w:noProof/>
              </w:rPr>
              <w:t>Sale, trafficking and abduction (Article 35)</w:t>
            </w:r>
            <w:r w:rsidR="00914F62">
              <w:rPr>
                <w:noProof/>
                <w:webHidden/>
              </w:rPr>
              <w:tab/>
            </w:r>
            <w:r w:rsidR="00914F62">
              <w:rPr>
                <w:noProof/>
                <w:webHidden/>
              </w:rPr>
              <w:fldChar w:fldCharType="begin"/>
            </w:r>
            <w:r w:rsidR="00914F62">
              <w:rPr>
                <w:noProof/>
                <w:webHidden/>
              </w:rPr>
              <w:instrText xml:space="preserve"> PAGEREF _Toc495686648 \h </w:instrText>
            </w:r>
            <w:r w:rsidR="00914F62">
              <w:rPr>
                <w:noProof/>
                <w:webHidden/>
              </w:rPr>
            </w:r>
            <w:r w:rsidR="00914F62">
              <w:rPr>
                <w:noProof/>
                <w:webHidden/>
              </w:rPr>
              <w:fldChar w:fldCharType="separate"/>
            </w:r>
            <w:r w:rsidR="00F6582D">
              <w:rPr>
                <w:noProof/>
                <w:webHidden/>
              </w:rPr>
              <w:t>16</w:t>
            </w:r>
            <w:r w:rsidR="00914F62">
              <w:rPr>
                <w:noProof/>
                <w:webHidden/>
              </w:rPr>
              <w:fldChar w:fldCharType="end"/>
            </w:r>
          </w:hyperlink>
        </w:p>
        <w:p w14:paraId="4631CA10" w14:textId="311C6439" w:rsidR="008F0616" w:rsidRPr="008F0616" w:rsidRDefault="008F0616" w:rsidP="00B6414C">
          <w:pPr>
            <w:jc w:val="both"/>
            <w:rPr>
              <w:rFonts w:cs="Times New Roman"/>
            </w:rPr>
          </w:pPr>
          <w:r w:rsidRPr="008F0616">
            <w:rPr>
              <w:rFonts w:cs="Times New Roman"/>
              <w:b/>
              <w:bCs/>
              <w:noProof/>
            </w:rPr>
            <w:fldChar w:fldCharType="end"/>
          </w:r>
        </w:p>
      </w:sdtContent>
    </w:sdt>
    <w:p w14:paraId="7F21AF5C" w14:textId="77777777" w:rsidR="008F0616" w:rsidRPr="008F0616" w:rsidRDefault="008F0616" w:rsidP="00B6414C">
      <w:pPr>
        <w:jc w:val="both"/>
        <w:rPr>
          <w:rFonts w:cs="Times New Roman"/>
          <w:b/>
        </w:rPr>
      </w:pPr>
    </w:p>
    <w:p w14:paraId="4A515DAC" w14:textId="77777777" w:rsidR="008F0616" w:rsidRDefault="008F0616" w:rsidP="00B6414C">
      <w:pPr>
        <w:pStyle w:val="Heading1"/>
        <w:jc w:val="both"/>
        <w:rPr>
          <w:rFonts w:cs="Times New Roman"/>
        </w:rPr>
      </w:pPr>
      <w:r>
        <w:rPr>
          <w:rFonts w:cs="Times New Roman"/>
        </w:rPr>
        <w:br w:type="page"/>
      </w:r>
    </w:p>
    <w:p w14:paraId="2E837610" w14:textId="172721F8" w:rsidR="0077128A" w:rsidRDefault="00EE305D" w:rsidP="00B6414C">
      <w:pPr>
        <w:pStyle w:val="Heading1"/>
        <w:jc w:val="both"/>
        <w:rPr>
          <w:rFonts w:cs="Times New Roman"/>
        </w:rPr>
      </w:pPr>
      <w:bookmarkStart w:id="2" w:name="_Toc495686626"/>
      <w:r>
        <w:rPr>
          <w:rFonts w:cs="Times New Roman"/>
        </w:rPr>
        <w:lastRenderedPageBreak/>
        <w:t>Annex</w:t>
      </w:r>
      <w:r w:rsidR="00DF14F1" w:rsidRPr="008F0616">
        <w:rPr>
          <w:rFonts w:cs="Times New Roman"/>
        </w:rPr>
        <w:t xml:space="preserve"> A</w:t>
      </w:r>
      <w:bookmarkEnd w:id="2"/>
    </w:p>
    <w:p w14:paraId="045510D8" w14:textId="77777777" w:rsidR="001272CB" w:rsidRDefault="001272CB" w:rsidP="00B6414C">
      <w:pPr>
        <w:jc w:val="both"/>
      </w:pPr>
    </w:p>
    <w:p w14:paraId="4E73D774" w14:textId="273327D2" w:rsidR="001272CB" w:rsidRDefault="001272CB" w:rsidP="00B6414C">
      <w:pPr>
        <w:pStyle w:val="Heading2"/>
      </w:pPr>
      <w:bookmarkStart w:id="3" w:name="_Toc495686627"/>
      <w:r>
        <w:t>RECENT PUBLIC ENGAGEMENTS ADDRESSING CHILDREN</w:t>
      </w:r>
      <w:r w:rsidR="00B00C69">
        <w:t>’S</w:t>
      </w:r>
      <w:r>
        <w:t xml:space="preserve"> ISSUES</w:t>
      </w:r>
      <w:bookmarkEnd w:id="3"/>
      <w:r>
        <w:t xml:space="preserve"> </w:t>
      </w:r>
    </w:p>
    <w:p w14:paraId="52B2B493" w14:textId="77777777" w:rsidR="00217716" w:rsidRPr="00217716" w:rsidRDefault="00217716" w:rsidP="00217716"/>
    <w:tbl>
      <w:tblPr>
        <w:tblStyle w:val="TableGrid"/>
        <w:tblW w:w="0" w:type="auto"/>
        <w:tblLayout w:type="fixed"/>
        <w:tblLook w:val="04A0" w:firstRow="1" w:lastRow="0" w:firstColumn="1" w:lastColumn="0" w:noHBand="0" w:noVBand="1"/>
      </w:tblPr>
      <w:tblGrid>
        <w:gridCol w:w="1696"/>
        <w:gridCol w:w="1985"/>
        <w:gridCol w:w="2977"/>
        <w:gridCol w:w="2358"/>
      </w:tblGrid>
      <w:tr w:rsidR="00E95556" w:rsidRPr="00926696" w14:paraId="3C83540B" w14:textId="77777777" w:rsidTr="007813A7">
        <w:tc>
          <w:tcPr>
            <w:tcW w:w="1696" w:type="dxa"/>
          </w:tcPr>
          <w:p w14:paraId="292D5B51" w14:textId="77777777" w:rsidR="00E95556" w:rsidRPr="00A2349F" w:rsidRDefault="00E95556" w:rsidP="00B6414C">
            <w:pPr>
              <w:jc w:val="both"/>
              <w:rPr>
                <w:b/>
              </w:rPr>
            </w:pPr>
            <w:r w:rsidRPr="00A2349F">
              <w:rPr>
                <w:b/>
              </w:rPr>
              <w:t>Cluster of Rights</w:t>
            </w:r>
          </w:p>
        </w:tc>
        <w:tc>
          <w:tcPr>
            <w:tcW w:w="1985" w:type="dxa"/>
          </w:tcPr>
          <w:p w14:paraId="4C15048C" w14:textId="77777777" w:rsidR="00E95556" w:rsidRPr="009E3A69" w:rsidRDefault="00E95556" w:rsidP="00B6414C">
            <w:pPr>
              <w:jc w:val="both"/>
              <w:rPr>
                <w:b/>
              </w:rPr>
            </w:pPr>
            <w:r>
              <w:rPr>
                <w:b/>
              </w:rPr>
              <w:t>Focus Area</w:t>
            </w:r>
          </w:p>
        </w:tc>
        <w:tc>
          <w:tcPr>
            <w:tcW w:w="2977" w:type="dxa"/>
          </w:tcPr>
          <w:p w14:paraId="5D5C4BB2" w14:textId="77777777" w:rsidR="00E95556" w:rsidRPr="009E3A69" w:rsidRDefault="00E95556" w:rsidP="00B6414C">
            <w:pPr>
              <w:jc w:val="both"/>
              <w:rPr>
                <w:b/>
              </w:rPr>
            </w:pPr>
            <w:r>
              <w:rPr>
                <w:b/>
              </w:rPr>
              <w:t>Engagement Platforms</w:t>
            </w:r>
          </w:p>
        </w:tc>
        <w:tc>
          <w:tcPr>
            <w:tcW w:w="2358" w:type="dxa"/>
          </w:tcPr>
          <w:p w14:paraId="38D0C787" w14:textId="77777777" w:rsidR="00E95556" w:rsidRPr="009E3A69" w:rsidRDefault="00E95556" w:rsidP="00B6414C">
            <w:pPr>
              <w:jc w:val="both"/>
              <w:rPr>
                <w:b/>
              </w:rPr>
            </w:pPr>
            <w:r w:rsidRPr="009E3A69">
              <w:rPr>
                <w:b/>
              </w:rPr>
              <w:t>Range of representation</w:t>
            </w:r>
          </w:p>
        </w:tc>
      </w:tr>
      <w:tr w:rsidR="00E95556" w:rsidRPr="00926696" w14:paraId="249C1C0F" w14:textId="77777777" w:rsidTr="007813A7">
        <w:tc>
          <w:tcPr>
            <w:tcW w:w="1696" w:type="dxa"/>
          </w:tcPr>
          <w:p w14:paraId="153C0736" w14:textId="77777777" w:rsidR="00E95556" w:rsidRPr="00A2349F" w:rsidRDefault="00E95556" w:rsidP="00B6414C">
            <w:pPr>
              <w:jc w:val="both"/>
              <w:rPr>
                <w:b/>
              </w:rPr>
            </w:pPr>
            <w:r w:rsidRPr="00A2349F">
              <w:rPr>
                <w:b/>
              </w:rPr>
              <w:t>Civil rights and freedoms</w:t>
            </w:r>
          </w:p>
        </w:tc>
        <w:tc>
          <w:tcPr>
            <w:tcW w:w="1985" w:type="dxa"/>
          </w:tcPr>
          <w:p w14:paraId="3AED5498" w14:textId="77777777" w:rsidR="00E95556" w:rsidRPr="00330C19" w:rsidRDefault="00E95556" w:rsidP="00B6414C">
            <w:pPr>
              <w:pStyle w:val="ListParagraph"/>
              <w:numPr>
                <w:ilvl w:val="0"/>
                <w:numId w:val="38"/>
              </w:numPr>
              <w:ind w:left="313" w:hanging="284"/>
              <w:jc w:val="both"/>
            </w:pPr>
            <w:r w:rsidRPr="00330C19">
              <w:t>Creating conditions for cyber wellness and safety</w:t>
            </w:r>
          </w:p>
        </w:tc>
        <w:tc>
          <w:tcPr>
            <w:tcW w:w="2977" w:type="dxa"/>
          </w:tcPr>
          <w:p w14:paraId="3DD32AFA" w14:textId="77777777" w:rsidR="00E95556" w:rsidRPr="00330C19" w:rsidRDefault="00E95556" w:rsidP="00217294">
            <w:pPr>
              <w:rPr>
                <w:rFonts w:cs="Times New Roman"/>
              </w:rPr>
            </w:pPr>
            <w:r w:rsidRPr="00330C19">
              <w:rPr>
                <w:rFonts w:cs="Times New Roman"/>
              </w:rPr>
              <w:t>Public consultation</w:t>
            </w:r>
          </w:p>
          <w:p w14:paraId="692497E7" w14:textId="77777777" w:rsidR="00E95556" w:rsidRPr="00330C19" w:rsidRDefault="00E95556" w:rsidP="00217294">
            <w:pPr>
              <w:pStyle w:val="ListParagraph"/>
              <w:numPr>
                <w:ilvl w:val="0"/>
                <w:numId w:val="39"/>
              </w:numPr>
              <w:ind w:left="502"/>
              <w:rPr>
                <w:rFonts w:cs="Times New Roman"/>
              </w:rPr>
            </w:pPr>
            <w:r w:rsidRPr="00330C19">
              <w:rPr>
                <w:rFonts w:cs="Times New Roman"/>
              </w:rPr>
              <w:t>Protection from Harassment Bill</w:t>
            </w:r>
          </w:p>
          <w:p w14:paraId="3BE46604" w14:textId="77777777" w:rsidR="00E95556" w:rsidRPr="00330C19" w:rsidRDefault="00E95556" w:rsidP="00217294">
            <w:pPr>
              <w:contextualSpacing/>
              <w:rPr>
                <w:rFonts w:cs="Times New Roman"/>
                <w:lang w:eastAsia="en-SG"/>
              </w:rPr>
            </w:pPr>
          </w:p>
          <w:p w14:paraId="442A6CE9" w14:textId="6266DC6D" w:rsidR="00E95556" w:rsidRPr="00330C19" w:rsidRDefault="00E95556" w:rsidP="00217294">
            <w:pPr>
              <w:ind w:left="502"/>
              <w:contextualSpacing/>
              <w:rPr>
                <w:rFonts w:cs="Times New Roman"/>
                <w:lang w:eastAsia="en-SG"/>
              </w:rPr>
            </w:pPr>
            <w:r w:rsidRPr="00330C19">
              <w:rPr>
                <w:rFonts w:cs="Times New Roman"/>
                <w:lang w:eastAsia="en-SG"/>
              </w:rPr>
              <w:t xml:space="preserve">The Ministry of Law and the Ministry of Home Affairs consulted extensively with stakeholders such as AWARE, the Singapore Children’s Society, the Coalition Against Bullying for Children and Youth, and lawyers who have represented victims of harassment  </w:t>
            </w:r>
          </w:p>
          <w:p w14:paraId="2AA10F19" w14:textId="77777777" w:rsidR="00E95556" w:rsidRPr="00330C19" w:rsidRDefault="00E95556" w:rsidP="00217294">
            <w:pPr>
              <w:ind w:left="720"/>
              <w:contextualSpacing/>
              <w:rPr>
                <w:rFonts w:cs="Times New Roman"/>
                <w:lang w:eastAsia="en-SG"/>
              </w:rPr>
            </w:pPr>
          </w:p>
          <w:p w14:paraId="7FCCED7F" w14:textId="1F233417" w:rsidR="00E95556" w:rsidRPr="00330C19" w:rsidRDefault="00E95556" w:rsidP="00217294">
            <w:pPr>
              <w:ind w:left="502"/>
              <w:rPr>
                <w:rFonts w:cs="Times New Roman"/>
                <w:lang w:eastAsia="en-SG"/>
              </w:rPr>
            </w:pPr>
            <w:r w:rsidRPr="00330C19">
              <w:rPr>
                <w:rFonts w:cs="Times New Roman"/>
                <w:lang w:eastAsia="en-SG"/>
              </w:rPr>
              <w:t>Some of these proposals were discussed at a conference organised by the Institute of Policy Studies in November 2013</w:t>
            </w:r>
          </w:p>
          <w:p w14:paraId="73C022E9" w14:textId="77777777" w:rsidR="00E95556" w:rsidRPr="00330C19" w:rsidRDefault="00E95556" w:rsidP="00217294">
            <w:pPr>
              <w:ind w:left="502"/>
              <w:rPr>
                <w:rFonts w:cs="Times New Roman"/>
              </w:rPr>
            </w:pPr>
          </w:p>
          <w:p w14:paraId="2D083590" w14:textId="77777777" w:rsidR="00E95556" w:rsidRPr="00330C19" w:rsidRDefault="00E95556" w:rsidP="00217294">
            <w:pPr>
              <w:rPr>
                <w:rFonts w:cs="Times New Roman"/>
              </w:rPr>
            </w:pPr>
            <w:r w:rsidRPr="00330C19">
              <w:rPr>
                <w:rFonts w:cs="Times New Roman"/>
              </w:rPr>
              <w:t>Focus Group Discussions</w:t>
            </w:r>
          </w:p>
          <w:p w14:paraId="2EFBA4F6" w14:textId="77777777" w:rsidR="00E95556" w:rsidRPr="00330C19" w:rsidRDefault="00E95556" w:rsidP="00217294">
            <w:pPr>
              <w:pStyle w:val="ListParagraph"/>
              <w:numPr>
                <w:ilvl w:val="0"/>
                <w:numId w:val="39"/>
              </w:numPr>
              <w:ind w:left="502"/>
              <w:rPr>
                <w:rFonts w:cs="Times New Roman"/>
              </w:rPr>
            </w:pPr>
            <w:r w:rsidRPr="00330C19">
              <w:rPr>
                <w:rFonts w:cs="Times New Roman"/>
              </w:rPr>
              <w:t>Better Internet Campaigns</w:t>
            </w:r>
          </w:p>
          <w:p w14:paraId="06F44E6F" w14:textId="77777777" w:rsidR="00E95556" w:rsidRPr="00330C19" w:rsidRDefault="00E95556" w:rsidP="00217294">
            <w:pPr>
              <w:pStyle w:val="ListParagraph"/>
              <w:numPr>
                <w:ilvl w:val="0"/>
                <w:numId w:val="39"/>
              </w:numPr>
              <w:ind w:left="502"/>
              <w:rPr>
                <w:rFonts w:cs="Times New Roman"/>
              </w:rPr>
            </w:pPr>
            <w:r w:rsidRPr="00330C19">
              <w:rPr>
                <w:rFonts w:cs="Times New Roman"/>
              </w:rPr>
              <w:t>Co-creating a Better and Happier Internet as part of SGFuture</w:t>
            </w:r>
          </w:p>
          <w:p w14:paraId="65719C5D" w14:textId="24921ED0" w:rsidR="00E95556" w:rsidRPr="00330C19" w:rsidRDefault="00E95556" w:rsidP="00217294">
            <w:pPr>
              <w:pStyle w:val="ListParagraph"/>
              <w:numPr>
                <w:ilvl w:val="0"/>
                <w:numId w:val="39"/>
              </w:numPr>
              <w:ind w:left="502"/>
              <w:rPr>
                <w:rFonts w:cs="Times New Roman"/>
              </w:rPr>
            </w:pPr>
            <w:r w:rsidRPr="00330C19">
              <w:rPr>
                <w:rFonts w:cs="Times New Roman"/>
              </w:rPr>
              <w:t xml:space="preserve">Discussion with parents and interested individuals on media literacy and cyber wellness issues </w:t>
            </w:r>
          </w:p>
        </w:tc>
        <w:tc>
          <w:tcPr>
            <w:tcW w:w="2358" w:type="dxa"/>
          </w:tcPr>
          <w:p w14:paraId="528883C9" w14:textId="0FA0C816" w:rsidR="00E95556" w:rsidRPr="00330C19" w:rsidRDefault="00E95556" w:rsidP="00B6414C">
            <w:pPr>
              <w:pStyle w:val="ListParagraph"/>
              <w:numPr>
                <w:ilvl w:val="0"/>
                <w:numId w:val="41"/>
              </w:numPr>
              <w:jc w:val="both"/>
              <w:rPr>
                <w:rFonts w:cs="Times New Roman"/>
              </w:rPr>
            </w:pPr>
            <w:r w:rsidRPr="00330C19">
              <w:rPr>
                <w:rFonts w:cs="Times New Roman"/>
              </w:rPr>
              <w:t xml:space="preserve">Voluntary Welfare Organisations </w:t>
            </w:r>
            <w:r w:rsidR="0033671D">
              <w:rPr>
                <w:rFonts w:cs="Times New Roman"/>
              </w:rPr>
              <w:t>(VWOs)</w:t>
            </w:r>
          </w:p>
          <w:p w14:paraId="5A34945A" w14:textId="77777777" w:rsidR="00E95556" w:rsidRPr="00330C19" w:rsidRDefault="00E95556" w:rsidP="00B6414C">
            <w:pPr>
              <w:pStyle w:val="ListParagraph"/>
              <w:numPr>
                <w:ilvl w:val="0"/>
                <w:numId w:val="41"/>
              </w:numPr>
              <w:jc w:val="both"/>
              <w:rPr>
                <w:rFonts w:cs="Times New Roman"/>
              </w:rPr>
            </w:pPr>
            <w:r w:rsidRPr="00330C19">
              <w:rPr>
                <w:rFonts w:cs="Times New Roman"/>
              </w:rPr>
              <w:t>Parents of school-going children</w:t>
            </w:r>
          </w:p>
          <w:p w14:paraId="2E2C34D6" w14:textId="77777777" w:rsidR="00E95556" w:rsidRPr="00330C19" w:rsidRDefault="00E95556" w:rsidP="00B6414C">
            <w:pPr>
              <w:pStyle w:val="ListParagraph"/>
              <w:numPr>
                <w:ilvl w:val="0"/>
                <w:numId w:val="41"/>
              </w:numPr>
              <w:jc w:val="both"/>
              <w:rPr>
                <w:rFonts w:cs="Times New Roman"/>
              </w:rPr>
            </w:pPr>
            <w:r w:rsidRPr="00330C19">
              <w:rPr>
                <w:rFonts w:cs="Times New Roman"/>
              </w:rPr>
              <w:t>Youths</w:t>
            </w:r>
          </w:p>
          <w:p w14:paraId="70F3BE0C" w14:textId="77777777" w:rsidR="00E95556" w:rsidRPr="00330C19" w:rsidRDefault="00E95556" w:rsidP="00B6414C">
            <w:pPr>
              <w:pStyle w:val="ListParagraph"/>
              <w:numPr>
                <w:ilvl w:val="0"/>
                <w:numId w:val="41"/>
              </w:numPr>
              <w:jc w:val="both"/>
              <w:rPr>
                <w:rFonts w:cs="Times New Roman"/>
              </w:rPr>
            </w:pPr>
            <w:r w:rsidRPr="00330C19">
              <w:rPr>
                <w:rFonts w:cs="Times New Roman"/>
              </w:rPr>
              <w:t>Teachers</w:t>
            </w:r>
          </w:p>
          <w:p w14:paraId="51CEB710" w14:textId="77777777" w:rsidR="00E95556" w:rsidRPr="00330C19" w:rsidRDefault="00E95556" w:rsidP="00B6414C">
            <w:pPr>
              <w:numPr>
                <w:ilvl w:val="0"/>
                <w:numId w:val="41"/>
              </w:numPr>
              <w:contextualSpacing/>
              <w:jc w:val="both"/>
              <w:rPr>
                <w:rFonts w:cs="Times New Roman"/>
                <w:lang w:eastAsia="en-SG"/>
              </w:rPr>
            </w:pPr>
            <w:r w:rsidRPr="00330C19">
              <w:rPr>
                <w:rFonts w:cs="Times New Roman"/>
                <w:lang w:eastAsia="en-SG"/>
              </w:rPr>
              <w:t>Industry experts</w:t>
            </w:r>
          </w:p>
          <w:p w14:paraId="0251BF73" w14:textId="77777777" w:rsidR="00E95556" w:rsidRPr="00330C19" w:rsidRDefault="00E95556" w:rsidP="00B6414C">
            <w:pPr>
              <w:numPr>
                <w:ilvl w:val="0"/>
                <w:numId w:val="41"/>
              </w:numPr>
              <w:contextualSpacing/>
              <w:jc w:val="both"/>
              <w:rPr>
                <w:rFonts w:cs="Times New Roman"/>
                <w:lang w:eastAsia="en-SG"/>
              </w:rPr>
            </w:pPr>
            <w:r w:rsidRPr="00330C19">
              <w:rPr>
                <w:rFonts w:cs="Times New Roman"/>
                <w:lang w:eastAsia="en-SG"/>
              </w:rPr>
              <w:t>Legal professionals</w:t>
            </w:r>
          </w:p>
          <w:p w14:paraId="152A6211" w14:textId="77777777" w:rsidR="00E95556" w:rsidRPr="00330C19" w:rsidRDefault="00E95556" w:rsidP="00B6414C">
            <w:pPr>
              <w:numPr>
                <w:ilvl w:val="0"/>
                <w:numId w:val="41"/>
              </w:numPr>
              <w:contextualSpacing/>
              <w:jc w:val="both"/>
              <w:rPr>
                <w:rFonts w:cs="Times New Roman"/>
                <w:lang w:eastAsia="en-SG"/>
              </w:rPr>
            </w:pPr>
            <w:r w:rsidRPr="00330C19">
              <w:rPr>
                <w:rFonts w:cs="Times New Roman"/>
                <w:lang w:eastAsia="en-SG"/>
              </w:rPr>
              <w:t>Educators</w:t>
            </w:r>
          </w:p>
          <w:p w14:paraId="1600DE01" w14:textId="77777777" w:rsidR="00E95556" w:rsidRPr="00330C19" w:rsidRDefault="00E95556" w:rsidP="00B6414C">
            <w:pPr>
              <w:numPr>
                <w:ilvl w:val="0"/>
                <w:numId w:val="41"/>
              </w:numPr>
              <w:contextualSpacing/>
              <w:jc w:val="both"/>
              <w:rPr>
                <w:rFonts w:cs="Times New Roman"/>
                <w:lang w:eastAsia="en-SG"/>
              </w:rPr>
            </w:pPr>
            <w:r w:rsidRPr="00330C19">
              <w:rPr>
                <w:rFonts w:cs="Times New Roman"/>
                <w:lang w:eastAsia="en-SG"/>
              </w:rPr>
              <w:t>Social workers</w:t>
            </w:r>
          </w:p>
          <w:p w14:paraId="3A517CD8" w14:textId="77777777" w:rsidR="00E95556" w:rsidRPr="00330C19" w:rsidRDefault="00E95556" w:rsidP="00B6414C">
            <w:pPr>
              <w:numPr>
                <w:ilvl w:val="0"/>
                <w:numId w:val="41"/>
              </w:numPr>
              <w:contextualSpacing/>
              <w:jc w:val="both"/>
              <w:rPr>
                <w:rFonts w:cs="Times New Roman"/>
                <w:lang w:eastAsia="en-SG"/>
              </w:rPr>
            </w:pPr>
            <w:r w:rsidRPr="00330C19">
              <w:rPr>
                <w:rFonts w:cs="Times New Roman"/>
                <w:lang w:eastAsia="en-SG"/>
              </w:rPr>
              <w:t>Civic leaders</w:t>
            </w:r>
          </w:p>
          <w:p w14:paraId="632F31F3" w14:textId="77777777" w:rsidR="00E95556" w:rsidRPr="00330C19" w:rsidRDefault="00E95556" w:rsidP="00B6414C">
            <w:pPr>
              <w:pStyle w:val="ListParagraph"/>
              <w:jc w:val="both"/>
              <w:rPr>
                <w:rFonts w:cs="Times New Roman"/>
              </w:rPr>
            </w:pPr>
          </w:p>
        </w:tc>
      </w:tr>
      <w:tr w:rsidR="00E95556" w:rsidRPr="00926696" w14:paraId="7BFE8D09" w14:textId="77777777" w:rsidTr="007813A7">
        <w:tc>
          <w:tcPr>
            <w:tcW w:w="1696" w:type="dxa"/>
          </w:tcPr>
          <w:p w14:paraId="13ED2AB1" w14:textId="77777777" w:rsidR="00E95556" w:rsidRPr="00A2349F" w:rsidRDefault="00E95556" w:rsidP="00B6414C">
            <w:pPr>
              <w:jc w:val="both"/>
              <w:rPr>
                <w:b/>
              </w:rPr>
            </w:pPr>
            <w:r w:rsidRPr="00A2349F">
              <w:rPr>
                <w:b/>
              </w:rPr>
              <w:t>Violence against children</w:t>
            </w:r>
          </w:p>
        </w:tc>
        <w:tc>
          <w:tcPr>
            <w:tcW w:w="1985" w:type="dxa"/>
          </w:tcPr>
          <w:p w14:paraId="0C8B8778" w14:textId="77777777" w:rsidR="00E95556" w:rsidRPr="00330C19" w:rsidRDefault="00E95556" w:rsidP="00217294">
            <w:pPr>
              <w:pStyle w:val="ListParagraph"/>
              <w:numPr>
                <w:ilvl w:val="0"/>
                <w:numId w:val="38"/>
              </w:numPr>
              <w:ind w:left="313" w:hanging="284"/>
            </w:pPr>
            <w:r w:rsidRPr="00330C19">
              <w:t xml:space="preserve">Enhancing protection of women and children </w:t>
            </w:r>
          </w:p>
        </w:tc>
        <w:tc>
          <w:tcPr>
            <w:tcW w:w="2977" w:type="dxa"/>
          </w:tcPr>
          <w:p w14:paraId="5FD8BECA" w14:textId="77777777" w:rsidR="00E95556" w:rsidRPr="00330C19" w:rsidRDefault="00E95556" w:rsidP="00217294">
            <w:r w:rsidRPr="00330C19">
              <w:t>Public consultation</w:t>
            </w:r>
          </w:p>
          <w:p w14:paraId="191C2E11" w14:textId="77777777" w:rsidR="00E95556" w:rsidRPr="00330C19" w:rsidRDefault="00E95556" w:rsidP="00217294">
            <w:pPr>
              <w:pStyle w:val="ListParagraph"/>
              <w:numPr>
                <w:ilvl w:val="0"/>
                <w:numId w:val="40"/>
              </w:numPr>
              <w:ind w:left="502"/>
            </w:pPr>
            <w:r w:rsidRPr="00330C19">
              <w:t xml:space="preserve">Women’s Charter (Amendment) Bill  </w:t>
            </w:r>
          </w:p>
          <w:p w14:paraId="691FFE1E" w14:textId="77777777" w:rsidR="00E95556" w:rsidRPr="00330C19" w:rsidRDefault="00E95556" w:rsidP="00217294"/>
        </w:tc>
        <w:tc>
          <w:tcPr>
            <w:tcW w:w="2358" w:type="dxa"/>
          </w:tcPr>
          <w:p w14:paraId="0B64AABB" w14:textId="624E8436" w:rsidR="00E95556" w:rsidRPr="00330C19" w:rsidRDefault="00E95556" w:rsidP="00217294">
            <w:pPr>
              <w:pStyle w:val="ListParagraph"/>
              <w:numPr>
                <w:ilvl w:val="0"/>
                <w:numId w:val="41"/>
              </w:numPr>
              <w:ind w:left="318" w:hanging="284"/>
              <w:rPr>
                <w:lang w:eastAsia="en-SG"/>
              </w:rPr>
            </w:pPr>
            <w:r w:rsidRPr="00330C19">
              <w:t xml:space="preserve">Women’s </w:t>
            </w:r>
            <w:r w:rsidRPr="00330C19">
              <w:rPr>
                <w:lang w:eastAsia="en-SG"/>
              </w:rPr>
              <w:t xml:space="preserve">groups </w:t>
            </w:r>
          </w:p>
          <w:p w14:paraId="2FF675A4" w14:textId="77777777" w:rsidR="00E95556" w:rsidRPr="00330C19" w:rsidRDefault="00E95556" w:rsidP="00217294">
            <w:pPr>
              <w:pStyle w:val="ListParagraph"/>
              <w:numPr>
                <w:ilvl w:val="0"/>
                <w:numId w:val="41"/>
              </w:numPr>
              <w:ind w:left="318" w:hanging="284"/>
              <w:rPr>
                <w:lang w:eastAsia="en-SG"/>
              </w:rPr>
            </w:pPr>
            <w:r w:rsidRPr="00330C19">
              <w:rPr>
                <w:lang w:eastAsia="en-SG"/>
              </w:rPr>
              <w:t>Families for Life Council, Law Society of Singapore</w:t>
            </w:r>
          </w:p>
          <w:p w14:paraId="1D0BE6C7" w14:textId="77777777" w:rsidR="00E95556" w:rsidRPr="00330C19" w:rsidRDefault="00E95556" w:rsidP="00217294">
            <w:pPr>
              <w:pStyle w:val="ListParagraph"/>
              <w:numPr>
                <w:ilvl w:val="0"/>
                <w:numId w:val="41"/>
              </w:numPr>
              <w:ind w:left="318" w:hanging="284"/>
            </w:pPr>
            <w:r w:rsidRPr="00330C19">
              <w:t>VWOs and public sector agencies that work with families on protection of women and girls</w:t>
            </w:r>
          </w:p>
          <w:p w14:paraId="6CA11DBB" w14:textId="77777777" w:rsidR="00E95556" w:rsidRPr="00330C19" w:rsidRDefault="00E95556" w:rsidP="00217294">
            <w:pPr>
              <w:pStyle w:val="ListParagraph"/>
              <w:numPr>
                <w:ilvl w:val="0"/>
                <w:numId w:val="41"/>
              </w:numPr>
              <w:ind w:left="318" w:hanging="284"/>
            </w:pPr>
            <w:r w:rsidRPr="00330C19">
              <w:lastRenderedPageBreak/>
              <w:t>Heads of crisis shelters</w:t>
            </w:r>
          </w:p>
        </w:tc>
      </w:tr>
      <w:tr w:rsidR="00E95556" w:rsidRPr="00926696" w14:paraId="3938D8D1" w14:textId="77777777" w:rsidTr="007813A7">
        <w:tc>
          <w:tcPr>
            <w:tcW w:w="1696" w:type="dxa"/>
          </w:tcPr>
          <w:p w14:paraId="6F758715" w14:textId="77777777" w:rsidR="00E95556" w:rsidRPr="00A2349F" w:rsidRDefault="00E95556" w:rsidP="00B6414C">
            <w:pPr>
              <w:pStyle w:val="ListParagraph"/>
              <w:ind w:left="29"/>
              <w:jc w:val="both"/>
              <w:rPr>
                <w:b/>
              </w:rPr>
            </w:pPr>
            <w:r w:rsidRPr="00A2349F">
              <w:rPr>
                <w:b/>
                <w:iCs/>
              </w:rPr>
              <w:lastRenderedPageBreak/>
              <w:t>Family environment and alternative care arrangements</w:t>
            </w:r>
          </w:p>
        </w:tc>
        <w:tc>
          <w:tcPr>
            <w:tcW w:w="1985" w:type="dxa"/>
          </w:tcPr>
          <w:p w14:paraId="0ACC115D" w14:textId="77777777" w:rsidR="00E95556" w:rsidRPr="00330C19" w:rsidRDefault="00E95556" w:rsidP="00217294">
            <w:pPr>
              <w:pStyle w:val="ListParagraph"/>
              <w:numPr>
                <w:ilvl w:val="0"/>
                <w:numId w:val="38"/>
              </w:numPr>
              <w:ind w:left="313" w:hanging="284"/>
            </w:pPr>
            <w:r w:rsidRPr="00330C19">
              <w:t>Improving outcomes for children in alternative care placements</w:t>
            </w:r>
          </w:p>
        </w:tc>
        <w:tc>
          <w:tcPr>
            <w:tcW w:w="2977" w:type="dxa"/>
          </w:tcPr>
          <w:p w14:paraId="51C2E371" w14:textId="77777777" w:rsidR="00E95556" w:rsidRPr="00330C19" w:rsidRDefault="00E95556" w:rsidP="00217294">
            <w:r w:rsidRPr="00330C19">
              <w:t>Regular networking sessions</w:t>
            </w:r>
            <w:r>
              <w:t xml:space="preserve"> </w:t>
            </w:r>
          </w:p>
          <w:p w14:paraId="3C9C4AE8" w14:textId="77777777" w:rsidR="00E95556" w:rsidRPr="00330C19" w:rsidRDefault="00E95556" w:rsidP="00217294">
            <w:pPr>
              <w:pStyle w:val="ListParagraph"/>
              <w:numPr>
                <w:ilvl w:val="0"/>
                <w:numId w:val="41"/>
              </w:numPr>
              <w:ind w:left="502"/>
            </w:pPr>
            <w:r w:rsidRPr="00330C19">
              <w:t>Improvements to service delivery and programmes to meet changing needs of children in care</w:t>
            </w:r>
          </w:p>
        </w:tc>
        <w:tc>
          <w:tcPr>
            <w:tcW w:w="2358" w:type="dxa"/>
          </w:tcPr>
          <w:p w14:paraId="52F26C7D" w14:textId="14B4DDD8" w:rsidR="00E95556" w:rsidRPr="00330C19" w:rsidRDefault="00E95556" w:rsidP="00217294">
            <w:pPr>
              <w:pStyle w:val="ListParagraph"/>
              <w:numPr>
                <w:ilvl w:val="0"/>
                <w:numId w:val="41"/>
              </w:numPr>
              <w:ind w:left="318" w:hanging="284"/>
            </w:pPr>
            <w:r>
              <w:t xml:space="preserve">Chairpersons of Management Committees and </w:t>
            </w:r>
            <w:r w:rsidRPr="00330C19">
              <w:t xml:space="preserve">Heads of Children and Young Persons </w:t>
            </w:r>
            <w:r w:rsidR="00C05401">
              <w:t>H</w:t>
            </w:r>
            <w:r w:rsidR="00C05401" w:rsidRPr="00330C19">
              <w:t>omes</w:t>
            </w:r>
          </w:p>
        </w:tc>
      </w:tr>
      <w:tr w:rsidR="00E95556" w:rsidRPr="00926696" w14:paraId="2E922CF2" w14:textId="77777777" w:rsidTr="007813A7">
        <w:tc>
          <w:tcPr>
            <w:tcW w:w="1696" w:type="dxa"/>
          </w:tcPr>
          <w:p w14:paraId="54E2A8DC" w14:textId="77777777" w:rsidR="00E95556" w:rsidRPr="00A2349F" w:rsidRDefault="00E95556" w:rsidP="00217294">
            <w:pPr>
              <w:rPr>
                <w:b/>
              </w:rPr>
            </w:pPr>
            <w:r w:rsidRPr="00A2349F">
              <w:rPr>
                <w:b/>
                <w:iCs/>
              </w:rPr>
              <w:t>Disability, Basic health and welfare</w:t>
            </w:r>
          </w:p>
        </w:tc>
        <w:tc>
          <w:tcPr>
            <w:tcW w:w="1985" w:type="dxa"/>
          </w:tcPr>
          <w:p w14:paraId="1674DF15" w14:textId="77777777" w:rsidR="00E95556" w:rsidRPr="00330C19" w:rsidRDefault="00E95556" w:rsidP="00217294">
            <w:pPr>
              <w:pStyle w:val="ListParagraph"/>
              <w:numPr>
                <w:ilvl w:val="0"/>
                <w:numId w:val="38"/>
              </w:numPr>
              <w:ind w:left="313" w:hanging="284"/>
            </w:pPr>
            <w:r w:rsidRPr="00330C19">
              <w:t>Extending educational provisions to children with special needs and disabilities</w:t>
            </w:r>
          </w:p>
        </w:tc>
        <w:tc>
          <w:tcPr>
            <w:tcW w:w="2977" w:type="dxa"/>
          </w:tcPr>
          <w:p w14:paraId="1C9EF655" w14:textId="77777777" w:rsidR="00E95556" w:rsidRPr="007813A7" w:rsidRDefault="00E95556" w:rsidP="00217294">
            <w:r w:rsidRPr="007813A7">
              <w:t>Public consultation</w:t>
            </w:r>
          </w:p>
          <w:p w14:paraId="195CDC38" w14:textId="77777777" w:rsidR="00E95556" w:rsidRPr="007813A7" w:rsidRDefault="00E95556" w:rsidP="00217294">
            <w:pPr>
              <w:pStyle w:val="ListParagraph"/>
              <w:numPr>
                <w:ilvl w:val="0"/>
                <w:numId w:val="40"/>
              </w:numPr>
              <w:ind w:left="502"/>
            </w:pPr>
            <w:r w:rsidRPr="007813A7">
              <w:t>Third edition of the Enabling Master Plan</w:t>
            </w:r>
            <w:r w:rsidRPr="007813A7">
              <w:rPr>
                <w:rStyle w:val="FootnoteReference"/>
              </w:rPr>
              <w:footnoteReference w:id="1"/>
            </w:r>
            <w:r w:rsidRPr="007813A7">
              <w:t xml:space="preserve"> (beyond 2016)</w:t>
            </w:r>
          </w:p>
          <w:p w14:paraId="1A7912CF" w14:textId="77777777" w:rsidR="00E95556" w:rsidRPr="007813A7" w:rsidRDefault="00E95556" w:rsidP="00217294"/>
        </w:tc>
        <w:tc>
          <w:tcPr>
            <w:tcW w:w="2358" w:type="dxa"/>
          </w:tcPr>
          <w:p w14:paraId="31D34719" w14:textId="77777777" w:rsidR="00E95556" w:rsidRPr="00330C19" w:rsidRDefault="00E95556" w:rsidP="00217294">
            <w:pPr>
              <w:pStyle w:val="ListParagraph"/>
              <w:numPr>
                <w:ilvl w:val="0"/>
                <w:numId w:val="41"/>
              </w:numPr>
              <w:ind w:left="318" w:hanging="284"/>
              <w:rPr>
                <w:sz w:val="23"/>
                <w:szCs w:val="23"/>
              </w:rPr>
            </w:pPr>
            <w:r w:rsidRPr="00330C19">
              <w:rPr>
                <w:sz w:val="23"/>
                <w:szCs w:val="23"/>
              </w:rPr>
              <w:t>Special education schools</w:t>
            </w:r>
          </w:p>
          <w:p w14:paraId="115B50E4" w14:textId="77777777" w:rsidR="00E95556" w:rsidRPr="00330C19" w:rsidRDefault="00E95556" w:rsidP="00217294">
            <w:pPr>
              <w:pStyle w:val="ListParagraph"/>
              <w:numPr>
                <w:ilvl w:val="0"/>
                <w:numId w:val="41"/>
              </w:numPr>
              <w:ind w:left="318" w:hanging="284"/>
              <w:rPr>
                <w:sz w:val="23"/>
                <w:szCs w:val="23"/>
              </w:rPr>
            </w:pPr>
            <w:r w:rsidRPr="00330C19">
              <w:rPr>
                <w:sz w:val="23"/>
                <w:szCs w:val="23"/>
              </w:rPr>
              <w:t>Persons with disabilities, their families and caregivers</w:t>
            </w:r>
          </w:p>
          <w:p w14:paraId="773B0740" w14:textId="37E7184B" w:rsidR="00E95556" w:rsidRPr="00330C19" w:rsidRDefault="00E95556" w:rsidP="00217294">
            <w:pPr>
              <w:pStyle w:val="ListParagraph"/>
              <w:numPr>
                <w:ilvl w:val="0"/>
                <w:numId w:val="41"/>
              </w:numPr>
              <w:ind w:left="318" w:hanging="284"/>
              <w:rPr>
                <w:sz w:val="23"/>
                <w:szCs w:val="23"/>
              </w:rPr>
            </w:pPr>
            <w:r w:rsidRPr="00330C19">
              <w:rPr>
                <w:sz w:val="23"/>
                <w:szCs w:val="23"/>
              </w:rPr>
              <w:t xml:space="preserve"> VWOs in the disability sector </w:t>
            </w:r>
          </w:p>
        </w:tc>
      </w:tr>
      <w:tr w:rsidR="00E95556" w:rsidRPr="00926696" w14:paraId="0DC70FE1" w14:textId="77777777" w:rsidTr="007813A7">
        <w:tc>
          <w:tcPr>
            <w:tcW w:w="1696" w:type="dxa"/>
          </w:tcPr>
          <w:p w14:paraId="38D2FBC8" w14:textId="77777777" w:rsidR="00E95556" w:rsidRPr="00A2349F" w:rsidRDefault="00E95556" w:rsidP="00217294">
            <w:pPr>
              <w:rPr>
                <w:b/>
              </w:rPr>
            </w:pPr>
            <w:r w:rsidRPr="00A2349F">
              <w:rPr>
                <w:b/>
                <w:iCs/>
              </w:rPr>
              <w:t>Education, leisure and cultural activities</w:t>
            </w:r>
          </w:p>
        </w:tc>
        <w:tc>
          <w:tcPr>
            <w:tcW w:w="1985" w:type="dxa"/>
          </w:tcPr>
          <w:p w14:paraId="11120685" w14:textId="77777777" w:rsidR="00E95556" w:rsidRPr="00330C19" w:rsidRDefault="00E95556" w:rsidP="00217294">
            <w:pPr>
              <w:pStyle w:val="ListParagraph"/>
              <w:numPr>
                <w:ilvl w:val="0"/>
                <w:numId w:val="38"/>
              </w:numPr>
              <w:ind w:left="313" w:hanging="284"/>
            </w:pPr>
            <w:r w:rsidRPr="00330C19">
              <w:t>Raising the quality of early childhood care and education</w:t>
            </w:r>
          </w:p>
        </w:tc>
        <w:tc>
          <w:tcPr>
            <w:tcW w:w="2977" w:type="dxa"/>
          </w:tcPr>
          <w:p w14:paraId="7B90CE24" w14:textId="77777777" w:rsidR="00E95556" w:rsidRPr="007813A7" w:rsidRDefault="00E95556" w:rsidP="00217294">
            <w:pPr>
              <w:rPr>
                <w:rFonts w:cs="Times New Roman"/>
              </w:rPr>
            </w:pPr>
            <w:r w:rsidRPr="007813A7">
              <w:rPr>
                <w:rFonts w:cs="Times New Roman"/>
              </w:rPr>
              <w:t>Public consultation</w:t>
            </w:r>
          </w:p>
          <w:p w14:paraId="7D413342" w14:textId="3AAA46C7" w:rsidR="00E95556" w:rsidRPr="007813A7" w:rsidRDefault="00E908D4" w:rsidP="00217294">
            <w:pPr>
              <w:pStyle w:val="ListParagraph"/>
              <w:numPr>
                <w:ilvl w:val="0"/>
                <w:numId w:val="41"/>
              </w:numPr>
              <w:rPr>
                <w:rFonts w:cs="Times New Roman"/>
              </w:rPr>
            </w:pPr>
            <w:r w:rsidRPr="007813A7">
              <w:rPr>
                <w:rFonts w:cs="Times New Roman"/>
              </w:rPr>
              <w:t>Introduction of a harmonised regulatory framework for kindergartens and child care centres</w:t>
            </w:r>
          </w:p>
        </w:tc>
        <w:tc>
          <w:tcPr>
            <w:tcW w:w="2358" w:type="dxa"/>
          </w:tcPr>
          <w:p w14:paraId="495878AA" w14:textId="4D290B27" w:rsidR="00E95556" w:rsidRPr="00330C19" w:rsidRDefault="00E908D4" w:rsidP="00217294">
            <w:pPr>
              <w:pStyle w:val="ListParagraph"/>
              <w:numPr>
                <w:ilvl w:val="0"/>
                <w:numId w:val="41"/>
              </w:numPr>
              <w:rPr>
                <w:rFonts w:cs="Times New Roman"/>
              </w:rPr>
            </w:pPr>
            <w:r>
              <w:rPr>
                <w:rFonts w:cs="Times New Roman"/>
              </w:rPr>
              <w:t>C</w:t>
            </w:r>
            <w:r w:rsidR="00E95556" w:rsidRPr="00330C19">
              <w:rPr>
                <w:rFonts w:cs="Times New Roman"/>
              </w:rPr>
              <w:t>hild care centre and kindergarten</w:t>
            </w:r>
            <w:r>
              <w:rPr>
                <w:rFonts w:cs="Times New Roman"/>
              </w:rPr>
              <w:t xml:space="preserve"> operators</w:t>
            </w:r>
          </w:p>
          <w:p w14:paraId="6219FE2D" w14:textId="77777777" w:rsidR="00E95556" w:rsidRDefault="00E95556" w:rsidP="00217294">
            <w:pPr>
              <w:pStyle w:val="ListParagraph"/>
              <w:numPr>
                <w:ilvl w:val="0"/>
                <w:numId w:val="41"/>
              </w:numPr>
              <w:rPr>
                <w:rFonts w:cs="Times New Roman"/>
              </w:rPr>
            </w:pPr>
            <w:r w:rsidRPr="00330C19">
              <w:rPr>
                <w:rFonts w:cs="Times New Roman"/>
              </w:rPr>
              <w:t>Early childhood professionals</w:t>
            </w:r>
          </w:p>
          <w:p w14:paraId="399D4510" w14:textId="616F4556" w:rsidR="00E908D4" w:rsidRPr="00330C19" w:rsidRDefault="00E908D4" w:rsidP="00217294">
            <w:pPr>
              <w:pStyle w:val="ListParagraph"/>
              <w:numPr>
                <w:ilvl w:val="0"/>
                <w:numId w:val="41"/>
              </w:numPr>
              <w:rPr>
                <w:rFonts w:cs="Times New Roman"/>
              </w:rPr>
            </w:pPr>
            <w:r>
              <w:rPr>
                <w:rFonts w:cs="Times New Roman"/>
              </w:rPr>
              <w:t>Parents/ general public</w:t>
            </w:r>
          </w:p>
          <w:p w14:paraId="23543F3F" w14:textId="77777777" w:rsidR="0033671D" w:rsidRDefault="00E95556" w:rsidP="00217294">
            <w:pPr>
              <w:pStyle w:val="ListParagraph"/>
              <w:numPr>
                <w:ilvl w:val="0"/>
                <w:numId w:val="41"/>
              </w:numPr>
              <w:rPr>
                <w:rFonts w:cs="Times New Roman"/>
              </w:rPr>
            </w:pPr>
            <w:r w:rsidRPr="00330C19">
              <w:rPr>
                <w:rFonts w:cs="Times New Roman"/>
              </w:rPr>
              <w:t>Early childhood industry partners</w:t>
            </w:r>
          </w:p>
          <w:p w14:paraId="177C11E4" w14:textId="3A9DC65D" w:rsidR="00E95556" w:rsidRPr="00E908D4" w:rsidRDefault="00E95556" w:rsidP="00217294">
            <w:pPr>
              <w:rPr>
                <w:rFonts w:cs="Times New Roman"/>
              </w:rPr>
            </w:pPr>
          </w:p>
        </w:tc>
      </w:tr>
      <w:tr w:rsidR="00E95556" w:rsidRPr="00926696" w14:paraId="04542A2C" w14:textId="77777777" w:rsidTr="007813A7">
        <w:tc>
          <w:tcPr>
            <w:tcW w:w="1696" w:type="dxa"/>
          </w:tcPr>
          <w:p w14:paraId="28B8D91F" w14:textId="77777777" w:rsidR="00E95556" w:rsidRPr="00A2349F" w:rsidRDefault="00E95556" w:rsidP="00217294">
            <w:pPr>
              <w:rPr>
                <w:b/>
              </w:rPr>
            </w:pPr>
            <w:r w:rsidRPr="00A2349F">
              <w:rPr>
                <w:b/>
                <w:iCs/>
              </w:rPr>
              <w:t>Basic health and welfare</w:t>
            </w:r>
            <w:r>
              <w:rPr>
                <w:b/>
                <w:iCs/>
              </w:rPr>
              <w:t>; Special protection measures</w:t>
            </w:r>
          </w:p>
        </w:tc>
        <w:tc>
          <w:tcPr>
            <w:tcW w:w="1985" w:type="dxa"/>
          </w:tcPr>
          <w:p w14:paraId="566E3E72" w14:textId="77777777" w:rsidR="00E95556" w:rsidRPr="00330C19" w:rsidRDefault="00E95556" w:rsidP="00217294">
            <w:pPr>
              <w:pStyle w:val="ListParagraph"/>
              <w:numPr>
                <w:ilvl w:val="0"/>
                <w:numId w:val="38"/>
              </w:numPr>
              <w:ind w:left="313" w:hanging="284"/>
            </w:pPr>
            <w:r w:rsidRPr="00330C19">
              <w:t>Facilitating pro-social youth development</w:t>
            </w:r>
          </w:p>
        </w:tc>
        <w:tc>
          <w:tcPr>
            <w:tcW w:w="2977" w:type="dxa"/>
          </w:tcPr>
          <w:p w14:paraId="5E5E807E" w14:textId="77777777" w:rsidR="00E95556" w:rsidRPr="00330C19" w:rsidRDefault="00E95556" w:rsidP="00217294">
            <w:r w:rsidRPr="00330C19">
              <w:t>Survey</w:t>
            </w:r>
          </w:p>
          <w:p w14:paraId="6A743CE2" w14:textId="77777777" w:rsidR="00E95556" w:rsidRPr="00330C19" w:rsidRDefault="00E95556" w:rsidP="00217294">
            <w:pPr>
              <w:pStyle w:val="ListParagraph"/>
              <w:numPr>
                <w:ilvl w:val="0"/>
                <w:numId w:val="40"/>
              </w:numPr>
              <w:ind w:left="502"/>
            </w:pPr>
            <w:r w:rsidRPr="00330C19">
              <w:t>Youth Perception Survey on drugs and Singapore’s anti-drug policies</w:t>
            </w:r>
          </w:p>
          <w:p w14:paraId="0850A583" w14:textId="77777777" w:rsidR="00E95556" w:rsidRPr="00330C19" w:rsidRDefault="00E95556" w:rsidP="00217294"/>
          <w:p w14:paraId="18EA4C4A" w14:textId="77777777" w:rsidR="00E95556" w:rsidRPr="00330C19" w:rsidRDefault="00E95556" w:rsidP="00217294">
            <w:r w:rsidRPr="00330C19">
              <w:t>Targeted Consultation</w:t>
            </w:r>
          </w:p>
          <w:p w14:paraId="6F7D611C" w14:textId="77777777" w:rsidR="00E95556" w:rsidRPr="00330C19" w:rsidRDefault="00E95556" w:rsidP="00217294">
            <w:pPr>
              <w:pStyle w:val="ListParagraph"/>
              <w:numPr>
                <w:ilvl w:val="0"/>
                <w:numId w:val="40"/>
              </w:numPr>
              <w:ind w:left="502"/>
            </w:pPr>
            <w:r w:rsidRPr="00330C19">
              <w:t xml:space="preserve">Convened a multi-agency Task Force on Youths and Drugs, which commissioned a research study to solicit feedback on Preventive Drug Education efforts from youths </w:t>
            </w:r>
          </w:p>
          <w:p w14:paraId="38037226" w14:textId="77777777" w:rsidR="00E95556" w:rsidRPr="00330C19" w:rsidRDefault="00E95556" w:rsidP="00217294">
            <w:pPr>
              <w:pStyle w:val="ListParagraph"/>
              <w:numPr>
                <w:ilvl w:val="0"/>
                <w:numId w:val="40"/>
              </w:numPr>
              <w:ind w:left="502"/>
            </w:pPr>
            <w:r w:rsidRPr="00330C19">
              <w:t>Established the Committee Against Youth Drug Abuse, comprising government, community and youth representatives, to continue monitoring the youth drug abuse situation</w:t>
            </w:r>
          </w:p>
          <w:p w14:paraId="773EE2C2" w14:textId="1B6D8031" w:rsidR="00E95556" w:rsidRPr="00330C19" w:rsidRDefault="00E95556" w:rsidP="00217294">
            <w:pPr>
              <w:pStyle w:val="ListParagraph"/>
              <w:numPr>
                <w:ilvl w:val="0"/>
                <w:numId w:val="40"/>
              </w:numPr>
              <w:ind w:left="502"/>
            </w:pPr>
            <w:r w:rsidRPr="00330C19">
              <w:t>Established the Police-C</w:t>
            </w:r>
            <w:r w:rsidR="0033671D">
              <w:t xml:space="preserve">entral </w:t>
            </w:r>
            <w:r w:rsidRPr="00330C19">
              <w:t>N</w:t>
            </w:r>
            <w:r w:rsidR="0033671D">
              <w:t xml:space="preserve">arcotics </w:t>
            </w:r>
            <w:r w:rsidRPr="00330C19">
              <w:t>B</w:t>
            </w:r>
            <w:r w:rsidR="0033671D">
              <w:t>ureau</w:t>
            </w:r>
            <w:r w:rsidRPr="00330C19">
              <w:t>-</w:t>
            </w:r>
            <w:r w:rsidR="00323EC9">
              <w:t>Schools-</w:t>
            </w:r>
            <w:r w:rsidRPr="00330C19">
              <w:t>MSF- (PCSM) Liaison Framework, which facilitates discussion among stakeholders on strategic and operational issues concerning youth crime and drugs</w:t>
            </w:r>
          </w:p>
          <w:p w14:paraId="428E2D34" w14:textId="70F6BE8E" w:rsidR="00E95556" w:rsidRPr="00330C19" w:rsidRDefault="007738BB" w:rsidP="00217294">
            <w:pPr>
              <w:pStyle w:val="ListParagraph"/>
              <w:numPr>
                <w:ilvl w:val="0"/>
                <w:numId w:val="40"/>
              </w:numPr>
              <w:ind w:left="502"/>
            </w:pPr>
            <w:r>
              <w:t xml:space="preserve">The </w:t>
            </w:r>
            <w:r w:rsidR="00E95556" w:rsidRPr="00330C19">
              <w:t>National Committee on Youth Guidance and Rehabilitation (NYGR) is also regularly updated on the youth crime and drug abuse situation by the Ministry of Home Affairs</w:t>
            </w:r>
          </w:p>
          <w:p w14:paraId="2F28771C" w14:textId="77777777" w:rsidR="0033671D" w:rsidRDefault="0033671D" w:rsidP="00217294">
            <w:pPr>
              <w:rPr>
                <w:lang w:val="en-GB"/>
              </w:rPr>
            </w:pPr>
          </w:p>
          <w:p w14:paraId="63690020" w14:textId="44F94BD7" w:rsidR="00E95556" w:rsidRPr="00330C19" w:rsidRDefault="00E95556" w:rsidP="00217294">
            <w:r w:rsidRPr="00A4144C">
              <w:rPr>
                <w:lang w:val="en-GB"/>
              </w:rPr>
              <w:t>Focus Group Discussions on National Youth Work Competency Framework</w:t>
            </w:r>
          </w:p>
          <w:p w14:paraId="4E36BC77" w14:textId="77777777" w:rsidR="00E95556" w:rsidRPr="00330C19" w:rsidRDefault="00E95556" w:rsidP="00217294"/>
          <w:p w14:paraId="24E91034" w14:textId="77777777" w:rsidR="00E95556" w:rsidRPr="00330C19" w:rsidRDefault="00E95556" w:rsidP="00217294">
            <w:r w:rsidRPr="00330C19">
              <w:t>Engagement Sessions</w:t>
            </w:r>
            <w:r>
              <w:t xml:space="preserve"> </w:t>
            </w:r>
          </w:p>
          <w:p w14:paraId="781C9D2C" w14:textId="235F8739" w:rsidR="00E95556" w:rsidRPr="00330C19" w:rsidRDefault="00E95556" w:rsidP="00217294">
            <w:pPr>
              <w:pStyle w:val="ListParagraph"/>
              <w:numPr>
                <w:ilvl w:val="0"/>
                <w:numId w:val="40"/>
              </w:numPr>
              <w:ind w:left="502"/>
            </w:pPr>
            <w:r w:rsidRPr="00330C19">
              <w:t xml:space="preserve">Placement and rehabilitation options for children and </w:t>
            </w:r>
            <w:r w:rsidR="000D1D21">
              <w:t xml:space="preserve">young persons under Court orders </w:t>
            </w:r>
          </w:p>
        </w:tc>
        <w:tc>
          <w:tcPr>
            <w:tcW w:w="2358" w:type="dxa"/>
          </w:tcPr>
          <w:p w14:paraId="7CC68C21" w14:textId="77777777" w:rsidR="00E95556" w:rsidRPr="00330C19" w:rsidRDefault="00E95556" w:rsidP="00217294">
            <w:pPr>
              <w:pStyle w:val="ListParagraph"/>
              <w:numPr>
                <w:ilvl w:val="0"/>
                <w:numId w:val="40"/>
              </w:numPr>
              <w:ind w:left="318" w:hanging="284"/>
            </w:pPr>
            <w:r w:rsidRPr="00330C19">
              <w:t>General youth population</w:t>
            </w:r>
          </w:p>
          <w:p w14:paraId="67FAC499" w14:textId="5193B1C3" w:rsidR="00E95556" w:rsidRPr="00330C19" w:rsidRDefault="0033671D" w:rsidP="00217294">
            <w:pPr>
              <w:pStyle w:val="ListParagraph"/>
              <w:numPr>
                <w:ilvl w:val="0"/>
                <w:numId w:val="40"/>
              </w:numPr>
              <w:ind w:left="318" w:hanging="284"/>
            </w:pPr>
            <w:r>
              <w:t>S</w:t>
            </w:r>
            <w:r w:rsidR="00E95556" w:rsidRPr="00330C19">
              <w:t>tudents under 18 years old</w:t>
            </w:r>
          </w:p>
          <w:p w14:paraId="1A55101B" w14:textId="77777777" w:rsidR="00E95556" w:rsidRPr="00330C19" w:rsidRDefault="00E95556" w:rsidP="00217294">
            <w:pPr>
              <w:pStyle w:val="ListParagraph"/>
              <w:numPr>
                <w:ilvl w:val="0"/>
                <w:numId w:val="40"/>
              </w:numPr>
              <w:ind w:left="318" w:hanging="284"/>
            </w:pPr>
            <w:r w:rsidRPr="00330C19">
              <w:t>Out-of-school youths between 13 to 18 years old</w:t>
            </w:r>
          </w:p>
          <w:p w14:paraId="4C578C36" w14:textId="22D35CD1" w:rsidR="00E95556" w:rsidRPr="00330C19" w:rsidRDefault="00E95556" w:rsidP="00217294">
            <w:pPr>
              <w:pStyle w:val="ListParagraph"/>
              <w:numPr>
                <w:ilvl w:val="0"/>
                <w:numId w:val="40"/>
              </w:numPr>
              <w:ind w:left="318" w:hanging="284"/>
            </w:pPr>
            <w:r w:rsidRPr="00330C19">
              <w:t>Youth</w:t>
            </w:r>
            <w:r w:rsidR="0033671D">
              <w:t>-</w:t>
            </w:r>
            <w:r w:rsidRPr="00330C19">
              <w:t>at</w:t>
            </w:r>
            <w:r w:rsidR="0033671D">
              <w:t>-</w:t>
            </w:r>
            <w:r w:rsidRPr="00330C19">
              <w:t xml:space="preserve">risk </w:t>
            </w:r>
            <w:r w:rsidR="0033671D">
              <w:t>from</w:t>
            </w:r>
            <w:r w:rsidRPr="00330C19">
              <w:t xml:space="preserve"> 12 and 21 years old (in relation to </w:t>
            </w:r>
            <w:r w:rsidR="003364A8" w:rsidRPr="00330C19">
              <w:t>National Committee on Youth Guidance and Rehabilitation</w:t>
            </w:r>
            <w:r w:rsidRPr="00330C19">
              <w:t>)</w:t>
            </w:r>
          </w:p>
          <w:p w14:paraId="55AADA7E" w14:textId="77777777" w:rsidR="00E95556" w:rsidRPr="00330C19" w:rsidRDefault="00E95556" w:rsidP="00217294">
            <w:pPr>
              <w:pStyle w:val="ListParagraph"/>
              <w:numPr>
                <w:ilvl w:val="0"/>
                <w:numId w:val="40"/>
              </w:numPr>
              <w:ind w:left="318" w:hanging="284"/>
            </w:pPr>
            <w:r w:rsidRPr="00330C19">
              <w:t xml:space="preserve">Advisers appointed to inform the Youth Court on </w:t>
            </w:r>
            <w:r w:rsidRPr="00330C19">
              <w:rPr>
                <w:lang w:val="en-GB"/>
              </w:rPr>
              <w:t>considerations which may affect the treatment of any child or young person; or orders that may be made regarding the child or young person brought before the Youth Court</w:t>
            </w:r>
          </w:p>
          <w:p w14:paraId="168CFCAD" w14:textId="6F65203B" w:rsidR="00E95556" w:rsidRPr="00330C19" w:rsidRDefault="0033671D" w:rsidP="00217294">
            <w:pPr>
              <w:pStyle w:val="ListParagraph"/>
              <w:numPr>
                <w:ilvl w:val="0"/>
                <w:numId w:val="40"/>
              </w:numPr>
              <w:ind w:left="318" w:hanging="284"/>
            </w:pPr>
            <w:r>
              <w:rPr>
                <w:lang w:val="en-GB"/>
              </w:rPr>
              <w:t>VWOs</w:t>
            </w:r>
          </w:p>
          <w:p w14:paraId="39C637B7" w14:textId="15926894" w:rsidR="00E95556" w:rsidRPr="00330C19" w:rsidRDefault="00E95556" w:rsidP="00217294">
            <w:pPr>
              <w:pStyle w:val="ListParagraph"/>
              <w:numPr>
                <w:ilvl w:val="0"/>
                <w:numId w:val="40"/>
              </w:numPr>
              <w:ind w:left="318" w:hanging="284"/>
            </w:pPr>
            <w:r w:rsidRPr="00330C19">
              <w:rPr>
                <w:lang w:val="en-GB"/>
              </w:rPr>
              <w:t>National Council of Social Service and MSF</w:t>
            </w:r>
          </w:p>
        </w:tc>
      </w:tr>
    </w:tbl>
    <w:p w14:paraId="05FC7B6E" w14:textId="77777777" w:rsidR="00E95556" w:rsidRDefault="00E95556" w:rsidP="00B6414C">
      <w:pPr>
        <w:jc w:val="both"/>
      </w:pPr>
    </w:p>
    <w:p w14:paraId="4217E15C" w14:textId="77777777" w:rsidR="00E95556" w:rsidRPr="00E95556" w:rsidRDefault="00E95556" w:rsidP="00B6414C">
      <w:pPr>
        <w:jc w:val="both"/>
      </w:pPr>
    </w:p>
    <w:p w14:paraId="1EAC7042" w14:textId="77777777" w:rsidR="00FF6376" w:rsidRDefault="00FF6376" w:rsidP="00B6414C">
      <w:pPr>
        <w:jc w:val="both"/>
      </w:pPr>
    </w:p>
    <w:p w14:paraId="449C931A" w14:textId="77777777" w:rsidR="00FF6376" w:rsidRDefault="00FF6376" w:rsidP="00B6414C">
      <w:pPr>
        <w:jc w:val="both"/>
        <w:rPr>
          <w:rFonts w:eastAsiaTheme="majorEastAsia" w:cstheme="majorBidi"/>
          <w:b/>
          <w:sz w:val="28"/>
          <w:szCs w:val="32"/>
          <w:u w:val="single"/>
        </w:rPr>
      </w:pPr>
      <w:r>
        <w:br w:type="page"/>
      </w:r>
    </w:p>
    <w:p w14:paraId="21CA063B" w14:textId="585B60C7" w:rsidR="00403FB6" w:rsidRPr="00403FB6" w:rsidRDefault="00EE305D" w:rsidP="00B6414C">
      <w:pPr>
        <w:pStyle w:val="Heading1"/>
        <w:jc w:val="both"/>
      </w:pPr>
      <w:bookmarkStart w:id="4" w:name="_Toc495686628"/>
      <w:r>
        <w:t>Annex</w:t>
      </w:r>
      <w:r w:rsidR="00403FB6">
        <w:t xml:space="preserve"> B</w:t>
      </w:r>
      <w:bookmarkEnd w:id="4"/>
    </w:p>
    <w:p w14:paraId="5E5DC6C5" w14:textId="77777777" w:rsidR="00030A20" w:rsidRDefault="00030A20" w:rsidP="00B6414C">
      <w:pPr>
        <w:jc w:val="both"/>
      </w:pPr>
      <w:bookmarkStart w:id="5" w:name="_Toc458688057"/>
      <w:bookmarkStart w:id="6" w:name="_Toc458688072"/>
    </w:p>
    <w:p w14:paraId="4E9F5C64" w14:textId="77777777" w:rsidR="00030A20" w:rsidRDefault="00030A20" w:rsidP="00B6414C">
      <w:pPr>
        <w:pStyle w:val="Heading2"/>
      </w:pPr>
      <w:bookmarkStart w:id="7" w:name="_Toc495686629"/>
      <w:r w:rsidRPr="00FE49FD">
        <w:t>GENERAL MEASURES OF IMPLEMENTATION</w:t>
      </w:r>
      <w:bookmarkEnd w:id="5"/>
      <w:bookmarkEnd w:id="7"/>
    </w:p>
    <w:p w14:paraId="52A84696" w14:textId="77777777" w:rsidR="00382201" w:rsidRPr="00382201" w:rsidRDefault="00382201" w:rsidP="00B6414C">
      <w:pPr>
        <w:jc w:val="both"/>
      </w:pPr>
    </w:p>
    <w:p w14:paraId="1CA8D5AA" w14:textId="77777777" w:rsidR="00D36984" w:rsidRPr="00382201" w:rsidRDefault="00D36984" w:rsidP="00B6414C">
      <w:pPr>
        <w:pStyle w:val="Heading3"/>
        <w:ind w:firstLine="567"/>
        <w:jc w:val="both"/>
      </w:pPr>
      <w:bookmarkStart w:id="8" w:name="_Toc458688061"/>
      <w:bookmarkStart w:id="9" w:name="_Toc495686630"/>
      <w:r w:rsidRPr="00382201">
        <w:t>Coordination and National Plan of Action (Article 4)</w:t>
      </w:r>
      <w:bookmarkEnd w:id="8"/>
      <w:bookmarkEnd w:id="9"/>
    </w:p>
    <w:p w14:paraId="1419A730" w14:textId="77777777" w:rsidR="00227545" w:rsidRDefault="00D36984" w:rsidP="00B6414C">
      <w:pPr>
        <w:pStyle w:val="ListParagraph"/>
        <w:numPr>
          <w:ilvl w:val="3"/>
          <w:numId w:val="21"/>
        </w:numPr>
        <w:spacing w:after="240"/>
        <w:ind w:left="567" w:hanging="567"/>
        <w:jc w:val="both"/>
        <w:rPr>
          <w:rFonts w:cs="Times New Roman"/>
        </w:rPr>
      </w:pPr>
      <w:r>
        <w:t>P</w:t>
      </w:r>
      <w:r w:rsidRPr="00AC182F">
        <w:t xml:space="preserve">lanning and </w:t>
      </w:r>
      <w:r w:rsidRPr="00227545">
        <w:rPr>
          <w:rFonts w:cs="Times New Roman"/>
        </w:rPr>
        <w:t>coordination at a national level are conducted through various inter-agency workgroups and committees, such as:</w:t>
      </w:r>
    </w:p>
    <w:p w14:paraId="372F9A67" w14:textId="52DBAAD2" w:rsidR="00227545" w:rsidRDefault="0033671D" w:rsidP="00B6414C">
      <w:pPr>
        <w:pStyle w:val="ListParagraph"/>
        <w:numPr>
          <w:ilvl w:val="3"/>
          <w:numId w:val="26"/>
        </w:numPr>
        <w:spacing w:after="240"/>
        <w:ind w:left="1134" w:hanging="567"/>
        <w:jc w:val="both"/>
        <w:rPr>
          <w:rFonts w:cs="Times New Roman"/>
        </w:rPr>
      </w:pPr>
      <w:r>
        <w:rPr>
          <w:rFonts w:cs="Times New Roman"/>
        </w:rPr>
        <w:t>T</w:t>
      </w:r>
      <w:r w:rsidRPr="00227545">
        <w:rPr>
          <w:rFonts w:cs="Times New Roman"/>
        </w:rPr>
        <w:t xml:space="preserve">he </w:t>
      </w:r>
      <w:r w:rsidR="00D36984" w:rsidRPr="00227545">
        <w:rPr>
          <w:rFonts w:cs="Times New Roman"/>
        </w:rPr>
        <w:t xml:space="preserve">Inter-Ministry Workgroup on Child Protection (IWCP), which is chaired by </w:t>
      </w:r>
      <w:r w:rsidR="007738BB">
        <w:rPr>
          <w:rFonts w:cs="Times New Roman"/>
        </w:rPr>
        <w:t xml:space="preserve">the </w:t>
      </w:r>
      <w:r w:rsidR="00D36984" w:rsidRPr="00227545">
        <w:rPr>
          <w:rFonts w:cs="Times New Roman"/>
        </w:rPr>
        <w:t xml:space="preserve">Ministry of Social and Family Development (MSF), comprises representatives from government agencies, statutory boards and social service agencies. The IWCP sets the strategic policy direction for service planning and development in child protection, </w:t>
      </w:r>
      <w:r w:rsidR="00EC03E9">
        <w:rPr>
          <w:rFonts w:cs="Times New Roman"/>
        </w:rPr>
        <w:t>and</w:t>
      </w:r>
      <w:r w:rsidR="00D36984" w:rsidRPr="00227545">
        <w:rPr>
          <w:rFonts w:cs="Times New Roman"/>
        </w:rPr>
        <w:t xml:space="preserve"> defines the roles and responsibilities of various partners.</w:t>
      </w:r>
    </w:p>
    <w:p w14:paraId="38434393" w14:textId="357CC303" w:rsidR="00D36984" w:rsidRPr="00382201" w:rsidRDefault="00D36984" w:rsidP="00B6414C">
      <w:pPr>
        <w:pStyle w:val="ListParagraph"/>
        <w:numPr>
          <w:ilvl w:val="3"/>
          <w:numId w:val="26"/>
        </w:numPr>
        <w:spacing w:after="240"/>
        <w:ind w:left="1134" w:hanging="567"/>
        <w:jc w:val="both"/>
        <w:rPr>
          <w:rFonts w:cs="Times New Roman"/>
        </w:rPr>
      </w:pPr>
      <w:r w:rsidRPr="00227545">
        <w:rPr>
          <w:rFonts w:cs="Times New Roman"/>
        </w:rPr>
        <w:t xml:space="preserve">The </w:t>
      </w:r>
      <w:r w:rsidRPr="00A115FF">
        <w:t xml:space="preserve">Central Youth Guidance Office (CYGO) was established in 2010 and </w:t>
      </w:r>
      <w:r w:rsidRPr="00227545">
        <w:rPr>
          <w:color w:val="000000"/>
          <w:lang w:bidi="ta-IN"/>
        </w:rPr>
        <w:t xml:space="preserve">comprised staff from MSF, Ministry of Home Affairs (MHA) and the Ministry of Education (MOE). CYGO </w:t>
      </w:r>
      <w:r w:rsidRPr="00227545">
        <w:rPr>
          <w:color w:val="000000"/>
        </w:rPr>
        <w:t>co-ordinates</w:t>
      </w:r>
      <w:r w:rsidRPr="00A115FF">
        <w:t xml:space="preserve"> early intervention strategies to prevent youth at-risk</w:t>
      </w:r>
      <w:r w:rsidR="005713FB">
        <w:t xml:space="preserve"> between</w:t>
      </w:r>
      <w:r w:rsidR="0033671D" w:rsidRPr="00227545">
        <w:rPr>
          <w:color w:val="000000"/>
          <w:lang w:bidi="ta-IN"/>
        </w:rPr>
        <w:t xml:space="preserve"> </w:t>
      </w:r>
      <w:r w:rsidRPr="00227545">
        <w:rPr>
          <w:color w:val="000000"/>
          <w:lang w:bidi="ta-IN"/>
        </w:rPr>
        <w:t xml:space="preserve">12 to 21 years old </w:t>
      </w:r>
      <w:r w:rsidRPr="00A115FF">
        <w:t>from committing offences</w:t>
      </w:r>
      <w:r>
        <w:t xml:space="preserve"> and</w:t>
      </w:r>
      <w:r w:rsidRPr="00A115FF">
        <w:t xml:space="preserve"> </w:t>
      </w:r>
      <w:r w:rsidR="007738BB">
        <w:t xml:space="preserve">to </w:t>
      </w:r>
      <w:r w:rsidRPr="00A115FF">
        <w:t>address systemic gaps.</w:t>
      </w:r>
      <w:r w:rsidRPr="00227545">
        <w:rPr>
          <w:rFonts w:eastAsia="Times New Roman"/>
        </w:rPr>
        <w:t xml:space="preserve"> </w:t>
      </w:r>
    </w:p>
    <w:p w14:paraId="0784364C" w14:textId="77777777" w:rsidR="00722E98" w:rsidRDefault="00722E98" w:rsidP="00B6414C">
      <w:pPr>
        <w:pStyle w:val="Heading3"/>
        <w:ind w:left="567"/>
        <w:jc w:val="both"/>
      </w:pPr>
      <w:bookmarkStart w:id="10" w:name="_Toc458688065"/>
      <w:bookmarkStart w:id="11" w:name="_Toc495686631"/>
      <w:r w:rsidRPr="00FE49FD">
        <w:t>Dissemination and awareness-raising (</w:t>
      </w:r>
      <w:r>
        <w:t>Article</w:t>
      </w:r>
      <w:r w:rsidRPr="00FE49FD">
        <w:t>s 42 and 44(6))</w:t>
      </w:r>
      <w:bookmarkEnd w:id="10"/>
      <w:bookmarkEnd w:id="11"/>
    </w:p>
    <w:p w14:paraId="7623B78E" w14:textId="72D8EF05" w:rsidR="00227545" w:rsidRPr="00227545" w:rsidRDefault="001E17B0" w:rsidP="00B6414C">
      <w:pPr>
        <w:pStyle w:val="ListParagraph"/>
        <w:numPr>
          <w:ilvl w:val="3"/>
          <w:numId w:val="21"/>
        </w:numPr>
        <w:spacing w:after="240"/>
        <w:ind w:left="567" w:hanging="567"/>
        <w:jc w:val="both"/>
        <w:rPr>
          <w:rFonts w:cs="Times New Roman"/>
        </w:rPr>
      </w:pPr>
      <w:r w:rsidRPr="001E17B0">
        <w:t>I</w:t>
      </w:r>
      <w:r w:rsidR="00722E98" w:rsidRPr="00537367">
        <w:t xml:space="preserve">nitiatives to disseminate the key messages of </w:t>
      </w:r>
      <w:r w:rsidR="00DF710A">
        <w:t xml:space="preserve">the </w:t>
      </w:r>
      <w:r w:rsidR="001C530A">
        <w:t>UN</w:t>
      </w:r>
      <w:r w:rsidR="00722E98" w:rsidRPr="00537367">
        <w:t>CRC includ</w:t>
      </w:r>
      <w:r w:rsidR="00722E98">
        <w:t>e</w:t>
      </w:r>
      <w:r w:rsidR="00722E98" w:rsidRPr="00537367">
        <w:t>:</w:t>
      </w:r>
    </w:p>
    <w:p w14:paraId="5345BA65" w14:textId="0BE21522" w:rsidR="00227545" w:rsidRPr="00227545" w:rsidRDefault="00722E98" w:rsidP="00B6414C">
      <w:pPr>
        <w:pStyle w:val="ListParagraph"/>
        <w:numPr>
          <w:ilvl w:val="0"/>
          <w:numId w:val="27"/>
        </w:numPr>
        <w:spacing w:after="240"/>
        <w:ind w:left="1134" w:hanging="567"/>
        <w:jc w:val="both"/>
        <w:rPr>
          <w:rFonts w:cs="Times New Roman"/>
        </w:rPr>
      </w:pPr>
      <w:r w:rsidRPr="00227545">
        <w:rPr>
          <w:rFonts w:cs="Times New Roman"/>
        </w:rPr>
        <w:t>“Celebrating Children” in 2011 which involved roving ex</w:t>
      </w:r>
      <w:r w:rsidRPr="00722E98">
        <w:t>hibitions at shopping malls, community libraries and other places frequented by children</w:t>
      </w:r>
      <w:r w:rsidR="003143E3">
        <w:t>.</w:t>
      </w:r>
    </w:p>
    <w:p w14:paraId="350C9F9D" w14:textId="7B5176A4" w:rsidR="00227545" w:rsidRPr="00227545" w:rsidRDefault="00722E98" w:rsidP="00B6414C">
      <w:pPr>
        <w:pStyle w:val="ListParagraph"/>
        <w:numPr>
          <w:ilvl w:val="0"/>
          <w:numId w:val="27"/>
        </w:numPr>
        <w:spacing w:after="240"/>
        <w:ind w:left="1134" w:hanging="567"/>
        <w:jc w:val="both"/>
        <w:rPr>
          <w:rFonts w:cs="Times New Roman"/>
        </w:rPr>
      </w:pPr>
      <w:r w:rsidRPr="00227545">
        <w:rPr>
          <w:rFonts w:cs="Times New Roman"/>
        </w:rPr>
        <w:t>A series of hip hop dance engagement sessions in 2012 for children</w:t>
      </w:r>
      <w:r w:rsidR="003143E3">
        <w:rPr>
          <w:rFonts w:cs="Times New Roman"/>
        </w:rPr>
        <w:t>.</w:t>
      </w:r>
      <w:r w:rsidRPr="00227545">
        <w:rPr>
          <w:rFonts w:cs="Times New Roman"/>
        </w:rPr>
        <w:t xml:space="preserve"> </w:t>
      </w:r>
    </w:p>
    <w:p w14:paraId="40542B98" w14:textId="432BB179" w:rsidR="00227545" w:rsidRPr="00227545" w:rsidRDefault="00722E98" w:rsidP="00B6414C">
      <w:pPr>
        <w:pStyle w:val="ListParagraph"/>
        <w:numPr>
          <w:ilvl w:val="0"/>
          <w:numId w:val="27"/>
        </w:numPr>
        <w:spacing w:after="240"/>
        <w:ind w:left="1134" w:hanging="567"/>
        <w:jc w:val="both"/>
        <w:rPr>
          <w:rFonts w:cs="Times New Roman"/>
        </w:rPr>
      </w:pPr>
      <w:r w:rsidRPr="00227545">
        <w:rPr>
          <w:rFonts w:cs="Times New Roman"/>
        </w:rPr>
        <w:t>2</w:t>
      </w:r>
      <w:r w:rsidRPr="00227545">
        <w:rPr>
          <w:rFonts w:cs="Times New Roman"/>
          <w:vertAlign w:val="superscript"/>
        </w:rPr>
        <w:t>nd</w:t>
      </w:r>
      <w:r w:rsidRPr="00227545">
        <w:rPr>
          <w:rFonts w:cs="Times New Roman"/>
        </w:rPr>
        <w:t xml:space="preserve"> ASEAN Children’s Forum in 2012 where Singapore brought together 36 child delegates from ASEAN member states and </w:t>
      </w:r>
      <w:r w:rsidRPr="00722E98">
        <w:t xml:space="preserve">the People’s Republic of China to discuss the principles under the </w:t>
      </w:r>
      <w:r w:rsidR="007738BB">
        <w:t>UN</w:t>
      </w:r>
      <w:r w:rsidRPr="00722E98">
        <w:t>CRC.</w:t>
      </w:r>
    </w:p>
    <w:p w14:paraId="78192CB9" w14:textId="5D162D09" w:rsidR="00227545" w:rsidRPr="00227545" w:rsidRDefault="00722E98" w:rsidP="00B6414C">
      <w:pPr>
        <w:pStyle w:val="ListParagraph"/>
        <w:numPr>
          <w:ilvl w:val="0"/>
          <w:numId w:val="27"/>
        </w:numPr>
        <w:spacing w:after="240"/>
        <w:ind w:left="1134" w:hanging="567"/>
        <w:jc w:val="both"/>
        <w:rPr>
          <w:rFonts w:cs="Times New Roman"/>
        </w:rPr>
      </w:pPr>
      <w:r w:rsidRPr="00722E98">
        <w:t xml:space="preserve">A </w:t>
      </w:r>
      <w:r w:rsidRPr="00227545">
        <w:rPr>
          <w:rFonts w:cs="Times New Roman"/>
        </w:rPr>
        <w:t>series of storybooks</w:t>
      </w:r>
      <w:r w:rsidR="005713FB">
        <w:rPr>
          <w:rFonts w:cs="Times New Roman"/>
        </w:rPr>
        <w:t xml:space="preserve"> </w:t>
      </w:r>
      <w:r w:rsidR="005713FB" w:rsidRPr="00722E98">
        <w:t>by local award-winning children’s author Emily Lim</w:t>
      </w:r>
      <w:r w:rsidR="005713FB">
        <w:t xml:space="preserve"> titled</w:t>
      </w:r>
      <w:r w:rsidRPr="00227545">
        <w:rPr>
          <w:rFonts w:cs="Times New Roman"/>
        </w:rPr>
        <w:t xml:space="preserve"> ‘</w:t>
      </w:r>
      <w:r w:rsidRPr="00227545">
        <w:rPr>
          <w:rFonts w:cs="Times New Roman"/>
          <w:i/>
        </w:rPr>
        <w:t>Is that Rainbowsaurus So Different from Us? and other stories’</w:t>
      </w:r>
      <w:r w:rsidRPr="00722E98">
        <w:t>. The series was commissioned by MSF in 2013 to bring to life the four general principles of</w:t>
      </w:r>
      <w:r w:rsidR="00DF710A">
        <w:t xml:space="preserve"> the</w:t>
      </w:r>
      <w:r w:rsidRPr="00722E98">
        <w:t xml:space="preserve"> UNCRC</w:t>
      </w:r>
      <w:r w:rsidR="007738BB">
        <w:t>.</w:t>
      </w:r>
      <w:r w:rsidRPr="00722E98">
        <w:rPr>
          <w:rStyle w:val="FootnoteReference"/>
        </w:rPr>
        <w:footnoteReference w:id="2"/>
      </w:r>
    </w:p>
    <w:p w14:paraId="78D5B27C" w14:textId="4434E45E" w:rsidR="00227545" w:rsidRPr="00227545" w:rsidRDefault="00722E98" w:rsidP="00B6414C">
      <w:pPr>
        <w:pStyle w:val="ListParagraph"/>
        <w:numPr>
          <w:ilvl w:val="0"/>
          <w:numId w:val="27"/>
        </w:numPr>
        <w:spacing w:after="240"/>
        <w:ind w:left="1134" w:hanging="567"/>
        <w:jc w:val="both"/>
        <w:rPr>
          <w:rFonts w:cs="Times New Roman"/>
        </w:rPr>
      </w:pPr>
      <w:r w:rsidRPr="00227545">
        <w:rPr>
          <w:rFonts w:cs="Times New Roman"/>
        </w:rPr>
        <w:t>The UNCRC Logo Design Competition and a Creative Arts Competition w</w:t>
      </w:r>
      <w:r w:rsidR="00FD1744">
        <w:rPr>
          <w:rFonts w:cs="Times New Roman"/>
        </w:rPr>
        <w:t>ere</w:t>
      </w:r>
      <w:r w:rsidRPr="00227545">
        <w:rPr>
          <w:rFonts w:cs="Times New Roman"/>
        </w:rPr>
        <w:t xml:space="preserve"> organised to celebrate </w:t>
      </w:r>
      <w:r w:rsidR="005713FB">
        <w:rPr>
          <w:rFonts w:cs="Times New Roman"/>
        </w:rPr>
        <w:t>the</w:t>
      </w:r>
      <w:r w:rsidR="005713FB" w:rsidRPr="00227545">
        <w:rPr>
          <w:rFonts w:cs="Times New Roman"/>
        </w:rPr>
        <w:t xml:space="preserve"> </w:t>
      </w:r>
      <w:r w:rsidRPr="00227545">
        <w:rPr>
          <w:rFonts w:cs="Times New Roman"/>
        </w:rPr>
        <w:t>20</w:t>
      </w:r>
      <w:r w:rsidRPr="00227545">
        <w:rPr>
          <w:rFonts w:cs="Times New Roman"/>
          <w:vertAlign w:val="superscript"/>
        </w:rPr>
        <w:t>th</w:t>
      </w:r>
      <w:r w:rsidRPr="00227545">
        <w:rPr>
          <w:rFonts w:cs="Times New Roman"/>
        </w:rPr>
        <w:t xml:space="preserve"> anniversary </w:t>
      </w:r>
      <w:r w:rsidR="005713FB">
        <w:rPr>
          <w:rFonts w:cs="Times New Roman"/>
        </w:rPr>
        <w:t xml:space="preserve">of </w:t>
      </w:r>
      <w:r w:rsidR="00DF710A">
        <w:rPr>
          <w:rFonts w:cs="Times New Roman"/>
        </w:rPr>
        <w:t>Singapore’s</w:t>
      </w:r>
      <w:r w:rsidRPr="00227545">
        <w:rPr>
          <w:rFonts w:cs="Times New Roman"/>
        </w:rPr>
        <w:t xml:space="preserve"> accession to the Convention. </w:t>
      </w:r>
    </w:p>
    <w:p w14:paraId="392D33DC" w14:textId="3C29D226" w:rsidR="00227545" w:rsidRPr="00227545" w:rsidRDefault="00722E98" w:rsidP="00B6414C">
      <w:pPr>
        <w:pStyle w:val="ListParagraph"/>
        <w:numPr>
          <w:ilvl w:val="0"/>
          <w:numId w:val="27"/>
        </w:numPr>
        <w:spacing w:after="240"/>
        <w:ind w:left="1134" w:hanging="567"/>
        <w:jc w:val="both"/>
        <w:rPr>
          <w:rFonts w:cs="Times New Roman"/>
        </w:rPr>
      </w:pPr>
      <w:r w:rsidRPr="00227545">
        <w:rPr>
          <w:rFonts w:cs="Times New Roman"/>
        </w:rPr>
        <w:t>A</w:t>
      </w:r>
      <w:r w:rsidRPr="00722E98">
        <w:t xml:space="preserve"> collaborative mural w</w:t>
      </w:r>
      <w:r w:rsidR="007738BB">
        <w:t>as</w:t>
      </w:r>
      <w:r w:rsidRPr="00722E98">
        <w:t xml:space="preserve"> created by </w:t>
      </w:r>
      <w:r w:rsidRPr="00227545">
        <w:rPr>
          <w:rFonts w:cs="Times New Roman"/>
        </w:rPr>
        <w:t>over 100 children, youth and adults, as part of a collaboration with South</w:t>
      </w:r>
      <w:r w:rsidR="00426547">
        <w:rPr>
          <w:rFonts w:cs="Times New Roman"/>
        </w:rPr>
        <w:t>e</w:t>
      </w:r>
      <w:r w:rsidRPr="00227545">
        <w:rPr>
          <w:rFonts w:cs="Times New Roman"/>
        </w:rPr>
        <w:t xml:space="preserve">ast Asian Games 2015. This, </w:t>
      </w:r>
      <w:r w:rsidR="00992626">
        <w:rPr>
          <w:rFonts w:cs="Times New Roman"/>
        </w:rPr>
        <w:t>together with</w:t>
      </w:r>
      <w:r w:rsidRPr="00227545">
        <w:rPr>
          <w:rFonts w:cs="Times New Roman"/>
        </w:rPr>
        <w:t xml:space="preserve"> some of the top entries from the Creative Arts Competition, formed an art exhibition that continues to rove island-wide to raise awareness about the UNCRC.</w:t>
      </w:r>
    </w:p>
    <w:p w14:paraId="4B6057F6" w14:textId="278577B2" w:rsidR="00A96F66" w:rsidRPr="00A96F66" w:rsidRDefault="00722E98" w:rsidP="00A96F66">
      <w:pPr>
        <w:pStyle w:val="ListParagraph"/>
        <w:numPr>
          <w:ilvl w:val="0"/>
          <w:numId w:val="27"/>
        </w:numPr>
        <w:spacing w:after="240"/>
        <w:ind w:left="1134" w:hanging="567"/>
        <w:jc w:val="both"/>
        <w:rPr>
          <w:rFonts w:cs="Times New Roman"/>
        </w:rPr>
      </w:pPr>
      <w:r w:rsidRPr="00227545">
        <w:rPr>
          <w:rFonts w:cs="Times New Roman"/>
        </w:rPr>
        <w:t xml:space="preserve">UNCRC storytelling sessions, standees, and exhibition at Singapore Children’s Society (SCS)’s annual Walk for Our Children 2015. </w:t>
      </w:r>
      <w:r w:rsidR="00A96F66" w:rsidRPr="00A96F66">
        <w:rPr>
          <w:rFonts w:cs="Times New Roman"/>
        </w:rPr>
        <w:t>SCS’s Walk for Our Children in 2016 also sported UNCRC storytelling sessions, standees, mascots and a yoga instructor who led a walk participants in a warm-up segment –with yoga moves inspired by the UNCRC’s 4 general principles.</w:t>
      </w:r>
    </w:p>
    <w:p w14:paraId="162B5FA8" w14:textId="464DBE82" w:rsidR="00227545" w:rsidRPr="00227545" w:rsidRDefault="00A96F66" w:rsidP="00A96F66">
      <w:pPr>
        <w:pStyle w:val="ListParagraph"/>
        <w:numPr>
          <w:ilvl w:val="0"/>
          <w:numId w:val="27"/>
        </w:numPr>
        <w:spacing w:after="240"/>
        <w:ind w:left="1134" w:hanging="567"/>
        <w:jc w:val="both"/>
        <w:rPr>
          <w:rFonts w:cs="Times New Roman"/>
        </w:rPr>
      </w:pPr>
      <w:r w:rsidRPr="00A96F66">
        <w:rPr>
          <w:rFonts w:cs="Times New Roman"/>
        </w:rPr>
        <w:t>Annual distribution of UNCRC booklets to about 40,000 Primary 3 students, coupled with UNCRC pamphlets for their adult caregivers. In 2017, this annual exercise will henceforth be augmented by distribution of UNCRC posters to each primary school, so that teachers, students and parents can reinforce their awareness of the UNCRC and its principles.</w:t>
      </w:r>
    </w:p>
    <w:p w14:paraId="683042EB" w14:textId="77777777" w:rsidR="00227545" w:rsidRPr="00FE49FD" w:rsidRDefault="00227545" w:rsidP="00B6414C">
      <w:pPr>
        <w:pStyle w:val="Heading3"/>
        <w:ind w:firstLine="567"/>
        <w:jc w:val="both"/>
      </w:pPr>
      <w:bookmarkStart w:id="12" w:name="_Toc458688066"/>
      <w:bookmarkStart w:id="13" w:name="_Toc495686632"/>
      <w:r w:rsidRPr="00FE49FD">
        <w:t>Training (</w:t>
      </w:r>
      <w:r>
        <w:t>Article</w:t>
      </w:r>
      <w:r w:rsidRPr="00FE49FD">
        <w:t xml:space="preserve"> 3(3))</w:t>
      </w:r>
      <w:bookmarkEnd w:id="12"/>
      <w:bookmarkEnd w:id="13"/>
    </w:p>
    <w:p w14:paraId="1E842211" w14:textId="77777777" w:rsidR="00227545" w:rsidRPr="00227545" w:rsidRDefault="00227545" w:rsidP="00B6414C">
      <w:pPr>
        <w:spacing w:after="240"/>
        <w:ind w:firstLine="567"/>
        <w:jc w:val="both"/>
        <w:rPr>
          <w:rFonts w:cs="Times New Roman"/>
          <w:i/>
        </w:rPr>
      </w:pPr>
      <w:r w:rsidRPr="00DD1130">
        <w:rPr>
          <w:rFonts w:cs="Times New Roman"/>
          <w:i/>
        </w:rPr>
        <w:t>Training of teachers</w:t>
      </w:r>
    </w:p>
    <w:p w14:paraId="4E1BA0D8" w14:textId="2B6FDA24" w:rsidR="00382201" w:rsidRDefault="00DD1130" w:rsidP="00B6414C">
      <w:pPr>
        <w:pStyle w:val="ListParagraph"/>
        <w:numPr>
          <w:ilvl w:val="3"/>
          <w:numId w:val="21"/>
        </w:numPr>
        <w:spacing w:after="240"/>
        <w:ind w:left="567" w:hanging="567"/>
        <w:jc w:val="both"/>
        <w:rPr>
          <w:rFonts w:cs="Times New Roman"/>
        </w:rPr>
      </w:pPr>
      <w:r w:rsidRPr="00227545">
        <w:rPr>
          <w:rFonts w:cs="Times New Roman"/>
        </w:rPr>
        <w:t xml:space="preserve">The core curriculum for student teachers at the National Institute of Education </w:t>
      </w:r>
      <w:r w:rsidR="0033671D">
        <w:rPr>
          <w:rFonts w:cs="Times New Roman"/>
        </w:rPr>
        <w:t xml:space="preserve">(NIE) </w:t>
      </w:r>
      <w:r w:rsidRPr="00227545">
        <w:rPr>
          <w:rFonts w:cs="Times New Roman"/>
        </w:rPr>
        <w:t>covers Ethos and Ethics for Teachers, Teachers’ Creed and The Desired Outcomes of Education. A key feature of these frameworks is the emphasis o</w:t>
      </w:r>
      <w:r w:rsidR="00DD2B72">
        <w:rPr>
          <w:rFonts w:cs="Times New Roman"/>
        </w:rPr>
        <w:t>n</w:t>
      </w:r>
      <w:r w:rsidRPr="00227545">
        <w:rPr>
          <w:rFonts w:cs="Times New Roman"/>
        </w:rPr>
        <w:t xml:space="preserve"> teachers’ moral and ethical commitment to the rights of children. These are covered through compulsory courses and programme components such as a core course on the Social Context of Teaching and Learning, Meranti Project and Beginning Teachers Orientation Programme. In addition, NIE offers the following elective courses which cover some aspects of children’s rights:</w:t>
      </w:r>
    </w:p>
    <w:p w14:paraId="14F660ED" w14:textId="7D1064DA" w:rsidR="00382201" w:rsidRDefault="00DD1130" w:rsidP="00B6414C">
      <w:pPr>
        <w:pStyle w:val="ListParagraph"/>
        <w:numPr>
          <w:ilvl w:val="4"/>
          <w:numId w:val="28"/>
        </w:numPr>
        <w:spacing w:after="240"/>
        <w:ind w:left="1134" w:hanging="567"/>
        <w:jc w:val="both"/>
        <w:rPr>
          <w:rFonts w:cs="Times New Roman"/>
        </w:rPr>
      </w:pPr>
      <w:r w:rsidRPr="00382201">
        <w:rPr>
          <w:rFonts w:cs="Times New Roman"/>
        </w:rPr>
        <w:t>Basic Counselling Skills for Teachers in Initial Training Programme</w:t>
      </w:r>
      <w:r w:rsidR="001962CB">
        <w:rPr>
          <w:rFonts w:cs="Times New Roman"/>
        </w:rPr>
        <w:t>;</w:t>
      </w:r>
    </w:p>
    <w:p w14:paraId="4AF13180" w14:textId="78F9EDDC" w:rsidR="00382201" w:rsidRDefault="00DD1130" w:rsidP="00B6414C">
      <w:pPr>
        <w:pStyle w:val="ListParagraph"/>
        <w:numPr>
          <w:ilvl w:val="4"/>
          <w:numId w:val="28"/>
        </w:numPr>
        <w:spacing w:after="240"/>
        <w:ind w:left="1134" w:hanging="567"/>
        <w:jc w:val="both"/>
        <w:rPr>
          <w:rFonts w:cs="Times New Roman"/>
        </w:rPr>
      </w:pPr>
      <w:r w:rsidRPr="00382201">
        <w:rPr>
          <w:rFonts w:cs="Times New Roman"/>
        </w:rPr>
        <w:t>Introduction to Counselling Psychology</w:t>
      </w:r>
      <w:r w:rsidR="001962CB">
        <w:rPr>
          <w:rFonts w:cs="Times New Roman"/>
        </w:rPr>
        <w:t>; and</w:t>
      </w:r>
    </w:p>
    <w:p w14:paraId="2204C754" w14:textId="0CA51FFB" w:rsidR="00DD1130" w:rsidRPr="00382201" w:rsidRDefault="00DD1130" w:rsidP="00B6414C">
      <w:pPr>
        <w:pStyle w:val="ListParagraph"/>
        <w:numPr>
          <w:ilvl w:val="4"/>
          <w:numId w:val="28"/>
        </w:numPr>
        <w:spacing w:after="240"/>
        <w:ind w:left="1134" w:hanging="567"/>
        <w:jc w:val="both"/>
        <w:rPr>
          <w:rFonts w:cs="Times New Roman"/>
        </w:rPr>
      </w:pPr>
      <w:r w:rsidRPr="00382201">
        <w:rPr>
          <w:rFonts w:cs="Times New Roman"/>
        </w:rPr>
        <w:t>Youths at-risk: From the Classroom to the Courtroom</w:t>
      </w:r>
      <w:r w:rsidR="003143E3">
        <w:rPr>
          <w:rFonts w:cs="Times New Roman"/>
        </w:rPr>
        <w:t>.</w:t>
      </w:r>
    </w:p>
    <w:p w14:paraId="2C5FB476" w14:textId="77777777" w:rsidR="00722E98" w:rsidRPr="00722E98" w:rsidRDefault="00722E98" w:rsidP="00B6414C">
      <w:pPr>
        <w:jc w:val="both"/>
      </w:pPr>
    </w:p>
    <w:p w14:paraId="5FD21F54" w14:textId="77777777" w:rsidR="004A7D04" w:rsidRDefault="004A7D04">
      <w:pPr>
        <w:rPr>
          <w:rFonts w:eastAsiaTheme="majorEastAsia" w:cs="Times New Roman"/>
          <w:b/>
          <w:color w:val="000000" w:themeColor="text1"/>
          <w:sz w:val="28"/>
        </w:rPr>
      </w:pPr>
      <w:bookmarkStart w:id="14" w:name="_Toc495686633"/>
      <w:r>
        <w:br w:type="page"/>
      </w:r>
    </w:p>
    <w:p w14:paraId="6E9AEFA0" w14:textId="5AB7FF83" w:rsidR="00654704" w:rsidRDefault="00654704" w:rsidP="00B6414C">
      <w:pPr>
        <w:pStyle w:val="Heading2"/>
      </w:pPr>
      <w:r w:rsidRPr="00FE49FD">
        <w:t>GENERAL PRINCIPLES</w:t>
      </w:r>
      <w:bookmarkEnd w:id="6"/>
      <w:bookmarkEnd w:id="14"/>
    </w:p>
    <w:p w14:paraId="48E7C862" w14:textId="77777777" w:rsidR="00382201" w:rsidRPr="00382201" w:rsidRDefault="00382201" w:rsidP="00B6414C">
      <w:pPr>
        <w:jc w:val="both"/>
      </w:pPr>
    </w:p>
    <w:p w14:paraId="7EFF29CB" w14:textId="77777777" w:rsidR="00654704" w:rsidRDefault="00654704" w:rsidP="00B6414C">
      <w:pPr>
        <w:pStyle w:val="Heading3"/>
        <w:ind w:firstLine="567"/>
        <w:jc w:val="both"/>
      </w:pPr>
      <w:bookmarkStart w:id="15" w:name="_Toc458688073"/>
      <w:bookmarkStart w:id="16" w:name="_Toc495686634"/>
      <w:r w:rsidRPr="00FE49FD">
        <w:t>Non-discrimination (</w:t>
      </w:r>
      <w:r>
        <w:t>Article</w:t>
      </w:r>
      <w:r w:rsidRPr="00FE49FD">
        <w:t xml:space="preserve"> 2)</w:t>
      </w:r>
      <w:bookmarkEnd w:id="15"/>
      <w:bookmarkEnd w:id="16"/>
    </w:p>
    <w:p w14:paraId="1DF35AEB" w14:textId="77777777" w:rsidR="00227545" w:rsidRPr="00382201" w:rsidRDefault="00654704" w:rsidP="00B6414C">
      <w:pPr>
        <w:pStyle w:val="ListParagraph"/>
        <w:numPr>
          <w:ilvl w:val="3"/>
          <w:numId w:val="21"/>
        </w:numPr>
        <w:spacing w:after="240"/>
        <w:ind w:left="567" w:hanging="567"/>
        <w:jc w:val="both"/>
        <w:rPr>
          <w:rFonts w:cs="Times New Roman"/>
        </w:rPr>
      </w:pPr>
      <w:r>
        <w:t>U</w:t>
      </w:r>
      <w:r w:rsidRPr="00C60D03">
        <w:t xml:space="preserve">nder the Care </w:t>
      </w:r>
      <w:r w:rsidRPr="00271F9D">
        <w:t>and Share Movement, one of the events was a first-ever inclusive mass beach picnic involving children and youths with special needs, their families and the public</w:t>
      </w:r>
      <w:r w:rsidRPr="00C60D03">
        <w:t xml:space="preserve">. </w:t>
      </w:r>
    </w:p>
    <w:p w14:paraId="1BF39AC0" w14:textId="77777777" w:rsidR="00382201" w:rsidRPr="00227545" w:rsidRDefault="00382201" w:rsidP="00B6414C">
      <w:pPr>
        <w:pStyle w:val="ListParagraph"/>
        <w:spacing w:after="240"/>
        <w:ind w:left="567"/>
        <w:jc w:val="both"/>
        <w:rPr>
          <w:rFonts w:cs="Times New Roman"/>
        </w:rPr>
      </w:pPr>
    </w:p>
    <w:p w14:paraId="6B84861F" w14:textId="19FC2C89" w:rsidR="00382201" w:rsidRPr="00382201" w:rsidRDefault="00654704" w:rsidP="00B6414C">
      <w:pPr>
        <w:pStyle w:val="ListParagraph"/>
        <w:numPr>
          <w:ilvl w:val="3"/>
          <w:numId w:val="21"/>
        </w:numPr>
        <w:spacing w:after="240"/>
        <w:ind w:left="567" w:hanging="567"/>
        <w:jc w:val="both"/>
        <w:rPr>
          <w:rFonts w:cs="Times New Roman"/>
        </w:rPr>
      </w:pPr>
      <w:r w:rsidRPr="00C60D03">
        <w:t xml:space="preserve">Since 2013, the Purple Parade is held annually to </w:t>
      </w:r>
      <w:r w:rsidRPr="00227545">
        <w:rPr>
          <w:rFonts w:cs="Times New Roman"/>
          <w:color w:val="000000"/>
        </w:rPr>
        <w:t xml:space="preserve">support inclusion and celebrate the abilities of persons with disabilities. </w:t>
      </w:r>
      <w:r w:rsidRPr="00C60D03">
        <w:t>Participants from the public, private and people sectors c</w:t>
      </w:r>
      <w:r w:rsidR="001962CB">
        <w:t>o</w:t>
      </w:r>
      <w:r w:rsidRPr="00C60D03">
        <w:t>me together at the parade to show solidarity for persons with disabilities.</w:t>
      </w:r>
      <w:r>
        <w:t xml:space="preserve"> </w:t>
      </w:r>
      <w:r w:rsidRPr="00227545">
        <w:rPr>
          <w:rFonts w:cs="Times New Roman"/>
          <w:color w:val="000000"/>
        </w:rPr>
        <w:t>In 2015, the Purple Parade broke</w:t>
      </w:r>
      <w:r w:rsidRPr="00C60D03">
        <w:t xml:space="preserve"> the Singapore Book of Records with 3,000 people donning purple spectacles togethe</w:t>
      </w:r>
      <w:r w:rsidR="00382201">
        <w:t xml:space="preserve">r in support </w:t>
      </w:r>
      <w:r w:rsidR="00DD2B72">
        <w:t>of</w:t>
      </w:r>
      <w:r w:rsidR="00382201">
        <w:t xml:space="preserve"> inclusiveness.</w:t>
      </w:r>
    </w:p>
    <w:p w14:paraId="561A5350" w14:textId="77777777" w:rsidR="00382201" w:rsidRPr="00382201" w:rsidRDefault="00382201" w:rsidP="00B6414C">
      <w:pPr>
        <w:pStyle w:val="ListParagraph"/>
        <w:jc w:val="both"/>
        <w:rPr>
          <w:color w:val="0070C0"/>
        </w:rPr>
      </w:pPr>
    </w:p>
    <w:p w14:paraId="4AFB0E3C" w14:textId="4B8CFA9E" w:rsidR="00382201" w:rsidRPr="00382201" w:rsidRDefault="00654704" w:rsidP="00B6414C">
      <w:pPr>
        <w:pStyle w:val="ListParagraph"/>
        <w:numPr>
          <w:ilvl w:val="3"/>
          <w:numId w:val="21"/>
        </w:numPr>
        <w:spacing w:after="240"/>
        <w:ind w:left="567" w:hanging="567"/>
        <w:jc w:val="both"/>
        <w:rPr>
          <w:rFonts w:cs="Times New Roman"/>
        </w:rPr>
      </w:pPr>
      <w:r>
        <w:t>Other</w:t>
      </w:r>
      <w:r w:rsidRPr="00C60D03">
        <w:t xml:space="preserve"> public campaigns, such as the Disability Awareness Campaign in 2015 and “We Are Able! – Enhancing Possibilities, Celebrating Abilities” Campaign, are described </w:t>
      </w:r>
      <w:r>
        <w:t>i</w:t>
      </w:r>
      <w:r w:rsidRPr="00C60D03">
        <w:t xml:space="preserve">n Singapore’s </w:t>
      </w:r>
      <w:r>
        <w:t>Initial Report</w:t>
      </w:r>
      <w:r w:rsidRPr="00C60D03">
        <w:t xml:space="preserve"> to the </w:t>
      </w:r>
      <w:r w:rsidRPr="00382201">
        <w:rPr>
          <w:bCs/>
        </w:rPr>
        <w:t>CRPD</w:t>
      </w:r>
      <w:r w:rsidR="001962CB">
        <w:rPr>
          <w:bCs/>
        </w:rPr>
        <w:t>.</w:t>
      </w:r>
      <w:r>
        <w:rPr>
          <w:rStyle w:val="FootnoteReference"/>
          <w:bCs/>
        </w:rPr>
        <w:footnoteReference w:id="3"/>
      </w:r>
    </w:p>
    <w:p w14:paraId="1C5DFC66" w14:textId="77777777" w:rsidR="00382201" w:rsidRDefault="00382201" w:rsidP="00B6414C">
      <w:pPr>
        <w:pStyle w:val="ListParagraph"/>
        <w:jc w:val="both"/>
      </w:pPr>
    </w:p>
    <w:p w14:paraId="5CA89E68" w14:textId="7A454301" w:rsidR="00654704" w:rsidRPr="00382201" w:rsidRDefault="00654704" w:rsidP="00B6414C">
      <w:pPr>
        <w:pStyle w:val="ListParagraph"/>
        <w:numPr>
          <w:ilvl w:val="3"/>
          <w:numId w:val="21"/>
        </w:numPr>
        <w:spacing w:after="240"/>
        <w:ind w:left="567" w:hanging="567"/>
        <w:jc w:val="both"/>
        <w:rPr>
          <w:rFonts w:cs="Times New Roman"/>
        </w:rPr>
      </w:pPr>
      <w:r>
        <w:t>In addition, a</w:t>
      </w:r>
      <w:r w:rsidRPr="00C60D03">
        <w:t xml:space="preserve"> public education campaign ‘</w:t>
      </w:r>
      <w:r w:rsidRPr="00382201">
        <w:rPr>
          <w:i/>
        </w:rPr>
        <w:t>See the True Me’</w:t>
      </w:r>
      <w:r w:rsidRPr="00C60D03">
        <w:t xml:space="preserve"> was launched in June 2016 to build an inclusive mindset amongst the citizens where persons with disabilities are acknowledged for their abilities, viewed as active contributors to the society and accepted for who they are.  </w:t>
      </w:r>
    </w:p>
    <w:p w14:paraId="4BD1F551" w14:textId="77777777" w:rsidR="00992A88" w:rsidRDefault="00992A88" w:rsidP="00B6414C">
      <w:pPr>
        <w:jc w:val="both"/>
      </w:pPr>
      <w:bookmarkStart w:id="17" w:name="_Toc458688077"/>
    </w:p>
    <w:p w14:paraId="10C348C9" w14:textId="77777777" w:rsidR="000A6755" w:rsidRDefault="000A6755">
      <w:pPr>
        <w:rPr>
          <w:rFonts w:eastAsiaTheme="majorEastAsia" w:cs="Times New Roman"/>
          <w:b/>
          <w:color w:val="000000" w:themeColor="text1"/>
          <w:sz w:val="28"/>
        </w:rPr>
      </w:pPr>
      <w:r>
        <w:br w:type="page"/>
      </w:r>
    </w:p>
    <w:p w14:paraId="50BCEFBA" w14:textId="7E11ED23" w:rsidR="00992A88" w:rsidRDefault="00992A88" w:rsidP="00B6414C">
      <w:pPr>
        <w:pStyle w:val="Heading2"/>
      </w:pPr>
      <w:bookmarkStart w:id="18" w:name="_Toc495686635"/>
      <w:r w:rsidRPr="00FE49FD">
        <w:t>CIVIL RIGHTS AND FREEDOM</w:t>
      </w:r>
      <w:bookmarkEnd w:id="17"/>
      <w:bookmarkEnd w:id="18"/>
    </w:p>
    <w:p w14:paraId="7B45A176" w14:textId="77777777" w:rsidR="00382201" w:rsidRPr="00382201" w:rsidRDefault="00382201" w:rsidP="00B6414C">
      <w:pPr>
        <w:jc w:val="both"/>
      </w:pPr>
    </w:p>
    <w:p w14:paraId="3950257A" w14:textId="77777777" w:rsidR="00992A88" w:rsidRPr="00FE49FD" w:rsidRDefault="00992A88" w:rsidP="00B6414C">
      <w:pPr>
        <w:pStyle w:val="Heading3"/>
        <w:ind w:firstLine="567"/>
        <w:jc w:val="both"/>
      </w:pPr>
      <w:bookmarkStart w:id="19" w:name="_Toc458688083"/>
      <w:bookmarkStart w:id="20" w:name="_Toc495686636"/>
      <w:r w:rsidRPr="00FE49FD">
        <w:t>Access to appropriate information (</w:t>
      </w:r>
      <w:r>
        <w:t>Article</w:t>
      </w:r>
      <w:r w:rsidRPr="00FE49FD">
        <w:t xml:space="preserve"> 17)</w:t>
      </w:r>
      <w:bookmarkEnd w:id="19"/>
      <w:bookmarkEnd w:id="20"/>
    </w:p>
    <w:p w14:paraId="52BA8BAA" w14:textId="3402D7BA" w:rsidR="00382201" w:rsidRPr="00382201" w:rsidRDefault="00305810" w:rsidP="00B6414C">
      <w:pPr>
        <w:pStyle w:val="ListParagraph"/>
        <w:numPr>
          <w:ilvl w:val="3"/>
          <w:numId w:val="21"/>
        </w:numPr>
        <w:spacing w:after="240"/>
        <w:ind w:left="567" w:hanging="567"/>
        <w:jc w:val="both"/>
        <w:rPr>
          <w:rFonts w:cs="Times New Roman"/>
        </w:rPr>
      </w:pPr>
      <w:r>
        <w:t xml:space="preserve">There are measures to ensure quality broadcasts for children and protect them from injurious material. Such measures include the </w:t>
      </w:r>
      <w:r w:rsidR="000A5CD1">
        <w:t xml:space="preserve">Info-Communications </w:t>
      </w:r>
      <w:r>
        <w:t>Media Development Authority’s (</w:t>
      </w:r>
      <w:r w:rsidR="000A5CD1">
        <w:t>I</w:t>
      </w:r>
      <w:r>
        <w:t>MDA)</w:t>
      </w:r>
      <w:r w:rsidR="00A90EF4">
        <w:rPr>
          <w:rStyle w:val="FootnoteReference"/>
        </w:rPr>
        <w:footnoteReference w:id="4"/>
      </w:r>
      <w:r>
        <w:t xml:space="preserve"> Programme </w:t>
      </w:r>
      <w:r w:rsidRPr="00485B9B">
        <w:t>Advisory Committees</w:t>
      </w:r>
      <w:r>
        <w:t xml:space="preserve">, and classifications by </w:t>
      </w:r>
      <w:r w:rsidR="000A5CD1">
        <w:t>I</w:t>
      </w:r>
      <w:r>
        <w:t>MDA under the Films Act. In addition, p</w:t>
      </w:r>
      <w:r w:rsidRPr="0004632F">
        <w:t>arental locks or access with a unique</w:t>
      </w:r>
      <w:r w:rsidR="00942136">
        <w:t xml:space="preserve"> personal </w:t>
      </w:r>
      <w:r w:rsidR="00242BFB">
        <w:t>identification</w:t>
      </w:r>
      <w:r w:rsidR="00942136">
        <w:t xml:space="preserve"> number (</w:t>
      </w:r>
      <w:r w:rsidRPr="0004632F">
        <w:t>PIN</w:t>
      </w:r>
      <w:r w:rsidR="00942136">
        <w:t>)</w:t>
      </w:r>
      <w:r w:rsidRPr="0004632F">
        <w:t xml:space="preserve"> are required for subscription </w:t>
      </w:r>
      <w:r w:rsidR="001D25C7">
        <w:t>television</w:t>
      </w:r>
      <w:r w:rsidR="001D25C7" w:rsidRPr="0004632F">
        <w:t xml:space="preserve"> </w:t>
      </w:r>
      <w:r w:rsidRPr="0004632F">
        <w:t xml:space="preserve">services with more mature programmes or R21 </w:t>
      </w:r>
      <w:r>
        <w:t>(</w:t>
      </w:r>
      <w:r w:rsidR="00DD2B72">
        <w:t>r</w:t>
      </w:r>
      <w:r>
        <w:t xml:space="preserve">estricted 21) </w:t>
      </w:r>
      <w:r w:rsidRPr="0004632F">
        <w:t>content.</w:t>
      </w:r>
      <w:r w:rsidRPr="00793768">
        <w:t xml:space="preserve"> </w:t>
      </w:r>
      <w:r w:rsidRPr="0004632F">
        <w:t xml:space="preserve">For scheduled </w:t>
      </w:r>
      <w:r>
        <w:t xml:space="preserve">television and radio </w:t>
      </w:r>
      <w:r w:rsidRPr="0004632F">
        <w:t>programming, mature content is scheduled at timeslots that are less accessible to children.</w:t>
      </w:r>
    </w:p>
    <w:p w14:paraId="598CEA7F" w14:textId="77777777" w:rsidR="00382201" w:rsidRPr="00382201" w:rsidRDefault="00382201" w:rsidP="00B6414C">
      <w:pPr>
        <w:pStyle w:val="ListParagraph"/>
        <w:spacing w:after="240"/>
        <w:ind w:left="567"/>
        <w:jc w:val="both"/>
        <w:rPr>
          <w:rFonts w:cs="Times New Roman"/>
        </w:rPr>
      </w:pPr>
    </w:p>
    <w:p w14:paraId="0E0D0001" w14:textId="4E288941" w:rsidR="00305810" w:rsidRPr="00382201" w:rsidRDefault="00A90EF4" w:rsidP="00B6414C">
      <w:pPr>
        <w:pStyle w:val="ListParagraph"/>
        <w:numPr>
          <w:ilvl w:val="3"/>
          <w:numId w:val="21"/>
        </w:numPr>
        <w:spacing w:after="240"/>
        <w:ind w:left="567" w:hanging="567"/>
        <w:jc w:val="both"/>
        <w:rPr>
          <w:rFonts w:cs="Times New Roman"/>
        </w:rPr>
      </w:pPr>
      <w:r>
        <w:t>Then-</w:t>
      </w:r>
      <w:r w:rsidR="00305810" w:rsidRPr="0004632F">
        <w:t xml:space="preserve">MDA </w:t>
      </w:r>
      <w:r w:rsidR="00305810">
        <w:t xml:space="preserve">also </w:t>
      </w:r>
      <w:r w:rsidR="00305810" w:rsidRPr="0004632F">
        <w:t>introduced age classification for video ga</w:t>
      </w:r>
      <w:r w:rsidR="00563636">
        <w:t xml:space="preserve">mes in April 2008. </w:t>
      </w:r>
      <w:r>
        <w:t>The</w:t>
      </w:r>
      <w:r w:rsidR="00563636">
        <w:t xml:space="preserve"> Video</w:t>
      </w:r>
      <w:r w:rsidR="000F2F30">
        <w:t xml:space="preserve"> </w:t>
      </w:r>
      <w:r w:rsidR="00563636">
        <w:t>​</w:t>
      </w:r>
      <w:r w:rsidR="00305810" w:rsidRPr="0004632F">
        <w:t>Games Classification system has two ratings - M18 (Mature 18)</w:t>
      </w:r>
      <w:r w:rsidR="00305810">
        <w:t xml:space="preserve"> </w:t>
      </w:r>
      <w:r w:rsidR="00305810" w:rsidRPr="0004632F">
        <w:t>and Age Advisory “Suitable for 16 &amp; Above”. The</w:t>
      </w:r>
      <w:r w:rsidR="00305810">
        <w:t xml:space="preserve"> game</w:t>
      </w:r>
      <w:r w:rsidR="00DD2B72">
        <w:t>s</w:t>
      </w:r>
      <w:r w:rsidR="00305810">
        <w:t xml:space="preserve"> rated as M18</w:t>
      </w:r>
      <w:r w:rsidR="00305810" w:rsidRPr="0004632F">
        <w:t xml:space="preserve"> </w:t>
      </w:r>
      <w:r w:rsidR="00305810">
        <w:t xml:space="preserve">can only </w:t>
      </w:r>
      <w:r w:rsidR="00305810" w:rsidRPr="0004632F">
        <w:t>be sold to persons aged 18 years and above</w:t>
      </w:r>
      <w:r w:rsidR="00305810">
        <w:t xml:space="preserve">. </w:t>
      </w:r>
      <w:r w:rsidR="00305810" w:rsidRPr="0004632F">
        <w:t xml:space="preserve">“Suitable for 16 &amp; Above” </w:t>
      </w:r>
      <w:r w:rsidR="00305810">
        <w:t>is an advisory rating</w:t>
      </w:r>
      <w:r w:rsidR="00E16ED0">
        <w:t>,</w:t>
      </w:r>
      <w:r w:rsidR="00305810" w:rsidRPr="0004632F">
        <w:t xml:space="preserve"> with retailers encouraged to exercise responsibility and not sell such titles to those below 16</w:t>
      </w:r>
      <w:r w:rsidR="00305810">
        <w:t xml:space="preserve"> years</w:t>
      </w:r>
      <w:r w:rsidR="00305810" w:rsidRPr="0004632F">
        <w:t>.</w:t>
      </w:r>
    </w:p>
    <w:p w14:paraId="23C5CF20" w14:textId="77777777" w:rsidR="00305810" w:rsidRPr="007F081B" w:rsidRDefault="00305810" w:rsidP="00B6414C">
      <w:pPr>
        <w:spacing w:after="240"/>
        <w:ind w:firstLine="567"/>
        <w:jc w:val="both"/>
        <w:rPr>
          <w:rFonts w:cs="Times New Roman"/>
          <w:i/>
        </w:rPr>
      </w:pPr>
      <w:r w:rsidRPr="007F081B">
        <w:rPr>
          <w:i/>
        </w:rPr>
        <w:t>Internet</w:t>
      </w:r>
    </w:p>
    <w:p w14:paraId="76A7D145" w14:textId="4E82979F" w:rsidR="00305810" w:rsidRPr="00382201" w:rsidRDefault="00305810" w:rsidP="00B6414C">
      <w:pPr>
        <w:pStyle w:val="ListParagraph"/>
        <w:numPr>
          <w:ilvl w:val="3"/>
          <w:numId w:val="21"/>
        </w:numPr>
        <w:spacing w:after="240"/>
        <w:ind w:left="567" w:hanging="567"/>
        <w:jc w:val="both"/>
        <w:rPr>
          <w:rFonts w:cs="Times New Roman"/>
        </w:rPr>
      </w:pPr>
      <w:r w:rsidRPr="0004632F">
        <w:t>Online content services that target the Singapore market, such as those provided by Apple, Google and Netflix, carry local age ratings, consumer advice, and access controls on their services to aid parental guidance and protect the young from inadvertent access to mature content. For content services offering more mature content, such content is locked by default and can only be accessed with a PIN determined by the subscriber.</w:t>
      </w:r>
      <w:r>
        <w:t xml:space="preserve"> </w:t>
      </w:r>
      <w:r w:rsidRPr="0004632F">
        <w:t xml:space="preserve">Internet access service providers are </w:t>
      </w:r>
      <w:r>
        <w:t xml:space="preserve">also </w:t>
      </w:r>
      <w:r w:rsidRPr="0004632F">
        <w:t>required to</w:t>
      </w:r>
      <w:r w:rsidRPr="00B14007">
        <w:t xml:space="preserve"> inform and</w:t>
      </w:r>
      <w:r w:rsidRPr="0004632F">
        <w:t xml:space="preserve"> offer optional Internet filtering services to individuals subscribing to their Internet broadband services. By the end of 2016, they would also need to offer a free trial of their Internet filter</w:t>
      </w:r>
      <w:r>
        <w:t>ing service to new subscribers.</w:t>
      </w:r>
    </w:p>
    <w:p w14:paraId="1F142B52" w14:textId="77777777" w:rsidR="00E57926" w:rsidRPr="00382201" w:rsidRDefault="00E57926" w:rsidP="00B6414C">
      <w:pPr>
        <w:spacing w:after="240"/>
        <w:ind w:firstLine="567"/>
        <w:jc w:val="both"/>
        <w:rPr>
          <w:rFonts w:cs="Times New Roman"/>
          <w:i/>
        </w:rPr>
      </w:pPr>
      <w:r w:rsidRPr="00382201">
        <w:rPr>
          <w:i/>
        </w:rPr>
        <w:t>Library services</w:t>
      </w:r>
    </w:p>
    <w:p w14:paraId="5D12AF95" w14:textId="2EA61AF7" w:rsidR="007A21FF" w:rsidRPr="007A21FF" w:rsidRDefault="007A21FF" w:rsidP="00B6414C">
      <w:pPr>
        <w:pStyle w:val="ListParagraph"/>
        <w:numPr>
          <w:ilvl w:val="3"/>
          <w:numId w:val="21"/>
        </w:numPr>
        <w:ind w:left="567" w:hanging="567"/>
        <w:jc w:val="both"/>
      </w:pPr>
      <w:r w:rsidRPr="007A21FF">
        <w:t>Library services for children are provided by the National Library Board’s (NLB) regional and public libraries. The librar</w:t>
      </w:r>
      <w:r w:rsidR="00852AEC">
        <w:t>ies’</w:t>
      </w:r>
      <w:r w:rsidRPr="007A21FF">
        <w:t xml:space="preserve"> collections are constantly updated with local and overseas children</w:t>
      </w:r>
      <w:r w:rsidR="00852AEC">
        <w:t>’s</w:t>
      </w:r>
      <w:r w:rsidRPr="007A21FF">
        <w:t xml:space="preserve"> works. For instance, the TumbleBook Library provides a collection of over 1,000 animated talking picture books that are popular among children, and  are accessible at all libraries and from home. </w:t>
      </w:r>
    </w:p>
    <w:p w14:paraId="4037DF0E" w14:textId="77777777" w:rsidR="007A21FF" w:rsidRPr="007A21FF" w:rsidRDefault="007A21FF" w:rsidP="00B6414C">
      <w:pPr>
        <w:pStyle w:val="ListParagraph"/>
        <w:ind w:left="567"/>
        <w:jc w:val="both"/>
      </w:pPr>
    </w:p>
    <w:p w14:paraId="2046531A" w14:textId="14F3DAC2" w:rsidR="007A21FF" w:rsidRPr="007A21FF" w:rsidRDefault="007A21FF" w:rsidP="00B6414C">
      <w:pPr>
        <w:pStyle w:val="ListParagraph"/>
        <w:numPr>
          <w:ilvl w:val="3"/>
          <w:numId w:val="21"/>
        </w:numPr>
        <w:ind w:left="567" w:hanging="567"/>
        <w:jc w:val="both"/>
      </w:pPr>
      <w:r w:rsidRPr="007A21FF">
        <w:t xml:space="preserve">In April 2014, NLB launched its first Early Literacy Library (ELL), housed at Jurong Regional Library. The ELL provides resources such as educational aids and toys, and programmes that assist parents and educators to engage young children </w:t>
      </w:r>
      <w:r w:rsidR="00504B68">
        <w:t>to</w:t>
      </w:r>
      <w:r w:rsidRPr="007A21FF">
        <w:t xml:space="preserve"> read. The curated Early Literacy collection is also available at the upgraded Sembawang Public Library and Pasir Ris Public Library. </w:t>
      </w:r>
    </w:p>
    <w:p w14:paraId="3A75013D" w14:textId="77777777" w:rsidR="007A21FF" w:rsidRPr="007A21FF" w:rsidRDefault="007A21FF" w:rsidP="00B6414C">
      <w:pPr>
        <w:pStyle w:val="ListParagraph"/>
        <w:ind w:left="567"/>
        <w:jc w:val="both"/>
      </w:pPr>
    </w:p>
    <w:p w14:paraId="460D1755" w14:textId="21D96FFE" w:rsidR="000A6755" w:rsidRPr="000A6755" w:rsidRDefault="007A21FF" w:rsidP="000A6755">
      <w:pPr>
        <w:pStyle w:val="ListParagraph"/>
        <w:numPr>
          <w:ilvl w:val="3"/>
          <w:numId w:val="21"/>
        </w:numPr>
        <w:ind w:left="567" w:hanging="567"/>
        <w:jc w:val="both"/>
      </w:pPr>
      <w:r w:rsidRPr="007A21FF">
        <w:t xml:space="preserve">In May 2014, NLB launched two additional mini-Mobile Library buses to bring books and reading programmes to the kindergartens and childcare centres in public housing estates. The 7.5-metre-long vehicles can serve up to 12 users at a time. Librarians manning these mini-Mobile Libraries also organise activities such as story-telling, arts and craft for the young readers. These complement a larger mobile library commissioned in September 2016 to serve students with special-needs or disabilities at their schools, as these students may normally find it difficult to visit public libraries on their own. </w:t>
      </w:r>
      <w:bookmarkStart w:id="21" w:name="_Toc458688084"/>
      <w:bookmarkStart w:id="22" w:name="_Toc458688108"/>
      <w:bookmarkEnd w:id="0"/>
    </w:p>
    <w:p w14:paraId="1269E78E" w14:textId="77777777" w:rsidR="004A7D04" w:rsidRDefault="004A7D04" w:rsidP="00B6414C">
      <w:pPr>
        <w:pStyle w:val="Heading2"/>
      </w:pPr>
      <w:bookmarkStart w:id="23" w:name="_Toc495686637"/>
    </w:p>
    <w:p w14:paraId="2D4F6A91" w14:textId="77777777" w:rsidR="004A7D04" w:rsidRDefault="004A7D04">
      <w:pPr>
        <w:rPr>
          <w:rFonts w:eastAsiaTheme="majorEastAsia" w:cs="Times New Roman"/>
          <w:b/>
          <w:color w:val="000000" w:themeColor="text1"/>
          <w:sz w:val="28"/>
        </w:rPr>
      </w:pPr>
      <w:r>
        <w:br w:type="page"/>
      </w:r>
    </w:p>
    <w:p w14:paraId="527597A6" w14:textId="3FAEBB2C" w:rsidR="00C47255" w:rsidRPr="00382201" w:rsidRDefault="00C47255" w:rsidP="00B6414C">
      <w:pPr>
        <w:pStyle w:val="Heading2"/>
      </w:pPr>
      <w:r w:rsidRPr="00382201">
        <w:t>VIOLENCE AGAINST CHILDREN</w:t>
      </w:r>
      <w:bookmarkEnd w:id="21"/>
      <w:bookmarkEnd w:id="23"/>
      <w:r w:rsidRPr="00382201">
        <w:t xml:space="preserve"> </w:t>
      </w:r>
    </w:p>
    <w:p w14:paraId="04479453" w14:textId="77777777" w:rsidR="00382201" w:rsidRPr="00382201" w:rsidRDefault="00382201" w:rsidP="00B6414C">
      <w:pPr>
        <w:jc w:val="both"/>
      </w:pPr>
    </w:p>
    <w:p w14:paraId="4911DF89" w14:textId="64F787C4" w:rsidR="00947F9A" w:rsidRPr="00382201" w:rsidRDefault="00947F9A" w:rsidP="00B6414C">
      <w:pPr>
        <w:pStyle w:val="Heading3"/>
        <w:ind w:left="567"/>
        <w:jc w:val="both"/>
      </w:pPr>
      <w:bookmarkStart w:id="24" w:name="_Toc458688087"/>
      <w:bookmarkStart w:id="25" w:name="_Toc495686638"/>
      <w:r w:rsidRPr="00382201">
        <w:t>Torture or other cruel, inhuman or degrading treatment or punishment, including corporal punishment (Articles 37(a)</w:t>
      </w:r>
      <w:r w:rsidR="00143372">
        <w:t xml:space="preserve"> and </w:t>
      </w:r>
      <w:r w:rsidRPr="00382201">
        <w:t>28, para.2)</w:t>
      </w:r>
      <w:bookmarkEnd w:id="24"/>
      <w:bookmarkEnd w:id="25"/>
    </w:p>
    <w:p w14:paraId="4DB96B20" w14:textId="77777777" w:rsidR="00947F9A" w:rsidRPr="00DC5A25" w:rsidRDefault="00947F9A" w:rsidP="00B6414C">
      <w:pPr>
        <w:spacing w:after="240"/>
        <w:ind w:firstLine="567"/>
        <w:jc w:val="both"/>
        <w:rPr>
          <w:rFonts w:cs="Times New Roman"/>
          <w:color w:val="00B050"/>
        </w:rPr>
      </w:pPr>
      <w:r w:rsidRPr="00DC5A25">
        <w:rPr>
          <w:rFonts w:cs="Times New Roman"/>
          <w:i/>
        </w:rPr>
        <w:t xml:space="preserve">Research agenda on violence against children </w:t>
      </w:r>
    </w:p>
    <w:p w14:paraId="5D4F9B17" w14:textId="11FDCB35" w:rsidR="00947F9A" w:rsidRPr="00382201" w:rsidRDefault="00947F9A" w:rsidP="00B6414C">
      <w:pPr>
        <w:pStyle w:val="ListParagraph"/>
        <w:numPr>
          <w:ilvl w:val="3"/>
          <w:numId w:val="21"/>
        </w:numPr>
        <w:spacing w:after="240"/>
        <w:ind w:left="567" w:hanging="567"/>
        <w:jc w:val="both"/>
        <w:rPr>
          <w:rFonts w:cs="Times New Roman"/>
          <w:color w:val="00B050"/>
        </w:rPr>
      </w:pPr>
      <w:r w:rsidRPr="00382201">
        <w:rPr>
          <w:rFonts w:cs="Times New Roman"/>
        </w:rPr>
        <w:t xml:space="preserve">The workgroup on Development of a Child Protection Research Agenda was set up under the Inter-Ministry Workgroup on Child Protection (IWCP) to identify research priorities and develop a research agenda on child protection. Priority research areas were identified through a multi-stage process: </w:t>
      </w:r>
    </w:p>
    <w:p w14:paraId="51FDB3D8" w14:textId="4187C080" w:rsidR="00947F9A" w:rsidRPr="00DC5A25" w:rsidRDefault="00504B68" w:rsidP="00217716">
      <w:pPr>
        <w:pStyle w:val="ListParagraph"/>
        <w:numPr>
          <w:ilvl w:val="1"/>
          <w:numId w:val="18"/>
        </w:numPr>
        <w:spacing w:after="0" w:line="240" w:lineRule="auto"/>
        <w:ind w:left="1134" w:hanging="567"/>
        <w:contextualSpacing w:val="0"/>
        <w:jc w:val="both"/>
        <w:rPr>
          <w:rFonts w:cs="Times New Roman"/>
        </w:rPr>
      </w:pPr>
      <w:r>
        <w:rPr>
          <w:rFonts w:cs="Times New Roman"/>
        </w:rPr>
        <w:t>R</w:t>
      </w:r>
      <w:r w:rsidR="00947F9A" w:rsidRPr="00DC5A25">
        <w:rPr>
          <w:rFonts w:cs="Times New Roman"/>
        </w:rPr>
        <w:t>eview of available literature</w:t>
      </w:r>
      <w:r w:rsidR="00AC24D3">
        <w:rPr>
          <w:rFonts w:cs="Times New Roman"/>
        </w:rPr>
        <w:t>;</w:t>
      </w:r>
      <w:r w:rsidR="00947F9A" w:rsidRPr="00DC5A25">
        <w:rPr>
          <w:rFonts w:cs="Times New Roman"/>
        </w:rPr>
        <w:t xml:space="preserve"> </w:t>
      </w:r>
    </w:p>
    <w:p w14:paraId="0CE9544B" w14:textId="2117BC3D" w:rsidR="00947F9A" w:rsidRPr="00DC5A25" w:rsidRDefault="00504B68" w:rsidP="00217716">
      <w:pPr>
        <w:pStyle w:val="ListParagraph"/>
        <w:numPr>
          <w:ilvl w:val="1"/>
          <w:numId w:val="18"/>
        </w:numPr>
        <w:spacing w:after="0" w:line="240" w:lineRule="auto"/>
        <w:ind w:left="1134" w:hanging="567"/>
        <w:contextualSpacing w:val="0"/>
        <w:jc w:val="both"/>
        <w:rPr>
          <w:rFonts w:cs="Times New Roman"/>
        </w:rPr>
      </w:pPr>
      <w:r>
        <w:rPr>
          <w:rFonts w:cs="Times New Roman"/>
        </w:rPr>
        <w:t>D</w:t>
      </w:r>
      <w:r w:rsidR="00947F9A" w:rsidRPr="00DC5A25">
        <w:rPr>
          <w:rFonts w:cs="Times New Roman"/>
        </w:rPr>
        <w:t>evelopment and administration of surveys</w:t>
      </w:r>
      <w:r w:rsidR="00AC24D3">
        <w:rPr>
          <w:rFonts w:cs="Times New Roman"/>
        </w:rPr>
        <w:t>;</w:t>
      </w:r>
    </w:p>
    <w:p w14:paraId="6E536728" w14:textId="269D3F49" w:rsidR="00947F9A" w:rsidRPr="00DC5A25" w:rsidRDefault="00504B68" w:rsidP="00217716">
      <w:pPr>
        <w:pStyle w:val="ListParagraph"/>
        <w:numPr>
          <w:ilvl w:val="1"/>
          <w:numId w:val="18"/>
        </w:numPr>
        <w:spacing w:after="0" w:line="240" w:lineRule="auto"/>
        <w:ind w:left="1134" w:hanging="567"/>
        <w:contextualSpacing w:val="0"/>
        <w:jc w:val="both"/>
        <w:rPr>
          <w:rFonts w:cs="Times New Roman"/>
        </w:rPr>
      </w:pPr>
      <w:r>
        <w:rPr>
          <w:rFonts w:cs="Times New Roman"/>
        </w:rPr>
        <w:t>A</w:t>
      </w:r>
      <w:r w:rsidR="00947F9A" w:rsidRPr="00DC5A25">
        <w:rPr>
          <w:rFonts w:cs="Times New Roman"/>
        </w:rPr>
        <w:t>nalysis of survey responses</w:t>
      </w:r>
      <w:r w:rsidR="00AC24D3">
        <w:rPr>
          <w:rFonts w:cs="Times New Roman"/>
        </w:rPr>
        <w:t>;</w:t>
      </w:r>
      <w:r w:rsidR="00947F9A" w:rsidRPr="00DC5A25">
        <w:rPr>
          <w:rFonts w:cs="Times New Roman"/>
        </w:rPr>
        <w:t xml:space="preserve"> </w:t>
      </w:r>
    </w:p>
    <w:p w14:paraId="10A9664A" w14:textId="7991A62A" w:rsidR="00947F9A" w:rsidRPr="00DC5A25" w:rsidRDefault="00504B68" w:rsidP="00217716">
      <w:pPr>
        <w:pStyle w:val="ListParagraph"/>
        <w:numPr>
          <w:ilvl w:val="1"/>
          <w:numId w:val="18"/>
        </w:numPr>
        <w:spacing w:after="0" w:line="240" w:lineRule="auto"/>
        <w:ind w:left="1134" w:hanging="567"/>
        <w:contextualSpacing w:val="0"/>
        <w:jc w:val="both"/>
        <w:rPr>
          <w:rFonts w:cs="Times New Roman"/>
        </w:rPr>
      </w:pPr>
      <w:r>
        <w:rPr>
          <w:rFonts w:cs="Times New Roman"/>
        </w:rPr>
        <w:t>C</w:t>
      </w:r>
      <w:r w:rsidR="00947F9A" w:rsidRPr="00DC5A25">
        <w:rPr>
          <w:rFonts w:cs="Times New Roman"/>
        </w:rPr>
        <w:t>onsultation with selected professionals and experts</w:t>
      </w:r>
      <w:r w:rsidR="00AC24D3">
        <w:rPr>
          <w:rFonts w:cs="Times New Roman"/>
        </w:rPr>
        <w:t>; and</w:t>
      </w:r>
    </w:p>
    <w:p w14:paraId="4DC5E8FE" w14:textId="197336E5" w:rsidR="00947F9A" w:rsidRDefault="00504B68" w:rsidP="00217716">
      <w:pPr>
        <w:pStyle w:val="ListParagraph"/>
        <w:numPr>
          <w:ilvl w:val="1"/>
          <w:numId w:val="18"/>
        </w:numPr>
        <w:spacing w:after="0" w:line="240" w:lineRule="auto"/>
        <w:ind w:left="1134" w:hanging="567"/>
        <w:contextualSpacing w:val="0"/>
        <w:jc w:val="both"/>
        <w:rPr>
          <w:rFonts w:cs="Times New Roman"/>
        </w:rPr>
      </w:pPr>
      <w:r>
        <w:rPr>
          <w:rFonts w:cs="Times New Roman"/>
        </w:rPr>
        <w:t>F</w:t>
      </w:r>
      <w:r w:rsidR="00947F9A" w:rsidRPr="00DC5A25">
        <w:rPr>
          <w:rFonts w:cs="Times New Roman"/>
        </w:rPr>
        <w:t xml:space="preserve">inalisation of research agenda. </w:t>
      </w:r>
    </w:p>
    <w:p w14:paraId="3C883662" w14:textId="77777777" w:rsidR="00382201" w:rsidRPr="00DC5A25" w:rsidRDefault="00382201" w:rsidP="00B6414C">
      <w:pPr>
        <w:pStyle w:val="ListParagraph"/>
        <w:spacing w:after="120" w:line="276" w:lineRule="auto"/>
        <w:ind w:left="1134"/>
        <w:contextualSpacing w:val="0"/>
        <w:jc w:val="both"/>
        <w:rPr>
          <w:rFonts w:cs="Times New Roman"/>
        </w:rPr>
      </w:pPr>
    </w:p>
    <w:p w14:paraId="509B2CD6" w14:textId="77777777" w:rsidR="00382201" w:rsidRPr="00382201" w:rsidRDefault="00947F9A" w:rsidP="00B6414C">
      <w:pPr>
        <w:pStyle w:val="ListParagraph"/>
        <w:numPr>
          <w:ilvl w:val="3"/>
          <w:numId w:val="21"/>
        </w:numPr>
        <w:spacing w:after="240"/>
        <w:ind w:left="567" w:hanging="567"/>
        <w:jc w:val="both"/>
        <w:rPr>
          <w:rFonts w:cs="Times New Roman"/>
          <w:color w:val="00B050"/>
        </w:rPr>
      </w:pPr>
      <w:r w:rsidRPr="00382201">
        <w:rPr>
          <w:rFonts w:cs="Times New Roman"/>
          <w:lang w:val="en-GB"/>
        </w:rPr>
        <w:t>Over 350 professionals from social service, education, legal and law enforcement, health, and academic sectors and over 20 parents, foster parents and children responded to the survey and t</w:t>
      </w:r>
      <w:r w:rsidRPr="00382201">
        <w:rPr>
          <w:rFonts w:cs="Times New Roman"/>
        </w:rPr>
        <w:t>wo focus group discussions were held with participants from the professional fields.  The themes which emerged formed the priority areas for the National Child Protection Research Agenda for 2015-2019. They are:</w:t>
      </w:r>
    </w:p>
    <w:p w14:paraId="6C13E269" w14:textId="63A08082" w:rsidR="00382201" w:rsidRPr="00382201" w:rsidRDefault="00947F9A" w:rsidP="00B6414C">
      <w:pPr>
        <w:pStyle w:val="ListParagraph"/>
        <w:numPr>
          <w:ilvl w:val="3"/>
          <w:numId w:val="29"/>
        </w:numPr>
        <w:spacing w:after="240"/>
        <w:ind w:left="1134" w:hanging="567"/>
        <w:jc w:val="both"/>
        <w:rPr>
          <w:rFonts w:cs="Times New Roman"/>
          <w:color w:val="00B050"/>
        </w:rPr>
      </w:pPr>
      <w:r w:rsidRPr="00382201">
        <w:rPr>
          <w:rFonts w:cs="Times New Roman"/>
        </w:rPr>
        <w:t>Risk and protective factors relating to child maltreatment</w:t>
      </w:r>
      <w:r w:rsidR="009E3A92">
        <w:rPr>
          <w:rFonts w:cs="Times New Roman"/>
        </w:rPr>
        <w:t>;</w:t>
      </w:r>
      <w:r w:rsidRPr="00382201">
        <w:rPr>
          <w:rFonts w:cs="Times New Roman"/>
        </w:rPr>
        <w:t xml:space="preserve"> </w:t>
      </w:r>
    </w:p>
    <w:p w14:paraId="51E1B9B9" w14:textId="1F6EE0C2" w:rsidR="00382201" w:rsidRPr="00382201" w:rsidRDefault="00947F9A" w:rsidP="00B6414C">
      <w:pPr>
        <w:pStyle w:val="ListParagraph"/>
        <w:numPr>
          <w:ilvl w:val="3"/>
          <w:numId w:val="29"/>
        </w:numPr>
        <w:spacing w:after="240"/>
        <w:ind w:left="1134" w:hanging="567"/>
        <w:jc w:val="both"/>
        <w:rPr>
          <w:rFonts w:cs="Times New Roman"/>
          <w:color w:val="00B050"/>
        </w:rPr>
      </w:pPr>
      <w:r w:rsidRPr="00382201">
        <w:rPr>
          <w:rFonts w:cs="Times New Roman"/>
        </w:rPr>
        <w:t>Design and evaluation of child protection or child welfare practices and interventions</w:t>
      </w:r>
      <w:r w:rsidR="009E3A92">
        <w:rPr>
          <w:rFonts w:cs="Times New Roman"/>
        </w:rPr>
        <w:t>;</w:t>
      </w:r>
      <w:r w:rsidRPr="00382201">
        <w:rPr>
          <w:rFonts w:cs="Times New Roman"/>
        </w:rPr>
        <w:t xml:space="preserve"> </w:t>
      </w:r>
    </w:p>
    <w:p w14:paraId="5B9ED77B" w14:textId="7BB12AAB" w:rsidR="00382201" w:rsidRPr="00382201" w:rsidRDefault="00947F9A" w:rsidP="00B6414C">
      <w:pPr>
        <w:pStyle w:val="ListParagraph"/>
        <w:numPr>
          <w:ilvl w:val="3"/>
          <w:numId w:val="29"/>
        </w:numPr>
        <w:spacing w:after="240"/>
        <w:ind w:left="1134" w:hanging="567"/>
        <w:jc w:val="both"/>
        <w:rPr>
          <w:rFonts w:cs="Times New Roman"/>
          <w:color w:val="00B050"/>
        </w:rPr>
      </w:pPr>
      <w:r w:rsidRPr="00382201">
        <w:rPr>
          <w:rFonts w:cs="Times New Roman"/>
        </w:rPr>
        <w:t>Tracking of child protection or child welfare outcomes</w:t>
      </w:r>
      <w:r w:rsidR="009E3A92">
        <w:rPr>
          <w:rFonts w:cs="Times New Roman"/>
        </w:rPr>
        <w:t>;</w:t>
      </w:r>
      <w:r w:rsidRPr="00382201">
        <w:rPr>
          <w:rFonts w:cs="Times New Roman"/>
        </w:rPr>
        <w:t xml:space="preserve"> </w:t>
      </w:r>
    </w:p>
    <w:p w14:paraId="77BD6B63" w14:textId="56BEEB2A" w:rsidR="00382201" w:rsidRPr="00382201" w:rsidRDefault="00947F9A" w:rsidP="00B6414C">
      <w:pPr>
        <w:pStyle w:val="ListParagraph"/>
        <w:numPr>
          <w:ilvl w:val="3"/>
          <w:numId w:val="29"/>
        </w:numPr>
        <w:spacing w:after="240"/>
        <w:ind w:left="1134" w:hanging="567"/>
        <w:jc w:val="both"/>
        <w:rPr>
          <w:rFonts w:cs="Times New Roman"/>
          <w:color w:val="00B050"/>
        </w:rPr>
      </w:pPr>
      <w:r w:rsidRPr="00382201">
        <w:rPr>
          <w:rFonts w:cs="Times New Roman"/>
        </w:rPr>
        <w:t>Systemic issues relating to the child protection or child welfare services</w:t>
      </w:r>
      <w:r w:rsidR="009E3A92">
        <w:rPr>
          <w:rFonts w:cs="Times New Roman"/>
        </w:rPr>
        <w:t>; and</w:t>
      </w:r>
    </w:p>
    <w:p w14:paraId="38CDAFC6" w14:textId="77777777" w:rsidR="00382201" w:rsidRPr="00382201" w:rsidRDefault="00947F9A" w:rsidP="00B6414C">
      <w:pPr>
        <w:pStyle w:val="ListParagraph"/>
        <w:numPr>
          <w:ilvl w:val="3"/>
          <w:numId w:val="29"/>
        </w:numPr>
        <w:spacing w:after="240"/>
        <w:ind w:left="1134" w:hanging="567"/>
        <w:jc w:val="both"/>
        <w:rPr>
          <w:rFonts w:cs="Times New Roman"/>
          <w:color w:val="00B050"/>
        </w:rPr>
      </w:pPr>
      <w:r w:rsidRPr="00382201">
        <w:rPr>
          <w:rFonts w:cs="Times New Roman"/>
        </w:rPr>
        <w:t>Views and experiences of service users in the child prot</w:t>
      </w:r>
      <w:r w:rsidR="00382201">
        <w:rPr>
          <w:rFonts w:cs="Times New Roman"/>
        </w:rPr>
        <w:t>ection or child welfare sector.</w:t>
      </w:r>
    </w:p>
    <w:p w14:paraId="45DD0DAE" w14:textId="77777777" w:rsidR="00382201" w:rsidRPr="00382201" w:rsidRDefault="00382201" w:rsidP="00B6414C">
      <w:pPr>
        <w:pStyle w:val="ListParagraph"/>
        <w:spacing w:after="240"/>
        <w:ind w:left="1134"/>
        <w:jc w:val="both"/>
        <w:rPr>
          <w:rFonts w:cs="Times New Roman"/>
          <w:color w:val="00B050"/>
        </w:rPr>
      </w:pPr>
    </w:p>
    <w:p w14:paraId="7EFC38BA" w14:textId="77777777" w:rsidR="00C47255" w:rsidRPr="00DC5A25" w:rsidRDefault="00C47255" w:rsidP="00B6414C">
      <w:pPr>
        <w:pStyle w:val="Heading3"/>
        <w:ind w:firstLine="567"/>
        <w:jc w:val="both"/>
        <w:rPr>
          <w:rFonts w:cs="Times New Roman"/>
          <w:sz w:val="22"/>
          <w:szCs w:val="22"/>
        </w:rPr>
      </w:pPr>
      <w:bookmarkStart w:id="26" w:name="_Toc458688088"/>
      <w:bookmarkStart w:id="27" w:name="_Toc495686639"/>
      <w:r w:rsidRPr="00DC5A25">
        <w:rPr>
          <w:rFonts w:cs="Times New Roman"/>
          <w:sz w:val="22"/>
          <w:szCs w:val="22"/>
        </w:rPr>
        <w:t>Physical and psychological recovery and social reintegration of child victims (Article 39)</w:t>
      </w:r>
      <w:bookmarkEnd w:id="26"/>
      <w:bookmarkEnd w:id="27"/>
    </w:p>
    <w:p w14:paraId="2D194171" w14:textId="2C6DF932" w:rsidR="00C47255" w:rsidRPr="00382201" w:rsidRDefault="00FA27D2" w:rsidP="00B6414C">
      <w:pPr>
        <w:pStyle w:val="ListParagraph"/>
        <w:numPr>
          <w:ilvl w:val="3"/>
          <w:numId w:val="21"/>
        </w:numPr>
        <w:spacing w:after="240"/>
        <w:ind w:left="567" w:hanging="567"/>
        <w:jc w:val="both"/>
        <w:rPr>
          <w:rFonts w:cs="Times New Roman"/>
        </w:rPr>
      </w:pPr>
      <w:r w:rsidRPr="00382201">
        <w:rPr>
          <w:rFonts w:cs="Times New Roman"/>
        </w:rPr>
        <w:t>S</w:t>
      </w:r>
      <w:r w:rsidR="00C47255" w:rsidRPr="00382201">
        <w:rPr>
          <w:rFonts w:cs="Times New Roman"/>
        </w:rPr>
        <w:t>pecialised psychological programmes to address trauma in child victims include:</w:t>
      </w:r>
    </w:p>
    <w:p w14:paraId="3CF047EB" w14:textId="77777777" w:rsidR="00C47255" w:rsidRPr="00DC5A25" w:rsidRDefault="00C47255" w:rsidP="00B6414C">
      <w:pPr>
        <w:pStyle w:val="ListParagraph"/>
        <w:numPr>
          <w:ilvl w:val="0"/>
          <w:numId w:val="31"/>
        </w:numPr>
        <w:autoSpaceDE w:val="0"/>
        <w:autoSpaceDN w:val="0"/>
        <w:adjustRightInd w:val="0"/>
        <w:spacing w:after="240" w:line="240" w:lineRule="auto"/>
        <w:ind w:left="1134" w:hanging="567"/>
        <w:jc w:val="both"/>
        <w:rPr>
          <w:rFonts w:cs="Times New Roman"/>
          <w:b/>
          <w:bCs/>
          <w:iCs/>
          <w:lang w:eastAsia="en-GB"/>
        </w:rPr>
      </w:pPr>
      <w:r w:rsidRPr="00DC5A25">
        <w:rPr>
          <w:rFonts w:cs="Times New Roman"/>
          <w:bCs/>
          <w:iCs/>
          <w:lang w:eastAsia="en-GB"/>
        </w:rPr>
        <w:t xml:space="preserve">Trauma-Focused Cognitive Behavioural Therapy - </w:t>
      </w:r>
      <w:r w:rsidRPr="00DC5A25">
        <w:rPr>
          <w:rFonts w:cs="Times New Roman"/>
          <w:lang w:eastAsia="en-GB"/>
        </w:rPr>
        <w:t xml:space="preserve">an evidence-based treatment designed to help child victims and their non-offending parents/caregivers learn new skills to therapeutically process traumatic memories and develop effective coping and safety skills.  </w:t>
      </w:r>
    </w:p>
    <w:p w14:paraId="6903E13A" w14:textId="77777777" w:rsidR="00C47255" w:rsidRPr="00DC5A25" w:rsidRDefault="00C47255" w:rsidP="00B6414C">
      <w:pPr>
        <w:pStyle w:val="ListParagraph"/>
        <w:numPr>
          <w:ilvl w:val="0"/>
          <w:numId w:val="31"/>
        </w:numPr>
        <w:autoSpaceDE w:val="0"/>
        <w:autoSpaceDN w:val="0"/>
        <w:adjustRightInd w:val="0"/>
        <w:spacing w:after="240" w:line="240" w:lineRule="auto"/>
        <w:ind w:left="1134" w:hanging="567"/>
        <w:jc w:val="both"/>
        <w:rPr>
          <w:rFonts w:cs="Times New Roman"/>
          <w:b/>
          <w:bCs/>
          <w:iCs/>
          <w:lang w:eastAsia="en-GB"/>
        </w:rPr>
      </w:pPr>
      <w:r w:rsidRPr="00DC5A25">
        <w:rPr>
          <w:rFonts w:cs="Times New Roman"/>
          <w:lang w:eastAsia="en-GB"/>
        </w:rPr>
        <w:t>Combined Parent-Child Cognitive Behavioural Therapy - a treatment model designed to help child victims heal from their abusive experiences, empower parents to effectively parent their children in a non-coercive manner, and strengthen parent-child relationships.</w:t>
      </w:r>
    </w:p>
    <w:p w14:paraId="54E46CA0" w14:textId="22EC5EF5" w:rsidR="00C47255" w:rsidRDefault="00C47255" w:rsidP="00B6414C">
      <w:pPr>
        <w:pStyle w:val="ListParagraph"/>
        <w:numPr>
          <w:ilvl w:val="0"/>
          <w:numId w:val="31"/>
        </w:numPr>
        <w:autoSpaceDE w:val="0"/>
        <w:autoSpaceDN w:val="0"/>
        <w:adjustRightInd w:val="0"/>
        <w:spacing w:after="240" w:line="240" w:lineRule="auto"/>
        <w:ind w:left="1134" w:hanging="567"/>
        <w:jc w:val="both"/>
        <w:rPr>
          <w:rFonts w:cs="Times New Roman"/>
        </w:rPr>
      </w:pPr>
      <w:r w:rsidRPr="00DC5A25">
        <w:rPr>
          <w:rFonts w:cs="Times New Roman"/>
        </w:rPr>
        <w:t xml:space="preserve">Positive Psychotherapy Group – a </w:t>
      </w:r>
      <w:r w:rsidRPr="00DC5A25">
        <w:rPr>
          <w:rFonts w:cs="Times New Roman"/>
          <w:lang w:eastAsia="en-GB"/>
        </w:rPr>
        <w:t>specialised treatment</w:t>
      </w:r>
      <w:r w:rsidRPr="00DC5A25">
        <w:rPr>
          <w:rFonts w:cs="Times New Roman"/>
        </w:rPr>
        <w:t xml:space="preserve"> programmes </w:t>
      </w:r>
      <w:r w:rsidRPr="00DC5A25">
        <w:rPr>
          <w:rFonts w:cs="Times New Roman"/>
          <w:lang w:eastAsia="en-GB"/>
        </w:rPr>
        <w:t>for intra-familial adult perpetrators of sexual abuse and adolescent sex offenders, targeted to develop the essential skills, knowledge, and awareness needed to change their sexual offending behavio</w:t>
      </w:r>
      <w:r w:rsidR="00563636">
        <w:rPr>
          <w:rFonts w:cs="Times New Roman"/>
          <w:lang w:eastAsia="en-GB"/>
        </w:rPr>
        <w:t>u</w:t>
      </w:r>
      <w:r w:rsidRPr="00DC5A25">
        <w:rPr>
          <w:rFonts w:cs="Times New Roman"/>
          <w:lang w:eastAsia="en-GB"/>
        </w:rPr>
        <w:t>r to prevent re-offending.</w:t>
      </w:r>
    </w:p>
    <w:p w14:paraId="5A2807F2" w14:textId="77777777" w:rsidR="00BE224A" w:rsidRDefault="00BE224A" w:rsidP="00B6414C">
      <w:pPr>
        <w:pStyle w:val="ListParagraph"/>
        <w:autoSpaceDE w:val="0"/>
        <w:autoSpaceDN w:val="0"/>
        <w:adjustRightInd w:val="0"/>
        <w:spacing w:after="240" w:line="240" w:lineRule="auto"/>
        <w:ind w:left="1134"/>
        <w:jc w:val="both"/>
        <w:rPr>
          <w:rFonts w:cs="Times New Roman"/>
        </w:rPr>
      </w:pPr>
    </w:p>
    <w:p w14:paraId="36EC9070" w14:textId="77777777" w:rsidR="000A6755" w:rsidRDefault="000A6755">
      <w:pPr>
        <w:rPr>
          <w:rFonts w:eastAsiaTheme="majorEastAsia" w:cs="Times New Roman"/>
          <w:b/>
          <w:color w:val="000000" w:themeColor="text1"/>
          <w:sz w:val="28"/>
        </w:rPr>
      </w:pPr>
      <w:r>
        <w:br w:type="page"/>
      </w:r>
    </w:p>
    <w:p w14:paraId="3B20FCAD" w14:textId="17A52E43" w:rsidR="007239A5" w:rsidRDefault="007239A5" w:rsidP="00B6414C">
      <w:pPr>
        <w:pStyle w:val="Heading2"/>
      </w:pPr>
      <w:bookmarkStart w:id="28" w:name="_Toc495686640"/>
      <w:r w:rsidRPr="008F0616">
        <w:t>FAMILY ENVIRONMENT AND ALTERNATIVE CARE</w:t>
      </w:r>
      <w:bookmarkEnd w:id="28"/>
    </w:p>
    <w:p w14:paraId="7B8A54A2" w14:textId="77777777" w:rsidR="007239A5" w:rsidRPr="00382201" w:rsidRDefault="007239A5" w:rsidP="00B6414C">
      <w:pPr>
        <w:jc w:val="both"/>
      </w:pPr>
    </w:p>
    <w:p w14:paraId="6F8CAB5C" w14:textId="29842B15" w:rsidR="001D25C7" w:rsidRDefault="007239A5" w:rsidP="00B6414C">
      <w:pPr>
        <w:pStyle w:val="Heading3"/>
        <w:ind w:left="567" w:firstLine="11"/>
        <w:jc w:val="both"/>
        <w:rPr>
          <w:rFonts w:cs="Times New Roman"/>
        </w:rPr>
      </w:pPr>
      <w:bookmarkStart w:id="29" w:name="_Toc495686641"/>
      <w:r w:rsidRPr="008F0616">
        <w:rPr>
          <w:rFonts w:cs="Times New Roman"/>
        </w:rPr>
        <w:t>Family environment and parental guidance (Article 5)</w:t>
      </w:r>
      <w:r w:rsidR="001D25C7">
        <w:rPr>
          <w:rFonts w:cs="Times New Roman"/>
        </w:rPr>
        <w:t xml:space="preserve"> and</w:t>
      </w:r>
      <w:r w:rsidRPr="008F0616">
        <w:rPr>
          <w:rFonts w:cs="Times New Roman"/>
        </w:rPr>
        <w:t xml:space="preserve"> Parental Responsibilities (Article 18)</w:t>
      </w:r>
      <w:bookmarkEnd w:id="29"/>
    </w:p>
    <w:p w14:paraId="04DDB840" w14:textId="4E758FA2" w:rsidR="007239A5" w:rsidRPr="008F0616" w:rsidRDefault="007239A5" w:rsidP="00B6414C">
      <w:pPr>
        <w:jc w:val="both"/>
      </w:pPr>
    </w:p>
    <w:p w14:paraId="48F22A38" w14:textId="77777777" w:rsidR="007239A5" w:rsidRDefault="007239A5" w:rsidP="00B6414C">
      <w:pPr>
        <w:pStyle w:val="ListParagraph"/>
        <w:spacing w:after="0" w:line="240" w:lineRule="auto"/>
        <w:ind w:left="0" w:firstLine="567"/>
        <w:contextualSpacing w:val="0"/>
        <w:jc w:val="both"/>
        <w:rPr>
          <w:rFonts w:cs="Times New Roman"/>
          <w:i/>
          <w:sz w:val="24"/>
          <w:szCs w:val="24"/>
        </w:rPr>
      </w:pPr>
      <w:r>
        <w:rPr>
          <w:rFonts w:cs="Times New Roman"/>
          <w:i/>
          <w:sz w:val="24"/>
          <w:szCs w:val="24"/>
        </w:rPr>
        <w:t>Leave Schemes</w:t>
      </w:r>
    </w:p>
    <w:p w14:paraId="2EE11D69" w14:textId="77777777" w:rsidR="001D25C7" w:rsidRDefault="001D25C7" w:rsidP="00B6414C">
      <w:pPr>
        <w:pStyle w:val="ListParagraph"/>
        <w:spacing w:after="0" w:line="240" w:lineRule="auto"/>
        <w:ind w:left="0" w:firstLine="567"/>
        <w:contextualSpacing w:val="0"/>
        <w:jc w:val="both"/>
        <w:rPr>
          <w:rFonts w:cs="Times New Roman"/>
          <w:i/>
          <w:sz w:val="24"/>
          <w:szCs w:val="24"/>
        </w:rPr>
      </w:pPr>
    </w:p>
    <w:p w14:paraId="0D4A7E50" w14:textId="6FFB52D2" w:rsidR="007239A5" w:rsidRDefault="00D4601D" w:rsidP="00B6414C">
      <w:pPr>
        <w:pStyle w:val="ListParagraph"/>
        <w:numPr>
          <w:ilvl w:val="3"/>
          <w:numId w:val="21"/>
        </w:numPr>
        <w:spacing w:after="0" w:line="240" w:lineRule="auto"/>
        <w:ind w:left="567" w:hanging="567"/>
        <w:contextualSpacing w:val="0"/>
        <w:jc w:val="both"/>
      </w:pPr>
      <w:r>
        <w:t xml:space="preserve">To </w:t>
      </w:r>
      <w:r w:rsidR="007239A5">
        <w:t>better support working parents and encourage shared parental responsibility, leave schemes were enhanced and new schemes introduced.</w:t>
      </w:r>
    </w:p>
    <w:p w14:paraId="7DDC7FFA" w14:textId="77777777" w:rsidR="007239A5" w:rsidRDefault="007239A5" w:rsidP="00B6414C">
      <w:pPr>
        <w:pStyle w:val="ListParagraph"/>
        <w:spacing w:after="0" w:line="240" w:lineRule="auto"/>
        <w:ind w:left="0"/>
        <w:contextualSpacing w:val="0"/>
        <w:jc w:val="both"/>
        <w:rPr>
          <w:rFonts w:cs="Times New Roman"/>
          <w:i/>
          <w:sz w:val="24"/>
          <w:szCs w:val="24"/>
        </w:rPr>
      </w:pPr>
    </w:p>
    <w:p w14:paraId="0F268D83" w14:textId="7E98D20D" w:rsidR="007239A5" w:rsidRPr="00B6414C" w:rsidRDefault="007239A5" w:rsidP="00B6414C">
      <w:pPr>
        <w:pStyle w:val="ListParagraph"/>
        <w:numPr>
          <w:ilvl w:val="1"/>
          <w:numId w:val="1"/>
        </w:numPr>
        <w:spacing w:after="240" w:line="252" w:lineRule="auto"/>
        <w:ind w:left="1134" w:hanging="567"/>
        <w:jc w:val="both"/>
        <w:rPr>
          <w:color w:val="FF0000"/>
        </w:rPr>
      </w:pPr>
      <w:r>
        <w:rPr>
          <w:iCs/>
        </w:rPr>
        <w:t xml:space="preserve">From 2017, the 16-week </w:t>
      </w:r>
      <w:r w:rsidRPr="000369B7">
        <w:rPr>
          <w:i/>
          <w:iCs/>
        </w:rPr>
        <w:t>Government-Paid Maternity Leave (GPML)</w:t>
      </w:r>
      <w:r>
        <w:rPr>
          <w:iCs/>
        </w:rPr>
        <w:t xml:space="preserve"> scheme was</w:t>
      </w:r>
      <w:r>
        <w:t xml:space="preserve"> extended to unwed working mothers. For the first two children, the first eight weeks are employer-paid, and the last eight weeks are funded by the Government. For third and subsequent children, the full 16 weeks are Government-paid. The Government-paid portion is capped at S$</w:t>
      </w:r>
      <w:r w:rsidRPr="00B6414C">
        <w:t>10,000 (US$7,</w:t>
      </w:r>
      <w:r w:rsidR="00460FA9" w:rsidRPr="00B6414C">
        <w:t>350</w:t>
      </w:r>
      <w:r w:rsidRPr="00B6414C">
        <w:t xml:space="preserve">) per four weeks. </w:t>
      </w:r>
    </w:p>
    <w:p w14:paraId="1D77E376" w14:textId="77777777" w:rsidR="00460FA9" w:rsidRPr="00B6414C" w:rsidRDefault="00460FA9" w:rsidP="00B6414C">
      <w:pPr>
        <w:pStyle w:val="ListParagraph"/>
        <w:spacing w:after="240" w:line="252" w:lineRule="auto"/>
        <w:ind w:left="1134"/>
        <w:jc w:val="both"/>
        <w:rPr>
          <w:color w:val="FF0000"/>
        </w:rPr>
      </w:pPr>
    </w:p>
    <w:p w14:paraId="5364D5D8" w14:textId="173E6029" w:rsidR="007239A5" w:rsidRPr="00585466" w:rsidRDefault="007239A5" w:rsidP="00B6414C">
      <w:pPr>
        <w:pStyle w:val="ListParagraph"/>
        <w:numPr>
          <w:ilvl w:val="1"/>
          <w:numId w:val="1"/>
        </w:numPr>
        <w:spacing w:after="0" w:line="240" w:lineRule="auto"/>
        <w:ind w:left="1134" w:hanging="567"/>
        <w:contextualSpacing w:val="0"/>
        <w:jc w:val="both"/>
        <w:rPr>
          <w:rFonts w:cs="Times New Roman"/>
        </w:rPr>
      </w:pPr>
      <w:r w:rsidRPr="00B6414C">
        <w:t>From Jan</w:t>
      </w:r>
      <w:r w:rsidR="00604516">
        <w:t>uary</w:t>
      </w:r>
      <w:r w:rsidRPr="00B6414C">
        <w:t xml:space="preserve"> 2015, the </w:t>
      </w:r>
      <w:r w:rsidRPr="00B6414C">
        <w:rPr>
          <w:i/>
        </w:rPr>
        <w:t>Government-Paid Paternity Leave (GPPL</w:t>
      </w:r>
      <w:r w:rsidRPr="00B6414C">
        <w:t>) scheme introduced in 2013 was increased from 1 to 2 weeks on a voluntary basis. The second week was made mandatory from Jan</w:t>
      </w:r>
      <w:r w:rsidR="00604516">
        <w:t>uary</w:t>
      </w:r>
      <w:r w:rsidRPr="00B6414C">
        <w:t xml:space="preserve"> 2017. The leave is Government-paid</w:t>
      </w:r>
      <w:r w:rsidR="00AC24D3">
        <w:t xml:space="preserve"> and</w:t>
      </w:r>
      <w:r w:rsidRPr="00B6414C">
        <w:t xml:space="preserve"> capped at S$2,500 (US$1,</w:t>
      </w:r>
      <w:r w:rsidR="00460FA9" w:rsidRPr="00B6414C">
        <w:t>840</w:t>
      </w:r>
      <w:r>
        <w:t xml:space="preserve">) per week. </w:t>
      </w:r>
    </w:p>
    <w:p w14:paraId="1B5DF777" w14:textId="77777777" w:rsidR="00460FA9" w:rsidRPr="007813A7" w:rsidRDefault="00460FA9" w:rsidP="00B6414C">
      <w:pPr>
        <w:pStyle w:val="ListParagraph"/>
        <w:spacing w:after="0" w:line="240" w:lineRule="auto"/>
        <w:ind w:left="1134"/>
        <w:contextualSpacing w:val="0"/>
        <w:jc w:val="both"/>
        <w:rPr>
          <w:lang w:val="en-GB"/>
        </w:rPr>
      </w:pPr>
    </w:p>
    <w:p w14:paraId="07A3F8FA" w14:textId="4CB33547" w:rsidR="007239A5" w:rsidRPr="00B6414C" w:rsidRDefault="007239A5" w:rsidP="00B6414C">
      <w:pPr>
        <w:pStyle w:val="ListParagraph"/>
        <w:numPr>
          <w:ilvl w:val="1"/>
          <w:numId w:val="1"/>
        </w:numPr>
        <w:spacing w:after="0" w:line="240" w:lineRule="auto"/>
        <w:ind w:left="1134" w:hanging="567"/>
        <w:contextualSpacing w:val="0"/>
        <w:jc w:val="both"/>
        <w:rPr>
          <w:lang w:val="en-GB"/>
        </w:rPr>
      </w:pPr>
      <w:r>
        <w:t>From July 2017, the</w:t>
      </w:r>
      <w:r>
        <w:rPr>
          <w:lang w:val="en-GB"/>
        </w:rPr>
        <w:t xml:space="preserve"> 1-</w:t>
      </w:r>
      <w:r>
        <w:t xml:space="preserve">week of </w:t>
      </w:r>
      <w:r w:rsidRPr="00B4686E">
        <w:rPr>
          <w:i/>
        </w:rPr>
        <w:t>Shared Parental Leave (SPL)</w:t>
      </w:r>
      <w:r>
        <w:t xml:space="preserve"> introduced in 2013</w:t>
      </w:r>
      <w:r w:rsidRPr="00B4686E">
        <w:rPr>
          <w:lang w:val="en-GB"/>
        </w:rPr>
        <w:t xml:space="preserve"> </w:t>
      </w:r>
      <w:r w:rsidR="001670D6">
        <w:rPr>
          <w:lang w:val="en-GB"/>
        </w:rPr>
        <w:t xml:space="preserve">was </w:t>
      </w:r>
      <w:r>
        <w:rPr>
          <w:lang w:val="en-GB"/>
        </w:rPr>
        <w:t>increased to 4 weeks and extended to adoptive fathers. SPL allows a</w:t>
      </w:r>
      <w:r w:rsidRPr="00B4686E">
        <w:rPr>
          <w:lang w:val="en-GB"/>
        </w:rPr>
        <w:t xml:space="preserve"> mother to share part of her maternity leav</w:t>
      </w:r>
      <w:r w:rsidRPr="00B6414C">
        <w:rPr>
          <w:lang w:val="en-GB"/>
        </w:rPr>
        <w:t>e (or adoption leave) with her spouse and is</w:t>
      </w:r>
      <w:r w:rsidRPr="00B6414C">
        <w:t xml:space="preserve"> fully Government-paid, capped at S$2,500 (US$1,</w:t>
      </w:r>
      <w:r w:rsidR="00460FA9" w:rsidRPr="00B6414C">
        <w:t>840</w:t>
      </w:r>
      <w:r w:rsidRPr="00B6414C">
        <w:t>) per week.</w:t>
      </w:r>
    </w:p>
    <w:p w14:paraId="38934F2F" w14:textId="77777777" w:rsidR="007239A5" w:rsidRPr="00B6414C" w:rsidRDefault="007239A5" w:rsidP="00B6414C">
      <w:pPr>
        <w:pStyle w:val="ListParagraph"/>
        <w:spacing w:after="0" w:line="240" w:lineRule="auto"/>
        <w:ind w:left="1134" w:hanging="567"/>
        <w:contextualSpacing w:val="0"/>
        <w:jc w:val="both"/>
        <w:rPr>
          <w:lang w:val="en-GB"/>
        </w:rPr>
      </w:pPr>
    </w:p>
    <w:p w14:paraId="0651990A" w14:textId="120FB8A4" w:rsidR="007239A5" w:rsidRPr="00B6414C" w:rsidRDefault="007239A5" w:rsidP="00B6414C">
      <w:pPr>
        <w:pStyle w:val="ListParagraph"/>
        <w:numPr>
          <w:ilvl w:val="1"/>
          <w:numId w:val="1"/>
        </w:numPr>
        <w:spacing w:after="0" w:line="240" w:lineRule="auto"/>
        <w:ind w:left="1134" w:hanging="567"/>
        <w:contextualSpacing w:val="0"/>
        <w:jc w:val="both"/>
        <w:rPr>
          <w:rFonts w:cs="Times New Roman"/>
        </w:rPr>
      </w:pPr>
      <w:r w:rsidRPr="00B6414C">
        <w:rPr>
          <w:i/>
        </w:rPr>
        <w:t>Paid childcare leave</w:t>
      </w:r>
      <w:r w:rsidRPr="00B6414C">
        <w:t xml:space="preserve"> was introduced in 2004 and enhanced in 2013 to allow working parents to spend more quality time with their children. Working parents with at least one Singapore Citizen child under the age of 7 years are eligible for 6 days of paid childcare leave per parent every year. The first three days are employer-paid, and the last three days are Government-paid (capped at S$500</w:t>
      </w:r>
      <w:r w:rsidR="00460FA9" w:rsidRPr="00B6414C">
        <w:t xml:space="preserve"> (US$370)</w:t>
      </w:r>
      <w:r w:rsidRPr="00B6414C">
        <w:t xml:space="preserve"> per day). Working parents with at least one Singapore Citizen child aged 7-12 years are eligible for 2 days of Government-paid childcare leave per parent per year (capped at S$500 </w:t>
      </w:r>
      <w:r w:rsidR="00460FA9" w:rsidRPr="00B6414C">
        <w:t xml:space="preserve">(US$370) </w:t>
      </w:r>
      <w:r w:rsidRPr="00B6414C">
        <w:t xml:space="preserve">per day). Working </w:t>
      </w:r>
      <w:r w:rsidR="00030658" w:rsidRPr="00B6414C">
        <w:t>parents</w:t>
      </w:r>
      <w:r w:rsidRPr="00B6414C">
        <w:t xml:space="preserve"> with at least one child under the age of two years are eligible for an additional six days of unpaid infant care leave per parent each year.</w:t>
      </w:r>
    </w:p>
    <w:p w14:paraId="27347304" w14:textId="77777777" w:rsidR="00460FA9" w:rsidRPr="00B6414C" w:rsidRDefault="00460FA9" w:rsidP="00B6414C">
      <w:pPr>
        <w:pStyle w:val="ListParagraph"/>
        <w:jc w:val="both"/>
        <w:rPr>
          <w:rFonts w:cs="Times New Roman"/>
        </w:rPr>
      </w:pPr>
    </w:p>
    <w:p w14:paraId="0368DBBE" w14:textId="1B5173D9" w:rsidR="007239A5" w:rsidRPr="008F0616" w:rsidRDefault="007239A5" w:rsidP="00B6414C">
      <w:pPr>
        <w:pStyle w:val="ListParagraph"/>
        <w:numPr>
          <w:ilvl w:val="1"/>
          <w:numId w:val="1"/>
        </w:numPr>
        <w:spacing w:after="0" w:line="240" w:lineRule="auto"/>
        <w:ind w:left="1134" w:hanging="567"/>
        <w:contextualSpacing w:val="0"/>
        <w:jc w:val="both"/>
        <w:rPr>
          <w:rFonts w:cs="Times New Roman"/>
          <w:i/>
          <w:sz w:val="24"/>
          <w:szCs w:val="24"/>
        </w:rPr>
      </w:pPr>
      <w:r w:rsidRPr="00B6414C">
        <w:rPr>
          <w:lang w:val="en-GB"/>
        </w:rPr>
        <w:t xml:space="preserve">From July 2017, </w:t>
      </w:r>
      <w:r w:rsidRPr="00B6414C">
        <w:rPr>
          <w:i/>
          <w:lang w:val="en-GB"/>
        </w:rPr>
        <w:t xml:space="preserve">Adoption leave, </w:t>
      </w:r>
      <w:r w:rsidRPr="00B6414C">
        <w:rPr>
          <w:lang w:val="en-GB"/>
        </w:rPr>
        <w:t xml:space="preserve">which was </w:t>
      </w:r>
      <w:r w:rsidRPr="00B6414C">
        <w:t>introduced in 2004 was increased to 12 weeks.   For the first two children, the first 4 weeks are employer-paid, and the last 8 weeks are Government-paid. For third and subsequent children, the full 12 weeks are Government-paid. The Government-paid portion is capped at S$10,000 (US$7,</w:t>
      </w:r>
      <w:r w:rsidR="00460FA9" w:rsidRPr="00B6414C">
        <w:t>350</w:t>
      </w:r>
      <w:r w:rsidRPr="00B6414C">
        <w:t>) per</w:t>
      </w:r>
      <w:r w:rsidRPr="0012234A">
        <w:t xml:space="preserve"> 4 weeks</w:t>
      </w:r>
      <w:r w:rsidR="00AC24D3">
        <w:t>.</w:t>
      </w:r>
      <w:r w:rsidRPr="00BC6B7E">
        <w:t xml:space="preserve"> </w:t>
      </w:r>
    </w:p>
    <w:p w14:paraId="68C2C9F5" w14:textId="77777777" w:rsidR="007239A5" w:rsidRPr="00DC5A25" w:rsidRDefault="007239A5" w:rsidP="00B6414C">
      <w:pPr>
        <w:pStyle w:val="ListParagraph"/>
        <w:spacing w:after="0" w:line="240" w:lineRule="auto"/>
        <w:ind w:left="0"/>
        <w:contextualSpacing w:val="0"/>
        <w:jc w:val="both"/>
        <w:rPr>
          <w:rFonts w:cs="Times New Roman"/>
          <w:i/>
          <w:szCs w:val="24"/>
        </w:rPr>
      </w:pPr>
    </w:p>
    <w:p w14:paraId="13CAB637" w14:textId="77777777" w:rsidR="007239A5" w:rsidRDefault="007239A5" w:rsidP="00B6414C">
      <w:pPr>
        <w:pStyle w:val="ListParagraph"/>
        <w:spacing w:after="0" w:line="240" w:lineRule="auto"/>
        <w:ind w:left="0" w:firstLine="567"/>
        <w:contextualSpacing w:val="0"/>
        <w:jc w:val="both"/>
        <w:rPr>
          <w:rFonts w:cs="Times New Roman"/>
          <w:i/>
          <w:szCs w:val="24"/>
        </w:rPr>
      </w:pPr>
      <w:r w:rsidRPr="00DC5A25">
        <w:rPr>
          <w:rFonts w:cs="Times New Roman"/>
          <w:i/>
          <w:szCs w:val="24"/>
        </w:rPr>
        <w:t>Divorced families</w:t>
      </w:r>
    </w:p>
    <w:p w14:paraId="2DAA2B35" w14:textId="77777777" w:rsidR="000A6755" w:rsidRPr="00DC5A25" w:rsidRDefault="000A6755" w:rsidP="00B6414C">
      <w:pPr>
        <w:pStyle w:val="ListParagraph"/>
        <w:spacing w:after="0" w:line="240" w:lineRule="auto"/>
        <w:ind w:left="0" w:firstLine="567"/>
        <w:contextualSpacing w:val="0"/>
        <w:jc w:val="both"/>
        <w:rPr>
          <w:rFonts w:cs="Times New Roman"/>
          <w:i/>
          <w:szCs w:val="24"/>
        </w:rPr>
      </w:pPr>
    </w:p>
    <w:p w14:paraId="62BD1945" w14:textId="5990BE54" w:rsidR="007239A5" w:rsidRPr="00382201" w:rsidRDefault="007239A5" w:rsidP="00B6414C">
      <w:pPr>
        <w:pStyle w:val="ListParagraph"/>
        <w:numPr>
          <w:ilvl w:val="3"/>
          <w:numId w:val="21"/>
        </w:numPr>
        <w:spacing w:after="0" w:line="240" w:lineRule="auto"/>
        <w:ind w:left="567" w:hanging="567"/>
        <w:jc w:val="both"/>
        <w:rPr>
          <w:rFonts w:cs="Times New Roman"/>
          <w:i/>
          <w:szCs w:val="24"/>
        </w:rPr>
      </w:pPr>
      <w:r w:rsidRPr="00382201">
        <w:rPr>
          <w:rFonts w:cs="Times New Roman"/>
          <w:szCs w:val="24"/>
        </w:rPr>
        <w:t>To enhance the parenting capabilities of separated parents, the following schemes were introduced:</w:t>
      </w:r>
    </w:p>
    <w:p w14:paraId="0B7F5C3D" w14:textId="708C4DFB" w:rsidR="007239A5" w:rsidRDefault="007239A5" w:rsidP="00B6414C">
      <w:pPr>
        <w:pStyle w:val="ListParagraph"/>
        <w:numPr>
          <w:ilvl w:val="0"/>
          <w:numId w:val="24"/>
        </w:numPr>
        <w:spacing w:after="0" w:line="240" w:lineRule="auto"/>
        <w:ind w:left="1134" w:hanging="567"/>
        <w:contextualSpacing w:val="0"/>
        <w:jc w:val="both"/>
        <w:rPr>
          <w:rFonts w:cs="Times New Roman"/>
          <w:szCs w:val="24"/>
          <w:lang w:val="en-US" w:eastAsia="zh-CN"/>
        </w:rPr>
      </w:pPr>
      <w:r w:rsidRPr="00DC5A25">
        <w:rPr>
          <w:rFonts w:cs="Times New Roman"/>
          <w:szCs w:val="24"/>
        </w:rPr>
        <w:t>The</w:t>
      </w:r>
      <w:r w:rsidRPr="00DC5A25">
        <w:rPr>
          <w:rFonts w:cs="Times New Roman"/>
          <w:szCs w:val="24"/>
          <w:lang w:eastAsia="zh-CN"/>
        </w:rPr>
        <w:t xml:space="preserve"> </w:t>
      </w:r>
      <w:r w:rsidRPr="00DC5A25">
        <w:rPr>
          <w:rFonts w:cs="Times New Roman"/>
          <w:i/>
          <w:szCs w:val="24"/>
          <w:lang w:eastAsia="zh-CN"/>
        </w:rPr>
        <w:t xml:space="preserve">Child-Inclusive Mediation and Counselling scheme, </w:t>
      </w:r>
      <w:r w:rsidRPr="00DC5A25">
        <w:rPr>
          <w:rFonts w:cs="Times New Roman"/>
          <w:szCs w:val="24"/>
          <w:lang w:eastAsia="zh-CN"/>
        </w:rPr>
        <w:t xml:space="preserve">introduced in 2015 to </w:t>
      </w:r>
      <w:r w:rsidRPr="00DC5A25">
        <w:rPr>
          <w:rFonts w:cs="Times New Roman"/>
          <w:szCs w:val="24"/>
          <w:lang w:val="en-US" w:eastAsia="zh-CN"/>
        </w:rPr>
        <w:t xml:space="preserve">empower parents to continue positive parenting and restore cooperation within the family after the divorce. It involves consultation sessions with the children by a trained court counsellor and therapeutic feedback conversations and mediation thereafter with their parents. </w:t>
      </w:r>
    </w:p>
    <w:p w14:paraId="1D9AA561" w14:textId="77777777" w:rsidR="00460FA9" w:rsidRPr="00DC5A25" w:rsidRDefault="00460FA9" w:rsidP="00B6414C">
      <w:pPr>
        <w:pStyle w:val="ListParagraph"/>
        <w:spacing w:after="0" w:line="240" w:lineRule="auto"/>
        <w:ind w:left="1134"/>
        <w:contextualSpacing w:val="0"/>
        <w:jc w:val="both"/>
        <w:rPr>
          <w:rFonts w:cs="Times New Roman"/>
          <w:szCs w:val="24"/>
          <w:lang w:val="en-US" w:eastAsia="zh-CN"/>
        </w:rPr>
      </w:pPr>
    </w:p>
    <w:p w14:paraId="616DFB72" w14:textId="5A2D68CA" w:rsidR="007239A5" w:rsidRDefault="007239A5" w:rsidP="000A6755">
      <w:pPr>
        <w:pStyle w:val="ListParagraph"/>
        <w:numPr>
          <w:ilvl w:val="0"/>
          <w:numId w:val="24"/>
        </w:numPr>
        <w:spacing w:after="0" w:line="240" w:lineRule="auto"/>
        <w:ind w:left="1134" w:hanging="567"/>
        <w:contextualSpacing w:val="0"/>
        <w:jc w:val="both"/>
        <w:rPr>
          <w:rFonts w:cs="Times New Roman"/>
          <w:szCs w:val="24"/>
        </w:rPr>
      </w:pPr>
      <w:r w:rsidRPr="00DC5A25">
        <w:rPr>
          <w:rFonts w:cs="Times New Roman"/>
          <w:szCs w:val="24"/>
        </w:rPr>
        <w:t xml:space="preserve">The </w:t>
      </w:r>
      <w:r w:rsidRPr="00DC5A25">
        <w:rPr>
          <w:rFonts w:cs="Times New Roman"/>
          <w:i/>
          <w:szCs w:val="24"/>
        </w:rPr>
        <w:t>Parenting Coordination scheme</w:t>
      </w:r>
      <w:r w:rsidRPr="00DC5A25">
        <w:rPr>
          <w:rFonts w:cs="Times New Roman"/>
          <w:szCs w:val="24"/>
        </w:rPr>
        <w:t>, introduced in 2016, is a child-focused, post-order or post-separation dispute resolution process designed to provide practical assistance to parents in co-parenting, carrying out the Court-ordered parenting plan, and resolving parenting issues such as child access arrangements.</w:t>
      </w:r>
    </w:p>
    <w:p w14:paraId="1B1A01AD" w14:textId="77777777" w:rsidR="000A6755" w:rsidRPr="000A6755" w:rsidRDefault="000A6755" w:rsidP="000A6755">
      <w:pPr>
        <w:spacing w:after="0" w:line="240" w:lineRule="auto"/>
        <w:jc w:val="both"/>
        <w:rPr>
          <w:rFonts w:cs="Times New Roman"/>
          <w:szCs w:val="24"/>
        </w:rPr>
      </w:pPr>
    </w:p>
    <w:p w14:paraId="5354358E" w14:textId="24F3011C" w:rsidR="007239A5" w:rsidRPr="00382201" w:rsidRDefault="007239A5" w:rsidP="00B6414C">
      <w:pPr>
        <w:pStyle w:val="ListParagraph"/>
        <w:numPr>
          <w:ilvl w:val="3"/>
          <w:numId w:val="21"/>
        </w:numPr>
        <w:ind w:left="567" w:hanging="567"/>
        <w:jc w:val="both"/>
        <w:rPr>
          <w:rFonts w:cs="Times New Roman"/>
          <w:szCs w:val="24"/>
        </w:rPr>
      </w:pPr>
      <w:r w:rsidRPr="00382201">
        <w:rPr>
          <w:rFonts w:cs="Times New Roman"/>
          <w:szCs w:val="24"/>
        </w:rPr>
        <w:t>There are new pre- and post- divorce support programme run by the Divorced Support Specialist Agencies include ‘Parenting Pact Programme’ and ‘Children in Between’. They are specially designed to provide psycho-education to parents on the needs of their children, reducing the acrimony between the parents and developing the children’s resilience</w:t>
      </w:r>
      <w:r w:rsidR="00030658">
        <w:rPr>
          <w:rFonts w:cs="Times New Roman"/>
          <w:szCs w:val="24"/>
        </w:rPr>
        <w:t>,</w:t>
      </w:r>
      <w:r w:rsidRPr="00382201">
        <w:rPr>
          <w:rFonts w:cs="Times New Roman"/>
          <w:szCs w:val="24"/>
        </w:rPr>
        <w:t xml:space="preserve"> despite their parents’ divorce or separation.</w:t>
      </w:r>
    </w:p>
    <w:p w14:paraId="60976D10" w14:textId="77777777" w:rsidR="007239A5" w:rsidRDefault="007239A5" w:rsidP="00B6414C">
      <w:pPr>
        <w:jc w:val="both"/>
        <w:rPr>
          <w:rFonts w:cs="Times New Roman"/>
          <w:sz w:val="24"/>
          <w:szCs w:val="24"/>
        </w:rPr>
      </w:pPr>
    </w:p>
    <w:p w14:paraId="1149DC2F" w14:textId="27555C8F" w:rsidR="000A6755" w:rsidRDefault="000A6755">
      <w:pPr>
        <w:rPr>
          <w:rFonts w:eastAsiaTheme="majorEastAsia" w:cs="Times New Roman"/>
          <w:b/>
          <w:color w:val="000000" w:themeColor="text1"/>
          <w:sz w:val="28"/>
        </w:rPr>
      </w:pPr>
      <w:r>
        <w:br w:type="page"/>
      </w:r>
    </w:p>
    <w:p w14:paraId="4CC5B63D" w14:textId="1FFCBD7A" w:rsidR="00BE224A" w:rsidRDefault="00BE224A" w:rsidP="00B6414C">
      <w:pPr>
        <w:pStyle w:val="Heading2"/>
      </w:pPr>
      <w:bookmarkStart w:id="30" w:name="_Toc495686642"/>
      <w:r w:rsidRPr="004518B1">
        <w:t>DISABILITY, BASIC HEALTH AND WELFARE</w:t>
      </w:r>
      <w:bookmarkEnd w:id="30"/>
    </w:p>
    <w:p w14:paraId="57ED2E81" w14:textId="77777777" w:rsidR="00BE224A" w:rsidRPr="00BE224A" w:rsidRDefault="00BE224A" w:rsidP="00B6414C">
      <w:pPr>
        <w:jc w:val="both"/>
      </w:pPr>
    </w:p>
    <w:p w14:paraId="4D14C707" w14:textId="77777777" w:rsidR="00DE5CED" w:rsidRPr="008F0616" w:rsidRDefault="00DE5CED" w:rsidP="00B6414C">
      <w:pPr>
        <w:pStyle w:val="Heading3"/>
        <w:ind w:firstLine="567"/>
        <w:jc w:val="both"/>
        <w:rPr>
          <w:rFonts w:cs="Times New Roman"/>
        </w:rPr>
      </w:pPr>
      <w:bookmarkStart w:id="31" w:name="_Toc495686643"/>
      <w:bookmarkStart w:id="32" w:name="_Toc465958399"/>
      <w:r w:rsidRPr="008F0616">
        <w:rPr>
          <w:rFonts w:cs="Times New Roman"/>
        </w:rPr>
        <w:t>Social security (Article 26)</w:t>
      </w:r>
      <w:bookmarkEnd w:id="31"/>
      <w:r w:rsidRPr="008F0616">
        <w:rPr>
          <w:rFonts w:cs="Times New Roman"/>
        </w:rPr>
        <w:t xml:space="preserve"> </w:t>
      </w:r>
    </w:p>
    <w:p w14:paraId="312422FF" w14:textId="76083ADA" w:rsidR="00DE5CED" w:rsidRPr="00382201" w:rsidRDefault="00DE5CED" w:rsidP="00B6414C">
      <w:pPr>
        <w:pStyle w:val="ListParagraph"/>
        <w:numPr>
          <w:ilvl w:val="3"/>
          <w:numId w:val="21"/>
        </w:numPr>
        <w:spacing w:after="240"/>
        <w:ind w:left="567" w:hanging="567"/>
        <w:jc w:val="both"/>
        <w:rPr>
          <w:rFonts w:cs="Times New Roman"/>
        </w:rPr>
      </w:pPr>
      <w:r w:rsidRPr="00382201">
        <w:rPr>
          <w:rFonts w:cs="Times New Roman"/>
          <w:color w:val="000000" w:themeColor="text1"/>
        </w:rPr>
        <w:t>The ComCare assistance</w:t>
      </w:r>
      <w:r w:rsidRPr="00382201">
        <w:rPr>
          <w:rFonts w:cs="Times New Roman"/>
        </w:rPr>
        <w:t xml:space="preserve"> </w:t>
      </w:r>
      <w:r w:rsidRPr="00382201">
        <w:rPr>
          <w:rFonts w:cs="Times New Roman"/>
          <w:color w:val="000000" w:themeColor="text1"/>
        </w:rPr>
        <w:t xml:space="preserve">programmes </w:t>
      </w:r>
      <w:r w:rsidR="00C64952">
        <w:rPr>
          <w:rFonts w:cs="Times New Roman"/>
          <w:color w:val="000000" w:themeColor="text1"/>
        </w:rPr>
        <w:t xml:space="preserve">are </w:t>
      </w:r>
      <w:r w:rsidRPr="00382201">
        <w:rPr>
          <w:rFonts w:cs="Times New Roman"/>
          <w:color w:val="000000" w:themeColor="text1"/>
        </w:rPr>
        <w:t xml:space="preserve">administered by </w:t>
      </w:r>
      <w:r>
        <w:rPr>
          <w:rFonts w:cs="Times New Roman"/>
        </w:rPr>
        <w:t xml:space="preserve">a network of 24 Social Service </w:t>
      </w:r>
      <w:r w:rsidR="00852AEC">
        <w:rPr>
          <w:rFonts w:cs="Times New Roman"/>
        </w:rPr>
        <w:t>Offices (</w:t>
      </w:r>
      <w:r w:rsidRPr="00382201">
        <w:rPr>
          <w:rFonts w:cs="Times New Roman"/>
        </w:rPr>
        <w:t>SSOs</w:t>
      </w:r>
      <w:r w:rsidR="00852AEC">
        <w:rPr>
          <w:rFonts w:cs="Times New Roman"/>
        </w:rPr>
        <w:t>)</w:t>
      </w:r>
      <w:r w:rsidRPr="00382201">
        <w:rPr>
          <w:rFonts w:cs="Times New Roman"/>
        </w:rPr>
        <w:t xml:space="preserve"> established island-wide</w:t>
      </w:r>
      <w:r w:rsidRPr="00DC5A25">
        <w:rPr>
          <w:rStyle w:val="FootnoteReference"/>
          <w:rFonts w:cs="Times New Roman"/>
          <w:sz w:val="22"/>
        </w:rPr>
        <w:footnoteReference w:id="5"/>
      </w:r>
      <w:r w:rsidRPr="00382201">
        <w:rPr>
          <w:rFonts w:cs="Times New Roman"/>
        </w:rPr>
        <w:t xml:space="preserve"> and</w:t>
      </w:r>
      <w:r w:rsidRPr="00382201">
        <w:rPr>
          <w:rFonts w:cs="Times New Roman"/>
          <w:color w:val="000000" w:themeColor="text1"/>
        </w:rPr>
        <w:t xml:space="preserve"> include:</w:t>
      </w:r>
    </w:p>
    <w:p w14:paraId="525F671A" w14:textId="75508CA3" w:rsidR="00DE5CED" w:rsidRPr="00593E17" w:rsidRDefault="00DE5CED" w:rsidP="00B6414C">
      <w:pPr>
        <w:pStyle w:val="ListParagraph"/>
        <w:numPr>
          <w:ilvl w:val="1"/>
          <w:numId w:val="7"/>
        </w:numPr>
        <w:spacing w:after="240"/>
        <w:ind w:left="1134" w:hanging="567"/>
        <w:contextualSpacing w:val="0"/>
        <w:jc w:val="both"/>
        <w:rPr>
          <w:rFonts w:cs="Times New Roman"/>
        </w:rPr>
      </w:pPr>
      <w:r w:rsidRPr="00DC5A25">
        <w:rPr>
          <w:rFonts w:cs="Times New Roman"/>
          <w:i/>
        </w:rPr>
        <w:t>ComCare Assistance for Children</w:t>
      </w:r>
      <w:r w:rsidRPr="00DC5A25">
        <w:rPr>
          <w:rFonts w:cs="Times New Roman"/>
        </w:rPr>
        <w:t xml:space="preserve"> </w:t>
      </w:r>
      <w:r w:rsidR="00593E17" w:rsidRPr="00194CE3">
        <w:rPr>
          <w:i/>
          <w:iCs/>
        </w:rPr>
        <w:t xml:space="preserve">- </w:t>
      </w:r>
      <w:r w:rsidR="00593E17" w:rsidRPr="00B6414C">
        <w:rPr>
          <w:i/>
          <w:iCs/>
        </w:rPr>
        <w:t>ComCare Student Care Subsidies</w:t>
      </w:r>
      <w:r w:rsidR="00593E17" w:rsidRPr="00B6414C">
        <w:t xml:space="preserve"> provide monthly fee subsidies for children aged between 7 and 14 years from lower-income families to attend student care centres while their parents are at work. These subsidies are also available to special needs students attending Special </w:t>
      </w:r>
      <w:r w:rsidR="00593E17">
        <w:t>Student Care Centres.</w:t>
      </w:r>
      <w:r w:rsidRPr="00593E17">
        <w:rPr>
          <w:rFonts w:cs="Times New Roman"/>
        </w:rPr>
        <w:t xml:space="preserve"> </w:t>
      </w:r>
    </w:p>
    <w:p w14:paraId="310341D0" w14:textId="77777777" w:rsidR="00DE5CED" w:rsidRPr="00DC5A25" w:rsidRDefault="00DE5CED" w:rsidP="00B6414C">
      <w:pPr>
        <w:pStyle w:val="ListParagraph"/>
        <w:numPr>
          <w:ilvl w:val="1"/>
          <w:numId w:val="7"/>
        </w:numPr>
        <w:spacing w:after="240"/>
        <w:ind w:left="1134" w:hanging="567"/>
        <w:contextualSpacing w:val="0"/>
        <w:jc w:val="both"/>
        <w:rPr>
          <w:rFonts w:cs="Times New Roman"/>
        </w:rPr>
      </w:pPr>
      <w:r w:rsidRPr="00DC5A25">
        <w:rPr>
          <w:rFonts w:cs="Times New Roman"/>
          <w:i/>
        </w:rPr>
        <w:t>ComCare Short- to Medium- Term Assistance</w:t>
      </w:r>
      <w:r w:rsidRPr="00DC5A25">
        <w:rPr>
          <w:rFonts w:cs="Times New Roman"/>
        </w:rPr>
        <w:t xml:space="preserve"> is targeted at low-income families and individuals who are temporarily unable to work </w:t>
      </w:r>
      <w:r w:rsidRPr="00DC5A25">
        <w:rPr>
          <w:rFonts w:cs="Times New Roman"/>
          <w:lang w:val="en-GB"/>
        </w:rPr>
        <w:t xml:space="preserve">(e.g. due to illness and care-giving responsibilities), unemployed or earning a low income and need temporary financial support. </w:t>
      </w:r>
    </w:p>
    <w:p w14:paraId="65009B95" w14:textId="28CC735A" w:rsidR="00DE5CED" w:rsidRPr="00DC5A25" w:rsidRDefault="00DE5CED" w:rsidP="00B6414C">
      <w:pPr>
        <w:pStyle w:val="ListParagraph"/>
        <w:numPr>
          <w:ilvl w:val="1"/>
          <w:numId w:val="7"/>
        </w:numPr>
        <w:spacing w:after="240"/>
        <w:ind w:left="1134" w:hanging="567"/>
        <w:contextualSpacing w:val="0"/>
        <w:jc w:val="both"/>
        <w:rPr>
          <w:rFonts w:cs="Times New Roman"/>
        </w:rPr>
      </w:pPr>
      <w:r w:rsidRPr="00DC5A25">
        <w:rPr>
          <w:rFonts w:cs="Times New Roman"/>
          <w:i/>
        </w:rPr>
        <w:t>ComCare Long Term Assistance</w:t>
      </w:r>
      <w:r w:rsidRPr="00DC5A25">
        <w:rPr>
          <w:rFonts w:cs="Times New Roman"/>
        </w:rPr>
        <w:t xml:space="preserve"> (also known as the Public Assistance scheme), is </w:t>
      </w:r>
      <w:r w:rsidRPr="00DC5A25">
        <w:rPr>
          <w:rFonts w:eastAsia="Times New Roman" w:cs="Times New Roman"/>
        </w:rPr>
        <w:t>targeted at the most needy who are unable to work due to old age, illness or disability, have limited or no means of income, and have little or no family support.</w:t>
      </w:r>
      <w:r w:rsidRPr="00DC5A25" w:rsidDel="004C09D1">
        <w:rPr>
          <w:rFonts w:cs="Times New Roman"/>
        </w:rPr>
        <w:t xml:space="preserve"> </w:t>
      </w:r>
      <w:r w:rsidRPr="00DC5A25">
        <w:rPr>
          <w:rFonts w:cs="Times New Roman"/>
        </w:rPr>
        <w:t xml:space="preserve">The support given includes monthly cash assistance, free medical treatment in polyclinics and government/restructured hospitals and access to government-funded social services such as befriending services. Recipients may also receive additional assistance for recurring healthcare or hygiene needs, or one-off purchases of essential items. Since 1 July 2016, a one-person household received a higher quantum of cash assistance of </w:t>
      </w:r>
      <w:r w:rsidR="000F2F30">
        <w:rPr>
          <w:rFonts w:cs="Times New Roman"/>
        </w:rPr>
        <w:t>S</w:t>
      </w:r>
      <w:r w:rsidRPr="00DC5A25">
        <w:rPr>
          <w:rFonts w:cs="Times New Roman"/>
        </w:rPr>
        <w:t xml:space="preserve">$500 </w:t>
      </w:r>
      <w:r w:rsidRPr="00B6414C">
        <w:rPr>
          <w:rFonts w:cs="Times New Roman"/>
        </w:rPr>
        <w:t>(US$3</w:t>
      </w:r>
      <w:r w:rsidR="00460FA9" w:rsidRPr="00B6414C">
        <w:rPr>
          <w:rFonts w:cs="Times New Roman"/>
        </w:rPr>
        <w:t>70</w:t>
      </w:r>
      <w:r w:rsidRPr="00DC5A25">
        <w:rPr>
          <w:rFonts w:cs="Times New Roman"/>
        </w:rPr>
        <w:t>) per month. Larger households and households with children also receive more cash assistance.</w:t>
      </w:r>
    </w:p>
    <w:p w14:paraId="411DFDBB" w14:textId="2BB6639B" w:rsidR="00BE224A" w:rsidRPr="00E95556" w:rsidRDefault="00BE224A" w:rsidP="00B6414C">
      <w:pPr>
        <w:pStyle w:val="Heading3"/>
        <w:ind w:left="567"/>
        <w:jc w:val="both"/>
      </w:pPr>
      <w:bookmarkStart w:id="33" w:name="_Toc495686644"/>
      <w:r w:rsidRPr="00E95556">
        <w:t>Standard of living (Article 27, para</w:t>
      </w:r>
      <w:r w:rsidR="00577CE9">
        <w:t>.</w:t>
      </w:r>
      <w:r w:rsidRPr="00E95556">
        <w:t>1-3)</w:t>
      </w:r>
      <w:bookmarkEnd w:id="32"/>
      <w:bookmarkEnd w:id="33"/>
    </w:p>
    <w:p w14:paraId="11789F14" w14:textId="0EE3F642" w:rsidR="002476F7" w:rsidRPr="00C24480" w:rsidRDefault="00BE224A" w:rsidP="00B6414C">
      <w:pPr>
        <w:pStyle w:val="ListParagraph"/>
        <w:numPr>
          <w:ilvl w:val="3"/>
          <w:numId w:val="21"/>
        </w:numPr>
        <w:ind w:left="567" w:hanging="567"/>
        <w:jc w:val="both"/>
        <w:rPr>
          <w:color w:val="FF0000"/>
        </w:rPr>
      </w:pPr>
      <w:r w:rsidRPr="00AB1275">
        <w:t xml:space="preserve">To </w:t>
      </w:r>
      <w:r>
        <w:t xml:space="preserve">better </w:t>
      </w:r>
      <w:r w:rsidRPr="00AB1275">
        <w:t>support</w:t>
      </w:r>
      <w:r w:rsidR="002476F7">
        <w:t xml:space="preserve"> workers in</w:t>
      </w:r>
      <w:r w:rsidRPr="00AB1275">
        <w:t xml:space="preserve"> lower-income families,</w:t>
      </w:r>
      <w:r w:rsidR="002476F7">
        <w:t xml:space="preserve"> such that the needs of children in vulnerable families are met,</w:t>
      </w:r>
      <w:r w:rsidRPr="00AB1275">
        <w:t xml:space="preserve"> the </w:t>
      </w:r>
      <w:r>
        <w:t>G</w:t>
      </w:r>
      <w:r w:rsidRPr="00AB1275">
        <w:t xml:space="preserve">overnment introduced </w:t>
      </w:r>
      <w:r w:rsidR="00487961">
        <w:t>a variety of schemes</w:t>
      </w:r>
      <w:r w:rsidR="002476F7">
        <w:t xml:space="preserve"> including:</w:t>
      </w:r>
    </w:p>
    <w:p w14:paraId="2947185F" w14:textId="77777777" w:rsidR="002476F7" w:rsidRPr="00C24480" w:rsidRDefault="002476F7" w:rsidP="00B6414C">
      <w:pPr>
        <w:pStyle w:val="ListParagraph"/>
        <w:ind w:left="567"/>
        <w:jc w:val="both"/>
        <w:rPr>
          <w:color w:val="FF0000"/>
        </w:rPr>
      </w:pPr>
    </w:p>
    <w:p w14:paraId="593B06B9" w14:textId="5E7C7E07" w:rsidR="006312AE" w:rsidRPr="00BE224A" w:rsidRDefault="00BE224A" w:rsidP="00B6414C">
      <w:pPr>
        <w:pStyle w:val="ListParagraph"/>
        <w:ind w:left="1134"/>
        <w:jc w:val="both"/>
        <w:rPr>
          <w:color w:val="FF0000"/>
        </w:rPr>
      </w:pPr>
      <w:r w:rsidRPr="00C24480">
        <w:rPr>
          <w:u w:val="single"/>
        </w:rPr>
        <w:t>Workfare</w:t>
      </w:r>
      <w:r w:rsidR="002476F7">
        <w:rPr>
          <w:rStyle w:val="FootnoteReference"/>
        </w:rPr>
        <w:footnoteReference w:id="6"/>
      </w:r>
      <w:r w:rsidRPr="00AB1275">
        <w:t xml:space="preserve"> </w:t>
      </w:r>
    </w:p>
    <w:p w14:paraId="0E5029B0" w14:textId="77777777" w:rsidR="00BE224A" w:rsidRPr="007813A7" w:rsidRDefault="00BE224A" w:rsidP="00B6414C">
      <w:pPr>
        <w:pStyle w:val="ListParagraph"/>
        <w:numPr>
          <w:ilvl w:val="3"/>
          <w:numId w:val="33"/>
        </w:numPr>
        <w:ind w:left="1134" w:hanging="567"/>
        <w:jc w:val="both"/>
        <w:rPr>
          <w:color w:val="FF0000"/>
        </w:rPr>
      </w:pPr>
      <w:r w:rsidRPr="002476F7">
        <w:rPr>
          <w:rFonts w:cs="Times New Roman"/>
          <w:i/>
        </w:rPr>
        <w:t>Workfare Income Supplement Scheme (WIS)</w:t>
      </w:r>
      <w:r w:rsidRPr="002476F7">
        <w:rPr>
          <w:rFonts w:cs="Times New Roman"/>
        </w:rPr>
        <w:t xml:space="preserve"> provides an income supplement to help lower-wage workers meet daily expenses and a CPF top-up to help boost their retirement savings. WIS payouts can amount to around </w:t>
      </w:r>
      <w:r w:rsidRPr="006312AE">
        <w:rPr>
          <w:rFonts w:cs="Times New Roman"/>
        </w:rPr>
        <w:t xml:space="preserve">30% of a low-wage worker’s annual income. </w:t>
      </w:r>
    </w:p>
    <w:p w14:paraId="50C72B3E" w14:textId="77777777" w:rsidR="00460FA9" w:rsidRPr="006312AE" w:rsidRDefault="00460FA9" w:rsidP="00B6414C">
      <w:pPr>
        <w:pStyle w:val="ListParagraph"/>
        <w:ind w:left="1134"/>
        <w:jc w:val="both"/>
        <w:rPr>
          <w:color w:val="FF0000"/>
        </w:rPr>
      </w:pPr>
    </w:p>
    <w:p w14:paraId="345BF6D7" w14:textId="2E303603" w:rsidR="00BE224A" w:rsidRPr="007813A7" w:rsidRDefault="00BE224A" w:rsidP="00B6414C">
      <w:pPr>
        <w:pStyle w:val="ListParagraph"/>
        <w:numPr>
          <w:ilvl w:val="3"/>
          <w:numId w:val="33"/>
        </w:numPr>
        <w:ind w:left="1134" w:hanging="567"/>
        <w:jc w:val="both"/>
        <w:rPr>
          <w:color w:val="FF0000"/>
        </w:rPr>
      </w:pPr>
      <w:r w:rsidRPr="00BE224A">
        <w:rPr>
          <w:i/>
        </w:rPr>
        <w:t>Workfare Training Support Scheme</w:t>
      </w:r>
      <w:r w:rsidRPr="00AB1275">
        <w:t xml:space="preserve"> provides training subsidies and grants to encourage lower-wage workers to upgrade their skills and employability, in order to find higher value-added and better paying jobs</w:t>
      </w:r>
      <w:r w:rsidR="003143E3">
        <w:t>.</w:t>
      </w:r>
    </w:p>
    <w:p w14:paraId="466CE62A" w14:textId="77777777" w:rsidR="00460FA9" w:rsidRPr="007813A7" w:rsidRDefault="00460FA9" w:rsidP="00B6414C">
      <w:pPr>
        <w:pStyle w:val="ListParagraph"/>
        <w:jc w:val="both"/>
        <w:rPr>
          <w:color w:val="FF0000"/>
        </w:rPr>
      </w:pPr>
    </w:p>
    <w:p w14:paraId="47196EE5" w14:textId="0A94E10B" w:rsidR="00BE224A" w:rsidRPr="00BE224A" w:rsidRDefault="00BE224A" w:rsidP="00B6414C">
      <w:pPr>
        <w:pStyle w:val="ListParagraph"/>
        <w:numPr>
          <w:ilvl w:val="3"/>
          <w:numId w:val="33"/>
        </w:numPr>
        <w:ind w:left="1134" w:hanging="567"/>
        <w:jc w:val="both"/>
        <w:rPr>
          <w:color w:val="FF0000"/>
        </w:rPr>
      </w:pPr>
      <w:r w:rsidRPr="00BE224A">
        <w:rPr>
          <w:i/>
        </w:rPr>
        <w:t>Workfare Transport Concession Scheme</w:t>
      </w:r>
      <w:r w:rsidRPr="00AB1275">
        <w:t xml:space="preserve"> </w:t>
      </w:r>
      <w:r w:rsidRPr="00BE224A">
        <w:rPr>
          <w:szCs w:val="28"/>
        </w:rPr>
        <w:t xml:space="preserve">helps to defray transportation costs faced </w:t>
      </w:r>
      <w:r w:rsidR="00C64952">
        <w:rPr>
          <w:szCs w:val="28"/>
        </w:rPr>
        <w:t>by</w:t>
      </w:r>
      <w:r w:rsidRPr="00BE224A">
        <w:rPr>
          <w:szCs w:val="28"/>
        </w:rPr>
        <w:t xml:space="preserve"> lower-wage workers who depend on public transport for work, and to enable them to pursue better job and training opportunities further away from their homes.  </w:t>
      </w:r>
    </w:p>
    <w:p w14:paraId="69D906C6" w14:textId="77777777" w:rsidR="00DE5CED" w:rsidRDefault="00DE5CED" w:rsidP="00B6414C">
      <w:pPr>
        <w:pStyle w:val="ListParagraph"/>
        <w:ind w:left="1440"/>
        <w:jc w:val="both"/>
        <w:rPr>
          <w:color w:val="FF0000"/>
        </w:rPr>
      </w:pPr>
    </w:p>
    <w:p w14:paraId="4198683E" w14:textId="77777777" w:rsidR="000A6755" w:rsidRDefault="000A6755">
      <w:pPr>
        <w:rPr>
          <w:rFonts w:eastAsiaTheme="majorEastAsia" w:cs="Times New Roman"/>
          <w:b/>
          <w:color w:val="000000" w:themeColor="text1"/>
          <w:sz w:val="28"/>
        </w:rPr>
      </w:pPr>
      <w:r>
        <w:br w:type="page"/>
      </w:r>
    </w:p>
    <w:p w14:paraId="2827516A" w14:textId="0581048E" w:rsidR="0077128A" w:rsidRDefault="0077128A" w:rsidP="00B6414C">
      <w:pPr>
        <w:pStyle w:val="Heading2"/>
      </w:pPr>
      <w:bookmarkStart w:id="34" w:name="_Toc495686645"/>
      <w:r w:rsidRPr="00DC5A25">
        <w:t>EDUCATION, LEISURE AND CULTURAL ACTIVITIES</w:t>
      </w:r>
      <w:bookmarkEnd w:id="22"/>
      <w:bookmarkEnd w:id="34"/>
    </w:p>
    <w:p w14:paraId="076B187E" w14:textId="77777777" w:rsidR="00AA5858" w:rsidRPr="00AA5858" w:rsidRDefault="00AA5858" w:rsidP="00B6414C">
      <w:pPr>
        <w:jc w:val="both"/>
      </w:pPr>
    </w:p>
    <w:p w14:paraId="32974A1A" w14:textId="77777777" w:rsidR="0062681C" w:rsidRPr="00DC5A25" w:rsidRDefault="0062681C" w:rsidP="00B6414C">
      <w:pPr>
        <w:pStyle w:val="Heading3"/>
        <w:ind w:firstLine="567"/>
        <w:jc w:val="both"/>
        <w:rPr>
          <w:rFonts w:cs="Times New Roman"/>
          <w:sz w:val="22"/>
          <w:szCs w:val="22"/>
        </w:rPr>
      </w:pPr>
      <w:bookmarkStart w:id="35" w:name="_Toc454808385"/>
      <w:bookmarkStart w:id="36" w:name="_Toc458688111"/>
      <w:bookmarkStart w:id="37" w:name="_Toc495686646"/>
      <w:r w:rsidRPr="00DC5A25">
        <w:rPr>
          <w:rFonts w:cs="Times New Roman"/>
          <w:sz w:val="22"/>
          <w:szCs w:val="22"/>
        </w:rPr>
        <w:t>Rest, play, leisure, recreation and cultural and artistic activities (Article 31)</w:t>
      </w:r>
      <w:bookmarkEnd w:id="35"/>
      <w:bookmarkEnd w:id="36"/>
      <w:bookmarkEnd w:id="37"/>
    </w:p>
    <w:p w14:paraId="37C670DA" w14:textId="77777777" w:rsidR="007F2516" w:rsidRDefault="007F2516" w:rsidP="00B6414C">
      <w:pPr>
        <w:spacing w:after="0" w:line="240" w:lineRule="auto"/>
        <w:ind w:firstLine="567"/>
        <w:jc w:val="both"/>
        <w:rPr>
          <w:rFonts w:cs="Times New Roman"/>
          <w:i/>
        </w:rPr>
      </w:pPr>
    </w:p>
    <w:p w14:paraId="7102A75A" w14:textId="77777777" w:rsidR="00BE224A" w:rsidRDefault="0062681C" w:rsidP="00B6414C">
      <w:pPr>
        <w:spacing w:after="0" w:line="240" w:lineRule="auto"/>
        <w:ind w:firstLine="567"/>
        <w:jc w:val="both"/>
        <w:rPr>
          <w:rFonts w:cs="Times New Roman"/>
          <w:i/>
        </w:rPr>
      </w:pPr>
      <w:r w:rsidRPr="00DC5A25">
        <w:rPr>
          <w:rFonts w:cs="Times New Roman"/>
          <w:i/>
        </w:rPr>
        <w:t>Grants and Bu</w:t>
      </w:r>
      <w:r w:rsidR="0077128A" w:rsidRPr="00DC5A25">
        <w:rPr>
          <w:rFonts w:cs="Times New Roman"/>
          <w:i/>
        </w:rPr>
        <w:t>r</w:t>
      </w:r>
      <w:r w:rsidRPr="00DC5A25">
        <w:rPr>
          <w:rFonts w:cs="Times New Roman"/>
          <w:i/>
        </w:rPr>
        <w:t>saries for Arts and Cultural Programmes</w:t>
      </w:r>
    </w:p>
    <w:p w14:paraId="0DDB14B8" w14:textId="77777777" w:rsidR="00BE224A" w:rsidRDefault="00BE224A" w:rsidP="00B6414C">
      <w:pPr>
        <w:spacing w:after="0" w:line="240" w:lineRule="auto"/>
        <w:jc w:val="both"/>
        <w:rPr>
          <w:rFonts w:cs="Times New Roman"/>
          <w:color w:val="FF0000"/>
        </w:rPr>
      </w:pPr>
    </w:p>
    <w:p w14:paraId="28B69569" w14:textId="624033D6" w:rsidR="0062681C" w:rsidRPr="00BE224A" w:rsidRDefault="0062681C" w:rsidP="00B6414C">
      <w:pPr>
        <w:pStyle w:val="ListParagraph"/>
        <w:numPr>
          <w:ilvl w:val="3"/>
          <w:numId w:val="21"/>
        </w:numPr>
        <w:spacing w:after="0" w:line="240" w:lineRule="auto"/>
        <w:ind w:left="567" w:hanging="567"/>
        <w:jc w:val="both"/>
        <w:rPr>
          <w:rFonts w:cs="Times New Roman"/>
          <w:color w:val="FF0000"/>
        </w:rPr>
      </w:pPr>
      <w:r w:rsidRPr="00BE224A">
        <w:rPr>
          <w:rFonts w:cs="Times New Roman"/>
        </w:rPr>
        <w:t xml:space="preserve">Many of the groups the Government support have programmes targeted at children and youth. These include: </w:t>
      </w:r>
    </w:p>
    <w:p w14:paraId="7F8EAA51" w14:textId="77777777"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 xml:space="preserve">Singapore Youth Chinese Orchestra and Singapore National Youth Orchestra, run by the Singapore Chinese Orchestra and the Singapore Symphony Orchestra respectively. </w:t>
      </w:r>
    </w:p>
    <w:p w14:paraId="1F28E914" w14:textId="52112E72"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Kids’ Philharmonic@SG, a non-profit organisation which provides opportunities for children aged 4 to</w:t>
      </w:r>
      <w:r w:rsidR="006058A4">
        <w:rPr>
          <w:rFonts w:cs="Times New Roman"/>
        </w:rPr>
        <w:t xml:space="preserve"> </w:t>
      </w:r>
      <w:r w:rsidRPr="00DC5A25">
        <w:rPr>
          <w:rFonts w:cs="Times New Roman"/>
        </w:rPr>
        <w:t xml:space="preserve">16 years to perform together as an orchestra at public concerts. </w:t>
      </w:r>
    </w:p>
    <w:p w14:paraId="7F825D48" w14:textId="77777777"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Young People's Performing Arts Ensemble, a Mandarin children’s theatre group specialising in cross-talk and Chinese drama.</w:t>
      </w:r>
    </w:p>
    <w:p w14:paraId="47419C20" w14:textId="77777777"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I-Theatre, whose work focuses on theatre for children and young people.</w:t>
      </w:r>
    </w:p>
    <w:p w14:paraId="3B0F52F7" w14:textId="77777777"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The Finger Players and Paper Monkey, two groups that create puppetry-infused theatre for children.</w:t>
      </w:r>
    </w:p>
    <w:p w14:paraId="55EE9151" w14:textId="2022258F"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Singapore Repertory Theatre’s Little Company, a company producing quality plays for children age 2 to 12 years and Singapore Repertory Theatre’s Young Company, a two-year educational and performing platform for 16 to 25 year-olds.</w:t>
      </w:r>
    </w:p>
    <w:p w14:paraId="3C49A41F" w14:textId="77777777"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W!ld Rice's Young and W!ld training programme, targeted at young people ranging from 17 to 32 years of age.</w:t>
      </w:r>
    </w:p>
    <w:p w14:paraId="702A0EFA" w14:textId="2815AAA5"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 xml:space="preserve">Pangdemonium Theatre’s musical theatre workshop and playwriting programme, Triple Threats and Play Right respectively, </w:t>
      </w:r>
      <w:r w:rsidR="000A6755" w:rsidRPr="00DC5A25">
        <w:rPr>
          <w:rFonts w:cs="Times New Roman"/>
        </w:rPr>
        <w:t>which target</w:t>
      </w:r>
      <w:r w:rsidRPr="00DC5A25">
        <w:rPr>
          <w:rFonts w:cs="Times New Roman"/>
        </w:rPr>
        <w:t xml:space="preserve"> teenagers and young adults.</w:t>
      </w:r>
    </w:p>
    <w:p w14:paraId="188D853C" w14:textId="77777777"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Singapore Drama Education Association, which promotes the use of drama for education through training programmes for arts educators and the biennial “Celebrate Drama” festival.</w:t>
      </w:r>
    </w:p>
    <w:p w14:paraId="083CFE61" w14:textId="77777777"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Frontier Danceland, which engages emerging youth dancers through its PULSE Programme, a year-long programme designed to nurture talented young dancers through rigorous weekly contemporary dance training.</w:t>
      </w:r>
    </w:p>
    <w:p w14:paraId="26F78FD4" w14:textId="77777777"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Odyssey Dance Theatre’s Arts4youths division, which provides dance enrichment programmes.</w:t>
      </w:r>
    </w:p>
    <w:p w14:paraId="02558186" w14:textId="0BD33BEF"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Arts Fission</w:t>
      </w:r>
      <w:r w:rsidR="00C64952">
        <w:rPr>
          <w:rFonts w:cs="Times New Roman"/>
        </w:rPr>
        <w:t>’s</w:t>
      </w:r>
      <w:r w:rsidR="00522F6A">
        <w:rPr>
          <w:rFonts w:cs="Times New Roman"/>
        </w:rPr>
        <w:t xml:space="preserve"> </w:t>
      </w:r>
      <w:r w:rsidRPr="00DC5A25">
        <w:rPr>
          <w:rFonts w:cs="Times New Roman"/>
        </w:rPr>
        <w:t>annual Young People Environmental Dance-Theatre Production</w:t>
      </w:r>
      <w:r w:rsidR="00C64952">
        <w:rPr>
          <w:rFonts w:cs="Times New Roman"/>
        </w:rPr>
        <w:t>. The Production</w:t>
      </w:r>
      <w:r w:rsidR="00E137CA">
        <w:rPr>
          <w:rFonts w:cs="Times New Roman"/>
        </w:rPr>
        <w:t xml:space="preserve"> </w:t>
      </w:r>
      <w:r w:rsidRPr="00DC5A25">
        <w:rPr>
          <w:rFonts w:cs="Times New Roman"/>
        </w:rPr>
        <w:t>provides opportunities for children to experience a professionally staged production where they perform alongside the company’s professional dancers.</w:t>
      </w:r>
    </w:p>
    <w:p w14:paraId="2556AC6D" w14:textId="2C5538ED"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O School Ltd which organises Super 24, a dance competition that aims to bring together dance interest groups from across all levels.</w:t>
      </w:r>
    </w:p>
    <w:p w14:paraId="092194AA" w14:textId="77777777" w:rsidR="0062681C" w:rsidRPr="00DC5A25"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The Royal Dance Off, which organises contemporary dance programmes for youths.</w:t>
      </w:r>
    </w:p>
    <w:p w14:paraId="01E7B578" w14:textId="77777777" w:rsidR="007F2516" w:rsidRDefault="0062681C" w:rsidP="00B6414C">
      <w:pPr>
        <w:pStyle w:val="ListParagraph"/>
        <w:numPr>
          <w:ilvl w:val="0"/>
          <w:numId w:val="9"/>
        </w:numPr>
        <w:spacing w:after="0" w:line="240" w:lineRule="auto"/>
        <w:ind w:left="1134" w:hanging="567"/>
        <w:contextualSpacing w:val="0"/>
        <w:jc w:val="both"/>
        <w:rPr>
          <w:rFonts w:cs="Times New Roman"/>
        </w:rPr>
      </w:pPr>
      <w:r w:rsidRPr="00DC5A25">
        <w:rPr>
          <w:rFonts w:cs="Times New Roman"/>
        </w:rPr>
        <w:t>Singapore Dance Theatre, which performs a children’s ballet at least once a year targeting pre-primary and lower primary students. The company also provides pre-professional training for youth aged between 10-19, through the Ballet Associates Course and the Scholars</w:t>
      </w:r>
      <w:r w:rsidR="007F2516">
        <w:rPr>
          <w:rFonts w:cs="Times New Roman"/>
        </w:rPr>
        <w:t>.</w:t>
      </w:r>
    </w:p>
    <w:p w14:paraId="6850F7AD" w14:textId="31297278" w:rsidR="0062681C" w:rsidRPr="00DC5A25" w:rsidRDefault="0062681C" w:rsidP="00B6414C">
      <w:pPr>
        <w:pStyle w:val="ListParagraph"/>
        <w:spacing w:after="0" w:line="240" w:lineRule="auto"/>
        <w:ind w:left="1134"/>
        <w:contextualSpacing w:val="0"/>
        <w:jc w:val="both"/>
        <w:rPr>
          <w:rFonts w:cs="Times New Roman"/>
        </w:rPr>
      </w:pPr>
      <w:r w:rsidRPr="00DC5A25">
        <w:rPr>
          <w:rFonts w:cs="Times New Roman"/>
        </w:rPr>
        <w:t xml:space="preserve"> </w:t>
      </w:r>
    </w:p>
    <w:p w14:paraId="053A915A" w14:textId="56704D72" w:rsidR="0062681C" w:rsidRPr="00887E2B" w:rsidRDefault="00440CF1" w:rsidP="00B6414C">
      <w:pPr>
        <w:pStyle w:val="ListParagraph"/>
        <w:numPr>
          <w:ilvl w:val="3"/>
          <w:numId w:val="21"/>
        </w:numPr>
        <w:spacing w:after="240"/>
        <w:ind w:left="567" w:hanging="567"/>
        <w:jc w:val="both"/>
        <w:rPr>
          <w:rFonts w:cs="Times New Roman"/>
        </w:rPr>
      </w:pPr>
      <w:r w:rsidRPr="00887E2B">
        <w:rPr>
          <w:rFonts w:cs="Times New Roman"/>
        </w:rPr>
        <w:t>Beyond the arts sphere, the Yo</w:t>
      </w:r>
      <w:r w:rsidR="000A6755">
        <w:rPr>
          <w:rFonts w:cs="Times New Roman"/>
        </w:rPr>
        <w:t xml:space="preserve">uth Expedition Project supports </w:t>
      </w:r>
      <w:r w:rsidRPr="00887E2B">
        <w:rPr>
          <w:rFonts w:cs="Times New Roman"/>
        </w:rPr>
        <w:t xml:space="preserve">youth from educational institutions and registered organisations to embark on Service-Learning projects that involve communities in ASEAN, China, India and Singapore. In addition, </w:t>
      </w:r>
      <w:r w:rsidR="002E6604">
        <w:rPr>
          <w:rFonts w:cs="Times New Roman"/>
        </w:rPr>
        <w:t>the National Youth Council</w:t>
      </w:r>
      <w:r w:rsidRPr="00887E2B">
        <w:rPr>
          <w:rFonts w:cs="Times New Roman"/>
        </w:rPr>
        <w:t xml:space="preserve"> administers the Singapore Youth Awards, which seek</w:t>
      </w:r>
      <w:r w:rsidR="007D5817">
        <w:rPr>
          <w:rFonts w:cs="Times New Roman"/>
        </w:rPr>
        <w:t>s</w:t>
      </w:r>
      <w:r w:rsidRPr="00887E2B">
        <w:rPr>
          <w:rFonts w:cs="Times New Roman"/>
        </w:rPr>
        <w:t xml:space="preserve"> to recognise outstanding contributions made to society by youth and inspire other young people to greater achievements. </w:t>
      </w:r>
    </w:p>
    <w:p w14:paraId="32E6D395" w14:textId="77777777" w:rsidR="00164ED6" w:rsidRPr="00DC5A25" w:rsidRDefault="00164ED6" w:rsidP="00B6414C">
      <w:pPr>
        <w:spacing w:after="240"/>
        <w:ind w:firstLine="567"/>
        <w:jc w:val="both"/>
        <w:rPr>
          <w:rFonts w:cs="Times New Roman"/>
          <w:i/>
        </w:rPr>
      </w:pPr>
      <w:r w:rsidRPr="00DC5A25">
        <w:rPr>
          <w:rFonts w:cs="Times New Roman"/>
          <w:i/>
        </w:rPr>
        <w:t>Programmes by the National Heritage Board (NHB) for Children and Youth</w:t>
      </w:r>
    </w:p>
    <w:p w14:paraId="5C4FC335" w14:textId="2FBA3C71" w:rsidR="00887E2B" w:rsidRDefault="00164ED6" w:rsidP="00B6414C">
      <w:pPr>
        <w:pStyle w:val="ListParagraph"/>
        <w:numPr>
          <w:ilvl w:val="3"/>
          <w:numId w:val="21"/>
        </w:numPr>
        <w:spacing w:after="240"/>
        <w:ind w:left="567" w:hanging="567"/>
        <w:jc w:val="both"/>
        <w:rPr>
          <w:rFonts w:cs="Times New Roman"/>
        </w:rPr>
      </w:pPr>
      <w:r w:rsidRPr="00887E2B">
        <w:rPr>
          <w:rFonts w:cs="Times New Roman"/>
        </w:rPr>
        <w:t xml:space="preserve">One of </w:t>
      </w:r>
      <w:r w:rsidR="0027616C">
        <w:rPr>
          <w:rFonts w:cs="Times New Roman"/>
        </w:rPr>
        <w:t xml:space="preserve">the </w:t>
      </w:r>
      <w:r w:rsidRPr="00887E2B">
        <w:rPr>
          <w:rFonts w:cs="Times New Roman"/>
        </w:rPr>
        <w:t xml:space="preserve">NHB’s new heritage education programme is Singapore’s Little Treasures (SLT), which is dedicated to early learning in museums and organised in partnership with the </w:t>
      </w:r>
      <w:r w:rsidR="00EC03E9">
        <w:rPr>
          <w:rFonts w:cs="Times New Roman"/>
        </w:rPr>
        <w:t>Early Childhood Development Agency (</w:t>
      </w:r>
      <w:r w:rsidRPr="00887E2B">
        <w:rPr>
          <w:rFonts w:cs="Times New Roman"/>
        </w:rPr>
        <w:t>ECDA</w:t>
      </w:r>
      <w:r w:rsidR="00EC03E9">
        <w:rPr>
          <w:rFonts w:cs="Times New Roman"/>
        </w:rPr>
        <w:t>)</w:t>
      </w:r>
      <w:r w:rsidRPr="00887E2B">
        <w:rPr>
          <w:rFonts w:cs="Times New Roman"/>
        </w:rPr>
        <w:t xml:space="preserve">. SLT consists of heritage lessons in school and museum visits for pre-schoolers to learn about Singapore's multi-cultural heritage through specially curated artefacts inspired by the National Museum of Singapore’s collection. These artefacts are packaged in mobile “trunks” and come with teaching aids and ideas to support educators in creating learning experiences in their classrooms. </w:t>
      </w:r>
    </w:p>
    <w:p w14:paraId="7B00BE6A" w14:textId="77777777" w:rsidR="00887E2B" w:rsidRDefault="00887E2B" w:rsidP="00B6414C">
      <w:pPr>
        <w:pStyle w:val="ListParagraph"/>
        <w:spacing w:after="240"/>
        <w:ind w:left="567"/>
        <w:jc w:val="both"/>
        <w:rPr>
          <w:rFonts w:cs="Times New Roman"/>
        </w:rPr>
      </w:pPr>
    </w:p>
    <w:p w14:paraId="6695D381" w14:textId="16AD77BF" w:rsidR="00887E2B" w:rsidRDefault="00164ED6" w:rsidP="00B6414C">
      <w:pPr>
        <w:pStyle w:val="ListParagraph"/>
        <w:numPr>
          <w:ilvl w:val="3"/>
          <w:numId w:val="21"/>
        </w:numPr>
        <w:spacing w:after="240"/>
        <w:ind w:left="567" w:hanging="567"/>
        <w:jc w:val="both"/>
        <w:rPr>
          <w:rFonts w:cs="Times New Roman"/>
        </w:rPr>
      </w:pPr>
      <w:r w:rsidRPr="00887E2B">
        <w:rPr>
          <w:rFonts w:cs="Times New Roman"/>
        </w:rPr>
        <w:t xml:space="preserve">Since 2014, </w:t>
      </w:r>
      <w:r w:rsidR="0027616C">
        <w:rPr>
          <w:rFonts w:cs="Times New Roman"/>
        </w:rPr>
        <w:t xml:space="preserve">the </w:t>
      </w:r>
      <w:r w:rsidRPr="00887E2B">
        <w:rPr>
          <w:rFonts w:cs="Times New Roman"/>
        </w:rPr>
        <w:t>NHB has been working with pre-school educators on Innovation Guidance Projects in the National Museum of Singapore and our three Heritage Institutions - namely, Indian Heritage Centre, Malay Heritage Centre and Sun Yat Sen Nanyang Memorial Hall. For 2016, the Education &amp; Community Outreach Division will venture into the Peranakan Museum to explore multiple ways for early learners to investigate Singapore’s rich multicultural roots.</w:t>
      </w:r>
    </w:p>
    <w:p w14:paraId="1CDFE464" w14:textId="77777777" w:rsidR="00887E2B" w:rsidRPr="00887E2B" w:rsidRDefault="00887E2B" w:rsidP="00B6414C">
      <w:pPr>
        <w:pStyle w:val="ListParagraph"/>
        <w:jc w:val="both"/>
        <w:rPr>
          <w:rFonts w:cs="Times New Roman"/>
        </w:rPr>
      </w:pPr>
    </w:p>
    <w:p w14:paraId="544992B7" w14:textId="17D792CF" w:rsidR="00887E2B" w:rsidRDefault="0027616C" w:rsidP="00B6414C">
      <w:pPr>
        <w:pStyle w:val="ListParagraph"/>
        <w:numPr>
          <w:ilvl w:val="3"/>
          <w:numId w:val="21"/>
        </w:numPr>
        <w:spacing w:after="240"/>
        <w:ind w:left="567" w:hanging="567"/>
        <w:jc w:val="both"/>
        <w:rPr>
          <w:rFonts w:cs="Times New Roman"/>
        </w:rPr>
      </w:pPr>
      <w:r>
        <w:rPr>
          <w:rFonts w:cs="Times New Roman"/>
        </w:rPr>
        <w:t xml:space="preserve">The </w:t>
      </w:r>
      <w:r w:rsidR="00164ED6" w:rsidRPr="00887E2B">
        <w:rPr>
          <w:rFonts w:cs="Times New Roman"/>
        </w:rPr>
        <w:t xml:space="preserve">NHB also launched the Heritage Explorers Programme in 2016 which enables primary school students to experience first-hand what it is like to be a curator, historian, designer, educator and ambassador. The programme aims to raise awareness of personal, community and national heritage amongst primary school students through creative role-playing, with a focus on creating enjoyable heritage experiences for our young. It complements the learning of Social Studies, National Education, and </w:t>
      </w:r>
      <w:r w:rsidR="002E6604">
        <w:rPr>
          <w:rFonts w:cs="Times New Roman"/>
        </w:rPr>
        <w:t>Character and Citizenship Education</w:t>
      </w:r>
      <w:r w:rsidR="00164ED6" w:rsidRPr="00887E2B">
        <w:rPr>
          <w:rFonts w:cs="Times New Roman"/>
        </w:rPr>
        <w:t xml:space="preserve"> in schools, while also emphasizing school-parent partnership, and greater parent-child bonding.</w:t>
      </w:r>
    </w:p>
    <w:p w14:paraId="258E4DC6" w14:textId="77777777" w:rsidR="00887E2B" w:rsidRPr="00887E2B" w:rsidRDefault="00887E2B" w:rsidP="00B6414C">
      <w:pPr>
        <w:pStyle w:val="ListParagraph"/>
        <w:jc w:val="both"/>
        <w:rPr>
          <w:rFonts w:cs="Times New Roman"/>
          <w:color w:val="FF0000"/>
        </w:rPr>
      </w:pPr>
    </w:p>
    <w:p w14:paraId="5F4A6FDB" w14:textId="4427E06C" w:rsidR="00887E2B" w:rsidRDefault="0027616C" w:rsidP="00B6414C">
      <w:pPr>
        <w:pStyle w:val="ListParagraph"/>
        <w:numPr>
          <w:ilvl w:val="3"/>
          <w:numId w:val="21"/>
        </w:numPr>
        <w:spacing w:after="240"/>
        <w:ind w:left="567" w:hanging="567"/>
        <w:jc w:val="both"/>
        <w:rPr>
          <w:rFonts w:cs="Times New Roman"/>
        </w:rPr>
      </w:pPr>
      <w:r>
        <w:rPr>
          <w:rFonts w:cs="Times New Roman"/>
        </w:rPr>
        <w:t xml:space="preserve">The </w:t>
      </w:r>
      <w:r w:rsidR="00164ED6" w:rsidRPr="00887E2B">
        <w:rPr>
          <w:rFonts w:cs="Times New Roman"/>
        </w:rPr>
        <w:t xml:space="preserve">NHB’s Heritage Centres have also developed several programmes aimed at fostering greater youth engagement in the heritage sector. For example, the Sun Yat Sen Nanyang Memorial Hall trains secondary school students to provide guided tours to members of the public. Through this programme, they will learn presentation skills and guiding skills for the public. </w:t>
      </w:r>
    </w:p>
    <w:p w14:paraId="45B216F9" w14:textId="77777777" w:rsidR="00887E2B" w:rsidRPr="00887E2B" w:rsidRDefault="00887E2B" w:rsidP="00B6414C">
      <w:pPr>
        <w:pStyle w:val="ListParagraph"/>
        <w:jc w:val="both"/>
        <w:rPr>
          <w:rFonts w:cs="Times New Roman"/>
        </w:rPr>
      </w:pPr>
    </w:p>
    <w:p w14:paraId="5C28364E" w14:textId="351AB2E8" w:rsidR="00887E2B" w:rsidRDefault="00164ED6" w:rsidP="00B6414C">
      <w:pPr>
        <w:pStyle w:val="ListParagraph"/>
        <w:numPr>
          <w:ilvl w:val="3"/>
          <w:numId w:val="21"/>
        </w:numPr>
        <w:spacing w:after="240"/>
        <w:ind w:left="567" w:hanging="567"/>
        <w:jc w:val="both"/>
        <w:rPr>
          <w:rFonts w:cs="Times New Roman"/>
        </w:rPr>
      </w:pPr>
      <w:r w:rsidRPr="00887E2B">
        <w:rPr>
          <w:rFonts w:cs="Times New Roman"/>
        </w:rPr>
        <w:t>The Heritage Conservation Centre also conducts guided tours of its conservation and storage facilities for youths from secondary schools, junior colleges and polytechnic</w:t>
      </w:r>
      <w:r w:rsidR="00EA0B54">
        <w:rPr>
          <w:rFonts w:cs="Times New Roman"/>
        </w:rPr>
        <w:t>s</w:t>
      </w:r>
      <w:r w:rsidRPr="00887E2B">
        <w:rPr>
          <w:rFonts w:cs="Times New Roman"/>
        </w:rPr>
        <w:t xml:space="preserve">. These tours provide the youths with an insight into career opportunities in the heritage and culture sector. </w:t>
      </w:r>
    </w:p>
    <w:p w14:paraId="0DB8451A" w14:textId="77777777" w:rsidR="00887E2B" w:rsidRPr="00887E2B" w:rsidRDefault="00887E2B" w:rsidP="00B6414C">
      <w:pPr>
        <w:pStyle w:val="ListParagraph"/>
        <w:jc w:val="both"/>
        <w:rPr>
          <w:rFonts w:cs="Times New Roman"/>
        </w:rPr>
      </w:pPr>
    </w:p>
    <w:p w14:paraId="713FA619" w14:textId="3A8D8C76" w:rsidR="00887E2B" w:rsidRDefault="00164ED6" w:rsidP="00B6414C">
      <w:pPr>
        <w:pStyle w:val="ListParagraph"/>
        <w:numPr>
          <w:ilvl w:val="3"/>
          <w:numId w:val="21"/>
        </w:numPr>
        <w:spacing w:after="240"/>
        <w:ind w:left="567" w:hanging="567"/>
        <w:jc w:val="both"/>
        <w:rPr>
          <w:rFonts w:cs="Times New Roman"/>
        </w:rPr>
      </w:pPr>
      <w:r w:rsidRPr="00887E2B">
        <w:rPr>
          <w:rFonts w:cs="Times New Roman"/>
        </w:rPr>
        <w:t>ECO runs Heritage on the Move, a community engagement programme that brings exhibitions on Singapore’s multi-cultural heritage to the community. Each exhibition is made modular to travel to different public spaces such as schools, libraries, community events and shopping malls throughout the year. Currently</w:t>
      </w:r>
      <w:r w:rsidR="007D5817">
        <w:rPr>
          <w:rFonts w:cs="Times New Roman"/>
        </w:rPr>
        <w:t>,</w:t>
      </w:r>
      <w:r w:rsidRPr="00887E2B">
        <w:rPr>
          <w:rFonts w:cs="Times New Roman"/>
        </w:rPr>
        <w:t xml:space="preserve"> there are </w:t>
      </w:r>
      <w:r w:rsidR="00B07FE0">
        <w:rPr>
          <w:rFonts w:cs="Times New Roman"/>
        </w:rPr>
        <w:t>more than 10</w:t>
      </w:r>
      <w:r w:rsidRPr="00887E2B">
        <w:rPr>
          <w:rFonts w:cs="Times New Roman"/>
        </w:rPr>
        <w:t xml:space="preserve"> travelling exhibition titles that provide opportunities to learn about Singapore’s heritage.</w:t>
      </w:r>
    </w:p>
    <w:p w14:paraId="31D3FB01" w14:textId="77777777" w:rsidR="00887E2B" w:rsidRPr="00887E2B" w:rsidRDefault="00887E2B" w:rsidP="00B6414C">
      <w:pPr>
        <w:pStyle w:val="ListParagraph"/>
        <w:jc w:val="both"/>
        <w:rPr>
          <w:rFonts w:cs="Times New Roman"/>
        </w:rPr>
      </w:pPr>
    </w:p>
    <w:p w14:paraId="2C511AD3" w14:textId="48D9652D" w:rsidR="00381B1E" w:rsidRPr="00381B1E" w:rsidRDefault="000D2538" w:rsidP="00B6414C">
      <w:pPr>
        <w:pStyle w:val="ListParagraph"/>
        <w:numPr>
          <w:ilvl w:val="3"/>
          <w:numId w:val="21"/>
        </w:numPr>
        <w:spacing w:after="240"/>
        <w:ind w:left="567" w:hanging="567"/>
        <w:jc w:val="both"/>
        <w:rPr>
          <w:rFonts w:cs="Times New Roman"/>
        </w:rPr>
      </w:pPr>
      <w:r w:rsidRPr="00887E2B">
        <w:rPr>
          <w:rFonts w:cs="Times New Roman"/>
        </w:rPr>
        <w:t xml:space="preserve">Children with disabilities or special needs and youths at risk are not left behind as there are programmes designed with the interest and capability of these children in mind. Through the heritage programmes, </w:t>
      </w:r>
      <w:r w:rsidR="0027616C">
        <w:rPr>
          <w:rFonts w:cs="Times New Roman"/>
        </w:rPr>
        <w:t xml:space="preserve">the </w:t>
      </w:r>
      <w:r w:rsidRPr="00887E2B">
        <w:rPr>
          <w:rFonts w:cs="Times New Roman"/>
        </w:rPr>
        <w:t xml:space="preserve">NHB aims to enhance social skills and provide quality educational experiences through conversations inspired by objects from the museums.  Examples of some of the programmes offered under HeritageCares include a guided tour of the Jubilee Walk in 2015, which brings the children and their families through various sites in the Civic District </w:t>
      </w:r>
      <w:r w:rsidR="00AC24D3">
        <w:rPr>
          <w:rFonts w:cs="Times New Roman"/>
        </w:rPr>
        <w:t>that are</w:t>
      </w:r>
      <w:r w:rsidRPr="00887E2B">
        <w:rPr>
          <w:rFonts w:cs="Times New Roman"/>
        </w:rPr>
        <w:t xml:space="preserve"> of historical importance in Singapore, using the Family Time Activity Sheet and a workshop titled </w:t>
      </w:r>
      <w:r w:rsidRPr="00B6414C">
        <w:rPr>
          <w:rFonts w:cs="Times New Roman"/>
          <w:i/>
        </w:rPr>
        <w:t xml:space="preserve">Festival Through Stamps! </w:t>
      </w:r>
      <w:r w:rsidRPr="00887E2B">
        <w:rPr>
          <w:rFonts w:cs="Times New Roman"/>
        </w:rPr>
        <w:t>which showcases the festivals celebrated by the different diverse communities in Singapore through the use of stamps.</w:t>
      </w:r>
    </w:p>
    <w:p w14:paraId="3E7ED2BD" w14:textId="77777777" w:rsidR="00381B1E" w:rsidRDefault="00381B1E" w:rsidP="00B6414C">
      <w:pPr>
        <w:jc w:val="both"/>
      </w:pPr>
      <w:bookmarkStart w:id="38" w:name="_Toc465958420"/>
    </w:p>
    <w:p w14:paraId="0964DBFC" w14:textId="77777777" w:rsidR="00E95556" w:rsidRDefault="00E95556" w:rsidP="00B6414C">
      <w:pPr>
        <w:jc w:val="both"/>
        <w:rPr>
          <w:rFonts w:eastAsiaTheme="majorEastAsia" w:cs="Times New Roman"/>
          <w:b/>
          <w:color w:val="000000" w:themeColor="text1"/>
          <w:sz w:val="28"/>
        </w:rPr>
      </w:pPr>
      <w:r>
        <w:br w:type="page"/>
      </w:r>
    </w:p>
    <w:p w14:paraId="22677E72" w14:textId="1BEDB5D1" w:rsidR="00381B1E" w:rsidRDefault="00381B1E" w:rsidP="00B6414C">
      <w:pPr>
        <w:pStyle w:val="Heading2"/>
      </w:pPr>
      <w:bookmarkStart w:id="39" w:name="_Toc495686647"/>
      <w:r w:rsidRPr="00381B1E">
        <w:t>SPECIAL PROTECTION MEASURES</w:t>
      </w:r>
      <w:bookmarkEnd w:id="39"/>
      <w:r w:rsidRPr="00381B1E">
        <w:t xml:space="preserve"> </w:t>
      </w:r>
    </w:p>
    <w:p w14:paraId="776A9076" w14:textId="77777777" w:rsidR="00381B1E" w:rsidRPr="00381B1E" w:rsidRDefault="00381B1E" w:rsidP="00B6414C">
      <w:pPr>
        <w:jc w:val="both"/>
      </w:pPr>
    </w:p>
    <w:p w14:paraId="4E34EFC9" w14:textId="250B4361" w:rsidR="00381B1E" w:rsidRPr="00FE49FD" w:rsidRDefault="00381B1E" w:rsidP="00B6414C">
      <w:pPr>
        <w:pStyle w:val="Heading3"/>
        <w:ind w:firstLine="567"/>
        <w:jc w:val="both"/>
      </w:pPr>
      <w:bookmarkStart w:id="40" w:name="_Toc495686648"/>
      <w:r>
        <w:t>Sale, trafficking and abduction</w:t>
      </w:r>
      <w:r w:rsidRPr="00FE49FD">
        <w:t xml:space="preserve"> (</w:t>
      </w:r>
      <w:r>
        <w:t>Article 35</w:t>
      </w:r>
      <w:r w:rsidRPr="00FE49FD">
        <w:t>)</w:t>
      </w:r>
      <w:bookmarkEnd w:id="38"/>
      <w:bookmarkEnd w:id="40"/>
    </w:p>
    <w:p w14:paraId="5FDFC1AB" w14:textId="35761067" w:rsidR="00EE6A12" w:rsidRPr="00EE6A12" w:rsidRDefault="00EE6A12" w:rsidP="00B6414C">
      <w:pPr>
        <w:pStyle w:val="ListParagraph"/>
        <w:numPr>
          <w:ilvl w:val="3"/>
          <w:numId w:val="21"/>
        </w:numPr>
        <w:spacing w:after="240"/>
        <w:ind w:left="567" w:hanging="567"/>
        <w:jc w:val="both"/>
        <w:rPr>
          <w:rFonts w:cs="Times New Roman"/>
        </w:rPr>
      </w:pPr>
      <w:r w:rsidRPr="00EE6A12">
        <w:rPr>
          <w:rFonts w:cs="Times New Roman"/>
        </w:rPr>
        <w:t>The four outcomes under the National Approach launched by the Inter-agency Taskforce on Trafficking-in-Persons</w:t>
      </w:r>
      <w:r w:rsidR="002E6604">
        <w:rPr>
          <w:rFonts w:cs="Times New Roman"/>
        </w:rPr>
        <w:t xml:space="preserve"> (TIP)</w:t>
      </w:r>
      <w:r w:rsidRPr="00EE6A12">
        <w:rPr>
          <w:rFonts w:cs="Times New Roman"/>
        </w:rPr>
        <w:t xml:space="preserve"> are:  </w:t>
      </w:r>
    </w:p>
    <w:p w14:paraId="26159A2F" w14:textId="77777777" w:rsidR="00EE6A12" w:rsidRPr="001047F0" w:rsidRDefault="00EE6A12" w:rsidP="00B6414C">
      <w:pPr>
        <w:pStyle w:val="ListParagraph"/>
        <w:ind w:left="709"/>
        <w:jc w:val="both"/>
        <w:rPr>
          <w:rFonts w:cs="Times New Roman"/>
        </w:rPr>
      </w:pPr>
    </w:p>
    <w:p w14:paraId="25C8C77B" w14:textId="77777777" w:rsidR="00EE6A12" w:rsidRPr="00D46B58" w:rsidRDefault="00EE6A12" w:rsidP="00B6414C">
      <w:pPr>
        <w:pStyle w:val="ListParagraph"/>
        <w:numPr>
          <w:ilvl w:val="0"/>
          <w:numId w:val="34"/>
        </w:numPr>
        <w:ind w:left="1134" w:hanging="567"/>
        <w:jc w:val="both"/>
        <w:rPr>
          <w:rFonts w:cs="Times New Roman"/>
        </w:rPr>
      </w:pPr>
      <w:r w:rsidRPr="001047F0">
        <w:rPr>
          <w:rFonts w:cs="Times New Roman"/>
          <w:i/>
        </w:rPr>
        <w:t>Prevention</w:t>
      </w:r>
      <w:r w:rsidRPr="00D46B58">
        <w:rPr>
          <w:rFonts w:cs="Times New Roman"/>
        </w:rPr>
        <w:t>: A public that is aware of TIP crimes and actively takes steps to prevent, combat and suppress TIP; government officials and stakeholders who are well-trained, competent and professional in identifying and dealing with TIP cases.</w:t>
      </w:r>
    </w:p>
    <w:p w14:paraId="22997B53" w14:textId="77777777" w:rsidR="00EE6A12" w:rsidRPr="001047F0" w:rsidRDefault="00EE6A12" w:rsidP="00B6414C">
      <w:pPr>
        <w:pStyle w:val="ListParagraph"/>
        <w:numPr>
          <w:ilvl w:val="0"/>
          <w:numId w:val="34"/>
        </w:numPr>
        <w:ind w:left="1134" w:hanging="567"/>
        <w:jc w:val="both"/>
        <w:rPr>
          <w:rFonts w:cs="Times New Roman"/>
        </w:rPr>
      </w:pPr>
      <w:r w:rsidRPr="001047F0">
        <w:rPr>
          <w:rFonts w:cs="Times New Roman"/>
          <w:i/>
        </w:rPr>
        <w:t>Prosecution</w:t>
      </w:r>
      <w:r w:rsidRPr="001047F0">
        <w:rPr>
          <w:rFonts w:cs="Times New Roman"/>
        </w:rPr>
        <w:t>: An effective end-to-end criminal justice response to TIP crimes, involving comprehensive investigations and prosecution of all offenders who may be involved in trafficking or the exploitation of victims.</w:t>
      </w:r>
    </w:p>
    <w:p w14:paraId="751CD71F" w14:textId="77777777" w:rsidR="00EE6A12" w:rsidRPr="00D46B58" w:rsidRDefault="00EE6A12" w:rsidP="00B6414C">
      <w:pPr>
        <w:pStyle w:val="ListParagraph"/>
        <w:numPr>
          <w:ilvl w:val="0"/>
          <w:numId w:val="34"/>
        </w:numPr>
        <w:ind w:left="1134" w:hanging="567"/>
        <w:jc w:val="both"/>
        <w:rPr>
          <w:rFonts w:cs="Times New Roman"/>
        </w:rPr>
      </w:pPr>
      <w:r w:rsidRPr="001047F0">
        <w:rPr>
          <w:rFonts w:cs="Times New Roman"/>
          <w:i/>
        </w:rPr>
        <w:t>Protection</w:t>
      </w:r>
      <w:r w:rsidRPr="00D46B58">
        <w:rPr>
          <w:rFonts w:cs="Times New Roman"/>
        </w:rPr>
        <w:t>: An appropriate victim care and support framework that looks after the needs of all victims of trafficking.</w:t>
      </w:r>
    </w:p>
    <w:p w14:paraId="6E75B466" w14:textId="060C3A88" w:rsidR="00EE6A12" w:rsidRPr="00D46B58" w:rsidRDefault="00EE6A12" w:rsidP="00B6414C">
      <w:pPr>
        <w:pStyle w:val="ListParagraph"/>
        <w:numPr>
          <w:ilvl w:val="0"/>
          <w:numId w:val="34"/>
        </w:numPr>
        <w:ind w:left="1134" w:hanging="567"/>
        <w:jc w:val="both"/>
        <w:rPr>
          <w:rFonts w:cs="Times New Roman"/>
        </w:rPr>
      </w:pPr>
      <w:r w:rsidRPr="00D46B58">
        <w:rPr>
          <w:rFonts w:cs="Times New Roman"/>
          <w:i/>
        </w:rPr>
        <w:t>Partnership</w:t>
      </w:r>
      <w:r w:rsidRPr="00D46B58">
        <w:rPr>
          <w:rFonts w:cs="Times New Roman"/>
        </w:rPr>
        <w:t>: A strong ecosystem comprising both domestic and international stakeholders to put forth a whole-of-Singapore response against TIP</w:t>
      </w:r>
      <w:r w:rsidR="002E6604">
        <w:rPr>
          <w:rFonts w:cs="Times New Roman"/>
        </w:rPr>
        <w:t>.</w:t>
      </w:r>
    </w:p>
    <w:p w14:paraId="10E6ACBB" w14:textId="4AB2C686" w:rsidR="008F0616" w:rsidRPr="00DC5A25" w:rsidRDefault="008F0616" w:rsidP="00B6414C">
      <w:pPr>
        <w:spacing w:after="240"/>
        <w:jc w:val="both"/>
        <w:rPr>
          <w:rFonts w:cs="Times New Roman"/>
        </w:rPr>
      </w:pPr>
    </w:p>
    <w:sectPr w:rsidR="008F0616" w:rsidRPr="00DC5A2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926BD" w14:textId="77777777" w:rsidR="00F70EF5" w:rsidRDefault="00F70EF5" w:rsidP="00714883">
      <w:pPr>
        <w:spacing w:after="0" w:line="240" w:lineRule="auto"/>
      </w:pPr>
      <w:r>
        <w:separator/>
      </w:r>
    </w:p>
  </w:endnote>
  <w:endnote w:type="continuationSeparator" w:id="0">
    <w:p w14:paraId="25FB8360" w14:textId="77777777" w:rsidR="00F70EF5" w:rsidRDefault="00F70EF5" w:rsidP="0071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667192"/>
      <w:docPartObj>
        <w:docPartGallery w:val="Page Numbers (Bottom of Page)"/>
        <w:docPartUnique/>
      </w:docPartObj>
    </w:sdtPr>
    <w:sdtEndPr>
      <w:rPr>
        <w:noProof/>
      </w:rPr>
    </w:sdtEndPr>
    <w:sdtContent>
      <w:p w14:paraId="642B5050" w14:textId="52B2706A" w:rsidR="00914F62" w:rsidRDefault="00914F62">
        <w:pPr>
          <w:pStyle w:val="Footer"/>
          <w:jc w:val="right"/>
        </w:pPr>
        <w:r>
          <w:fldChar w:fldCharType="begin"/>
        </w:r>
        <w:r>
          <w:instrText xml:space="preserve"> PAGE   \* MERGEFORMAT </w:instrText>
        </w:r>
        <w:r>
          <w:fldChar w:fldCharType="separate"/>
        </w:r>
        <w:r w:rsidR="008A44F5">
          <w:rPr>
            <w:noProof/>
          </w:rPr>
          <w:t>1</w:t>
        </w:r>
        <w:r>
          <w:rPr>
            <w:noProof/>
          </w:rPr>
          <w:fldChar w:fldCharType="end"/>
        </w:r>
      </w:p>
    </w:sdtContent>
  </w:sdt>
  <w:p w14:paraId="6CB4F5F6" w14:textId="77777777" w:rsidR="00914F62" w:rsidRDefault="00914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0DA2A" w14:textId="77777777" w:rsidR="00F70EF5" w:rsidRDefault="00F70EF5" w:rsidP="00714883">
      <w:pPr>
        <w:spacing w:after="0" w:line="240" w:lineRule="auto"/>
      </w:pPr>
      <w:r>
        <w:separator/>
      </w:r>
    </w:p>
  </w:footnote>
  <w:footnote w:type="continuationSeparator" w:id="0">
    <w:p w14:paraId="72549D9D" w14:textId="77777777" w:rsidR="00F70EF5" w:rsidRDefault="00F70EF5" w:rsidP="00714883">
      <w:pPr>
        <w:spacing w:after="0" w:line="240" w:lineRule="auto"/>
      </w:pPr>
      <w:r>
        <w:continuationSeparator/>
      </w:r>
    </w:p>
  </w:footnote>
  <w:footnote w:id="1">
    <w:p w14:paraId="2BE2806D" w14:textId="00AA97F9" w:rsidR="00914F62" w:rsidRPr="00436EA5" w:rsidRDefault="00914F62" w:rsidP="00E95556">
      <w:pPr>
        <w:pStyle w:val="FootnoteText"/>
        <w:tabs>
          <w:tab w:val="left" w:pos="7513"/>
        </w:tabs>
        <w:ind w:right="95"/>
      </w:pPr>
      <w:r>
        <w:rPr>
          <w:rStyle w:val="FootnoteReference"/>
          <w:rFonts w:eastAsiaTheme="majorEastAsia"/>
        </w:rPr>
        <w:footnoteRef/>
      </w:r>
      <w:r>
        <w:t xml:space="preserve"> Refer to the Singapore’s Initial report </w:t>
      </w:r>
      <w:r w:rsidRPr="00436EA5">
        <w:t>to the Committee on the Rights of Persons with Disabilities</w:t>
      </w:r>
      <w:r>
        <w:t>.</w:t>
      </w:r>
    </w:p>
  </w:footnote>
  <w:footnote w:id="2">
    <w:p w14:paraId="056D0ED1" w14:textId="2F055007" w:rsidR="00914F62" w:rsidRPr="00515CCB" w:rsidRDefault="00914F62" w:rsidP="00C24480">
      <w:pPr>
        <w:pStyle w:val="FootnoteText"/>
        <w:ind w:left="0" w:firstLine="0"/>
        <w:rPr>
          <w:lang w:val="en-US"/>
        </w:rPr>
      </w:pPr>
      <w:r>
        <w:rPr>
          <w:rStyle w:val="FootnoteReference"/>
        </w:rPr>
        <w:footnoteRef/>
      </w:r>
      <w:r>
        <w:t xml:space="preserve"> </w:t>
      </w:r>
      <w:r>
        <w:rPr>
          <w:lang w:val="en-US"/>
        </w:rPr>
        <w:t xml:space="preserve">For more information on the storybooks can be found at: </w:t>
      </w:r>
      <w:hyperlink r:id="rId1" w:history="1">
        <w:r w:rsidRPr="00B6414C">
          <w:rPr>
            <w:rStyle w:val="Hyperlink"/>
            <w:lang w:val="en-US"/>
          </w:rPr>
          <w:t>https://www.msf.gov.sg/publications/Pages/United-Nations-Convention-on-the-Rights-of-the-Child-UNCRC.aspx</w:t>
        </w:r>
      </w:hyperlink>
      <w:r>
        <w:rPr>
          <w:lang w:val="en-US"/>
        </w:rPr>
        <w:t xml:space="preserve">  </w:t>
      </w:r>
    </w:p>
  </w:footnote>
  <w:footnote w:id="3">
    <w:p w14:paraId="43DE2538" w14:textId="2B94E48E" w:rsidR="00914F62" w:rsidRPr="00CE3EFF" w:rsidRDefault="00914F62" w:rsidP="00654704">
      <w:pPr>
        <w:pStyle w:val="FootnoteText"/>
        <w:rPr>
          <w:lang w:val="en-US"/>
        </w:rPr>
      </w:pPr>
      <w:r>
        <w:rPr>
          <w:rStyle w:val="FootnoteReference"/>
        </w:rPr>
        <w:footnoteRef/>
      </w:r>
      <w:r>
        <w:t xml:space="preserve"> </w:t>
      </w:r>
      <w:r>
        <w:rPr>
          <w:lang w:val="en-US"/>
        </w:rPr>
        <w:t xml:space="preserve">See Article 8 of </w:t>
      </w:r>
      <w:r w:rsidRPr="00415155">
        <w:t>CRPD/C/SGP/1</w:t>
      </w:r>
      <w:r>
        <w:t>.</w:t>
      </w:r>
    </w:p>
  </w:footnote>
  <w:footnote w:id="4">
    <w:p w14:paraId="6C1AD0E3" w14:textId="6B6A7E24" w:rsidR="00A90EF4" w:rsidRPr="00A90EF4" w:rsidRDefault="00A90EF4">
      <w:pPr>
        <w:pStyle w:val="FootnoteText"/>
        <w:rPr>
          <w:lang w:val="en-SG"/>
        </w:rPr>
      </w:pPr>
      <w:r>
        <w:rPr>
          <w:rStyle w:val="FootnoteReference"/>
        </w:rPr>
        <w:footnoteRef/>
      </w:r>
      <w:r>
        <w:t xml:space="preserve"> </w:t>
      </w:r>
      <w:r>
        <w:rPr>
          <w:lang w:val="en-SG"/>
        </w:rPr>
        <w:t>Previously known as Media Development Authority (MDA).</w:t>
      </w:r>
    </w:p>
  </w:footnote>
  <w:footnote w:id="5">
    <w:p w14:paraId="635D86DB" w14:textId="77777777" w:rsidR="00914F62" w:rsidRPr="00FD595E" w:rsidRDefault="00914F62" w:rsidP="00217716">
      <w:pPr>
        <w:pStyle w:val="FootnoteText"/>
        <w:tabs>
          <w:tab w:val="clear" w:pos="1021"/>
          <w:tab w:val="right" w:pos="0"/>
        </w:tabs>
        <w:ind w:left="0" w:right="95" w:firstLine="0"/>
        <w:jc w:val="both"/>
        <w:rPr>
          <w:lang w:val="en-SG"/>
        </w:rPr>
      </w:pPr>
      <w:r>
        <w:rPr>
          <w:rStyle w:val="FootnoteReference"/>
        </w:rPr>
        <w:footnoteRef/>
      </w:r>
      <w:r>
        <w:t xml:space="preserve"> Except for </w:t>
      </w:r>
      <w:r>
        <w:rPr>
          <w:lang w:val="en-SG"/>
        </w:rPr>
        <w:t xml:space="preserve">ComCare assistance for children which is administered at licensed child care centres, registered student care centres or eligible kindergartens. </w:t>
      </w:r>
    </w:p>
  </w:footnote>
  <w:footnote w:id="6">
    <w:p w14:paraId="6862DA4D" w14:textId="0A10EA4D" w:rsidR="00914F62" w:rsidRPr="00C24480" w:rsidRDefault="00914F62" w:rsidP="00217716">
      <w:pPr>
        <w:pStyle w:val="FootnoteText"/>
        <w:tabs>
          <w:tab w:val="clear" w:pos="1021"/>
          <w:tab w:val="right" w:pos="0"/>
        </w:tabs>
        <w:ind w:left="0" w:right="95" w:firstLine="0"/>
        <w:jc w:val="both"/>
        <w:rPr>
          <w:lang w:val="en-SG"/>
        </w:rPr>
      </w:pPr>
      <w:r>
        <w:rPr>
          <w:rStyle w:val="FootnoteReference"/>
        </w:rPr>
        <w:footnoteRef/>
      </w:r>
      <w:r>
        <w:t xml:space="preserve"> </w:t>
      </w:r>
      <w:r>
        <w:rPr>
          <w:lang w:val="en-US"/>
        </w:rPr>
        <w:t>Workfare provides support to the bottom 20% to 30% of workers aged 35 years and above, as well as persons with disabilities aged 13 years and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4F9"/>
    <w:multiLevelType w:val="hybridMultilevel"/>
    <w:tmpl w:val="408A5AA4"/>
    <w:lvl w:ilvl="0" w:tplc="C2A6D0F8">
      <w:start w:val="1"/>
      <w:numFmt w:val="decimal"/>
      <w:lvlText w:val="%1."/>
      <w:lvlJc w:val="left"/>
      <w:pPr>
        <w:ind w:left="360" w:hanging="360"/>
      </w:pPr>
      <w:rPr>
        <w:rFonts w:hint="default"/>
        <w:b w:val="0"/>
        <w:i w:val="0"/>
        <w:color w:val="auto"/>
      </w:rPr>
    </w:lvl>
    <w:lvl w:ilvl="1" w:tplc="DAC8A294">
      <w:start w:val="1"/>
      <w:numFmt w:val="lowerRoman"/>
      <w:lvlText w:val="(%2)"/>
      <w:lvlJc w:val="left"/>
      <w:pPr>
        <w:ind w:left="928" w:hanging="360"/>
      </w:pPr>
      <w:rPr>
        <w:rFonts w:cs="Times New Roman" w:hint="default"/>
        <w:i w:val="0"/>
        <w:color w:val="000000" w:themeColor="text1"/>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ABF41B1A">
      <w:start w:val="4"/>
      <w:numFmt w:val="upperLetter"/>
      <w:lvlText w:val="%5."/>
      <w:lvlJc w:val="left"/>
      <w:pPr>
        <w:ind w:left="360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4682848"/>
    <w:multiLevelType w:val="hybridMultilevel"/>
    <w:tmpl w:val="C8304CF0"/>
    <w:lvl w:ilvl="0" w:tplc="554EF2EC">
      <w:start w:val="1"/>
      <w:numFmt w:val="lowerRoman"/>
      <w:lvlText w:val="(%1)"/>
      <w:lvlJc w:val="left"/>
      <w:pPr>
        <w:ind w:left="1854" w:hanging="72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2">
    <w:nsid w:val="07131081"/>
    <w:multiLevelType w:val="hybridMultilevel"/>
    <w:tmpl w:val="408A5AA4"/>
    <w:lvl w:ilvl="0" w:tplc="C2A6D0F8">
      <w:start w:val="1"/>
      <w:numFmt w:val="decimal"/>
      <w:lvlText w:val="%1."/>
      <w:lvlJc w:val="left"/>
      <w:pPr>
        <w:ind w:left="360" w:hanging="360"/>
      </w:pPr>
      <w:rPr>
        <w:rFonts w:hint="default"/>
        <w:b w:val="0"/>
        <w:i w:val="0"/>
        <w:color w:val="auto"/>
      </w:rPr>
    </w:lvl>
    <w:lvl w:ilvl="1" w:tplc="DAC8A294">
      <w:start w:val="1"/>
      <w:numFmt w:val="lowerRoman"/>
      <w:lvlText w:val="(%2)"/>
      <w:lvlJc w:val="left"/>
      <w:pPr>
        <w:ind w:left="1440" w:hanging="360"/>
      </w:pPr>
      <w:rPr>
        <w:rFonts w:cs="Times New Roman" w:hint="default"/>
        <w:i w:val="0"/>
        <w:color w:val="000000" w:themeColor="text1"/>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ABF41B1A">
      <w:start w:val="4"/>
      <w:numFmt w:val="upperLetter"/>
      <w:lvlText w:val="%5."/>
      <w:lvlJc w:val="left"/>
      <w:pPr>
        <w:ind w:left="360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7D64DFC"/>
    <w:multiLevelType w:val="hybridMultilevel"/>
    <w:tmpl w:val="55480DA2"/>
    <w:lvl w:ilvl="0" w:tplc="C2A6D0F8">
      <w:start w:val="1"/>
      <w:numFmt w:val="decimal"/>
      <w:lvlText w:val="%1."/>
      <w:lvlJc w:val="left"/>
      <w:pPr>
        <w:ind w:left="360" w:hanging="360"/>
      </w:pPr>
      <w:rPr>
        <w:rFonts w:hint="default"/>
        <w:b w:val="0"/>
        <w:i w:val="0"/>
        <w:color w:val="auto"/>
      </w:rPr>
    </w:lvl>
    <w:lvl w:ilvl="1" w:tplc="EF58C6D2">
      <w:start w:val="1"/>
      <w:numFmt w:val="lowerRoman"/>
      <w:lvlText w:val="(%2)"/>
      <w:lvlJc w:val="left"/>
      <w:pPr>
        <w:ind w:left="1440" w:hanging="360"/>
      </w:pPr>
      <w:rPr>
        <w:rFonts w:cs="Times New Roman" w:hint="default"/>
        <w:i w:val="0"/>
        <w:color w:val="000000" w:themeColor="text1"/>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7D08764">
      <w:start w:val="4"/>
      <w:numFmt w:val="upperLetter"/>
      <w:lvlText w:val="%5."/>
      <w:lvlJc w:val="left"/>
      <w:pPr>
        <w:ind w:left="360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97B5967"/>
    <w:multiLevelType w:val="hybridMultilevel"/>
    <w:tmpl w:val="FAEAA132"/>
    <w:lvl w:ilvl="0" w:tplc="9620D4E8">
      <w:start w:val="2"/>
      <w:numFmt w:val="bullet"/>
      <w:lvlText w:val="-"/>
      <w:lvlJc w:val="left"/>
      <w:pPr>
        <w:ind w:left="394" w:hanging="360"/>
      </w:pPr>
      <w:rPr>
        <w:rFonts w:ascii="Calibri" w:eastAsia="Times New Roman" w:hAnsi="Calibri" w:hint="default"/>
        <w:color w:val="000000"/>
      </w:rPr>
    </w:lvl>
    <w:lvl w:ilvl="1" w:tplc="48090003">
      <w:start w:val="1"/>
      <w:numFmt w:val="bullet"/>
      <w:lvlText w:val="o"/>
      <w:lvlJc w:val="left"/>
      <w:pPr>
        <w:ind w:left="1114" w:hanging="360"/>
      </w:pPr>
      <w:rPr>
        <w:rFonts w:ascii="Courier New" w:hAnsi="Courier New" w:cs="Times New Roman" w:hint="default"/>
      </w:rPr>
    </w:lvl>
    <w:lvl w:ilvl="2" w:tplc="48090005">
      <w:start w:val="1"/>
      <w:numFmt w:val="bullet"/>
      <w:lvlText w:val=""/>
      <w:lvlJc w:val="left"/>
      <w:pPr>
        <w:ind w:left="1834" w:hanging="360"/>
      </w:pPr>
      <w:rPr>
        <w:rFonts w:ascii="Wingdings" w:hAnsi="Wingdings" w:hint="default"/>
      </w:rPr>
    </w:lvl>
    <w:lvl w:ilvl="3" w:tplc="48090001">
      <w:start w:val="1"/>
      <w:numFmt w:val="bullet"/>
      <w:lvlText w:val=""/>
      <w:lvlJc w:val="left"/>
      <w:pPr>
        <w:ind w:left="2554" w:hanging="360"/>
      </w:pPr>
      <w:rPr>
        <w:rFonts w:ascii="Symbol" w:hAnsi="Symbol" w:hint="default"/>
      </w:rPr>
    </w:lvl>
    <w:lvl w:ilvl="4" w:tplc="48090003">
      <w:start w:val="1"/>
      <w:numFmt w:val="bullet"/>
      <w:lvlText w:val="o"/>
      <w:lvlJc w:val="left"/>
      <w:pPr>
        <w:ind w:left="3274" w:hanging="360"/>
      </w:pPr>
      <w:rPr>
        <w:rFonts w:ascii="Courier New" w:hAnsi="Courier New" w:cs="Times New Roman" w:hint="default"/>
      </w:rPr>
    </w:lvl>
    <w:lvl w:ilvl="5" w:tplc="48090005">
      <w:start w:val="1"/>
      <w:numFmt w:val="bullet"/>
      <w:lvlText w:val=""/>
      <w:lvlJc w:val="left"/>
      <w:pPr>
        <w:ind w:left="3994" w:hanging="360"/>
      </w:pPr>
      <w:rPr>
        <w:rFonts w:ascii="Wingdings" w:hAnsi="Wingdings" w:hint="default"/>
      </w:rPr>
    </w:lvl>
    <w:lvl w:ilvl="6" w:tplc="48090001">
      <w:start w:val="1"/>
      <w:numFmt w:val="bullet"/>
      <w:lvlText w:val=""/>
      <w:lvlJc w:val="left"/>
      <w:pPr>
        <w:ind w:left="4714" w:hanging="360"/>
      </w:pPr>
      <w:rPr>
        <w:rFonts w:ascii="Symbol" w:hAnsi="Symbol" w:hint="default"/>
      </w:rPr>
    </w:lvl>
    <w:lvl w:ilvl="7" w:tplc="48090003">
      <w:start w:val="1"/>
      <w:numFmt w:val="bullet"/>
      <w:lvlText w:val="o"/>
      <w:lvlJc w:val="left"/>
      <w:pPr>
        <w:ind w:left="5434" w:hanging="360"/>
      </w:pPr>
      <w:rPr>
        <w:rFonts w:ascii="Courier New" w:hAnsi="Courier New" w:cs="Times New Roman" w:hint="default"/>
      </w:rPr>
    </w:lvl>
    <w:lvl w:ilvl="8" w:tplc="48090005">
      <w:start w:val="1"/>
      <w:numFmt w:val="bullet"/>
      <w:lvlText w:val=""/>
      <w:lvlJc w:val="left"/>
      <w:pPr>
        <w:ind w:left="6154" w:hanging="360"/>
      </w:pPr>
      <w:rPr>
        <w:rFonts w:ascii="Wingdings" w:hAnsi="Wingdings" w:hint="default"/>
      </w:rPr>
    </w:lvl>
  </w:abstractNum>
  <w:abstractNum w:abstractNumId="5">
    <w:nsid w:val="0B1C72A0"/>
    <w:multiLevelType w:val="hybridMultilevel"/>
    <w:tmpl w:val="49DCF864"/>
    <w:lvl w:ilvl="0" w:tplc="DAC8A294">
      <w:start w:val="1"/>
      <w:numFmt w:val="lowerRoman"/>
      <w:lvlText w:val="(%1)"/>
      <w:lvlJc w:val="left"/>
      <w:pPr>
        <w:ind w:left="360" w:hanging="360"/>
      </w:pPr>
      <w:rPr>
        <w:rFonts w:cs="Times New Roman" w:hint="default"/>
        <w:b w:val="0"/>
        <w:i w:val="0"/>
        <w:color w:val="000000" w:themeColor="text1"/>
      </w:rPr>
    </w:lvl>
    <w:lvl w:ilvl="1" w:tplc="DAC8A294">
      <w:start w:val="1"/>
      <w:numFmt w:val="lowerRoman"/>
      <w:lvlText w:val="(%2)"/>
      <w:lvlJc w:val="left"/>
      <w:pPr>
        <w:ind w:left="1440" w:hanging="360"/>
      </w:pPr>
      <w:rPr>
        <w:rFonts w:cs="Times New Roman" w:hint="default"/>
        <w:i w:val="0"/>
        <w:color w:val="000000" w:themeColor="text1"/>
      </w:rPr>
    </w:lvl>
    <w:lvl w:ilvl="2" w:tplc="4809001B">
      <w:start w:val="1"/>
      <w:numFmt w:val="lowerRoman"/>
      <w:lvlText w:val="%3."/>
      <w:lvlJc w:val="right"/>
      <w:pPr>
        <w:ind w:left="2160" w:hanging="180"/>
      </w:pPr>
    </w:lvl>
    <w:lvl w:ilvl="3" w:tplc="EF58C6D2">
      <w:start w:val="1"/>
      <w:numFmt w:val="lowerRoman"/>
      <w:lvlText w:val="(%4)"/>
      <w:lvlJc w:val="left"/>
      <w:pPr>
        <w:ind w:left="360" w:hanging="360"/>
      </w:pPr>
      <w:rPr>
        <w:rFonts w:cs="Times New Roman" w:hint="default"/>
        <w:i w:val="0"/>
        <w:color w:val="000000" w:themeColor="text1"/>
      </w:rPr>
    </w:lvl>
    <w:lvl w:ilvl="4" w:tplc="ABF41B1A">
      <w:start w:val="4"/>
      <w:numFmt w:val="upperLetter"/>
      <w:lvlText w:val="%5."/>
      <w:lvlJc w:val="left"/>
      <w:pPr>
        <w:ind w:left="360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0BE462AA"/>
    <w:multiLevelType w:val="hybridMultilevel"/>
    <w:tmpl w:val="668EDD2C"/>
    <w:lvl w:ilvl="0" w:tplc="2AC886D0">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12E34C31"/>
    <w:multiLevelType w:val="hybridMultilevel"/>
    <w:tmpl w:val="8FF67A16"/>
    <w:lvl w:ilvl="0" w:tplc="DAC8A294">
      <w:start w:val="1"/>
      <w:numFmt w:val="lowerRoman"/>
      <w:lvlText w:val="(%1)"/>
      <w:lvlJc w:val="left"/>
      <w:pPr>
        <w:ind w:left="360" w:hanging="360"/>
      </w:pPr>
      <w:rPr>
        <w:rFonts w:cs="Times New Roman" w:hint="default"/>
        <w:b w:val="0"/>
        <w:i w:val="0"/>
        <w:color w:val="000000" w:themeColor="text1"/>
      </w:rPr>
    </w:lvl>
    <w:lvl w:ilvl="1" w:tplc="DAC8A294">
      <w:start w:val="1"/>
      <w:numFmt w:val="lowerRoman"/>
      <w:lvlText w:val="(%2)"/>
      <w:lvlJc w:val="left"/>
      <w:pPr>
        <w:ind w:left="1440" w:hanging="360"/>
      </w:pPr>
      <w:rPr>
        <w:rFonts w:cs="Times New Roman" w:hint="default"/>
        <w:i w:val="0"/>
        <w:color w:val="000000" w:themeColor="text1"/>
      </w:rPr>
    </w:lvl>
    <w:lvl w:ilvl="2" w:tplc="4809001B">
      <w:start w:val="1"/>
      <w:numFmt w:val="lowerRoman"/>
      <w:lvlText w:val="%3."/>
      <w:lvlJc w:val="right"/>
      <w:pPr>
        <w:ind w:left="2160" w:hanging="180"/>
      </w:pPr>
    </w:lvl>
    <w:lvl w:ilvl="3" w:tplc="EF58C6D2">
      <w:start w:val="1"/>
      <w:numFmt w:val="lowerRoman"/>
      <w:lvlText w:val="(%4)"/>
      <w:lvlJc w:val="left"/>
      <w:pPr>
        <w:ind w:left="360" w:hanging="360"/>
      </w:pPr>
      <w:rPr>
        <w:rFonts w:cs="Times New Roman" w:hint="default"/>
        <w:i w:val="0"/>
        <w:color w:val="000000" w:themeColor="text1"/>
      </w:rPr>
    </w:lvl>
    <w:lvl w:ilvl="4" w:tplc="ABF41B1A">
      <w:start w:val="4"/>
      <w:numFmt w:val="upperLetter"/>
      <w:lvlText w:val="%5."/>
      <w:lvlJc w:val="left"/>
      <w:pPr>
        <w:ind w:left="360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35A2239"/>
    <w:multiLevelType w:val="hybridMultilevel"/>
    <w:tmpl w:val="1A50B054"/>
    <w:lvl w:ilvl="0" w:tplc="DAC8A294">
      <w:start w:val="1"/>
      <w:numFmt w:val="lowerRoman"/>
      <w:lvlText w:val="(%1)"/>
      <w:lvlJc w:val="left"/>
      <w:pPr>
        <w:ind w:left="360" w:hanging="360"/>
      </w:pPr>
      <w:rPr>
        <w:rFonts w:cs="Times New Roman" w:hint="default"/>
        <w:b w:val="0"/>
        <w:i w:val="0"/>
        <w:color w:val="000000" w:themeColor="text1"/>
      </w:rPr>
    </w:lvl>
    <w:lvl w:ilvl="1" w:tplc="DAC8A294">
      <w:start w:val="1"/>
      <w:numFmt w:val="lowerRoman"/>
      <w:lvlText w:val="(%2)"/>
      <w:lvlJc w:val="left"/>
      <w:pPr>
        <w:ind w:left="1440" w:hanging="360"/>
      </w:pPr>
      <w:rPr>
        <w:rFonts w:cs="Times New Roman" w:hint="default"/>
        <w:i w:val="0"/>
        <w:color w:val="000000" w:themeColor="text1"/>
      </w:rPr>
    </w:lvl>
    <w:lvl w:ilvl="2" w:tplc="4809001B">
      <w:start w:val="1"/>
      <w:numFmt w:val="lowerRoman"/>
      <w:lvlText w:val="%3."/>
      <w:lvlJc w:val="right"/>
      <w:pPr>
        <w:ind w:left="2160" w:hanging="180"/>
      </w:pPr>
    </w:lvl>
    <w:lvl w:ilvl="3" w:tplc="4809000F">
      <w:start w:val="1"/>
      <w:numFmt w:val="decimal"/>
      <w:lvlText w:val="%4."/>
      <w:lvlJc w:val="left"/>
      <w:pPr>
        <w:ind w:left="360" w:hanging="360"/>
      </w:pPr>
    </w:lvl>
    <w:lvl w:ilvl="4" w:tplc="EF58C6D2">
      <w:start w:val="1"/>
      <w:numFmt w:val="lowerRoman"/>
      <w:lvlText w:val="(%5)"/>
      <w:lvlJc w:val="left"/>
      <w:pPr>
        <w:ind w:left="3600" w:hanging="360"/>
      </w:pPr>
      <w:rPr>
        <w:rFonts w:cs="Times New Roman" w:hint="default"/>
        <w:i w:val="0"/>
        <w:color w:val="000000" w:themeColor="text1"/>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189A12A3"/>
    <w:multiLevelType w:val="hybridMultilevel"/>
    <w:tmpl w:val="A6D4BE0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8B57E21"/>
    <w:multiLevelType w:val="hybridMultilevel"/>
    <w:tmpl w:val="F3B89308"/>
    <w:lvl w:ilvl="0" w:tplc="4809000F">
      <w:start w:val="1"/>
      <w:numFmt w:val="decimal"/>
      <w:lvlText w:val="%1."/>
      <w:lvlJc w:val="left"/>
      <w:pPr>
        <w:ind w:left="360" w:hanging="360"/>
      </w:pPr>
      <w:rPr>
        <w:rFonts w:hint="default"/>
        <w:i w:val="0"/>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1A0A2AE1"/>
    <w:multiLevelType w:val="hybridMultilevel"/>
    <w:tmpl w:val="4E4C3CDA"/>
    <w:lvl w:ilvl="0" w:tplc="F62215A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1B9E4345"/>
    <w:multiLevelType w:val="hybridMultilevel"/>
    <w:tmpl w:val="EB665280"/>
    <w:lvl w:ilvl="0" w:tplc="43BE457A">
      <w:start w:val="1"/>
      <w:numFmt w:val="lowerLetter"/>
      <w:lvlText w:val="(%1)"/>
      <w:lvlJc w:val="left"/>
      <w:pPr>
        <w:ind w:left="360" w:hanging="360"/>
      </w:pPr>
      <w:rPr>
        <w:rFonts w:hint="default"/>
        <w:b w:val="0"/>
        <w:i w:val="0"/>
        <w:color w:val="auto"/>
      </w:rPr>
    </w:lvl>
    <w:lvl w:ilvl="1" w:tplc="DAC8A294">
      <w:start w:val="1"/>
      <w:numFmt w:val="lowerRoman"/>
      <w:lvlText w:val="(%2)"/>
      <w:lvlJc w:val="left"/>
      <w:pPr>
        <w:ind w:left="1440" w:hanging="360"/>
      </w:pPr>
      <w:rPr>
        <w:rFonts w:cs="Times New Roman" w:hint="default"/>
        <w:i w:val="0"/>
        <w:color w:val="000000" w:themeColor="text1"/>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ABF41B1A">
      <w:start w:val="4"/>
      <w:numFmt w:val="upperLetter"/>
      <w:lvlText w:val="%5."/>
      <w:lvlJc w:val="left"/>
      <w:pPr>
        <w:ind w:left="360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1D5E4D6E"/>
    <w:multiLevelType w:val="hybridMultilevel"/>
    <w:tmpl w:val="D88E8326"/>
    <w:lvl w:ilvl="0" w:tplc="AFA2860E">
      <w:start w:val="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1FBD5FE7"/>
    <w:multiLevelType w:val="hybridMultilevel"/>
    <w:tmpl w:val="599409A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2005152A"/>
    <w:multiLevelType w:val="hybridMultilevel"/>
    <w:tmpl w:val="B43ACD4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19A588C"/>
    <w:multiLevelType w:val="hybridMultilevel"/>
    <w:tmpl w:val="A2320144"/>
    <w:lvl w:ilvl="0" w:tplc="EB34CFCE">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27D24F9F"/>
    <w:multiLevelType w:val="hybridMultilevel"/>
    <w:tmpl w:val="599409A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28A874BF"/>
    <w:multiLevelType w:val="hybridMultilevel"/>
    <w:tmpl w:val="2CD09952"/>
    <w:lvl w:ilvl="0" w:tplc="DAC8A294">
      <w:start w:val="1"/>
      <w:numFmt w:val="lowerRoman"/>
      <w:lvlText w:val="(%1)"/>
      <w:lvlJc w:val="left"/>
      <w:pPr>
        <w:ind w:left="360" w:hanging="360"/>
      </w:pPr>
      <w:rPr>
        <w:rFonts w:cs="Times New Roman" w:hint="default"/>
        <w:b w:val="0"/>
        <w:i w:val="0"/>
        <w:color w:val="000000" w:themeColor="text1"/>
      </w:rPr>
    </w:lvl>
    <w:lvl w:ilvl="1" w:tplc="DAC8A294">
      <w:start w:val="1"/>
      <w:numFmt w:val="lowerRoman"/>
      <w:lvlText w:val="(%2)"/>
      <w:lvlJc w:val="left"/>
      <w:pPr>
        <w:ind w:left="1440" w:hanging="360"/>
      </w:pPr>
      <w:rPr>
        <w:rFonts w:cs="Times New Roman" w:hint="default"/>
        <w:i w:val="0"/>
        <w:color w:val="000000" w:themeColor="text1"/>
      </w:rPr>
    </w:lvl>
    <w:lvl w:ilvl="2" w:tplc="4809001B">
      <w:start w:val="1"/>
      <w:numFmt w:val="lowerRoman"/>
      <w:lvlText w:val="%3."/>
      <w:lvlJc w:val="right"/>
      <w:pPr>
        <w:ind w:left="2160" w:hanging="180"/>
      </w:pPr>
    </w:lvl>
    <w:lvl w:ilvl="3" w:tplc="EF58C6D2">
      <w:start w:val="1"/>
      <w:numFmt w:val="lowerRoman"/>
      <w:lvlText w:val="(%4)"/>
      <w:lvlJc w:val="left"/>
      <w:pPr>
        <w:ind w:left="360" w:hanging="360"/>
      </w:pPr>
      <w:rPr>
        <w:rFonts w:cs="Times New Roman" w:hint="default"/>
        <w:i w:val="0"/>
        <w:color w:val="000000" w:themeColor="text1"/>
      </w:rPr>
    </w:lvl>
    <w:lvl w:ilvl="4" w:tplc="ABF41B1A">
      <w:start w:val="4"/>
      <w:numFmt w:val="upperLetter"/>
      <w:lvlText w:val="%5."/>
      <w:lvlJc w:val="left"/>
      <w:pPr>
        <w:ind w:left="360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2C271336"/>
    <w:multiLevelType w:val="hybridMultilevel"/>
    <w:tmpl w:val="55480DA2"/>
    <w:lvl w:ilvl="0" w:tplc="C2A6D0F8">
      <w:start w:val="1"/>
      <w:numFmt w:val="decimal"/>
      <w:lvlText w:val="%1."/>
      <w:lvlJc w:val="left"/>
      <w:pPr>
        <w:ind w:left="360" w:hanging="360"/>
      </w:pPr>
      <w:rPr>
        <w:rFonts w:hint="default"/>
        <w:b w:val="0"/>
        <w:i w:val="0"/>
        <w:color w:val="auto"/>
      </w:rPr>
    </w:lvl>
    <w:lvl w:ilvl="1" w:tplc="EF58C6D2">
      <w:start w:val="1"/>
      <w:numFmt w:val="lowerRoman"/>
      <w:lvlText w:val="(%2)"/>
      <w:lvlJc w:val="left"/>
      <w:pPr>
        <w:ind w:left="1440" w:hanging="360"/>
      </w:pPr>
      <w:rPr>
        <w:rFonts w:cs="Times New Roman" w:hint="default"/>
        <w:i w:val="0"/>
        <w:color w:val="000000" w:themeColor="text1"/>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7D08764">
      <w:start w:val="4"/>
      <w:numFmt w:val="upperLetter"/>
      <w:lvlText w:val="%5."/>
      <w:lvlJc w:val="left"/>
      <w:pPr>
        <w:ind w:left="360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2F53324A"/>
    <w:multiLevelType w:val="hybridMultilevel"/>
    <w:tmpl w:val="6602FBB2"/>
    <w:lvl w:ilvl="0" w:tplc="3C96CB10">
      <w:start w:val="1"/>
      <w:numFmt w:val="lowerRoman"/>
      <w:lvlText w:val="(%1)"/>
      <w:lvlJc w:val="left"/>
      <w:pPr>
        <w:ind w:left="1440" w:hanging="360"/>
      </w:pPr>
      <w:rPr>
        <w:rFonts w:cs="Times New Roman" w:hint="default"/>
        <w:i w:val="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
    <w:nsid w:val="306F3DF8"/>
    <w:multiLevelType w:val="hybridMultilevel"/>
    <w:tmpl w:val="43543816"/>
    <w:lvl w:ilvl="0" w:tplc="2FAA07E4">
      <w:start w:val="1"/>
      <w:numFmt w:val="lowerRoman"/>
      <w:lvlText w:val="(%1)"/>
      <w:lvlJc w:val="right"/>
      <w:pPr>
        <w:ind w:left="720" w:hanging="360"/>
      </w:pPr>
      <w:rPr>
        <w:rFonts w:hint="default"/>
        <w:sz w:val="24"/>
      </w:rPr>
    </w:lvl>
    <w:lvl w:ilvl="1" w:tplc="2FAA07E4">
      <w:start w:val="1"/>
      <w:numFmt w:val="lowerRoman"/>
      <w:lvlText w:val="(%2)"/>
      <w:lvlJc w:val="right"/>
      <w:pPr>
        <w:ind w:left="1440" w:hanging="360"/>
      </w:pPr>
      <w:rPr>
        <w:rFonts w:hint="default"/>
        <w:sz w:val="24"/>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30805387"/>
    <w:multiLevelType w:val="hybridMultilevel"/>
    <w:tmpl w:val="3210FE72"/>
    <w:lvl w:ilvl="0" w:tplc="AFA2860E">
      <w:start w:val="2"/>
      <w:numFmt w:val="bullet"/>
      <w:lvlText w:val="-"/>
      <w:lvlJc w:val="left"/>
      <w:pPr>
        <w:ind w:left="360" w:hanging="360"/>
      </w:pPr>
      <w:rPr>
        <w:rFonts w:ascii="Calibri" w:eastAsia="Times New Roman" w:hAnsi="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nsid w:val="32D25886"/>
    <w:multiLevelType w:val="hybridMultilevel"/>
    <w:tmpl w:val="17488DF0"/>
    <w:lvl w:ilvl="0" w:tplc="502CFB1C">
      <w:start w:val="7"/>
      <w:numFmt w:val="upp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nsid w:val="38C47F9E"/>
    <w:multiLevelType w:val="hybridMultilevel"/>
    <w:tmpl w:val="3E30481C"/>
    <w:lvl w:ilvl="0" w:tplc="EF58C6D2">
      <w:start w:val="1"/>
      <w:numFmt w:val="lowerRoman"/>
      <w:lvlText w:val="(%1)"/>
      <w:lvlJc w:val="left"/>
      <w:pPr>
        <w:ind w:left="1080" w:hanging="360"/>
      </w:pPr>
      <w:rPr>
        <w:rFonts w:cs="Times New Roman" w:hint="default"/>
        <w:i w:val="0"/>
        <w:color w:val="000000" w:themeColor="text1"/>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nsid w:val="39A06052"/>
    <w:multiLevelType w:val="hybridMultilevel"/>
    <w:tmpl w:val="36C6DBE6"/>
    <w:lvl w:ilvl="0" w:tplc="AFA2860E">
      <w:start w:val="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3C2F167B"/>
    <w:multiLevelType w:val="hybridMultilevel"/>
    <w:tmpl w:val="599409A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3C6653F5"/>
    <w:multiLevelType w:val="hybridMultilevel"/>
    <w:tmpl w:val="668EDD2C"/>
    <w:lvl w:ilvl="0" w:tplc="2AC886D0">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nsid w:val="418975A3"/>
    <w:multiLevelType w:val="hybridMultilevel"/>
    <w:tmpl w:val="55480DA2"/>
    <w:lvl w:ilvl="0" w:tplc="C2A6D0F8">
      <w:start w:val="1"/>
      <w:numFmt w:val="decimal"/>
      <w:lvlText w:val="%1."/>
      <w:lvlJc w:val="left"/>
      <w:pPr>
        <w:ind w:left="360" w:hanging="360"/>
      </w:pPr>
      <w:rPr>
        <w:rFonts w:hint="default"/>
        <w:b w:val="0"/>
        <w:i w:val="0"/>
        <w:color w:val="auto"/>
      </w:rPr>
    </w:lvl>
    <w:lvl w:ilvl="1" w:tplc="EF58C6D2">
      <w:start w:val="1"/>
      <w:numFmt w:val="lowerRoman"/>
      <w:lvlText w:val="(%2)"/>
      <w:lvlJc w:val="left"/>
      <w:pPr>
        <w:ind w:left="1440" w:hanging="360"/>
      </w:pPr>
      <w:rPr>
        <w:rFonts w:cs="Times New Roman" w:hint="default"/>
        <w:i w:val="0"/>
        <w:color w:val="000000" w:themeColor="text1"/>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7D08764">
      <w:start w:val="4"/>
      <w:numFmt w:val="upperLetter"/>
      <w:lvlText w:val="%5."/>
      <w:lvlJc w:val="left"/>
      <w:pPr>
        <w:ind w:left="360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44D30FDE"/>
    <w:multiLevelType w:val="hybridMultilevel"/>
    <w:tmpl w:val="D47C122A"/>
    <w:lvl w:ilvl="0" w:tplc="2FAA07E4">
      <w:start w:val="1"/>
      <w:numFmt w:val="lowerRoman"/>
      <w:lvlText w:val="(%1)"/>
      <w:lvlJc w:val="right"/>
      <w:pPr>
        <w:ind w:left="1080" w:hanging="360"/>
      </w:pPr>
      <w:rPr>
        <w:rFonts w:hint="default"/>
        <w:b w:val="0"/>
        <w:i w:val="0"/>
        <w:color w:val="auto"/>
        <w:sz w:val="24"/>
      </w:rPr>
    </w:lvl>
    <w:lvl w:ilvl="1" w:tplc="DAC8A294">
      <w:start w:val="1"/>
      <w:numFmt w:val="lowerRoman"/>
      <w:lvlText w:val="(%2)"/>
      <w:lvlJc w:val="left"/>
      <w:pPr>
        <w:ind w:left="2160" w:hanging="360"/>
      </w:pPr>
      <w:rPr>
        <w:rFonts w:cs="Times New Roman" w:hint="default"/>
        <w:i w:val="0"/>
        <w:color w:val="000000" w:themeColor="text1"/>
      </w:r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ABF41B1A">
      <w:start w:val="4"/>
      <w:numFmt w:val="upperLetter"/>
      <w:lvlText w:val="%5."/>
      <w:lvlJc w:val="left"/>
      <w:pPr>
        <w:ind w:left="4320" w:hanging="360"/>
      </w:pPr>
      <w:rPr>
        <w:rFonts w:hint="default"/>
      </w:r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0">
    <w:nsid w:val="48907887"/>
    <w:multiLevelType w:val="hybridMultilevel"/>
    <w:tmpl w:val="599409A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4B401B62"/>
    <w:multiLevelType w:val="hybridMultilevel"/>
    <w:tmpl w:val="648CD9EC"/>
    <w:lvl w:ilvl="0" w:tplc="EF58C6D2">
      <w:start w:val="1"/>
      <w:numFmt w:val="lowerRoman"/>
      <w:lvlText w:val="(%1)"/>
      <w:lvlJc w:val="left"/>
      <w:pPr>
        <w:ind w:left="1080" w:hanging="360"/>
      </w:pPr>
      <w:rPr>
        <w:rFonts w:cs="Times New Roman" w:hint="default"/>
        <w:b w:val="0"/>
        <w:i w:val="0"/>
        <w:color w:val="000000" w:themeColor="text1"/>
        <w:sz w:val="24"/>
      </w:rPr>
    </w:lvl>
    <w:lvl w:ilvl="1" w:tplc="DAC8A294">
      <w:start w:val="1"/>
      <w:numFmt w:val="lowerRoman"/>
      <w:lvlText w:val="(%2)"/>
      <w:lvlJc w:val="left"/>
      <w:pPr>
        <w:ind w:left="2160" w:hanging="360"/>
      </w:pPr>
      <w:rPr>
        <w:rFonts w:cs="Times New Roman" w:hint="default"/>
        <w:i w:val="0"/>
        <w:color w:val="000000" w:themeColor="text1"/>
      </w:r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ABF41B1A">
      <w:start w:val="4"/>
      <w:numFmt w:val="upperLetter"/>
      <w:lvlText w:val="%5."/>
      <w:lvlJc w:val="left"/>
      <w:pPr>
        <w:ind w:left="4320" w:hanging="360"/>
      </w:pPr>
      <w:rPr>
        <w:rFonts w:hint="default"/>
      </w:r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2">
    <w:nsid w:val="4C6A3F25"/>
    <w:multiLevelType w:val="hybridMultilevel"/>
    <w:tmpl w:val="9738E4F4"/>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33">
    <w:nsid w:val="4C701CD1"/>
    <w:multiLevelType w:val="hybridMultilevel"/>
    <w:tmpl w:val="21EA6DEE"/>
    <w:lvl w:ilvl="0" w:tplc="DAC8A294">
      <w:start w:val="1"/>
      <w:numFmt w:val="lowerRoman"/>
      <w:lvlText w:val="(%1)"/>
      <w:lvlJc w:val="left"/>
      <w:pPr>
        <w:ind w:left="360" w:hanging="360"/>
      </w:pPr>
      <w:rPr>
        <w:rFonts w:cs="Times New Roman" w:hint="default"/>
        <w:b w:val="0"/>
        <w:i w:val="0"/>
        <w:color w:val="000000" w:themeColor="text1"/>
      </w:rPr>
    </w:lvl>
    <w:lvl w:ilvl="1" w:tplc="DAC8A294">
      <w:start w:val="1"/>
      <w:numFmt w:val="lowerRoman"/>
      <w:lvlText w:val="(%2)"/>
      <w:lvlJc w:val="left"/>
      <w:pPr>
        <w:ind w:left="1440" w:hanging="360"/>
      </w:pPr>
      <w:rPr>
        <w:rFonts w:cs="Times New Roman" w:hint="default"/>
        <w:i w:val="0"/>
        <w:color w:val="000000" w:themeColor="text1"/>
      </w:rPr>
    </w:lvl>
    <w:lvl w:ilvl="2" w:tplc="4809001B">
      <w:start w:val="1"/>
      <w:numFmt w:val="lowerRoman"/>
      <w:lvlText w:val="%3."/>
      <w:lvlJc w:val="right"/>
      <w:pPr>
        <w:ind w:left="2160" w:hanging="180"/>
      </w:pPr>
    </w:lvl>
    <w:lvl w:ilvl="3" w:tplc="878C6540">
      <w:start w:val="1"/>
      <w:numFmt w:val="decimal"/>
      <w:lvlText w:val="%4."/>
      <w:lvlJc w:val="left"/>
      <w:pPr>
        <w:ind w:left="1778" w:hanging="360"/>
      </w:pPr>
      <w:rPr>
        <w:i w:val="0"/>
        <w:color w:val="auto"/>
      </w:rPr>
    </w:lvl>
    <w:lvl w:ilvl="4" w:tplc="ABF41B1A">
      <w:start w:val="4"/>
      <w:numFmt w:val="upperLetter"/>
      <w:lvlText w:val="%5."/>
      <w:lvlJc w:val="left"/>
      <w:pPr>
        <w:ind w:left="360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5EF40B6A"/>
    <w:multiLevelType w:val="hybridMultilevel"/>
    <w:tmpl w:val="143EF6A8"/>
    <w:lvl w:ilvl="0" w:tplc="E034A5A4">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5">
    <w:nsid w:val="618A32EF"/>
    <w:multiLevelType w:val="hybridMultilevel"/>
    <w:tmpl w:val="85269648"/>
    <w:lvl w:ilvl="0" w:tplc="C2A6D0F8">
      <w:start w:val="1"/>
      <w:numFmt w:val="decimal"/>
      <w:lvlText w:val="%1."/>
      <w:lvlJc w:val="left"/>
      <w:pPr>
        <w:ind w:left="360" w:hanging="360"/>
      </w:pPr>
      <w:rPr>
        <w:rFonts w:hint="default"/>
        <w:b w:val="0"/>
        <w:i w:val="0"/>
        <w:color w:val="auto"/>
      </w:rPr>
    </w:lvl>
    <w:lvl w:ilvl="1" w:tplc="EF58C6D2">
      <w:start w:val="1"/>
      <w:numFmt w:val="lowerRoman"/>
      <w:lvlText w:val="(%2)"/>
      <w:lvlJc w:val="left"/>
      <w:pPr>
        <w:ind w:left="1440" w:hanging="360"/>
      </w:pPr>
      <w:rPr>
        <w:rFonts w:cs="Times New Roman" w:hint="default"/>
        <w:i w:val="0"/>
        <w:color w:val="000000" w:themeColor="text1"/>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6C4A24B4"/>
    <w:multiLevelType w:val="hybridMultilevel"/>
    <w:tmpl w:val="9612A9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6D662E79"/>
    <w:multiLevelType w:val="hybridMultilevel"/>
    <w:tmpl w:val="E9702682"/>
    <w:lvl w:ilvl="0" w:tplc="AFA2860E">
      <w:start w:val="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nsid w:val="731E1E3D"/>
    <w:multiLevelType w:val="hybridMultilevel"/>
    <w:tmpl w:val="6F964972"/>
    <w:lvl w:ilvl="0" w:tplc="2FAA07E4">
      <w:start w:val="1"/>
      <w:numFmt w:val="lowerRoman"/>
      <w:lvlText w:val="(%1)"/>
      <w:lvlJc w:val="right"/>
      <w:pPr>
        <w:ind w:left="720" w:hanging="360"/>
      </w:pPr>
      <w:rPr>
        <w:rFonts w:hint="default"/>
        <w:sz w:val="24"/>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7497041C"/>
    <w:multiLevelType w:val="hybridMultilevel"/>
    <w:tmpl w:val="8A6030C4"/>
    <w:lvl w:ilvl="0" w:tplc="48090011">
      <w:start w:val="1"/>
      <w:numFmt w:val="decimal"/>
      <w:lvlText w:val="%1)"/>
      <w:lvlJc w:val="left"/>
      <w:pPr>
        <w:ind w:left="1080" w:hanging="360"/>
      </w:pPr>
      <w:rPr>
        <w:rFonts w:hint="default"/>
        <w:b w:val="0"/>
        <w:i w:val="0"/>
        <w:color w:val="auto"/>
        <w:sz w:val="24"/>
      </w:rPr>
    </w:lvl>
    <w:lvl w:ilvl="1" w:tplc="DAC8A294">
      <w:start w:val="1"/>
      <w:numFmt w:val="lowerRoman"/>
      <w:lvlText w:val="(%2)"/>
      <w:lvlJc w:val="left"/>
      <w:pPr>
        <w:ind w:left="2160" w:hanging="360"/>
      </w:pPr>
      <w:rPr>
        <w:rFonts w:cs="Times New Roman" w:hint="default"/>
        <w:i w:val="0"/>
        <w:color w:val="000000" w:themeColor="text1"/>
      </w:r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ABF41B1A">
      <w:start w:val="4"/>
      <w:numFmt w:val="upperLetter"/>
      <w:lvlText w:val="%5."/>
      <w:lvlJc w:val="left"/>
      <w:pPr>
        <w:ind w:left="4320" w:hanging="360"/>
      </w:pPr>
      <w:rPr>
        <w:rFonts w:hint="default"/>
      </w:r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0">
    <w:nsid w:val="760329E7"/>
    <w:multiLevelType w:val="hybridMultilevel"/>
    <w:tmpl w:val="8B76C2E6"/>
    <w:lvl w:ilvl="0" w:tplc="DAC8A294">
      <w:start w:val="1"/>
      <w:numFmt w:val="lowerRoman"/>
      <w:lvlText w:val="(%1)"/>
      <w:lvlJc w:val="left"/>
      <w:pPr>
        <w:ind w:left="360" w:hanging="360"/>
      </w:pPr>
      <w:rPr>
        <w:rFonts w:cs="Times New Roman" w:hint="default"/>
        <w:b w:val="0"/>
        <w:i w:val="0"/>
        <w:color w:val="000000" w:themeColor="text1"/>
      </w:rPr>
    </w:lvl>
    <w:lvl w:ilvl="1" w:tplc="DAC8A294">
      <w:start w:val="1"/>
      <w:numFmt w:val="lowerRoman"/>
      <w:lvlText w:val="(%2)"/>
      <w:lvlJc w:val="left"/>
      <w:pPr>
        <w:ind w:left="1440" w:hanging="360"/>
      </w:pPr>
      <w:rPr>
        <w:rFonts w:cs="Times New Roman" w:hint="default"/>
        <w:i w:val="0"/>
        <w:color w:val="000000" w:themeColor="text1"/>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ABF41B1A">
      <w:start w:val="4"/>
      <w:numFmt w:val="upperLetter"/>
      <w:lvlText w:val="%5."/>
      <w:lvlJc w:val="left"/>
      <w:pPr>
        <w:ind w:left="360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76A44AB0"/>
    <w:multiLevelType w:val="hybridMultilevel"/>
    <w:tmpl w:val="244AA590"/>
    <w:lvl w:ilvl="0" w:tplc="50FC3106">
      <w:start w:val="1"/>
      <w:numFmt w:val="lowerLetter"/>
      <w:lvlText w:val="(%1)"/>
      <w:lvlJc w:val="left"/>
      <w:pPr>
        <w:ind w:left="648" w:hanging="360"/>
      </w:pPr>
      <w:rPr>
        <w:rFonts w:hint="default"/>
        <w:i/>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2">
    <w:nsid w:val="78F8253E"/>
    <w:multiLevelType w:val="hybridMultilevel"/>
    <w:tmpl w:val="408A5AA4"/>
    <w:lvl w:ilvl="0" w:tplc="C2A6D0F8">
      <w:start w:val="1"/>
      <w:numFmt w:val="decimal"/>
      <w:lvlText w:val="%1."/>
      <w:lvlJc w:val="left"/>
      <w:pPr>
        <w:ind w:left="360" w:hanging="360"/>
      </w:pPr>
      <w:rPr>
        <w:rFonts w:hint="default"/>
        <w:b w:val="0"/>
        <w:i w:val="0"/>
        <w:color w:val="auto"/>
      </w:rPr>
    </w:lvl>
    <w:lvl w:ilvl="1" w:tplc="DAC8A294">
      <w:start w:val="1"/>
      <w:numFmt w:val="lowerRoman"/>
      <w:lvlText w:val="(%2)"/>
      <w:lvlJc w:val="left"/>
      <w:pPr>
        <w:ind w:left="1440" w:hanging="360"/>
      </w:pPr>
      <w:rPr>
        <w:rFonts w:cs="Times New Roman" w:hint="default"/>
        <w:i w:val="0"/>
        <w:color w:val="000000" w:themeColor="text1"/>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ABF41B1A">
      <w:start w:val="4"/>
      <w:numFmt w:val="upperLetter"/>
      <w:lvlText w:val="%5."/>
      <w:lvlJc w:val="left"/>
      <w:pPr>
        <w:ind w:left="360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nsid w:val="7BB104BD"/>
    <w:multiLevelType w:val="hybridMultilevel"/>
    <w:tmpl w:val="ED2A285A"/>
    <w:lvl w:ilvl="0" w:tplc="EF58C6D2">
      <w:start w:val="1"/>
      <w:numFmt w:val="lowerRoman"/>
      <w:lvlText w:val="(%1)"/>
      <w:lvlJc w:val="left"/>
      <w:pPr>
        <w:ind w:left="720" w:hanging="360"/>
      </w:pPr>
      <w:rPr>
        <w:rFonts w:cs="Times New Roman" w:hint="default"/>
        <w:i w:val="0"/>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1"/>
  </w:num>
  <w:num w:numId="3">
    <w:abstractNumId w:val="27"/>
  </w:num>
  <w:num w:numId="4">
    <w:abstractNumId w:val="23"/>
  </w:num>
  <w:num w:numId="5">
    <w:abstractNumId w:val="32"/>
  </w:num>
  <w:num w:numId="6">
    <w:abstractNumId w:val="26"/>
  </w:num>
  <w:num w:numId="7">
    <w:abstractNumId w:val="28"/>
  </w:num>
  <w:num w:numId="8">
    <w:abstractNumId w:val="30"/>
  </w:num>
  <w:num w:numId="9">
    <w:abstractNumId w:val="20"/>
  </w:num>
  <w:num w:numId="10">
    <w:abstractNumId w:val="3"/>
  </w:num>
  <w:num w:numId="11">
    <w:abstractNumId w:val="19"/>
  </w:num>
  <w:num w:numId="12">
    <w:abstractNumId w:val="35"/>
  </w:num>
  <w:num w:numId="13">
    <w:abstractNumId w:val="14"/>
  </w:num>
  <w:num w:numId="14">
    <w:abstractNumId w:val="6"/>
  </w:num>
  <w:num w:numId="15">
    <w:abstractNumId w:val="17"/>
  </w:num>
  <w:num w:numId="16">
    <w:abstractNumId w:val="42"/>
  </w:num>
  <w:num w:numId="17">
    <w:abstractNumId w:val="12"/>
  </w:num>
  <w:num w:numId="18">
    <w:abstractNumId w:val="0"/>
  </w:num>
  <w:num w:numId="19">
    <w:abstractNumId w:val="40"/>
  </w:num>
  <w:num w:numId="20">
    <w:abstractNumId w:val="16"/>
  </w:num>
  <w:num w:numId="21">
    <w:abstractNumId w:val="33"/>
  </w:num>
  <w:num w:numId="22">
    <w:abstractNumId w:val="38"/>
  </w:num>
  <w:num w:numId="23">
    <w:abstractNumId w:val="21"/>
  </w:num>
  <w:num w:numId="24">
    <w:abstractNumId w:val="1"/>
  </w:num>
  <w:num w:numId="25">
    <w:abstractNumId w:val="29"/>
  </w:num>
  <w:num w:numId="26">
    <w:abstractNumId w:val="5"/>
  </w:num>
  <w:num w:numId="27">
    <w:abstractNumId w:val="43"/>
  </w:num>
  <w:num w:numId="28">
    <w:abstractNumId w:val="8"/>
  </w:num>
  <w:num w:numId="29">
    <w:abstractNumId w:val="18"/>
  </w:num>
  <w:num w:numId="30">
    <w:abstractNumId w:val="39"/>
  </w:num>
  <w:num w:numId="31">
    <w:abstractNumId w:val="31"/>
  </w:num>
  <w:num w:numId="32">
    <w:abstractNumId w:val="10"/>
  </w:num>
  <w:num w:numId="33">
    <w:abstractNumId w:val="7"/>
  </w:num>
  <w:num w:numId="34">
    <w:abstractNumId w:val="24"/>
  </w:num>
  <w:num w:numId="35">
    <w:abstractNumId w:val="15"/>
  </w:num>
  <w:num w:numId="36">
    <w:abstractNumId w:val="36"/>
  </w:num>
  <w:num w:numId="37">
    <w:abstractNumId w:val="13"/>
  </w:num>
  <w:num w:numId="38">
    <w:abstractNumId w:val="9"/>
  </w:num>
  <w:num w:numId="39">
    <w:abstractNumId w:val="37"/>
  </w:num>
  <w:num w:numId="40">
    <w:abstractNumId w:val="25"/>
  </w:num>
  <w:num w:numId="41">
    <w:abstractNumId w:val="22"/>
  </w:num>
  <w:num w:numId="42">
    <w:abstractNumId w:val="41"/>
  </w:num>
  <w:num w:numId="43">
    <w:abstractNumId w:val="4"/>
  </w:num>
  <w:num w:numId="44">
    <w:abstractNumId w:val="25"/>
  </w:num>
  <w:num w:numId="45">
    <w:abstractNumId w:val="34"/>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B5"/>
    <w:rsid w:val="000027CE"/>
    <w:rsid w:val="00014054"/>
    <w:rsid w:val="00017FBB"/>
    <w:rsid w:val="00030658"/>
    <w:rsid w:val="00030A20"/>
    <w:rsid w:val="00032640"/>
    <w:rsid w:val="0005034F"/>
    <w:rsid w:val="00063FD5"/>
    <w:rsid w:val="00085E55"/>
    <w:rsid w:val="000A0B9B"/>
    <w:rsid w:val="000A1016"/>
    <w:rsid w:val="000A5CD1"/>
    <w:rsid w:val="000A6755"/>
    <w:rsid w:val="000B478B"/>
    <w:rsid w:val="000B7EFF"/>
    <w:rsid w:val="000C5172"/>
    <w:rsid w:val="000D1D21"/>
    <w:rsid w:val="000D2538"/>
    <w:rsid w:val="000D35FD"/>
    <w:rsid w:val="000F2F30"/>
    <w:rsid w:val="00102132"/>
    <w:rsid w:val="00113555"/>
    <w:rsid w:val="001272CB"/>
    <w:rsid w:val="001309F1"/>
    <w:rsid w:val="00134F4B"/>
    <w:rsid w:val="00143372"/>
    <w:rsid w:val="00164ED6"/>
    <w:rsid w:val="001670D6"/>
    <w:rsid w:val="0016731D"/>
    <w:rsid w:val="001758B0"/>
    <w:rsid w:val="001813EB"/>
    <w:rsid w:val="00190CF7"/>
    <w:rsid w:val="00194CE3"/>
    <w:rsid w:val="001962CB"/>
    <w:rsid w:val="001C530A"/>
    <w:rsid w:val="001D25C7"/>
    <w:rsid w:val="001D4CFE"/>
    <w:rsid w:val="001E17B0"/>
    <w:rsid w:val="001E57E9"/>
    <w:rsid w:val="001E7F6B"/>
    <w:rsid w:val="001F3307"/>
    <w:rsid w:val="002044FD"/>
    <w:rsid w:val="00217294"/>
    <w:rsid w:val="00217716"/>
    <w:rsid w:val="0022477F"/>
    <w:rsid w:val="00227545"/>
    <w:rsid w:val="00240DCF"/>
    <w:rsid w:val="00242BFB"/>
    <w:rsid w:val="002447E5"/>
    <w:rsid w:val="002476F7"/>
    <w:rsid w:val="00265449"/>
    <w:rsid w:val="0027616C"/>
    <w:rsid w:val="00276CF0"/>
    <w:rsid w:val="0027796F"/>
    <w:rsid w:val="00280DBC"/>
    <w:rsid w:val="00290214"/>
    <w:rsid w:val="002A7249"/>
    <w:rsid w:val="002B22E5"/>
    <w:rsid w:val="002B3414"/>
    <w:rsid w:val="002E6604"/>
    <w:rsid w:val="002F300C"/>
    <w:rsid w:val="00305810"/>
    <w:rsid w:val="00307E47"/>
    <w:rsid w:val="00311CA4"/>
    <w:rsid w:val="003143E3"/>
    <w:rsid w:val="00322EA4"/>
    <w:rsid w:val="00323EC9"/>
    <w:rsid w:val="00330CFB"/>
    <w:rsid w:val="003364A8"/>
    <w:rsid w:val="0033671D"/>
    <w:rsid w:val="003428C4"/>
    <w:rsid w:val="003565F2"/>
    <w:rsid w:val="00357523"/>
    <w:rsid w:val="00364F8E"/>
    <w:rsid w:val="00366274"/>
    <w:rsid w:val="00377BE3"/>
    <w:rsid w:val="00381B1E"/>
    <w:rsid w:val="00382201"/>
    <w:rsid w:val="003A2BDF"/>
    <w:rsid w:val="003B3A50"/>
    <w:rsid w:val="003C4B22"/>
    <w:rsid w:val="003C6D24"/>
    <w:rsid w:val="003D6603"/>
    <w:rsid w:val="00403FB6"/>
    <w:rsid w:val="00406625"/>
    <w:rsid w:val="00413AA9"/>
    <w:rsid w:val="0042006B"/>
    <w:rsid w:val="004227B0"/>
    <w:rsid w:val="00422A87"/>
    <w:rsid w:val="00426547"/>
    <w:rsid w:val="00436EA5"/>
    <w:rsid w:val="00440CF1"/>
    <w:rsid w:val="00444EA2"/>
    <w:rsid w:val="00460121"/>
    <w:rsid w:val="004601F1"/>
    <w:rsid w:val="00460FA9"/>
    <w:rsid w:val="004701D8"/>
    <w:rsid w:val="00487961"/>
    <w:rsid w:val="0049543D"/>
    <w:rsid w:val="004A6687"/>
    <w:rsid w:val="004A7D04"/>
    <w:rsid w:val="004B15FD"/>
    <w:rsid w:val="004D08BD"/>
    <w:rsid w:val="004E398E"/>
    <w:rsid w:val="004E46E4"/>
    <w:rsid w:val="004E4A5D"/>
    <w:rsid w:val="004E5838"/>
    <w:rsid w:val="00503825"/>
    <w:rsid w:val="00504B68"/>
    <w:rsid w:val="00507F72"/>
    <w:rsid w:val="00517361"/>
    <w:rsid w:val="00522F6A"/>
    <w:rsid w:val="005347BC"/>
    <w:rsid w:val="00556689"/>
    <w:rsid w:val="00563636"/>
    <w:rsid w:val="005712AD"/>
    <w:rsid w:val="005713FB"/>
    <w:rsid w:val="00577CE9"/>
    <w:rsid w:val="00585466"/>
    <w:rsid w:val="00593E17"/>
    <w:rsid w:val="005A5073"/>
    <w:rsid w:val="005B23B5"/>
    <w:rsid w:val="005B3160"/>
    <w:rsid w:val="005B4C70"/>
    <w:rsid w:val="005C0CE0"/>
    <w:rsid w:val="005C1766"/>
    <w:rsid w:val="005C2127"/>
    <w:rsid w:val="005D2395"/>
    <w:rsid w:val="005D3F8A"/>
    <w:rsid w:val="0060405F"/>
    <w:rsid w:val="00604516"/>
    <w:rsid w:val="006058A4"/>
    <w:rsid w:val="00616043"/>
    <w:rsid w:val="006166CE"/>
    <w:rsid w:val="00617376"/>
    <w:rsid w:val="0062681C"/>
    <w:rsid w:val="006312AE"/>
    <w:rsid w:val="00654704"/>
    <w:rsid w:val="006619C7"/>
    <w:rsid w:val="00672301"/>
    <w:rsid w:val="006C7979"/>
    <w:rsid w:val="006D0181"/>
    <w:rsid w:val="006D6DFA"/>
    <w:rsid w:val="00703693"/>
    <w:rsid w:val="00714883"/>
    <w:rsid w:val="0071539E"/>
    <w:rsid w:val="00720F38"/>
    <w:rsid w:val="00722E98"/>
    <w:rsid w:val="007239A5"/>
    <w:rsid w:val="0073422B"/>
    <w:rsid w:val="0074158F"/>
    <w:rsid w:val="007503FF"/>
    <w:rsid w:val="00756C58"/>
    <w:rsid w:val="00766801"/>
    <w:rsid w:val="0077128A"/>
    <w:rsid w:val="007738BB"/>
    <w:rsid w:val="007813A7"/>
    <w:rsid w:val="007878E6"/>
    <w:rsid w:val="00790CD3"/>
    <w:rsid w:val="007A1E6F"/>
    <w:rsid w:val="007A21FF"/>
    <w:rsid w:val="007B73CD"/>
    <w:rsid w:val="007B7805"/>
    <w:rsid w:val="007C726F"/>
    <w:rsid w:val="007D5817"/>
    <w:rsid w:val="007E1FC4"/>
    <w:rsid w:val="007F081B"/>
    <w:rsid w:val="007F1E6A"/>
    <w:rsid w:val="007F2516"/>
    <w:rsid w:val="007F6693"/>
    <w:rsid w:val="007F7B16"/>
    <w:rsid w:val="00803772"/>
    <w:rsid w:val="00810275"/>
    <w:rsid w:val="008114BF"/>
    <w:rsid w:val="0084590F"/>
    <w:rsid w:val="00852AEC"/>
    <w:rsid w:val="008543FC"/>
    <w:rsid w:val="00857486"/>
    <w:rsid w:val="00873728"/>
    <w:rsid w:val="00887E2B"/>
    <w:rsid w:val="0089007C"/>
    <w:rsid w:val="00893883"/>
    <w:rsid w:val="008A44F5"/>
    <w:rsid w:val="008E752F"/>
    <w:rsid w:val="008F0616"/>
    <w:rsid w:val="00914F62"/>
    <w:rsid w:val="00926696"/>
    <w:rsid w:val="00930079"/>
    <w:rsid w:val="00942136"/>
    <w:rsid w:val="009451CE"/>
    <w:rsid w:val="00947F9A"/>
    <w:rsid w:val="009800FC"/>
    <w:rsid w:val="00990FB1"/>
    <w:rsid w:val="00992626"/>
    <w:rsid w:val="00992A88"/>
    <w:rsid w:val="009957B3"/>
    <w:rsid w:val="009B3640"/>
    <w:rsid w:val="009D39C7"/>
    <w:rsid w:val="009E2FD8"/>
    <w:rsid w:val="009E3A69"/>
    <w:rsid w:val="009E3A92"/>
    <w:rsid w:val="00A14E91"/>
    <w:rsid w:val="00A4144C"/>
    <w:rsid w:val="00A5533B"/>
    <w:rsid w:val="00A56A86"/>
    <w:rsid w:val="00A9023B"/>
    <w:rsid w:val="00A90EF4"/>
    <w:rsid w:val="00A91F71"/>
    <w:rsid w:val="00A96F66"/>
    <w:rsid w:val="00AA49C9"/>
    <w:rsid w:val="00AA4EF4"/>
    <w:rsid w:val="00AA5858"/>
    <w:rsid w:val="00AB2227"/>
    <w:rsid w:val="00AC24D3"/>
    <w:rsid w:val="00AD12DF"/>
    <w:rsid w:val="00AD2660"/>
    <w:rsid w:val="00AD4409"/>
    <w:rsid w:val="00AD6048"/>
    <w:rsid w:val="00AE10DF"/>
    <w:rsid w:val="00B00C69"/>
    <w:rsid w:val="00B05345"/>
    <w:rsid w:val="00B07C02"/>
    <w:rsid w:val="00B07FE0"/>
    <w:rsid w:val="00B112FB"/>
    <w:rsid w:val="00B169F7"/>
    <w:rsid w:val="00B276A2"/>
    <w:rsid w:val="00B27C55"/>
    <w:rsid w:val="00B3675C"/>
    <w:rsid w:val="00B37CC6"/>
    <w:rsid w:val="00B463E9"/>
    <w:rsid w:val="00B6414C"/>
    <w:rsid w:val="00B72D5C"/>
    <w:rsid w:val="00BA175B"/>
    <w:rsid w:val="00BA37B6"/>
    <w:rsid w:val="00BB09A7"/>
    <w:rsid w:val="00BB4E24"/>
    <w:rsid w:val="00BB765D"/>
    <w:rsid w:val="00BE224A"/>
    <w:rsid w:val="00BE7DE8"/>
    <w:rsid w:val="00C031EB"/>
    <w:rsid w:val="00C05401"/>
    <w:rsid w:val="00C24480"/>
    <w:rsid w:val="00C251FC"/>
    <w:rsid w:val="00C47255"/>
    <w:rsid w:val="00C53A6C"/>
    <w:rsid w:val="00C64952"/>
    <w:rsid w:val="00C814B4"/>
    <w:rsid w:val="00C9262E"/>
    <w:rsid w:val="00CD1556"/>
    <w:rsid w:val="00CF1277"/>
    <w:rsid w:val="00D34680"/>
    <w:rsid w:val="00D36984"/>
    <w:rsid w:val="00D45CF6"/>
    <w:rsid w:val="00D4601D"/>
    <w:rsid w:val="00D90ECE"/>
    <w:rsid w:val="00D94A9F"/>
    <w:rsid w:val="00D96831"/>
    <w:rsid w:val="00DC2688"/>
    <w:rsid w:val="00DC4668"/>
    <w:rsid w:val="00DC57E8"/>
    <w:rsid w:val="00DC5A25"/>
    <w:rsid w:val="00DD1130"/>
    <w:rsid w:val="00DD2B72"/>
    <w:rsid w:val="00DE212B"/>
    <w:rsid w:val="00DE5CED"/>
    <w:rsid w:val="00DF14F1"/>
    <w:rsid w:val="00DF710A"/>
    <w:rsid w:val="00DF7962"/>
    <w:rsid w:val="00E137CA"/>
    <w:rsid w:val="00E14289"/>
    <w:rsid w:val="00E16ED0"/>
    <w:rsid w:val="00E46A45"/>
    <w:rsid w:val="00E56B28"/>
    <w:rsid w:val="00E57926"/>
    <w:rsid w:val="00E76C71"/>
    <w:rsid w:val="00E9082E"/>
    <w:rsid w:val="00E908D4"/>
    <w:rsid w:val="00E95556"/>
    <w:rsid w:val="00EA0B54"/>
    <w:rsid w:val="00EA66B5"/>
    <w:rsid w:val="00EB7D5E"/>
    <w:rsid w:val="00EC03E9"/>
    <w:rsid w:val="00EE305D"/>
    <w:rsid w:val="00EE4581"/>
    <w:rsid w:val="00EE6A12"/>
    <w:rsid w:val="00F02918"/>
    <w:rsid w:val="00F12DB0"/>
    <w:rsid w:val="00F14ABB"/>
    <w:rsid w:val="00F26C39"/>
    <w:rsid w:val="00F3563A"/>
    <w:rsid w:val="00F42CA2"/>
    <w:rsid w:val="00F6582D"/>
    <w:rsid w:val="00F70EF5"/>
    <w:rsid w:val="00F7213A"/>
    <w:rsid w:val="00F749A4"/>
    <w:rsid w:val="00F8384E"/>
    <w:rsid w:val="00F904DD"/>
    <w:rsid w:val="00F93FD7"/>
    <w:rsid w:val="00F97CBC"/>
    <w:rsid w:val="00FA27D2"/>
    <w:rsid w:val="00FB2168"/>
    <w:rsid w:val="00FC49B1"/>
    <w:rsid w:val="00FC64FC"/>
    <w:rsid w:val="00FC7310"/>
    <w:rsid w:val="00FD1744"/>
    <w:rsid w:val="00FF637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04"/>
    <w:rPr>
      <w:rFonts w:ascii="Times New Roman" w:hAnsi="Times New Roman"/>
    </w:rPr>
  </w:style>
  <w:style w:type="paragraph" w:styleId="Heading1">
    <w:name w:val="heading 1"/>
    <w:basedOn w:val="Normal"/>
    <w:next w:val="Normal"/>
    <w:link w:val="Heading1Char"/>
    <w:uiPriority w:val="9"/>
    <w:qFormat/>
    <w:rsid w:val="00DF14F1"/>
    <w:pPr>
      <w:keepNext/>
      <w:keepLines/>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autoRedefine/>
    <w:uiPriority w:val="9"/>
    <w:unhideWhenUsed/>
    <w:qFormat/>
    <w:rsid w:val="00381B1E"/>
    <w:pPr>
      <w:keepNext/>
      <w:keepLines/>
      <w:spacing w:before="40" w:after="0"/>
      <w:jc w:val="both"/>
      <w:outlineLvl w:val="1"/>
    </w:pPr>
    <w:rPr>
      <w:rFonts w:eastAsiaTheme="majorEastAsia" w:cs="Times New Roman"/>
      <w:b/>
      <w:color w:val="000000" w:themeColor="text1"/>
      <w:sz w:val="28"/>
    </w:rPr>
  </w:style>
  <w:style w:type="paragraph" w:styleId="Heading3">
    <w:name w:val="heading 3"/>
    <w:basedOn w:val="Normal"/>
    <w:next w:val="Normal"/>
    <w:link w:val="Heading3Char"/>
    <w:uiPriority w:val="9"/>
    <w:unhideWhenUsed/>
    <w:qFormat/>
    <w:rsid w:val="00DF14F1"/>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bet listing,RUS List,Noise heading,Credits,Text,Cell bullets,Number abc,a List Paragraph,List Paragraph1,Normal 1,Rec para"/>
    <w:basedOn w:val="Normal"/>
    <w:link w:val="ListParagraphChar"/>
    <w:uiPriority w:val="34"/>
    <w:qFormat/>
    <w:rsid w:val="00EA66B5"/>
    <w:pPr>
      <w:ind w:left="720"/>
      <w:contextualSpacing/>
    </w:pPr>
  </w:style>
  <w:style w:type="character" w:customStyle="1" w:styleId="ListParagraphChar">
    <w:name w:val="List Paragraph Char"/>
    <w:aliases w:val="alphabet listing Char,RUS List Char,Noise heading Char,Credits Char,Text Char,Cell bullets Char,Number abc Char,a List Paragraph Char,List Paragraph1 Char,Normal 1 Char,Rec para Char"/>
    <w:link w:val="ListParagraph"/>
    <w:uiPriority w:val="34"/>
    <w:locked/>
    <w:rsid w:val="00EA66B5"/>
    <w:rPr>
      <w:rFonts w:ascii="Times New Roman" w:hAnsi="Times New Roman"/>
    </w:rPr>
  </w:style>
  <w:style w:type="character" w:customStyle="1" w:styleId="Heading1Char">
    <w:name w:val="Heading 1 Char"/>
    <w:basedOn w:val="DefaultParagraphFont"/>
    <w:link w:val="Heading1"/>
    <w:uiPriority w:val="9"/>
    <w:rsid w:val="00DF14F1"/>
    <w:rPr>
      <w:rFonts w:ascii="Times New Roman" w:eastAsiaTheme="majorEastAsia" w:hAnsi="Times New Roman" w:cstheme="majorBidi"/>
      <w:b/>
      <w:sz w:val="28"/>
      <w:szCs w:val="32"/>
      <w:u w:val="single"/>
    </w:rPr>
  </w:style>
  <w:style w:type="character" w:customStyle="1" w:styleId="Heading2Char">
    <w:name w:val="Heading 2 Char"/>
    <w:basedOn w:val="DefaultParagraphFont"/>
    <w:link w:val="Heading2"/>
    <w:uiPriority w:val="9"/>
    <w:rsid w:val="00381B1E"/>
    <w:rPr>
      <w:rFonts w:ascii="Times New Roman" w:eastAsiaTheme="majorEastAsia" w:hAnsi="Times New Roman" w:cs="Times New Roman"/>
      <w:b/>
      <w:color w:val="000000" w:themeColor="text1"/>
      <w:sz w:val="28"/>
    </w:rPr>
  </w:style>
  <w:style w:type="character" w:styleId="FootnoteReference">
    <w:name w:val="footnote reference"/>
    <w:aliases w:val="4_G,Appel note de bas de p,Footnote,pre-cab,FOOTNOTE,stylish"/>
    <w:qFormat/>
    <w:rsid w:val="00893883"/>
    <w:rPr>
      <w:rFonts w:ascii="Times New Roman" w:hAnsi="Times New Roman"/>
      <w:sz w:val="18"/>
      <w:vertAlign w:val="superscript"/>
    </w:rPr>
  </w:style>
  <w:style w:type="character" w:customStyle="1" w:styleId="apple-converted-space">
    <w:name w:val="apple-converted-space"/>
    <w:rsid w:val="00714883"/>
  </w:style>
  <w:style w:type="character" w:styleId="Emphasis">
    <w:name w:val="Emphasis"/>
    <w:uiPriority w:val="20"/>
    <w:qFormat/>
    <w:rsid w:val="00714883"/>
    <w:rPr>
      <w:i/>
      <w:iCs/>
    </w:rPr>
  </w:style>
  <w:style w:type="paragraph" w:styleId="FootnoteText">
    <w:name w:val="footnote text"/>
    <w:aliases w:val="5_G,Footnote Text Char1,Footnote Text Char Char1,Footnote Text Char2,Footnote Text Char Char Char Char,Footnote Text Char1 Char1,Footnote Text Char Char Char1,Footnote Text Char3,Footnote Text Char2 Char,Arial, Char1 Char,fn"/>
    <w:basedOn w:val="Normal"/>
    <w:link w:val="FootnoteTextChar"/>
    <w:qFormat/>
    <w:rsid w:val="00A9023B"/>
    <w:pPr>
      <w:tabs>
        <w:tab w:val="right" w:pos="1021"/>
      </w:tabs>
      <w:suppressAutoHyphens/>
      <w:spacing w:after="0" w:line="220" w:lineRule="exact"/>
      <w:ind w:left="1134" w:right="1134" w:hanging="1134"/>
    </w:pPr>
    <w:rPr>
      <w:rFonts w:eastAsia="Times New Roman" w:cs="Times New Roman"/>
      <w:sz w:val="18"/>
      <w:szCs w:val="20"/>
      <w:lang w:val="en-GB"/>
    </w:rPr>
  </w:style>
  <w:style w:type="character" w:customStyle="1" w:styleId="FootnoteTextChar">
    <w:name w:val="Footnote Text Char"/>
    <w:aliases w:val="5_G Char,Footnote Text Char1 Char,Footnote Text Char Char1 Char,Footnote Text Char2 Char1,Footnote Text Char Char Char Char Char,Footnote Text Char1 Char1 Char,Footnote Text Char Char Char1 Char,Footnote Text Char3 Char,Arial Char"/>
    <w:basedOn w:val="DefaultParagraphFont"/>
    <w:link w:val="FootnoteText"/>
    <w:rsid w:val="00A9023B"/>
    <w:rPr>
      <w:rFonts w:ascii="Times New Roman" w:eastAsia="Times New Roman" w:hAnsi="Times New Roman" w:cs="Times New Roman"/>
      <w:sz w:val="18"/>
      <w:szCs w:val="20"/>
      <w:lang w:val="en-GB"/>
    </w:rPr>
  </w:style>
  <w:style w:type="character" w:customStyle="1" w:styleId="Heading3Char">
    <w:name w:val="Heading 3 Char"/>
    <w:basedOn w:val="DefaultParagraphFont"/>
    <w:link w:val="Heading3"/>
    <w:uiPriority w:val="9"/>
    <w:rsid w:val="00DF14F1"/>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8F0616"/>
    <w:pPr>
      <w:outlineLvl w:val="9"/>
    </w:pPr>
    <w:rPr>
      <w:rFonts w:asciiTheme="majorHAnsi" w:hAnsiTheme="majorHAnsi"/>
      <w:b w:val="0"/>
      <w:color w:val="2E74B5" w:themeColor="accent1" w:themeShade="BF"/>
      <w:sz w:val="32"/>
      <w:u w:val="none"/>
      <w:lang w:val="en-US"/>
    </w:rPr>
  </w:style>
  <w:style w:type="paragraph" w:styleId="TOC2">
    <w:name w:val="toc 2"/>
    <w:basedOn w:val="Normal"/>
    <w:next w:val="Normal"/>
    <w:autoRedefine/>
    <w:uiPriority w:val="39"/>
    <w:unhideWhenUsed/>
    <w:rsid w:val="008F061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F0616"/>
    <w:pPr>
      <w:spacing w:after="100"/>
    </w:pPr>
    <w:rPr>
      <w:rFonts w:eastAsiaTheme="minorEastAsia" w:cs="Times New Roman"/>
      <w:lang w:val="en-US"/>
    </w:rPr>
  </w:style>
  <w:style w:type="paragraph" w:styleId="TOC3">
    <w:name w:val="toc 3"/>
    <w:basedOn w:val="Normal"/>
    <w:next w:val="Normal"/>
    <w:autoRedefine/>
    <w:uiPriority w:val="39"/>
    <w:unhideWhenUsed/>
    <w:rsid w:val="008F0616"/>
    <w:pPr>
      <w:spacing w:after="100"/>
      <w:ind w:left="440"/>
    </w:pPr>
    <w:rPr>
      <w:rFonts w:eastAsiaTheme="minorEastAsia" w:cs="Times New Roman"/>
      <w:lang w:val="en-US"/>
    </w:rPr>
  </w:style>
  <w:style w:type="character" w:styleId="Hyperlink">
    <w:name w:val="Hyperlink"/>
    <w:basedOn w:val="DefaultParagraphFont"/>
    <w:uiPriority w:val="99"/>
    <w:unhideWhenUsed/>
    <w:rsid w:val="008F0616"/>
    <w:rPr>
      <w:color w:val="0563C1" w:themeColor="hyperlink"/>
      <w:u w:val="single"/>
    </w:rPr>
  </w:style>
  <w:style w:type="paragraph" w:styleId="Header">
    <w:name w:val="header"/>
    <w:basedOn w:val="Normal"/>
    <w:link w:val="HeaderChar"/>
    <w:uiPriority w:val="99"/>
    <w:unhideWhenUsed/>
    <w:rsid w:val="008F0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616"/>
  </w:style>
  <w:style w:type="paragraph" w:styleId="Footer">
    <w:name w:val="footer"/>
    <w:basedOn w:val="Normal"/>
    <w:link w:val="FooterChar"/>
    <w:uiPriority w:val="99"/>
    <w:unhideWhenUsed/>
    <w:rsid w:val="008F0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616"/>
  </w:style>
  <w:style w:type="character" w:styleId="CommentReference">
    <w:name w:val="annotation reference"/>
    <w:basedOn w:val="DefaultParagraphFont"/>
    <w:semiHidden/>
    <w:unhideWhenUsed/>
    <w:rsid w:val="00C47255"/>
    <w:rPr>
      <w:sz w:val="16"/>
      <w:szCs w:val="16"/>
    </w:rPr>
  </w:style>
  <w:style w:type="paragraph" w:styleId="CommentText">
    <w:name w:val="annotation text"/>
    <w:basedOn w:val="Normal"/>
    <w:link w:val="CommentTextChar"/>
    <w:uiPriority w:val="99"/>
    <w:unhideWhenUsed/>
    <w:rsid w:val="00C47255"/>
    <w:pPr>
      <w:spacing w:line="240" w:lineRule="auto"/>
    </w:pPr>
    <w:rPr>
      <w:sz w:val="20"/>
      <w:szCs w:val="20"/>
    </w:rPr>
  </w:style>
  <w:style w:type="character" w:customStyle="1" w:styleId="CommentTextChar">
    <w:name w:val="Comment Text Char"/>
    <w:basedOn w:val="DefaultParagraphFont"/>
    <w:link w:val="CommentText"/>
    <w:uiPriority w:val="99"/>
    <w:rsid w:val="00C47255"/>
    <w:rPr>
      <w:rFonts w:ascii="Times New Roman" w:hAnsi="Times New Roman"/>
      <w:sz w:val="20"/>
      <w:szCs w:val="20"/>
    </w:rPr>
  </w:style>
  <w:style w:type="paragraph" w:styleId="BalloonText">
    <w:name w:val="Balloon Text"/>
    <w:basedOn w:val="Normal"/>
    <w:link w:val="BalloonTextChar"/>
    <w:uiPriority w:val="99"/>
    <w:semiHidden/>
    <w:unhideWhenUsed/>
    <w:rsid w:val="00C47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55"/>
    <w:rPr>
      <w:rFonts w:ascii="Segoe UI" w:hAnsi="Segoe UI" w:cs="Segoe UI"/>
      <w:sz w:val="18"/>
      <w:szCs w:val="18"/>
    </w:rPr>
  </w:style>
  <w:style w:type="table" w:styleId="TableGrid">
    <w:name w:val="Table Grid"/>
    <w:basedOn w:val="TableNormal"/>
    <w:uiPriority w:val="39"/>
    <w:rsid w:val="0012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3307"/>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0A1016"/>
    <w:rPr>
      <w:b/>
      <w:bCs/>
    </w:rPr>
  </w:style>
  <w:style w:type="character" w:customStyle="1" w:styleId="CommentSubjectChar">
    <w:name w:val="Comment Subject Char"/>
    <w:basedOn w:val="CommentTextChar"/>
    <w:link w:val="CommentSubject"/>
    <w:uiPriority w:val="99"/>
    <w:semiHidden/>
    <w:rsid w:val="000A1016"/>
    <w:rPr>
      <w:rFonts w:ascii="Times New Roman" w:hAnsi="Times New Roman"/>
      <w:b/>
      <w:bCs/>
      <w:sz w:val="20"/>
      <w:szCs w:val="20"/>
    </w:rPr>
  </w:style>
  <w:style w:type="character" w:styleId="FollowedHyperlink">
    <w:name w:val="FollowedHyperlink"/>
    <w:basedOn w:val="DefaultParagraphFont"/>
    <w:uiPriority w:val="99"/>
    <w:semiHidden/>
    <w:unhideWhenUsed/>
    <w:rsid w:val="00AD6048"/>
    <w:rPr>
      <w:color w:val="954F72" w:themeColor="followedHyperlink"/>
      <w:u w:val="single"/>
    </w:rPr>
  </w:style>
  <w:style w:type="paragraph" w:styleId="Revision">
    <w:name w:val="Revision"/>
    <w:hidden/>
    <w:uiPriority w:val="99"/>
    <w:semiHidden/>
    <w:rsid w:val="00EC03E9"/>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04"/>
    <w:rPr>
      <w:rFonts w:ascii="Times New Roman" w:hAnsi="Times New Roman"/>
    </w:rPr>
  </w:style>
  <w:style w:type="paragraph" w:styleId="Heading1">
    <w:name w:val="heading 1"/>
    <w:basedOn w:val="Normal"/>
    <w:next w:val="Normal"/>
    <w:link w:val="Heading1Char"/>
    <w:uiPriority w:val="9"/>
    <w:qFormat/>
    <w:rsid w:val="00DF14F1"/>
    <w:pPr>
      <w:keepNext/>
      <w:keepLines/>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autoRedefine/>
    <w:uiPriority w:val="9"/>
    <w:unhideWhenUsed/>
    <w:qFormat/>
    <w:rsid w:val="00381B1E"/>
    <w:pPr>
      <w:keepNext/>
      <w:keepLines/>
      <w:spacing w:before="40" w:after="0"/>
      <w:jc w:val="both"/>
      <w:outlineLvl w:val="1"/>
    </w:pPr>
    <w:rPr>
      <w:rFonts w:eastAsiaTheme="majorEastAsia" w:cs="Times New Roman"/>
      <w:b/>
      <w:color w:val="000000" w:themeColor="text1"/>
      <w:sz w:val="28"/>
    </w:rPr>
  </w:style>
  <w:style w:type="paragraph" w:styleId="Heading3">
    <w:name w:val="heading 3"/>
    <w:basedOn w:val="Normal"/>
    <w:next w:val="Normal"/>
    <w:link w:val="Heading3Char"/>
    <w:uiPriority w:val="9"/>
    <w:unhideWhenUsed/>
    <w:qFormat/>
    <w:rsid w:val="00DF14F1"/>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bet listing,RUS List,Noise heading,Credits,Text,Cell bullets,Number abc,a List Paragraph,List Paragraph1,Normal 1,Rec para"/>
    <w:basedOn w:val="Normal"/>
    <w:link w:val="ListParagraphChar"/>
    <w:uiPriority w:val="34"/>
    <w:qFormat/>
    <w:rsid w:val="00EA66B5"/>
    <w:pPr>
      <w:ind w:left="720"/>
      <w:contextualSpacing/>
    </w:pPr>
  </w:style>
  <w:style w:type="character" w:customStyle="1" w:styleId="ListParagraphChar">
    <w:name w:val="List Paragraph Char"/>
    <w:aliases w:val="alphabet listing Char,RUS List Char,Noise heading Char,Credits Char,Text Char,Cell bullets Char,Number abc Char,a List Paragraph Char,List Paragraph1 Char,Normal 1 Char,Rec para Char"/>
    <w:link w:val="ListParagraph"/>
    <w:uiPriority w:val="34"/>
    <w:locked/>
    <w:rsid w:val="00EA66B5"/>
    <w:rPr>
      <w:rFonts w:ascii="Times New Roman" w:hAnsi="Times New Roman"/>
    </w:rPr>
  </w:style>
  <w:style w:type="character" w:customStyle="1" w:styleId="Heading1Char">
    <w:name w:val="Heading 1 Char"/>
    <w:basedOn w:val="DefaultParagraphFont"/>
    <w:link w:val="Heading1"/>
    <w:uiPriority w:val="9"/>
    <w:rsid w:val="00DF14F1"/>
    <w:rPr>
      <w:rFonts w:ascii="Times New Roman" w:eastAsiaTheme="majorEastAsia" w:hAnsi="Times New Roman" w:cstheme="majorBidi"/>
      <w:b/>
      <w:sz w:val="28"/>
      <w:szCs w:val="32"/>
      <w:u w:val="single"/>
    </w:rPr>
  </w:style>
  <w:style w:type="character" w:customStyle="1" w:styleId="Heading2Char">
    <w:name w:val="Heading 2 Char"/>
    <w:basedOn w:val="DefaultParagraphFont"/>
    <w:link w:val="Heading2"/>
    <w:uiPriority w:val="9"/>
    <w:rsid w:val="00381B1E"/>
    <w:rPr>
      <w:rFonts w:ascii="Times New Roman" w:eastAsiaTheme="majorEastAsia" w:hAnsi="Times New Roman" w:cs="Times New Roman"/>
      <w:b/>
      <w:color w:val="000000" w:themeColor="text1"/>
      <w:sz w:val="28"/>
    </w:rPr>
  </w:style>
  <w:style w:type="character" w:styleId="FootnoteReference">
    <w:name w:val="footnote reference"/>
    <w:aliases w:val="4_G,Appel note de bas de p,Footnote,pre-cab,FOOTNOTE,stylish"/>
    <w:qFormat/>
    <w:rsid w:val="00893883"/>
    <w:rPr>
      <w:rFonts w:ascii="Times New Roman" w:hAnsi="Times New Roman"/>
      <w:sz w:val="18"/>
      <w:vertAlign w:val="superscript"/>
    </w:rPr>
  </w:style>
  <w:style w:type="character" w:customStyle="1" w:styleId="apple-converted-space">
    <w:name w:val="apple-converted-space"/>
    <w:rsid w:val="00714883"/>
  </w:style>
  <w:style w:type="character" w:styleId="Emphasis">
    <w:name w:val="Emphasis"/>
    <w:uiPriority w:val="20"/>
    <w:qFormat/>
    <w:rsid w:val="00714883"/>
    <w:rPr>
      <w:i/>
      <w:iCs/>
    </w:rPr>
  </w:style>
  <w:style w:type="paragraph" w:styleId="FootnoteText">
    <w:name w:val="footnote text"/>
    <w:aliases w:val="5_G,Footnote Text Char1,Footnote Text Char Char1,Footnote Text Char2,Footnote Text Char Char Char Char,Footnote Text Char1 Char1,Footnote Text Char Char Char1,Footnote Text Char3,Footnote Text Char2 Char,Arial, Char1 Char,fn"/>
    <w:basedOn w:val="Normal"/>
    <w:link w:val="FootnoteTextChar"/>
    <w:qFormat/>
    <w:rsid w:val="00A9023B"/>
    <w:pPr>
      <w:tabs>
        <w:tab w:val="right" w:pos="1021"/>
      </w:tabs>
      <w:suppressAutoHyphens/>
      <w:spacing w:after="0" w:line="220" w:lineRule="exact"/>
      <w:ind w:left="1134" w:right="1134" w:hanging="1134"/>
    </w:pPr>
    <w:rPr>
      <w:rFonts w:eastAsia="Times New Roman" w:cs="Times New Roman"/>
      <w:sz w:val="18"/>
      <w:szCs w:val="20"/>
      <w:lang w:val="en-GB"/>
    </w:rPr>
  </w:style>
  <w:style w:type="character" w:customStyle="1" w:styleId="FootnoteTextChar">
    <w:name w:val="Footnote Text Char"/>
    <w:aliases w:val="5_G Char,Footnote Text Char1 Char,Footnote Text Char Char1 Char,Footnote Text Char2 Char1,Footnote Text Char Char Char Char Char,Footnote Text Char1 Char1 Char,Footnote Text Char Char Char1 Char,Footnote Text Char3 Char,Arial Char"/>
    <w:basedOn w:val="DefaultParagraphFont"/>
    <w:link w:val="FootnoteText"/>
    <w:rsid w:val="00A9023B"/>
    <w:rPr>
      <w:rFonts w:ascii="Times New Roman" w:eastAsia="Times New Roman" w:hAnsi="Times New Roman" w:cs="Times New Roman"/>
      <w:sz w:val="18"/>
      <w:szCs w:val="20"/>
      <w:lang w:val="en-GB"/>
    </w:rPr>
  </w:style>
  <w:style w:type="character" w:customStyle="1" w:styleId="Heading3Char">
    <w:name w:val="Heading 3 Char"/>
    <w:basedOn w:val="DefaultParagraphFont"/>
    <w:link w:val="Heading3"/>
    <w:uiPriority w:val="9"/>
    <w:rsid w:val="00DF14F1"/>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8F0616"/>
    <w:pPr>
      <w:outlineLvl w:val="9"/>
    </w:pPr>
    <w:rPr>
      <w:rFonts w:asciiTheme="majorHAnsi" w:hAnsiTheme="majorHAnsi"/>
      <w:b w:val="0"/>
      <w:color w:val="2E74B5" w:themeColor="accent1" w:themeShade="BF"/>
      <w:sz w:val="32"/>
      <w:u w:val="none"/>
      <w:lang w:val="en-US"/>
    </w:rPr>
  </w:style>
  <w:style w:type="paragraph" w:styleId="TOC2">
    <w:name w:val="toc 2"/>
    <w:basedOn w:val="Normal"/>
    <w:next w:val="Normal"/>
    <w:autoRedefine/>
    <w:uiPriority w:val="39"/>
    <w:unhideWhenUsed/>
    <w:rsid w:val="008F061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F0616"/>
    <w:pPr>
      <w:spacing w:after="100"/>
    </w:pPr>
    <w:rPr>
      <w:rFonts w:eastAsiaTheme="minorEastAsia" w:cs="Times New Roman"/>
      <w:lang w:val="en-US"/>
    </w:rPr>
  </w:style>
  <w:style w:type="paragraph" w:styleId="TOC3">
    <w:name w:val="toc 3"/>
    <w:basedOn w:val="Normal"/>
    <w:next w:val="Normal"/>
    <w:autoRedefine/>
    <w:uiPriority w:val="39"/>
    <w:unhideWhenUsed/>
    <w:rsid w:val="008F0616"/>
    <w:pPr>
      <w:spacing w:after="100"/>
      <w:ind w:left="440"/>
    </w:pPr>
    <w:rPr>
      <w:rFonts w:eastAsiaTheme="minorEastAsia" w:cs="Times New Roman"/>
      <w:lang w:val="en-US"/>
    </w:rPr>
  </w:style>
  <w:style w:type="character" w:styleId="Hyperlink">
    <w:name w:val="Hyperlink"/>
    <w:basedOn w:val="DefaultParagraphFont"/>
    <w:uiPriority w:val="99"/>
    <w:unhideWhenUsed/>
    <w:rsid w:val="008F0616"/>
    <w:rPr>
      <w:color w:val="0563C1" w:themeColor="hyperlink"/>
      <w:u w:val="single"/>
    </w:rPr>
  </w:style>
  <w:style w:type="paragraph" w:styleId="Header">
    <w:name w:val="header"/>
    <w:basedOn w:val="Normal"/>
    <w:link w:val="HeaderChar"/>
    <w:uiPriority w:val="99"/>
    <w:unhideWhenUsed/>
    <w:rsid w:val="008F0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616"/>
  </w:style>
  <w:style w:type="paragraph" w:styleId="Footer">
    <w:name w:val="footer"/>
    <w:basedOn w:val="Normal"/>
    <w:link w:val="FooterChar"/>
    <w:uiPriority w:val="99"/>
    <w:unhideWhenUsed/>
    <w:rsid w:val="008F0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616"/>
  </w:style>
  <w:style w:type="character" w:styleId="CommentReference">
    <w:name w:val="annotation reference"/>
    <w:basedOn w:val="DefaultParagraphFont"/>
    <w:semiHidden/>
    <w:unhideWhenUsed/>
    <w:rsid w:val="00C47255"/>
    <w:rPr>
      <w:sz w:val="16"/>
      <w:szCs w:val="16"/>
    </w:rPr>
  </w:style>
  <w:style w:type="paragraph" w:styleId="CommentText">
    <w:name w:val="annotation text"/>
    <w:basedOn w:val="Normal"/>
    <w:link w:val="CommentTextChar"/>
    <w:uiPriority w:val="99"/>
    <w:unhideWhenUsed/>
    <w:rsid w:val="00C47255"/>
    <w:pPr>
      <w:spacing w:line="240" w:lineRule="auto"/>
    </w:pPr>
    <w:rPr>
      <w:sz w:val="20"/>
      <w:szCs w:val="20"/>
    </w:rPr>
  </w:style>
  <w:style w:type="character" w:customStyle="1" w:styleId="CommentTextChar">
    <w:name w:val="Comment Text Char"/>
    <w:basedOn w:val="DefaultParagraphFont"/>
    <w:link w:val="CommentText"/>
    <w:uiPriority w:val="99"/>
    <w:rsid w:val="00C47255"/>
    <w:rPr>
      <w:rFonts w:ascii="Times New Roman" w:hAnsi="Times New Roman"/>
      <w:sz w:val="20"/>
      <w:szCs w:val="20"/>
    </w:rPr>
  </w:style>
  <w:style w:type="paragraph" w:styleId="BalloonText">
    <w:name w:val="Balloon Text"/>
    <w:basedOn w:val="Normal"/>
    <w:link w:val="BalloonTextChar"/>
    <w:uiPriority w:val="99"/>
    <w:semiHidden/>
    <w:unhideWhenUsed/>
    <w:rsid w:val="00C47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55"/>
    <w:rPr>
      <w:rFonts w:ascii="Segoe UI" w:hAnsi="Segoe UI" w:cs="Segoe UI"/>
      <w:sz w:val="18"/>
      <w:szCs w:val="18"/>
    </w:rPr>
  </w:style>
  <w:style w:type="table" w:styleId="TableGrid">
    <w:name w:val="Table Grid"/>
    <w:basedOn w:val="TableNormal"/>
    <w:uiPriority w:val="39"/>
    <w:rsid w:val="0012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3307"/>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0A1016"/>
    <w:rPr>
      <w:b/>
      <w:bCs/>
    </w:rPr>
  </w:style>
  <w:style w:type="character" w:customStyle="1" w:styleId="CommentSubjectChar">
    <w:name w:val="Comment Subject Char"/>
    <w:basedOn w:val="CommentTextChar"/>
    <w:link w:val="CommentSubject"/>
    <w:uiPriority w:val="99"/>
    <w:semiHidden/>
    <w:rsid w:val="000A1016"/>
    <w:rPr>
      <w:rFonts w:ascii="Times New Roman" w:hAnsi="Times New Roman"/>
      <w:b/>
      <w:bCs/>
      <w:sz w:val="20"/>
      <w:szCs w:val="20"/>
    </w:rPr>
  </w:style>
  <w:style w:type="character" w:styleId="FollowedHyperlink">
    <w:name w:val="FollowedHyperlink"/>
    <w:basedOn w:val="DefaultParagraphFont"/>
    <w:uiPriority w:val="99"/>
    <w:semiHidden/>
    <w:unhideWhenUsed/>
    <w:rsid w:val="00AD6048"/>
    <w:rPr>
      <w:color w:val="954F72" w:themeColor="followedHyperlink"/>
      <w:u w:val="single"/>
    </w:rPr>
  </w:style>
  <w:style w:type="paragraph" w:styleId="Revision">
    <w:name w:val="Revision"/>
    <w:hidden/>
    <w:uiPriority w:val="99"/>
    <w:semiHidden/>
    <w:rsid w:val="00EC03E9"/>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1180">
      <w:bodyDiv w:val="1"/>
      <w:marLeft w:val="0"/>
      <w:marRight w:val="0"/>
      <w:marTop w:val="0"/>
      <w:marBottom w:val="0"/>
      <w:divBdr>
        <w:top w:val="none" w:sz="0" w:space="0" w:color="auto"/>
        <w:left w:val="none" w:sz="0" w:space="0" w:color="auto"/>
        <w:bottom w:val="none" w:sz="0" w:space="0" w:color="auto"/>
        <w:right w:val="none" w:sz="0" w:space="0" w:color="auto"/>
      </w:divBdr>
    </w:div>
    <w:div w:id="379289027">
      <w:bodyDiv w:val="1"/>
      <w:marLeft w:val="0"/>
      <w:marRight w:val="0"/>
      <w:marTop w:val="0"/>
      <w:marBottom w:val="0"/>
      <w:divBdr>
        <w:top w:val="none" w:sz="0" w:space="0" w:color="auto"/>
        <w:left w:val="none" w:sz="0" w:space="0" w:color="auto"/>
        <w:bottom w:val="none" w:sz="0" w:space="0" w:color="auto"/>
        <w:right w:val="none" w:sz="0" w:space="0" w:color="auto"/>
      </w:divBdr>
    </w:div>
    <w:div w:id="394012048">
      <w:bodyDiv w:val="1"/>
      <w:marLeft w:val="0"/>
      <w:marRight w:val="0"/>
      <w:marTop w:val="0"/>
      <w:marBottom w:val="0"/>
      <w:divBdr>
        <w:top w:val="none" w:sz="0" w:space="0" w:color="auto"/>
        <w:left w:val="none" w:sz="0" w:space="0" w:color="auto"/>
        <w:bottom w:val="none" w:sz="0" w:space="0" w:color="auto"/>
        <w:right w:val="none" w:sz="0" w:space="0" w:color="auto"/>
      </w:divBdr>
    </w:div>
    <w:div w:id="1162313400">
      <w:bodyDiv w:val="1"/>
      <w:marLeft w:val="0"/>
      <w:marRight w:val="0"/>
      <w:marTop w:val="0"/>
      <w:marBottom w:val="0"/>
      <w:divBdr>
        <w:top w:val="none" w:sz="0" w:space="0" w:color="auto"/>
        <w:left w:val="none" w:sz="0" w:space="0" w:color="auto"/>
        <w:bottom w:val="none" w:sz="0" w:space="0" w:color="auto"/>
        <w:right w:val="none" w:sz="0" w:space="0" w:color="auto"/>
      </w:divBdr>
    </w:div>
    <w:div w:id="1377773210">
      <w:bodyDiv w:val="1"/>
      <w:marLeft w:val="0"/>
      <w:marRight w:val="0"/>
      <w:marTop w:val="0"/>
      <w:marBottom w:val="0"/>
      <w:divBdr>
        <w:top w:val="none" w:sz="0" w:space="0" w:color="auto"/>
        <w:left w:val="none" w:sz="0" w:space="0" w:color="auto"/>
        <w:bottom w:val="none" w:sz="0" w:space="0" w:color="auto"/>
        <w:right w:val="none" w:sz="0" w:space="0" w:color="auto"/>
      </w:divBdr>
    </w:div>
    <w:div w:id="1485243838">
      <w:bodyDiv w:val="1"/>
      <w:marLeft w:val="0"/>
      <w:marRight w:val="0"/>
      <w:marTop w:val="0"/>
      <w:marBottom w:val="0"/>
      <w:divBdr>
        <w:top w:val="none" w:sz="0" w:space="0" w:color="auto"/>
        <w:left w:val="none" w:sz="0" w:space="0" w:color="auto"/>
        <w:bottom w:val="none" w:sz="0" w:space="0" w:color="auto"/>
        <w:right w:val="none" w:sz="0" w:space="0" w:color="auto"/>
      </w:divBdr>
    </w:div>
    <w:div w:id="1568759074">
      <w:bodyDiv w:val="1"/>
      <w:marLeft w:val="0"/>
      <w:marRight w:val="0"/>
      <w:marTop w:val="0"/>
      <w:marBottom w:val="0"/>
      <w:divBdr>
        <w:top w:val="none" w:sz="0" w:space="0" w:color="auto"/>
        <w:left w:val="none" w:sz="0" w:space="0" w:color="auto"/>
        <w:bottom w:val="none" w:sz="0" w:space="0" w:color="auto"/>
        <w:right w:val="none" w:sz="0" w:space="0" w:color="auto"/>
      </w:divBdr>
    </w:div>
    <w:div w:id="17951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sf.gov.sg/publications/Pages/United-Nations-Convention-on-the-Rights-of-the-Child-UNCR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BEB2D-8688-4F74-905B-068C38A30504}"/>
</file>

<file path=customXml/itemProps2.xml><?xml version="1.0" encoding="utf-8"?>
<ds:datastoreItem xmlns:ds="http://schemas.openxmlformats.org/officeDocument/2006/customXml" ds:itemID="{8CB3CF4E-F470-4FE4-BDA2-B1F7673DC253}"/>
</file>

<file path=customXml/itemProps3.xml><?xml version="1.0" encoding="utf-8"?>
<ds:datastoreItem xmlns:ds="http://schemas.openxmlformats.org/officeDocument/2006/customXml" ds:itemID="{1511B800-D613-4582-B33E-4C3B3C83D691}"/>
</file>

<file path=customXml/itemProps4.xml><?xml version="1.0" encoding="utf-8"?>
<ds:datastoreItem xmlns:ds="http://schemas.openxmlformats.org/officeDocument/2006/customXml" ds:itemID="{FAEB22FB-C7F1-46FA-90C4-321440860704}"/>
</file>

<file path=docProps/app.xml><?xml version="1.0" encoding="utf-8"?>
<Properties xmlns="http://schemas.openxmlformats.org/officeDocument/2006/extended-properties" xmlns:vt="http://schemas.openxmlformats.org/officeDocument/2006/docPropsVTypes">
  <Template>Normal.dotm</Template>
  <TotalTime>2</TotalTime>
  <Pages>16</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Sheralyn TAN (MSF)</dc:creator>
  <cp:lastModifiedBy>Boit James</cp:lastModifiedBy>
  <cp:revision>2</cp:revision>
  <dcterms:created xsi:type="dcterms:W3CDTF">2017-11-09T17:55:00Z</dcterms:created>
  <dcterms:modified xsi:type="dcterms:W3CDTF">2017-11-09T17:55:00Z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