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9B17E" w14:textId="77777777" w:rsidR="004A7F9F" w:rsidRPr="000A1FAF" w:rsidRDefault="004A7F9F" w:rsidP="004A7F9F">
      <w:pPr>
        <w:jc w:val="both"/>
        <w:rPr>
          <w:rFonts w:ascii="Daxline Offc Pro" w:eastAsia="Times New Roman" w:hAnsi="Daxline Offc Pro" w:cs="Times New Roman"/>
          <w:color w:val="17365D"/>
          <w:spacing w:val="5"/>
          <w:kern w:val="28"/>
          <w:sz w:val="40"/>
          <w:szCs w:val="40"/>
          <w:lang w:val="en-IE"/>
        </w:rPr>
      </w:pPr>
      <w:r w:rsidRPr="000A1FAF">
        <w:rPr>
          <w:rFonts w:ascii="Daxline Offc Pro" w:eastAsia="Times New Roman" w:hAnsi="Daxline Offc Pro" w:cs="Times New Roman"/>
          <w:color w:val="17365D"/>
          <w:spacing w:val="5"/>
          <w:kern w:val="28"/>
          <w:sz w:val="40"/>
          <w:szCs w:val="40"/>
          <w:lang w:val="en-IE"/>
        </w:rPr>
        <w:t xml:space="preserve">European Union Agency for Fundamental Rights, selection of relevant and recent passages from published reports related to </w:t>
      </w:r>
      <w:r>
        <w:rPr>
          <w:rFonts w:ascii="Daxline Offc Pro" w:eastAsia="Times New Roman" w:hAnsi="Daxline Offc Pro" w:cs="Times New Roman"/>
          <w:color w:val="17365D"/>
          <w:spacing w:val="5"/>
          <w:kern w:val="28"/>
          <w:sz w:val="40"/>
          <w:szCs w:val="40"/>
          <w:lang w:val="en-IE"/>
        </w:rPr>
        <w:t xml:space="preserve">Slovakia and </w:t>
      </w:r>
      <w:r w:rsidRPr="004A7F9F">
        <w:rPr>
          <w:rFonts w:ascii="Daxline Offc Pro" w:eastAsia="Times New Roman" w:hAnsi="Daxline Offc Pro" w:cs="Times New Roman"/>
          <w:color w:val="17365D"/>
          <w:spacing w:val="5"/>
          <w:kern w:val="28"/>
          <w:sz w:val="40"/>
          <w:szCs w:val="40"/>
          <w:lang w:val="en-IE"/>
        </w:rPr>
        <w:t xml:space="preserve">the Convention </w:t>
      </w:r>
      <w:bookmarkStart w:id="0" w:name="_GoBack"/>
      <w:bookmarkEnd w:id="0"/>
      <w:r w:rsidRPr="004A7F9F">
        <w:rPr>
          <w:rFonts w:ascii="Daxline Offc Pro" w:eastAsia="Times New Roman" w:hAnsi="Daxline Offc Pro" w:cs="Times New Roman"/>
          <w:color w:val="17365D"/>
          <w:spacing w:val="5"/>
          <w:kern w:val="28"/>
          <w:sz w:val="40"/>
          <w:szCs w:val="40"/>
          <w:lang w:val="en-IE"/>
        </w:rPr>
        <w:t>on the Elimination of All Forms of Racial Discrimination</w:t>
      </w:r>
    </w:p>
    <w:p w14:paraId="291B3C2A" w14:textId="77777777" w:rsidR="004A7F9F" w:rsidRPr="005D1AD7" w:rsidRDefault="004D4920" w:rsidP="004A7F9F">
      <w:pPr>
        <w:pBdr>
          <w:bottom w:val="single" w:sz="8" w:space="4" w:color="4F81BD"/>
        </w:pBdr>
        <w:spacing w:after="300" w:line="240" w:lineRule="auto"/>
        <w:contextualSpacing/>
        <w:jc w:val="both"/>
        <w:rPr>
          <w:rFonts w:ascii="Daxline Offc Pro" w:eastAsia="Times New Roman" w:hAnsi="Daxline Offc Pro" w:cs="Times New Roman"/>
          <w:color w:val="17365D"/>
          <w:spacing w:val="5"/>
          <w:kern w:val="28"/>
          <w:sz w:val="40"/>
          <w:szCs w:val="40"/>
          <w:lang w:val="it-IT"/>
        </w:rPr>
      </w:pPr>
      <w:hyperlink r:id="rId9" w:history="1">
        <w:r w:rsidR="004A7F9F" w:rsidRPr="005D1AD7">
          <w:rPr>
            <w:rStyle w:val="Hyperlink"/>
            <w:rFonts w:ascii="Daxline Offc Pro" w:eastAsia="Times New Roman" w:hAnsi="Daxline Offc Pro" w:cs="Times New Roman"/>
            <w:spacing w:val="5"/>
            <w:kern w:val="28"/>
            <w:sz w:val="40"/>
            <w:szCs w:val="40"/>
            <w:lang w:val="it-IT"/>
          </w:rPr>
          <w:t>fra.europa.eu</w:t>
        </w:r>
      </w:hyperlink>
    </w:p>
    <w:p w14:paraId="14DFE7CF" w14:textId="73300437" w:rsidR="004A7F9F" w:rsidRDefault="00872AB3" w:rsidP="004A7F9F">
      <w:pPr>
        <w:numPr>
          <w:ilvl w:val="1"/>
          <w:numId w:val="0"/>
        </w:numPr>
        <w:spacing w:after="200" w:line="276" w:lineRule="auto"/>
        <w:jc w:val="both"/>
        <w:rPr>
          <w:rFonts w:ascii="Daxline Offc Pro" w:eastAsia="Times New Roman" w:hAnsi="Daxline Offc Pro" w:cs="Times New Roman"/>
          <w:i/>
          <w:iCs/>
          <w:color w:val="4F81BD"/>
          <w:spacing w:val="15"/>
          <w:sz w:val="24"/>
          <w:szCs w:val="24"/>
          <w:lang w:val="it-IT"/>
        </w:rPr>
      </w:pPr>
      <w:r>
        <w:rPr>
          <w:rFonts w:ascii="Daxline Offc Pro" w:eastAsia="Times New Roman" w:hAnsi="Daxline Offc Pro" w:cs="Times New Roman"/>
          <w:i/>
          <w:iCs/>
          <w:color w:val="4F81BD"/>
          <w:spacing w:val="15"/>
          <w:sz w:val="24"/>
          <w:szCs w:val="24"/>
          <w:lang w:val="it-IT"/>
        </w:rPr>
        <w:t>1</w:t>
      </w:r>
      <w:r w:rsidR="004A7F9F">
        <w:rPr>
          <w:rFonts w:ascii="Daxline Offc Pro" w:eastAsia="Times New Roman" w:hAnsi="Daxline Offc Pro" w:cs="Times New Roman"/>
          <w:i/>
          <w:iCs/>
          <w:color w:val="4F81BD"/>
          <w:spacing w:val="15"/>
          <w:sz w:val="24"/>
          <w:szCs w:val="24"/>
          <w:lang w:val="it-IT"/>
        </w:rPr>
        <w:t>6 October</w:t>
      </w:r>
      <w:r w:rsidR="004A7F9F" w:rsidRPr="007D6A24">
        <w:rPr>
          <w:rFonts w:ascii="Daxline Offc Pro" w:eastAsia="Times New Roman" w:hAnsi="Daxline Offc Pro" w:cs="Times New Roman"/>
          <w:i/>
          <w:iCs/>
          <w:color w:val="4F81BD"/>
          <w:spacing w:val="15"/>
          <w:sz w:val="24"/>
          <w:szCs w:val="24"/>
          <w:lang w:val="it-IT"/>
        </w:rPr>
        <w:t xml:space="preserve"> 2017, Vienna</w:t>
      </w:r>
    </w:p>
    <w:sdt>
      <w:sdtPr>
        <w:rPr>
          <w:rFonts w:asciiTheme="minorHAnsi" w:eastAsiaTheme="minorHAnsi" w:hAnsiTheme="minorHAnsi" w:cstheme="minorBidi"/>
          <w:color w:val="auto"/>
          <w:sz w:val="22"/>
          <w:szCs w:val="22"/>
          <w:lang w:val="en-GB"/>
        </w:rPr>
        <w:id w:val="1601451478"/>
        <w:docPartObj>
          <w:docPartGallery w:val="Table of Contents"/>
          <w:docPartUnique/>
        </w:docPartObj>
      </w:sdtPr>
      <w:sdtEndPr>
        <w:rPr>
          <w:b/>
          <w:bCs/>
          <w:noProof/>
        </w:rPr>
      </w:sdtEndPr>
      <w:sdtContent>
        <w:p w14:paraId="6CCCADCA" w14:textId="77777777" w:rsidR="004A7F9F" w:rsidRPr="007A2910" w:rsidRDefault="004A7F9F">
          <w:pPr>
            <w:pStyle w:val="TOCHeading"/>
            <w:rPr>
              <w:lang w:val="fr-FR"/>
            </w:rPr>
          </w:pPr>
          <w:r w:rsidRPr="007A2910">
            <w:rPr>
              <w:lang w:val="fr-FR"/>
            </w:rPr>
            <w:t>Contents</w:t>
          </w:r>
        </w:p>
        <w:p w14:paraId="042F06A1" w14:textId="77777777" w:rsidR="000B40A7" w:rsidRDefault="004A7F9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95931305" w:history="1">
            <w:r w:rsidR="000B40A7" w:rsidRPr="00585CA9">
              <w:rPr>
                <w:rStyle w:val="Hyperlink"/>
                <w:noProof/>
              </w:rPr>
              <w:t>Article 2</w:t>
            </w:r>
            <w:r w:rsidR="000B40A7">
              <w:rPr>
                <w:noProof/>
                <w:webHidden/>
              </w:rPr>
              <w:tab/>
            </w:r>
            <w:r w:rsidR="000B40A7">
              <w:rPr>
                <w:noProof/>
                <w:webHidden/>
              </w:rPr>
              <w:fldChar w:fldCharType="begin"/>
            </w:r>
            <w:r w:rsidR="000B40A7">
              <w:rPr>
                <w:noProof/>
                <w:webHidden/>
              </w:rPr>
              <w:instrText xml:space="preserve"> PAGEREF _Toc495931305 \h </w:instrText>
            </w:r>
            <w:r w:rsidR="000B40A7">
              <w:rPr>
                <w:noProof/>
                <w:webHidden/>
              </w:rPr>
            </w:r>
            <w:r w:rsidR="000B40A7">
              <w:rPr>
                <w:noProof/>
                <w:webHidden/>
              </w:rPr>
              <w:fldChar w:fldCharType="separate"/>
            </w:r>
            <w:r w:rsidR="000B40A7">
              <w:rPr>
                <w:noProof/>
                <w:webHidden/>
              </w:rPr>
              <w:t>1</w:t>
            </w:r>
            <w:r w:rsidR="000B40A7">
              <w:rPr>
                <w:noProof/>
                <w:webHidden/>
              </w:rPr>
              <w:fldChar w:fldCharType="end"/>
            </w:r>
          </w:hyperlink>
        </w:p>
        <w:p w14:paraId="1B1E0B7C" w14:textId="77777777" w:rsidR="000B40A7" w:rsidRDefault="004D4920">
          <w:pPr>
            <w:pStyle w:val="TOC1"/>
            <w:tabs>
              <w:tab w:val="right" w:leader="dot" w:pos="9016"/>
            </w:tabs>
            <w:rPr>
              <w:rFonts w:eastAsiaTheme="minorEastAsia"/>
              <w:noProof/>
              <w:lang w:eastAsia="en-GB"/>
            </w:rPr>
          </w:pPr>
          <w:hyperlink w:anchor="_Toc495931306" w:history="1">
            <w:r w:rsidR="000B40A7" w:rsidRPr="00585CA9">
              <w:rPr>
                <w:rStyle w:val="Hyperlink"/>
                <w:noProof/>
              </w:rPr>
              <w:t>Article 4</w:t>
            </w:r>
            <w:r w:rsidR="000B40A7">
              <w:rPr>
                <w:noProof/>
                <w:webHidden/>
              </w:rPr>
              <w:tab/>
            </w:r>
            <w:r w:rsidR="000B40A7">
              <w:rPr>
                <w:noProof/>
                <w:webHidden/>
              </w:rPr>
              <w:fldChar w:fldCharType="begin"/>
            </w:r>
            <w:r w:rsidR="000B40A7">
              <w:rPr>
                <w:noProof/>
                <w:webHidden/>
              </w:rPr>
              <w:instrText xml:space="preserve"> PAGEREF _Toc495931306 \h </w:instrText>
            </w:r>
            <w:r w:rsidR="000B40A7">
              <w:rPr>
                <w:noProof/>
                <w:webHidden/>
              </w:rPr>
            </w:r>
            <w:r w:rsidR="000B40A7">
              <w:rPr>
                <w:noProof/>
                <w:webHidden/>
              </w:rPr>
              <w:fldChar w:fldCharType="separate"/>
            </w:r>
            <w:r w:rsidR="000B40A7">
              <w:rPr>
                <w:noProof/>
                <w:webHidden/>
              </w:rPr>
              <w:t>1</w:t>
            </w:r>
            <w:r w:rsidR="000B40A7">
              <w:rPr>
                <w:noProof/>
                <w:webHidden/>
              </w:rPr>
              <w:fldChar w:fldCharType="end"/>
            </w:r>
          </w:hyperlink>
        </w:p>
        <w:p w14:paraId="6AAB41FA" w14:textId="77777777" w:rsidR="000B40A7" w:rsidRDefault="004D4920">
          <w:pPr>
            <w:pStyle w:val="TOC1"/>
            <w:tabs>
              <w:tab w:val="right" w:leader="dot" w:pos="9016"/>
            </w:tabs>
            <w:rPr>
              <w:rFonts w:eastAsiaTheme="minorEastAsia"/>
              <w:noProof/>
              <w:lang w:eastAsia="en-GB"/>
            </w:rPr>
          </w:pPr>
          <w:hyperlink w:anchor="_Toc495931307" w:history="1">
            <w:r w:rsidR="000B40A7" w:rsidRPr="00585CA9">
              <w:rPr>
                <w:rStyle w:val="Hyperlink"/>
                <w:noProof/>
                <w:shd w:val="clear" w:color="auto" w:fill="FFFFFF"/>
              </w:rPr>
              <w:t xml:space="preserve">Article 5 </w:t>
            </w:r>
            <w:r w:rsidR="000B40A7">
              <w:rPr>
                <w:noProof/>
                <w:webHidden/>
              </w:rPr>
              <w:tab/>
            </w:r>
            <w:r w:rsidR="000B40A7">
              <w:rPr>
                <w:noProof/>
                <w:webHidden/>
              </w:rPr>
              <w:fldChar w:fldCharType="begin"/>
            </w:r>
            <w:r w:rsidR="000B40A7">
              <w:rPr>
                <w:noProof/>
                <w:webHidden/>
              </w:rPr>
              <w:instrText xml:space="preserve"> PAGEREF _Toc495931307 \h </w:instrText>
            </w:r>
            <w:r w:rsidR="000B40A7">
              <w:rPr>
                <w:noProof/>
                <w:webHidden/>
              </w:rPr>
            </w:r>
            <w:r w:rsidR="000B40A7">
              <w:rPr>
                <w:noProof/>
                <w:webHidden/>
              </w:rPr>
              <w:fldChar w:fldCharType="separate"/>
            </w:r>
            <w:r w:rsidR="000B40A7">
              <w:rPr>
                <w:noProof/>
                <w:webHidden/>
              </w:rPr>
              <w:t>2</w:t>
            </w:r>
            <w:r w:rsidR="000B40A7">
              <w:rPr>
                <w:noProof/>
                <w:webHidden/>
              </w:rPr>
              <w:fldChar w:fldCharType="end"/>
            </w:r>
          </w:hyperlink>
        </w:p>
        <w:p w14:paraId="470EFAEC" w14:textId="77777777" w:rsidR="000B40A7" w:rsidRDefault="004D4920">
          <w:pPr>
            <w:pStyle w:val="TOC1"/>
            <w:tabs>
              <w:tab w:val="right" w:leader="dot" w:pos="9016"/>
            </w:tabs>
            <w:rPr>
              <w:rFonts w:eastAsiaTheme="minorEastAsia"/>
              <w:noProof/>
              <w:lang w:eastAsia="en-GB"/>
            </w:rPr>
          </w:pPr>
          <w:hyperlink w:anchor="_Toc495931308" w:history="1">
            <w:r w:rsidR="000B40A7" w:rsidRPr="00585CA9">
              <w:rPr>
                <w:rStyle w:val="Hyperlink"/>
                <w:noProof/>
              </w:rPr>
              <w:t>Article 6</w:t>
            </w:r>
            <w:r w:rsidR="000B40A7">
              <w:rPr>
                <w:noProof/>
                <w:webHidden/>
              </w:rPr>
              <w:tab/>
            </w:r>
            <w:r w:rsidR="000B40A7">
              <w:rPr>
                <w:noProof/>
                <w:webHidden/>
              </w:rPr>
              <w:fldChar w:fldCharType="begin"/>
            </w:r>
            <w:r w:rsidR="000B40A7">
              <w:rPr>
                <w:noProof/>
                <w:webHidden/>
              </w:rPr>
              <w:instrText xml:space="preserve"> PAGEREF _Toc495931308 \h </w:instrText>
            </w:r>
            <w:r w:rsidR="000B40A7">
              <w:rPr>
                <w:noProof/>
                <w:webHidden/>
              </w:rPr>
            </w:r>
            <w:r w:rsidR="000B40A7">
              <w:rPr>
                <w:noProof/>
                <w:webHidden/>
              </w:rPr>
              <w:fldChar w:fldCharType="separate"/>
            </w:r>
            <w:r w:rsidR="000B40A7">
              <w:rPr>
                <w:noProof/>
                <w:webHidden/>
              </w:rPr>
              <w:t>2</w:t>
            </w:r>
            <w:r w:rsidR="000B40A7">
              <w:rPr>
                <w:noProof/>
                <w:webHidden/>
              </w:rPr>
              <w:fldChar w:fldCharType="end"/>
            </w:r>
          </w:hyperlink>
        </w:p>
        <w:p w14:paraId="24BD072D" w14:textId="77777777" w:rsidR="000B40A7" w:rsidRDefault="004D4920">
          <w:pPr>
            <w:pStyle w:val="TOC1"/>
            <w:tabs>
              <w:tab w:val="right" w:leader="dot" w:pos="9016"/>
            </w:tabs>
            <w:rPr>
              <w:rFonts w:eastAsiaTheme="minorEastAsia"/>
              <w:noProof/>
              <w:lang w:eastAsia="en-GB"/>
            </w:rPr>
          </w:pPr>
          <w:hyperlink w:anchor="_Toc495931309" w:history="1">
            <w:r w:rsidR="000B40A7" w:rsidRPr="00585CA9">
              <w:rPr>
                <w:rStyle w:val="Hyperlink"/>
                <w:noProof/>
              </w:rPr>
              <w:t>Article 7</w:t>
            </w:r>
            <w:r w:rsidR="000B40A7">
              <w:rPr>
                <w:noProof/>
                <w:webHidden/>
              </w:rPr>
              <w:tab/>
            </w:r>
            <w:r w:rsidR="000B40A7">
              <w:rPr>
                <w:noProof/>
                <w:webHidden/>
              </w:rPr>
              <w:fldChar w:fldCharType="begin"/>
            </w:r>
            <w:r w:rsidR="000B40A7">
              <w:rPr>
                <w:noProof/>
                <w:webHidden/>
              </w:rPr>
              <w:instrText xml:space="preserve"> PAGEREF _Toc495931309 \h </w:instrText>
            </w:r>
            <w:r w:rsidR="000B40A7">
              <w:rPr>
                <w:noProof/>
                <w:webHidden/>
              </w:rPr>
            </w:r>
            <w:r w:rsidR="000B40A7">
              <w:rPr>
                <w:noProof/>
                <w:webHidden/>
              </w:rPr>
              <w:fldChar w:fldCharType="separate"/>
            </w:r>
            <w:r w:rsidR="000B40A7">
              <w:rPr>
                <w:noProof/>
                <w:webHidden/>
              </w:rPr>
              <w:t>3</w:t>
            </w:r>
            <w:r w:rsidR="000B40A7">
              <w:rPr>
                <w:noProof/>
                <w:webHidden/>
              </w:rPr>
              <w:fldChar w:fldCharType="end"/>
            </w:r>
          </w:hyperlink>
        </w:p>
        <w:p w14:paraId="03340411" w14:textId="77777777" w:rsidR="004A7F9F" w:rsidRDefault="004A7F9F">
          <w:r>
            <w:rPr>
              <w:b/>
              <w:bCs/>
              <w:noProof/>
            </w:rPr>
            <w:fldChar w:fldCharType="end"/>
          </w:r>
        </w:p>
      </w:sdtContent>
    </w:sdt>
    <w:p w14:paraId="16E3C13A" w14:textId="77777777" w:rsidR="004A7F9F" w:rsidRDefault="004A7F9F" w:rsidP="002755A6">
      <w:pPr>
        <w:rPr>
          <w:rFonts w:ascii="Daxline Offc Pro" w:hAnsi="Daxline Offc Pro"/>
          <w:lang w:eastAsia="en-GB"/>
        </w:rPr>
      </w:pPr>
      <w:r w:rsidRPr="00E42B46">
        <w:rPr>
          <w:rFonts w:ascii="Daxline Offc Pro" w:hAnsi="Daxline Offc Pro"/>
          <w:lang w:eastAsia="en-GB"/>
        </w:rPr>
        <w:t xml:space="preserve">Emphasis in </w:t>
      </w:r>
      <w:r w:rsidRPr="00E42B46">
        <w:rPr>
          <w:rFonts w:ascii="Daxline Offc Pro" w:hAnsi="Daxline Offc Pro"/>
          <w:b/>
          <w:lang w:eastAsia="en-GB"/>
        </w:rPr>
        <w:t>bold</w:t>
      </w:r>
      <w:r w:rsidRPr="00E42B46">
        <w:rPr>
          <w:rFonts w:ascii="Daxline Offc Pro" w:hAnsi="Daxline Offc Pro"/>
          <w:lang w:eastAsia="en-GB"/>
        </w:rPr>
        <w:t xml:space="preserve"> added </w:t>
      </w:r>
    </w:p>
    <w:p w14:paraId="404778E8" w14:textId="77777777" w:rsidR="00BD5AF0" w:rsidRDefault="000B5320" w:rsidP="00CA2392">
      <w:pPr>
        <w:pStyle w:val="Heading1"/>
      </w:pPr>
      <w:bookmarkStart w:id="1" w:name="_Toc495931305"/>
      <w:r>
        <w:t>Article 2</w:t>
      </w:r>
      <w:bookmarkEnd w:id="1"/>
    </w:p>
    <w:p w14:paraId="10F626B0" w14:textId="53EFBDB5" w:rsidR="00993599" w:rsidRPr="00B70771" w:rsidRDefault="00B70771" w:rsidP="00B70771">
      <w:pPr>
        <w:jc w:val="both"/>
        <w:rPr>
          <w:rFonts w:ascii="Daxline Offc Pro" w:hAnsi="Daxline Offc Pro"/>
          <w:i/>
        </w:rPr>
      </w:pPr>
      <w:r w:rsidRPr="00B70771">
        <w:rPr>
          <w:rFonts w:ascii="Daxline Offc Pro" w:hAnsi="Daxline Offc Pro"/>
        </w:rPr>
        <w:t>“</w:t>
      </w:r>
      <w:r w:rsidR="00993599" w:rsidRPr="00B70771">
        <w:rPr>
          <w:rFonts w:ascii="Daxline Offc Pro" w:hAnsi="Daxline Offc Pro"/>
        </w:rPr>
        <w:t xml:space="preserve">In some Member States, </w:t>
      </w:r>
      <w:r w:rsidR="00993599" w:rsidRPr="00AB3B71">
        <w:rPr>
          <w:rFonts w:ascii="Daxline Offc Pro" w:hAnsi="Daxline Offc Pro"/>
          <w:b/>
        </w:rPr>
        <w:t>hate crimes</w:t>
      </w:r>
      <w:r w:rsidR="00993599" w:rsidRPr="00B70771">
        <w:rPr>
          <w:rFonts w:ascii="Daxline Offc Pro" w:hAnsi="Daxline Offc Pro"/>
        </w:rPr>
        <w:t xml:space="preserve"> are identified with certain political categories, such as extremism. This can lead to hate crime being overlooked unless they are committed by certain groups – for example, by Neo-Nazis.</w:t>
      </w:r>
      <w:r w:rsidR="000B40A7">
        <w:rPr>
          <w:rFonts w:ascii="Daxline Offc Pro" w:hAnsi="Daxline Offc Pro"/>
        </w:rPr>
        <w:t xml:space="preserve"> […]</w:t>
      </w:r>
      <w:r>
        <w:rPr>
          <w:rFonts w:ascii="Daxline Offc Pro" w:hAnsi="Daxline Offc Pro"/>
        </w:rPr>
        <w:t xml:space="preserve"> </w:t>
      </w:r>
      <w:r w:rsidR="00993599" w:rsidRPr="00B70771">
        <w:rPr>
          <w:rFonts w:ascii="Daxline Offc Pro" w:hAnsi="Daxline Offc Pro"/>
        </w:rPr>
        <w:t xml:space="preserve">For example, in </w:t>
      </w:r>
      <w:r w:rsidR="00993599" w:rsidRPr="00B70771">
        <w:rPr>
          <w:rFonts w:ascii="Daxline Offc Pro" w:hAnsi="Daxline Offc Pro"/>
          <w:b/>
        </w:rPr>
        <w:t>Slovakia</w:t>
      </w:r>
      <w:r w:rsidR="00993599" w:rsidRPr="00B70771">
        <w:rPr>
          <w:rFonts w:ascii="Daxline Offc Pro" w:hAnsi="Daxline Offc Pro"/>
        </w:rPr>
        <w:t xml:space="preserve">, one interviewee from a victim support service claimed that hate crimes are still perceived as a phenomenon closely connected to the propagation of neo-Nazism or Nazi symbolism. The police do not pursue hate speech as a crime unless it contains explicit neo-Nazi statements. As a result, inciting hostility or defamation of race – which is common in online national newspaper discussions or right-wing politics – is underestimated, practically missing in </w:t>
      </w:r>
      <w:r w:rsidR="00993599" w:rsidRPr="00B70771">
        <w:rPr>
          <w:rFonts w:ascii="Daxline Offc Pro" w:hAnsi="Daxline Offc Pro"/>
          <w:b/>
        </w:rPr>
        <w:t>Slovak</w:t>
      </w:r>
      <w:r w:rsidR="00993599" w:rsidRPr="00B70771">
        <w:rPr>
          <w:rFonts w:ascii="Daxline Offc Pro" w:hAnsi="Daxline Offc Pro"/>
        </w:rPr>
        <w:t xml:space="preserve"> crime statistics and </w:t>
      </w:r>
      <w:r w:rsidR="00993599" w:rsidRPr="00B70771">
        <w:rPr>
          <w:rFonts w:ascii="Daxline Offc Pro" w:hAnsi="Daxline Offc Pro"/>
        </w:rPr>
        <w:lastRenderedPageBreak/>
        <w:t>generally considered standard behaviour.</w:t>
      </w:r>
      <w:r w:rsidRPr="00B70771">
        <w:rPr>
          <w:rFonts w:ascii="Daxline Offc Pro" w:hAnsi="Daxline Offc Pro"/>
        </w:rPr>
        <w:t>”</w:t>
      </w:r>
      <w:r w:rsidR="00993599" w:rsidRPr="00B70771">
        <w:rPr>
          <w:rFonts w:ascii="Daxline Offc Pro" w:hAnsi="Daxline Offc Pro"/>
        </w:rPr>
        <w:t xml:space="preserve"> </w:t>
      </w:r>
      <w:r w:rsidR="00993599" w:rsidRPr="00B70771">
        <w:rPr>
          <w:rFonts w:ascii="Daxline Offc Pro" w:hAnsi="Daxline Offc Pro"/>
          <w:i/>
        </w:rPr>
        <w:t xml:space="preserve">(FRA, </w:t>
      </w:r>
      <w:hyperlink r:id="rId10" w:history="1">
        <w:r w:rsidR="00993599" w:rsidRPr="00B70771">
          <w:rPr>
            <w:rStyle w:val="Hyperlink"/>
            <w:rFonts w:ascii="Daxline Offc Pro" w:hAnsi="Daxline Offc Pro"/>
            <w:i/>
          </w:rPr>
          <w:t>Ensuring justice for hate crime victims: professional perspectives</w:t>
        </w:r>
      </w:hyperlink>
      <w:r w:rsidR="00993599" w:rsidRPr="00B70771">
        <w:rPr>
          <w:rFonts w:ascii="Daxline Offc Pro" w:hAnsi="Daxline Offc Pro"/>
          <w:i/>
        </w:rPr>
        <w:t>, April 2016, p. 22)</w:t>
      </w:r>
    </w:p>
    <w:p w14:paraId="4E36EF93" w14:textId="77777777" w:rsidR="00BD5AF0" w:rsidRDefault="000B5320" w:rsidP="00CA2392">
      <w:pPr>
        <w:pStyle w:val="Heading1"/>
      </w:pPr>
      <w:bookmarkStart w:id="2" w:name="_Toc495931306"/>
      <w:r>
        <w:t>Article 4</w:t>
      </w:r>
      <w:bookmarkEnd w:id="2"/>
    </w:p>
    <w:p w14:paraId="2C91B8BD" w14:textId="77777777" w:rsidR="00C56C1D" w:rsidRPr="00B70771" w:rsidRDefault="00C56C1D" w:rsidP="00C56C1D">
      <w:pPr>
        <w:jc w:val="both"/>
        <w:rPr>
          <w:rFonts w:ascii="Daxline Offc Pro" w:hAnsi="Daxline Offc Pro"/>
          <w:i/>
        </w:rPr>
      </w:pPr>
      <w:r w:rsidRPr="00B70771">
        <w:rPr>
          <w:rFonts w:ascii="Daxline Offc Pro" w:hAnsi="Daxline Offc Pro"/>
        </w:rPr>
        <w:t xml:space="preserve">“The </w:t>
      </w:r>
      <w:r w:rsidRPr="00B70771">
        <w:rPr>
          <w:rFonts w:ascii="Daxline Offc Pro" w:hAnsi="Daxline Offc Pro"/>
          <w:b/>
        </w:rPr>
        <w:t>Slovak</w:t>
      </w:r>
      <w:r w:rsidRPr="00B70771">
        <w:rPr>
          <w:rFonts w:ascii="Daxline Offc Pro" w:hAnsi="Daxline Offc Pro"/>
        </w:rPr>
        <w:t xml:space="preserve"> governmental Committee for the prevention and elimination of racism, xenophobia, antisemitism and other forms of intolerance (VRAX) has established, as a </w:t>
      </w:r>
      <w:r w:rsidRPr="00872AB3">
        <w:rPr>
          <w:rFonts w:ascii="Daxline Offc Pro" w:hAnsi="Daxline Offc Pro"/>
        </w:rPr>
        <w:t>reaction to increasing</w:t>
      </w:r>
      <w:r w:rsidRPr="00C56C1D">
        <w:rPr>
          <w:rFonts w:ascii="Daxline Offc Pro" w:hAnsi="Daxline Offc Pro"/>
          <w:b/>
        </w:rPr>
        <w:t xml:space="preserve"> hate speech on the internet</w:t>
      </w:r>
      <w:r w:rsidRPr="00B70771">
        <w:rPr>
          <w:rFonts w:ascii="Daxline Offc Pro" w:hAnsi="Daxline Offc Pro"/>
        </w:rPr>
        <w:t xml:space="preserve">, a Working group that will deal with online hate crime and hate speech. Members of the group include representatives of public authorities, non-governmental organisations, as well as IT company representatives and an external IT expert.” </w:t>
      </w:r>
      <w:r w:rsidRPr="00B70771">
        <w:rPr>
          <w:rFonts w:ascii="Daxline Offc Pro" w:hAnsi="Daxline Offc Pro"/>
          <w:i/>
        </w:rPr>
        <w:t xml:space="preserve">(FRA, </w:t>
      </w:r>
      <w:hyperlink r:id="rId11" w:history="1">
        <w:r w:rsidRPr="00B70771">
          <w:rPr>
            <w:rStyle w:val="Hyperlink"/>
            <w:rFonts w:ascii="Daxline Offc Pro" w:hAnsi="Daxline Offc Pro"/>
            <w:i/>
          </w:rPr>
          <w:t>Current migration situation in the EU: hate crime</w:t>
        </w:r>
      </w:hyperlink>
      <w:r w:rsidRPr="00B70771">
        <w:rPr>
          <w:rFonts w:ascii="Daxline Offc Pro" w:hAnsi="Daxline Offc Pro"/>
          <w:i/>
        </w:rPr>
        <w:t>, November 2016, p. 13)</w:t>
      </w:r>
    </w:p>
    <w:p w14:paraId="6D68F86F" w14:textId="77777777" w:rsidR="00C56C1D" w:rsidRDefault="00C56C1D" w:rsidP="00BD5AF0"/>
    <w:p w14:paraId="6F0FA8FE" w14:textId="77777777" w:rsidR="000B5320" w:rsidRDefault="000B5320" w:rsidP="00CA2392">
      <w:pPr>
        <w:pStyle w:val="Heading1"/>
        <w:rPr>
          <w:shd w:val="clear" w:color="auto" w:fill="FFFFFF"/>
        </w:rPr>
      </w:pPr>
      <w:bookmarkStart w:id="3" w:name="_Toc495931307"/>
      <w:r>
        <w:rPr>
          <w:shd w:val="clear" w:color="auto" w:fill="FFFFFF"/>
        </w:rPr>
        <w:t>Article 5</w:t>
      </w:r>
      <w:r w:rsidRPr="000B5320">
        <w:rPr>
          <w:shd w:val="clear" w:color="auto" w:fill="FFFFFF"/>
        </w:rPr>
        <w:t xml:space="preserve"> </w:t>
      </w:r>
      <w:bookmarkEnd w:id="3"/>
    </w:p>
    <w:p w14:paraId="46D2FD0D" w14:textId="2F4DA78A" w:rsidR="000B5320" w:rsidRDefault="000B5320" w:rsidP="000B5320">
      <w:pPr>
        <w:jc w:val="both"/>
        <w:rPr>
          <w:rFonts w:ascii="Daxline Offc Pro" w:hAnsi="Daxline Offc Pro"/>
          <w:i/>
        </w:rPr>
      </w:pPr>
      <w:r w:rsidRPr="00B70771">
        <w:rPr>
          <w:rFonts w:ascii="Daxline Offc Pro" w:hAnsi="Daxline Offc Pro"/>
        </w:rPr>
        <w:t xml:space="preserve">“The Council of the European Union also raised concerns over inequalities in education regarding </w:t>
      </w:r>
      <w:r w:rsidRPr="00872AB3">
        <w:rPr>
          <w:rFonts w:ascii="Daxline Offc Pro" w:hAnsi="Daxline Offc Pro"/>
          <w:b/>
        </w:rPr>
        <w:t>Roma children</w:t>
      </w:r>
      <w:r w:rsidRPr="00B70771">
        <w:rPr>
          <w:rFonts w:ascii="Daxline Offc Pro" w:hAnsi="Daxline Offc Pro"/>
        </w:rPr>
        <w:t xml:space="preserve"> in the Czech Republic, Hungary and </w:t>
      </w:r>
      <w:r w:rsidRPr="00B70771">
        <w:rPr>
          <w:rFonts w:ascii="Daxline Offc Pro" w:hAnsi="Daxline Offc Pro"/>
          <w:b/>
        </w:rPr>
        <w:t>Slovakia</w:t>
      </w:r>
      <w:r w:rsidRPr="00B70771">
        <w:rPr>
          <w:rFonts w:ascii="Daxline Offc Pro" w:hAnsi="Daxline Offc Pro"/>
        </w:rPr>
        <w:t xml:space="preserve">. </w:t>
      </w:r>
      <w:r w:rsidR="00D01CD3">
        <w:rPr>
          <w:rFonts w:ascii="Daxline Offc Pro" w:hAnsi="Daxline Offc Pro"/>
        </w:rPr>
        <w:t>[…]</w:t>
      </w:r>
      <w:r w:rsidR="00D01CD3" w:rsidRPr="00B70771" w:rsidDel="00D01CD3">
        <w:rPr>
          <w:rFonts w:ascii="Daxline Offc Pro" w:hAnsi="Daxline Offc Pro"/>
        </w:rPr>
        <w:t xml:space="preserve"> </w:t>
      </w:r>
      <w:r w:rsidRPr="00B70771">
        <w:rPr>
          <w:rFonts w:ascii="Daxline Offc Pro" w:hAnsi="Daxline Offc Pro"/>
        </w:rPr>
        <w:t xml:space="preserve">With regard to </w:t>
      </w:r>
      <w:r w:rsidRPr="00B70771">
        <w:rPr>
          <w:rFonts w:ascii="Daxline Offc Pro" w:hAnsi="Daxline Offc Pro"/>
          <w:b/>
        </w:rPr>
        <w:t xml:space="preserve">Slovakia, </w:t>
      </w:r>
      <w:r w:rsidRPr="00B70771">
        <w:rPr>
          <w:rFonts w:ascii="Daxline Offc Pro" w:hAnsi="Daxline Offc Pro"/>
        </w:rPr>
        <w:t>it stressed that the “recently adopted anti-segregation legislation has yet to be implemented to bring about positive change and increase Roma participation in mainstream education, in</w:t>
      </w:r>
      <w:r>
        <w:rPr>
          <w:rFonts w:ascii="Daxline Offc Pro" w:hAnsi="Daxline Offc Pro"/>
        </w:rPr>
        <w:t>cluding pre-school education.”</w:t>
      </w:r>
      <w:r w:rsidRPr="00B70771">
        <w:rPr>
          <w:rFonts w:ascii="Daxline Offc Pro" w:hAnsi="Daxline Offc Pro"/>
        </w:rPr>
        <w:t xml:space="preserve"> </w:t>
      </w:r>
      <w:r w:rsidRPr="00B70771">
        <w:rPr>
          <w:rFonts w:ascii="Daxline Offc Pro" w:hAnsi="Daxline Offc Pro"/>
          <w:i/>
        </w:rPr>
        <w:t xml:space="preserve">(FRA, </w:t>
      </w:r>
      <w:hyperlink r:id="rId12" w:history="1">
        <w:r w:rsidRPr="00B70771">
          <w:rPr>
            <w:rStyle w:val="Hyperlink"/>
            <w:rFonts w:ascii="Daxline Offc Pro" w:hAnsi="Daxline Offc Pro"/>
            <w:i/>
          </w:rPr>
          <w:t>Fundamental Rights Report 2017</w:t>
        </w:r>
      </w:hyperlink>
      <w:r w:rsidRPr="00B70771">
        <w:rPr>
          <w:rFonts w:ascii="Daxline Offc Pro" w:hAnsi="Daxline Offc Pro"/>
          <w:i/>
        </w:rPr>
        <w:t>, May 2017, p. 86)</w:t>
      </w:r>
    </w:p>
    <w:p w14:paraId="4702528D" w14:textId="51212A5B" w:rsidR="000B5320" w:rsidRPr="00B70771" w:rsidRDefault="000B5320" w:rsidP="000B5320">
      <w:pPr>
        <w:jc w:val="both"/>
        <w:rPr>
          <w:rFonts w:ascii="Daxline Offc Pro" w:hAnsi="Daxline Offc Pro"/>
          <w:i/>
        </w:rPr>
      </w:pPr>
      <w:r w:rsidRPr="00B70771">
        <w:rPr>
          <w:rFonts w:ascii="Daxline Offc Pro" w:hAnsi="Daxline Offc Pro"/>
        </w:rPr>
        <w:t xml:space="preserve">“EU-MIDIS II results show that almost half (46 %) of Roma children aged 6–15 attend schools where all or most of their schoolmates are Roma. The highest percentages were in </w:t>
      </w:r>
      <w:r w:rsidRPr="00B70771">
        <w:rPr>
          <w:rFonts w:ascii="Daxline Offc Pro" w:hAnsi="Daxline Offc Pro"/>
          <w:b/>
        </w:rPr>
        <w:t>Slovakia</w:t>
      </w:r>
      <w:r w:rsidRPr="00B70771">
        <w:rPr>
          <w:rFonts w:ascii="Daxline Offc Pro" w:hAnsi="Daxline Offc Pro"/>
        </w:rPr>
        <w:t xml:space="preserve"> (62 %), Hungary (61 %) and Bulgaria (60 %). In response, the European Commission sent a letter of f</w:t>
      </w:r>
      <w:r w:rsidR="00C476E2">
        <w:rPr>
          <w:rFonts w:ascii="Daxline Offc Pro" w:hAnsi="Daxline Offc Pro"/>
        </w:rPr>
        <w:t>ormal notice to Hungary in May </w:t>
      </w:r>
      <w:r w:rsidRPr="00B70771">
        <w:rPr>
          <w:rFonts w:ascii="Daxline Offc Pro" w:hAnsi="Daxline Offc Pro"/>
        </w:rPr>
        <w:t xml:space="preserve">2016, the first step of an infringement procedure (see Chapter 3 for more details). The Commission similarly sent letters of formal notice regarding </w:t>
      </w:r>
      <w:r w:rsidRPr="00C56C1D">
        <w:rPr>
          <w:rFonts w:ascii="Daxline Offc Pro" w:hAnsi="Daxline Offc Pro"/>
          <w:b/>
        </w:rPr>
        <w:t>educational segregation</w:t>
      </w:r>
      <w:r>
        <w:rPr>
          <w:rFonts w:ascii="Daxline Offc Pro" w:hAnsi="Daxline Offc Pro"/>
        </w:rPr>
        <w:t xml:space="preserve"> to the Czech Republic</w:t>
      </w:r>
      <w:r w:rsidRPr="00B70771">
        <w:rPr>
          <w:rFonts w:ascii="Daxline Offc Pro" w:hAnsi="Daxline Offc Pro"/>
        </w:rPr>
        <w:t xml:space="preserve"> in 2014, and to </w:t>
      </w:r>
      <w:r w:rsidRPr="00B70771">
        <w:rPr>
          <w:rFonts w:ascii="Daxline Offc Pro" w:hAnsi="Daxline Offc Pro"/>
          <w:b/>
        </w:rPr>
        <w:t>Slovakia</w:t>
      </w:r>
      <w:r w:rsidRPr="00B70771">
        <w:rPr>
          <w:rFonts w:ascii="Daxline Offc Pro" w:hAnsi="Daxline Offc Pro"/>
        </w:rPr>
        <w:t xml:space="preserve"> in 2015.” </w:t>
      </w:r>
      <w:r w:rsidRPr="00B70771">
        <w:rPr>
          <w:rFonts w:ascii="Daxline Offc Pro" w:hAnsi="Daxline Offc Pro"/>
          <w:i/>
        </w:rPr>
        <w:t xml:space="preserve">(FRA, </w:t>
      </w:r>
      <w:hyperlink r:id="rId13" w:history="1">
        <w:r w:rsidRPr="00B70771">
          <w:rPr>
            <w:rStyle w:val="Hyperlink"/>
            <w:rFonts w:ascii="Daxline Offc Pro" w:hAnsi="Daxline Offc Pro"/>
            <w:i/>
          </w:rPr>
          <w:t>Fundamental Rights Report 2017</w:t>
        </w:r>
      </w:hyperlink>
      <w:r w:rsidRPr="00B70771">
        <w:rPr>
          <w:rFonts w:ascii="Daxline Offc Pro" w:hAnsi="Daxline Offc Pro"/>
          <w:i/>
        </w:rPr>
        <w:t>, May 2017, p. 104)</w:t>
      </w:r>
    </w:p>
    <w:p w14:paraId="3F25C5A9" w14:textId="77777777" w:rsidR="000B5320" w:rsidRDefault="000B5320" w:rsidP="000B5320">
      <w:pPr>
        <w:jc w:val="both"/>
        <w:rPr>
          <w:rFonts w:ascii="Daxline Offc Pro" w:hAnsi="Daxline Offc Pro"/>
          <w:i/>
        </w:rPr>
      </w:pPr>
      <w:r w:rsidRPr="00B70771">
        <w:rPr>
          <w:rFonts w:ascii="Daxline Offc Pro" w:hAnsi="Daxline Offc Pro"/>
        </w:rPr>
        <w:t xml:space="preserve">“In </w:t>
      </w:r>
      <w:r w:rsidRPr="00B70771">
        <w:rPr>
          <w:rFonts w:ascii="Daxline Offc Pro" w:hAnsi="Daxline Offc Pro"/>
          <w:b/>
        </w:rPr>
        <w:t>Slovakia</w:t>
      </w:r>
      <w:r w:rsidRPr="00B70771">
        <w:rPr>
          <w:rFonts w:ascii="Daxline Offc Pro" w:hAnsi="Daxline Offc Pro"/>
        </w:rPr>
        <w:t xml:space="preserve">, NGOs reported that Romani families had been evicted from the Romani suburb Lunik IX in Košice and then set up a temporary settlement in nearby woods, and that the city of Žilina had resumed evicting Romani families living there and demolishing their houses.” </w:t>
      </w:r>
      <w:r w:rsidRPr="00B70771">
        <w:rPr>
          <w:rFonts w:ascii="Daxline Offc Pro" w:hAnsi="Daxline Offc Pro"/>
          <w:i/>
        </w:rPr>
        <w:t xml:space="preserve">(FRA, </w:t>
      </w:r>
      <w:hyperlink r:id="rId14" w:history="1">
        <w:r w:rsidRPr="00B70771">
          <w:rPr>
            <w:rStyle w:val="Hyperlink"/>
            <w:rFonts w:ascii="Daxline Offc Pro" w:hAnsi="Daxline Offc Pro"/>
            <w:i/>
          </w:rPr>
          <w:t>Fundamental Rights Report 2017</w:t>
        </w:r>
      </w:hyperlink>
      <w:r w:rsidRPr="00B70771">
        <w:rPr>
          <w:rFonts w:ascii="Daxline Offc Pro" w:hAnsi="Daxline Offc Pro"/>
          <w:i/>
        </w:rPr>
        <w:t>, May 2017, p. 111)</w:t>
      </w:r>
    </w:p>
    <w:p w14:paraId="6E433BCC" w14:textId="62778A01" w:rsidR="00A3291F" w:rsidRPr="00B70771" w:rsidRDefault="00A3291F" w:rsidP="000B5320">
      <w:pPr>
        <w:jc w:val="both"/>
        <w:rPr>
          <w:rFonts w:ascii="Daxline Offc Pro" w:hAnsi="Daxline Offc Pro"/>
          <w:i/>
        </w:rPr>
      </w:pPr>
      <w:r w:rsidRPr="00B70771">
        <w:rPr>
          <w:rFonts w:ascii="Daxline Offc Pro" w:hAnsi="Daxline Offc Pro"/>
        </w:rPr>
        <w:lastRenderedPageBreak/>
        <w:t xml:space="preserve">“In April, the European Commission initiated proceedings against </w:t>
      </w:r>
      <w:r w:rsidRPr="00B70771">
        <w:rPr>
          <w:rFonts w:ascii="Daxline Offc Pro" w:hAnsi="Daxline Offc Pro"/>
          <w:b/>
        </w:rPr>
        <w:t>Slovakia</w:t>
      </w:r>
      <w:r w:rsidRPr="00B70771">
        <w:rPr>
          <w:rFonts w:ascii="Daxline Offc Pro" w:hAnsi="Daxline Offc Pro"/>
        </w:rPr>
        <w:t xml:space="preserve">, alleging </w:t>
      </w:r>
      <w:r w:rsidRPr="00872AB3">
        <w:rPr>
          <w:rFonts w:ascii="Daxline Offc Pro" w:hAnsi="Daxline Offc Pro"/>
        </w:rPr>
        <w:t>discrimination against</w:t>
      </w:r>
      <w:r w:rsidRPr="00872AB3">
        <w:rPr>
          <w:rFonts w:ascii="Daxline Offc Pro" w:hAnsi="Daxline Offc Pro"/>
          <w:b/>
        </w:rPr>
        <w:t xml:space="preserve"> Roma children </w:t>
      </w:r>
      <w:r w:rsidRPr="00872AB3">
        <w:rPr>
          <w:rFonts w:ascii="Daxline Offc Pro" w:hAnsi="Daxline Offc Pro"/>
        </w:rPr>
        <w:t>in the educational context,</w:t>
      </w:r>
      <w:r w:rsidRPr="00B70771">
        <w:rPr>
          <w:rFonts w:ascii="Daxline Offc Pro" w:hAnsi="Daxline Offc Pro"/>
        </w:rPr>
        <w:t xml:space="preserve"> both in terms of legislation and practice. The allegations targeted both mainstream education and special education for children with mental disabilities, since disproportionately high numbers of Roma children are systematically misdiagnosed as mentally disabled and attend special schools and classes for chil</w:t>
      </w:r>
      <w:r>
        <w:rPr>
          <w:rFonts w:ascii="Daxline Offc Pro" w:hAnsi="Daxline Offc Pro"/>
        </w:rPr>
        <w:t>dren with mental disabilities.</w:t>
      </w:r>
      <w:r w:rsidRPr="00B70771">
        <w:rPr>
          <w:rFonts w:ascii="Daxline Offc Pro" w:hAnsi="Daxline Offc Pro"/>
        </w:rPr>
        <w:t xml:space="preserve"> In addition, the Council of the European Union called on </w:t>
      </w:r>
      <w:r w:rsidRPr="00B70771">
        <w:rPr>
          <w:rFonts w:ascii="Daxline Offc Pro" w:hAnsi="Daxline Offc Pro"/>
          <w:b/>
        </w:rPr>
        <w:t>Slovak</w:t>
      </w:r>
      <w:r w:rsidRPr="00B70771">
        <w:rPr>
          <w:rFonts w:ascii="Daxline Offc Pro" w:hAnsi="Daxline Offc Pro"/>
        </w:rPr>
        <w:t xml:space="preserve"> authorities to “increase the participation of Roma children in mainstream education and in high-quali</w:t>
      </w:r>
      <w:r>
        <w:rPr>
          <w:rFonts w:ascii="Daxline Offc Pro" w:hAnsi="Daxline Offc Pro"/>
        </w:rPr>
        <w:t>ty early childhood education”.</w:t>
      </w:r>
      <w:r w:rsidRPr="00B70771">
        <w:rPr>
          <w:rFonts w:ascii="Daxline Offc Pro" w:hAnsi="Daxline Offc Pro"/>
        </w:rPr>
        <w:t xml:space="preserve"> In June, the </w:t>
      </w:r>
      <w:r w:rsidRPr="00B70771">
        <w:rPr>
          <w:rFonts w:ascii="Daxline Offc Pro" w:hAnsi="Daxline Offc Pro"/>
          <w:b/>
        </w:rPr>
        <w:t>Slovak</w:t>
      </w:r>
      <w:r w:rsidRPr="00B70771">
        <w:rPr>
          <w:rFonts w:ascii="Daxline Offc Pro" w:hAnsi="Daxline Offc Pro"/>
        </w:rPr>
        <w:t xml:space="preserve"> Republic adopted amendments to its Education Act to address issues in the legislation.” </w:t>
      </w:r>
      <w:r w:rsidRPr="00B70771">
        <w:rPr>
          <w:rFonts w:ascii="Daxline Offc Pro" w:hAnsi="Daxline Offc Pro"/>
          <w:i/>
        </w:rPr>
        <w:t xml:space="preserve">(FRA, </w:t>
      </w:r>
      <w:hyperlink r:id="rId15" w:history="1">
        <w:r w:rsidRPr="00B70771">
          <w:rPr>
            <w:rStyle w:val="Hyperlink"/>
            <w:rFonts w:ascii="Daxline Offc Pro" w:hAnsi="Daxline Offc Pro"/>
            <w:i/>
          </w:rPr>
          <w:t>Fundamental Rights Report 2016</w:t>
        </w:r>
      </w:hyperlink>
      <w:r w:rsidRPr="00B70771">
        <w:rPr>
          <w:rFonts w:ascii="Daxline Offc Pro" w:hAnsi="Daxline Offc Pro"/>
          <w:i/>
        </w:rPr>
        <w:t>, May 2016, p. 85)</w:t>
      </w:r>
    </w:p>
    <w:p w14:paraId="271CC774" w14:textId="77777777" w:rsidR="000B5320" w:rsidRPr="00B70771" w:rsidRDefault="00CA2392" w:rsidP="00CA2392">
      <w:pPr>
        <w:pStyle w:val="Heading1"/>
      </w:pPr>
      <w:bookmarkStart w:id="4" w:name="_Toc495931308"/>
      <w:r>
        <w:t>Article 6</w:t>
      </w:r>
      <w:bookmarkEnd w:id="4"/>
    </w:p>
    <w:p w14:paraId="5A711689" w14:textId="0062BB01" w:rsidR="00AB3B71" w:rsidRDefault="00C56C1D" w:rsidP="00AB3B71">
      <w:pPr>
        <w:jc w:val="both"/>
        <w:rPr>
          <w:rFonts w:ascii="Daxline Offc Pro" w:hAnsi="Daxline Offc Pro"/>
          <w:i/>
        </w:rPr>
      </w:pPr>
      <w:r w:rsidRPr="00B70771">
        <w:rPr>
          <w:rFonts w:ascii="Daxline Offc Pro" w:hAnsi="Daxline Offc Pro"/>
        </w:rPr>
        <w:t xml:space="preserve">“The Framework Decision on Racism and Xenophobia penalises racist and xenophobic hate speech and hate crime. In December 2015, the European Commission initiated formal inquiries with Member States in which major transposition gaps remained, with a view to launching infringement proceedings where necessary. This prompted notable legislative developments in Cyprus, France, Hungary, Ireland, Italy and </w:t>
      </w:r>
      <w:r w:rsidRPr="00B70771">
        <w:rPr>
          <w:rFonts w:ascii="Daxline Offc Pro" w:hAnsi="Daxline Offc Pro"/>
          <w:b/>
        </w:rPr>
        <w:t>Slovakia</w:t>
      </w:r>
      <w:r w:rsidRPr="00B70771">
        <w:rPr>
          <w:rFonts w:ascii="Daxline Offc Pro" w:hAnsi="Daxline Offc Pro"/>
        </w:rPr>
        <w:t xml:space="preserve">. </w:t>
      </w:r>
      <w:r w:rsidR="000B40A7">
        <w:rPr>
          <w:rFonts w:ascii="Daxline Offc Pro" w:hAnsi="Daxline Offc Pro"/>
        </w:rPr>
        <w:t xml:space="preserve">[…] </w:t>
      </w:r>
      <w:r w:rsidRPr="00B70771">
        <w:rPr>
          <w:rFonts w:ascii="Daxline Offc Pro" w:hAnsi="Daxline Offc Pro"/>
        </w:rPr>
        <w:t xml:space="preserve">Similarly, </w:t>
      </w:r>
      <w:r w:rsidRPr="00B70771">
        <w:rPr>
          <w:rFonts w:ascii="Daxline Offc Pro" w:hAnsi="Daxline Offc Pro"/>
          <w:b/>
        </w:rPr>
        <w:t xml:space="preserve">Slovakia </w:t>
      </w:r>
      <w:r w:rsidRPr="00B70771">
        <w:rPr>
          <w:rFonts w:ascii="Daxline Offc Pro" w:hAnsi="Daxline Offc Pro"/>
        </w:rPr>
        <w:t xml:space="preserve">amended its Criminal Code of Criminal Procedure. Pursuant to the changes, </w:t>
      </w:r>
      <w:r w:rsidRPr="00872AB3">
        <w:rPr>
          <w:rFonts w:ascii="Daxline Offc Pro" w:hAnsi="Daxline Offc Pro"/>
          <w:b/>
        </w:rPr>
        <w:t>all trials for racist and extremist crimes</w:t>
      </w:r>
      <w:r w:rsidRPr="00B70771">
        <w:rPr>
          <w:rFonts w:ascii="Daxline Offc Pro" w:hAnsi="Daxline Offc Pro"/>
        </w:rPr>
        <w:t xml:space="preserve"> will be handled by a Special Criminal Court. The amendments also introduce a new type of crime</w:t>
      </w:r>
      <w:r w:rsidRPr="00A3291F">
        <w:rPr>
          <w:rFonts w:ascii="Daxline Offc Pro" w:hAnsi="Daxline Offc Pro"/>
        </w:rPr>
        <w:t>: apartheid and discrimination of a group of people</w:t>
      </w:r>
      <w:r w:rsidRPr="00B70771">
        <w:rPr>
          <w:rFonts w:ascii="Daxline Offc Pro" w:hAnsi="Daxline Offc Pro"/>
        </w:rPr>
        <w:t xml:space="preserve">.” </w:t>
      </w:r>
      <w:r w:rsidRPr="00B70771">
        <w:rPr>
          <w:rFonts w:ascii="Daxline Offc Pro" w:hAnsi="Daxline Offc Pro"/>
          <w:i/>
        </w:rPr>
        <w:t xml:space="preserve">(FRA, </w:t>
      </w:r>
      <w:hyperlink r:id="rId16" w:history="1">
        <w:r w:rsidRPr="00B70771">
          <w:rPr>
            <w:rStyle w:val="Hyperlink"/>
            <w:rFonts w:ascii="Daxline Offc Pro" w:hAnsi="Daxline Offc Pro"/>
            <w:i/>
          </w:rPr>
          <w:t>Fundamental Rights Report 2017</w:t>
        </w:r>
      </w:hyperlink>
      <w:r w:rsidRPr="00B70771">
        <w:rPr>
          <w:rFonts w:ascii="Daxline Offc Pro" w:hAnsi="Daxline Offc Pro"/>
          <w:i/>
        </w:rPr>
        <w:t>, May 2017, p. 80-81)</w:t>
      </w:r>
    </w:p>
    <w:p w14:paraId="3F7A5BB6" w14:textId="77777777" w:rsidR="000B5320" w:rsidRPr="00B70771" w:rsidRDefault="000B5320" w:rsidP="000B5320">
      <w:pPr>
        <w:jc w:val="both"/>
        <w:rPr>
          <w:rFonts w:ascii="Daxline Offc Pro" w:hAnsi="Daxline Offc Pro"/>
          <w:i/>
        </w:rPr>
      </w:pPr>
      <w:r w:rsidRPr="00B70771">
        <w:rPr>
          <w:rFonts w:ascii="Daxline Offc Pro" w:hAnsi="Daxline Offc Pro"/>
        </w:rPr>
        <w:t xml:space="preserve">“In </w:t>
      </w:r>
      <w:r w:rsidRPr="00B70771">
        <w:rPr>
          <w:rFonts w:ascii="Daxline Offc Pro" w:hAnsi="Daxline Offc Pro"/>
          <w:b/>
        </w:rPr>
        <w:t>Slovakia</w:t>
      </w:r>
      <w:r w:rsidRPr="00B70771">
        <w:rPr>
          <w:rFonts w:ascii="Daxline Offc Pro" w:hAnsi="Daxline Offc Pro"/>
        </w:rPr>
        <w:t xml:space="preserve">, the Ministry of the Interior recorded 25 complaints </w:t>
      </w:r>
      <w:r w:rsidRPr="00872AB3">
        <w:rPr>
          <w:rFonts w:ascii="Daxline Offc Pro" w:hAnsi="Daxline Offc Pro"/>
        </w:rPr>
        <w:t>of hate speech crimes</w:t>
      </w:r>
      <w:r w:rsidRPr="00B70771">
        <w:rPr>
          <w:rFonts w:ascii="Daxline Offc Pro" w:hAnsi="Daxline Offc Pro"/>
        </w:rPr>
        <w:t xml:space="preserve"> on the grounds of </w:t>
      </w:r>
      <w:r w:rsidRPr="00872AB3">
        <w:rPr>
          <w:rFonts w:ascii="Daxline Offc Pro" w:hAnsi="Daxline Offc Pro"/>
        </w:rPr>
        <w:t>Roma ethnic origin</w:t>
      </w:r>
      <w:r w:rsidRPr="00B70771">
        <w:rPr>
          <w:rFonts w:ascii="Daxline Offc Pro" w:hAnsi="Daxline Offc Pro"/>
        </w:rPr>
        <w:t xml:space="preserve"> in 2016. The police are investigating four of them. Furthermore, there were 17 complaints of </w:t>
      </w:r>
      <w:r w:rsidRPr="00C56C1D">
        <w:rPr>
          <w:rFonts w:ascii="Daxline Offc Pro" w:hAnsi="Daxline Offc Pro"/>
          <w:b/>
        </w:rPr>
        <w:t>incitement to racial hatred on the grounds of Roma ethnic origin</w:t>
      </w:r>
      <w:r w:rsidRPr="00B70771">
        <w:rPr>
          <w:rFonts w:ascii="Daxline Offc Pro" w:hAnsi="Daxline Offc Pro"/>
        </w:rPr>
        <w:t xml:space="preserve">. Out of these, the police rejected 11 petitions and are continuing to investigate the remaining six cases.” </w:t>
      </w:r>
      <w:r w:rsidRPr="00B70771">
        <w:rPr>
          <w:rFonts w:ascii="Daxline Offc Pro" w:hAnsi="Daxline Offc Pro"/>
          <w:i/>
        </w:rPr>
        <w:t xml:space="preserve">(FRA, </w:t>
      </w:r>
      <w:hyperlink r:id="rId17" w:history="1">
        <w:r w:rsidRPr="00B70771">
          <w:rPr>
            <w:rStyle w:val="Hyperlink"/>
            <w:rFonts w:ascii="Daxline Offc Pro" w:hAnsi="Daxline Offc Pro"/>
            <w:i/>
          </w:rPr>
          <w:t>Fundamental Rights Report 2017</w:t>
        </w:r>
      </w:hyperlink>
      <w:r w:rsidRPr="00B70771">
        <w:rPr>
          <w:rFonts w:ascii="Daxline Offc Pro" w:hAnsi="Daxline Offc Pro"/>
          <w:i/>
        </w:rPr>
        <w:t>, May 2017, p. 112)</w:t>
      </w:r>
    </w:p>
    <w:p w14:paraId="541D3C11" w14:textId="77777777" w:rsidR="00BD5AF0" w:rsidRDefault="000B5320" w:rsidP="00CA2392">
      <w:pPr>
        <w:jc w:val="both"/>
        <w:rPr>
          <w:rFonts w:ascii="Daxline Offc Pro" w:hAnsi="Daxline Offc Pro"/>
          <w:i/>
        </w:rPr>
      </w:pPr>
      <w:r w:rsidRPr="00B70771">
        <w:rPr>
          <w:rFonts w:ascii="Daxline Offc Pro" w:hAnsi="Daxline Offc Pro"/>
        </w:rPr>
        <w:t xml:space="preserve">“A number of countries reported incidents of </w:t>
      </w:r>
      <w:r w:rsidRPr="00C56C1D">
        <w:rPr>
          <w:rFonts w:ascii="Daxline Offc Pro" w:hAnsi="Daxline Offc Pro"/>
          <w:b/>
        </w:rPr>
        <w:t>hate crime against Roma</w:t>
      </w:r>
      <w:r w:rsidRPr="00B70771">
        <w:rPr>
          <w:rFonts w:ascii="Daxline Offc Pro" w:hAnsi="Daxline Offc Pro"/>
        </w:rPr>
        <w:t xml:space="preserve">. (…)In </w:t>
      </w:r>
      <w:r w:rsidRPr="00B70771">
        <w:rPr>
          <w:rFonts w:ascii="Daxline Offc Pro" w:hAnsi="Daxline Offc Pro"/>
          <w:b/>
        </w:rPr>
        <w:t>Slovakia</w:t>
      </w:r>
      <w:r w:rsidRPr="00B70771">
        <w:rPr>
          <w:rFonts w:ascii="Daxline Offc Pro" w:hAnsi="Daxline Offc Pro"/>
        </w:rPr>
        <w:t>, the Public Defender of Rights (Verejný ochranca práv) reported that a Roma man had been beaten during his detention at the po</w:t>
      </w:r>
      <w:r>
        <w:rPr>
          <w:rFonts w:ascii="Daxline Offc Pro" w:hAnsi="Daxline Offc Pro"/>
        </w:rPr>
        <w:t>lice station in Lučenec in May </w:t>
      </w:r>
      <w:r w:rsidRPr="00B70771">
        <w:rPr>
          <w:rFonts w:ascii="Daxline Offc Pro" w:hAnsi="Daxline Offc Pro"/>
        </w:rPr>
        <w:t>2016. The c</w:t>
      </w:r>
      <w:r>
        <w:rPr>
          <w:rFonts w:ascii="Daxline Offc Pro" w:hAnsi="Daxline Offc Pro"/>
        </w:rPr>
        <w:t>ase is currently under review,</w:t>
      </w:r>
      <w:r w:rsidRPr="00B70771">
        <w:rPr>
          <w:rFonts w:ascii="Daxline Offc Pro" w:hAnsi="Daxline Offc Pro"/>
        </w:rPr>
        <w:t xml:space="preserve"> as is another complaint reported to the Ministry of the Interior.” </w:t>
      </w:r>
      <w:r w:rsidRPr="00B70771">
        <w:rPr>
          <w:rFonts w:ascii="Daxline Offc Pro" w:hAnsi="Daxline Offc Pro"/>
          <w:i/>
        </w:rPr>
        <w:t xml:space="preserve">(FRA, </w:t>
      </w:r>
      <w:hyperlink r:id="rId18" w:history="1">
        <w:r w:rsidRPr="00B70771">
          <w:rPr>
            <w:rStyle w:val="Hyperlink"/>
            <w:rFonts w:ascii="Daxline Offc Pro" w:hAnsi="Daxline Offc Pro"/>
            <w:i/>
          </w:rPr>
          <w:t>Fundamental Rights Report 2017</w:t>
        </w:r>
      </w:hyperlink>
      <w:r w:rsidRPr="00B70771">
        <w:rPr>
          <w:rFonts w:ascii="Daxline Offc Pro" w:hAnsi="Daxline Offc Pro"/>
          <w:i/>
        </w:rPr>
        <w:t>, May 2017, p. 113)</w:t>
      </w:r>
    </w:p>
    <w:p w14:paraId="6B5C56B9" w14:textId="20E61C50" w:rsidR="00C476E2" w:rsidRPr="00CA2392" w:rsidRDefault="00C476E2" w:rsidP="00CA2392">
      <w:pPr>
        <w:jc w:val="both"/>
        <w:rPr>
          <w:rStyle w:val="Strong"/>
          <w:rFonts w:ascii="Daxline Offc Pro" w:hAnsi="Daxline Offc Pro"/>
          <w:b w:val="0"/>
          <w:bCs w:val="0"/>
          <w:i/>
        </w:rPr>
      </w:pPr>
      <w:r w:rsidRPr="00B70771">
        <w:rPr>
          <w:rFonts w:ascii="Daxline Offc Pro" w:hAnsi="Daxline Offc Pro"/>
        </w:rPr>
        <w:t xml:space="preserve">“In 2006, the Ministry of Interior in </w:t>
      </w:r>
      <w:r w:rsidRPr="00B70771">
        <w:rPr>
          <w:rFonts w:ascii="Daxline Offc Pro" w:hAnsi="Daxline Offc Pro"/>
          <w:b/>
        </w:rPr>
        <w:t>Slovakia</w:t>
      </w:r>
      <w:r w:rsidRPr="00B70771">
        <w:rPr>
          <w:rFonts w:ascii="Daxline Offc Pro" w:hAnsi="Daxline Offc Pro"/>
        </w:rPr>
        <w:t xml:space="preserve"> implemented a project that envisioned 230 police specialists working with </w:t>
      </w:r>
      <w:r w:rsidRPr="00872AB3">
        <w:rPr>
          <w:rFonts w:ascii="Daxline Offc Pro" w:hAnsi="Daxline Offc Pro"/>
          <w:b/>
        </w:rPr>
        <w:t>Roma communities</w:t>
      </w:r>
      <w:r w:rsidRPr="00B70771">
        <w:rPr>
          <w:rFonts w:ascii="Daxline Offc Pro" w:hAnsi="Daxline Offc Pro"/>
        </w:rPr>
        <w:t xml:space="preserve"> within their own community. The idea was that, by breaking the barrier between the police and the Roma minority, the project would encourage members of the Roma minority to report possible hate crime. However, a robust assessment of the initiative’s outcomes is not available</w:t>
      </w:r>
      <w:r w:rsidRPr="00B70771">
        <w:rPr>
          <w:rFonts w:ascii="Daxline Offc Pro" w:hAnsi="Daxline Offc Pro"/>
          <w:i/>
        </w:rPr>
        <w:t xml:space="preserve">.” (FRA, </w:t>
      </w:r>
      <w:hyperlink r:id="rId19" w:history="1">
        <w:r w:rsidRPr="00B70771">
          <w:rPr>
            <w:rStyle w:val="Hyperlink"/>
            <w:rFonts w:ascii="Daxline Offc Pro" w:hAnsi="Daxline Offc Pro"/>
            <w:i/>
          </w:rPr>
          <w:t>Ensuring justice for hate crime victims: professional perspectives</w:t>
        </w:r>
      </w:hyperlink>
      <w:r w:rsidRPr="00B70771">
        <w:rPr>
          <w:rFonts w:ascii="Daxline Offc Pro" w:hAnsi="Daxline Offc Pro"/>
          <w:i/>
        </w:rPr>
        <w:t>, April 2016, p. 43)</w:t>
      </w:r>
    </w:p>
    <w:p w14:paraId="0096480C" w14:textId="77777777" w:rsidR="00BD5AF0" w:rsidRDefault="00CA2392" w:rsidP="00CA2392">
      <w:pPr>
        <w:pStyle w:val="Heading1"/>
      </w:pPr>
      <w:bookmarkStart w:id="5" w:name="_Toc495931309"/>
      <w:r>
        <w:t>Article 7</w:t>
      </w:r>
      <w:bookmarkEnd w:id="5"/>
    </w:p>
    <w:p w14:paraId="2056AF1B" w14:textId="599510AB" w:rsidR="00C56C1D" w:rsidRPr="00B70771" w:rsidRDefault="00C56C1D" w:rsidP="00C56C1D">
      <w:pPr>
        <w:jc w:val="both"/>
        <w:rPr>
          <w:rFonts w:ascii="Daxline Offc Pro" w:hAnsi="Daxline Offc Pro"/>
          <w:i/>
        </w:rPr>
      </w:pPr>
      <w:r w:rsidRPr="00B70771">
        <w:rPr>
          <w:rFonts w:ascii="Daxline Offc Pro" w:hAnsi="Daxline Offc Pro"/>
        </w:rPr>
        <w:t>“</w:t>
      </w:r>
      <w:r w:rsidRPr="00B70771">
        <w:rPr>
          <w:rFonts w:ascii="Daxline Offc Pro" w:hAnsi="Daxline Offc Pro"/>
          <w:b/>
        </w:rPr>
        <w:t>Slovakia</w:t>
      </w:r>
      <w:r w:rsidRPr="00B70771">
        <w:rPr>
          <w:rFonts w:ascii="Daxline Offc Pro" w:hAnsi="Daxline Offc Pro"/>
        </w:rPr>
        <w:t xml:space="preserve"> adopts a mix of targeted and mainstreamed approaches and relies predominantly on ESIFs to implement </w:t>
      </w:r>
      <w:r w:rsidRPr="00C56C1D">
        <w:rPr>
          <w:rFonts w:ascii="Daxline Offc Pro" w:hAnsi="Daxline Offc Pro"/>
          <w:b/>
        </w:rPr>
        <w:t>Roma integration policies</w:t>
      </w:r>
      <w:r w:rsidRPr="00B70771">
        <w:rPr>
          <w:rFonts w:ascii="Daxline Offc Pro" w:hAnsi="Daxline Offc Pro"/>
        </w:rPr>
        <w:t xml:space="preserve">. The Implementation Agency of the Ministry of Labour, Social Affairs and Family </w:t>
      </w:r>
      <w:r w:rsidR="000B40A7">
        <w:rPr>
          <w:rFonts w:ascii="Daxline Offc Pro" w:hAnsi="Daxline Offc Pro"/>
        </w:rPr>
        <w:t>(</w:t>
      </w:r>
      <w:r w:rsidRPr="00A46446">
        <w:rPr>
          <w:rFonts w:ascii="Daxline Offc Pro" w:hAnsi="Daxline Offc Pro"/>
          <w:i/>
        </w:rPr>
        <w:t>Implementačná agentúra Ministerstva práce, sociálnych vecí a rodiny</w:t>
      </w:r>
      <w:r w:rsidRPr="00B70771">
        <w:rPr>
          <w:rFonts w:ascii="Daxline Offc Pro" w:hAnsi="Daxline Offc Pro"/>
        </w:rPr>
        <w:t>), using the ESF, supported national social field work and community work projects in some areas with particularly concentrated Romani populations. The projects had a specific focus on young people and children</w:t>
      </w:r>
      <w:r w:rsidRPr="00B70771">
        <w:rPr>
          <w:rFonts w:ascii="Daxline Offc Pro" w:hAnsi="Daxline Offc Pro"/>
          <w:i/>
        </w:rPr>
        <w:t xml:space="preserve">.”(FRA, </w:t>
      </w:r>
      <w:hyperlink r:id="rId20" w:history="1">
        <w:r w:rsidRPr="00B70771">
          <w:rPr>
            <w:rStyle w:val="Hyperlink"/>
            <w:rFonts w:ascii="Daxline Offc Pro" w:hAnsi="Daxline Offc Pro"/>
            <w:i/>
          </w:rPr>
          <w:t>Fundamental Rights Report 2017</w:t>
        </w:r>
      </w:hyperlink>
      <w:r w:rsidR="00CA2392">
        <w:rPr>
          <w:rFonts w:ascii="Daxline Offc Pro" w:hAnsi="Daxline Offc Pro"/>
          <w:i/>
        </w:rPr>
        <w:t>, May 2017, p. 109-110</w:t>
      </w:r>
      <w:r w:rsidRPr="00B70771">
        <w:rPr>
          <w:rFonts w:ascii="Daxline Offc Pro" w:hAnsi="Daxline Offc Pro"/>
          <w:i/>
        </w:rPr>
        <w:t>)</w:t>
      </w:r>
    </w:p>
    <w:p w14:paraId="388861DF" w14:textId="77777777" w:rsidR="00C56C1D" w:rsidRPr="00B70771" w:rsidRDefault="00C56C1D" w:rsidP="00C56C1D">
      <w:pPr>
        <w:jc w:val="both"/>
        <w:rPr>
          <w:rFonts w:ascii="Daxline Offc Pro" w:hAnsi="Daxline Offc Pro"/>
          <w:i/>
        </w:rPr>
      </w:pPr>
      <w:r w:rsidRPr="00B70771">
        <w:rPr>
          <w:rFonts w:ascii="Daxline Offc Pro" w:hAnsi="Daxline Offc Pro"/>
        </w:rPr>
        <w:t xml:space="preserve">“In others, such as in </w:t>
      </w:r>
      <w:r w:rsidRPr="00B70771">
        <w:rPr>
          <w:rFonts w:ascii="Daxline Offc Pro" w:hAnsi="Daxline Offc Pro"/>
          <w:b/>
        </w:rPr>
        <w:t>Slovakia</w:t>
      </w:r>
      <w:r w:rsidRPr="00B70771">
        <w:rPr>
          <w:rFonts w:ascii="Daxline Offc Pro" w:hAnsi="Daxline Offc Pro"/>
        </w:rPr>
        <w:t xml:space="preserve"> – where the Centre for Continuing Education at Comenius University in Bratislava offers systematic </w:t>
      </w:r>
      <w:r w:rsidRPr="00CA2392">
        <w:rPr>
          <w:rFonts w:ascii="Daxline Offc Pro" w:hAnsi="Daxline Offc Pro"/>
          <w:b/>
        </w:rPr>
        <w:t>training for teachers</w:t>
      </w:r>
      <w:r w:rsidRPr="00B70771">
        <w:rPr>
          <w:rFonts w:ascii="Daxline Offc Pro" w:hAnsi="Daxline Offc Pro"/>
        </w:rPr>
        <w:t xml:space="preserve"> in the progr</w:t>
      </w:r>
      <w:r w:rsidRPr="00872AB3">
        <w:rPr>
          <w:rFonts w:ascii="Daxline Offc Pro" w:hAnsi="Daxline Offc Pro"/>
        </w:rPr>
        <w:t>amme ‘Slovak as</w:t>
      </w:r>
      <w:r w:rsidRPr="00B70771">
        <w:rPr>
          <w:rFonts w:ascii="Daxline Offc Pro" w:hAnsi="Daxline Offc Pro"/>
        </w:rPr>
        <w:t xml:space="preserve"> a Foreign</w:t>
      </w:r>
      <w:r>
        <w:rPr>
          <w:rFonts w:ascii="Daxline Offc Pro" w:hAnsi="Daxline Offc Pro"/>
        </w:rPr>
        <w:t xml:space="preserve"> Language’</w:t>
      </w:r>
      <w:r w:rsidRPr="00B70771">
        <w:rPr>
          <w:rFonts w:ascii="Daxline Offc Pro" w:hAnsi="Daxline Offc Pro"/>
        </w:rPr>
        <w:t xml:space="preserve"> – the influx of migrants and refugees has encouraged the production and provision to teachers of ad hoc training courses, information portals and material about improving their skills in dealing with a diverse classroom and teaching children of migrants and refugees.” </w:t>
      </w:r>
      <w:r w:rsidRPr="00B70771">
        <w:rPr>
          <w:rFonts w:ascii="Daxline Offc Pro" w:hAnsi="Daxline Offc Pro"/>
          <w:i/>
        </w:rPr>
        <w:t xml:space="preserve">(FRA, </w:t>
      </w:r>
      <w:hyperlink r:id="rId21" w:history="1">
        <w:r w:rsidRPr="00B70771">
          <w:rPr>
            <w:rStyle w:val="Hyperlink"/>
            <w:rFonts w:ascii="Daxline Offc Pro" w:hAnsi="Daxline Offc Pro"/>
            <w:i/>
          </w:rPr>
          <w:t>Fundamental Rights Report 2017</w:t>
        </w:r>
      </w:hyperlink>
      <w:r w:rsidRPr="00B70771">
        <w:rPr>
          <w:rFonts w:ascii="Daxline Offc Pro" w:hAnsi="Daxline Offc Pro"/>
          <w:i/>
        </w:rPr>
        <w:t>, May 2017, p. 114)</w:t>
      </w:r>
    </w:p>
    <w:p w14:paraId="631F7CCB" w14:textId="5A95134E" w:rsidR="00AB3B71" w:rsidRDefault="00AB3B71" w:rsidP="00AB3B71">
      <w:pPr>
        <w:spacing w:after="0"/>
        <w:jc w:val="both"/>
        <w:rPr>
          <w:rFonts w:ascii="Daxline Offc Pro" w:hAnsi="Daxline Offc Pro"/>
        </w:rPr>
      </w:pPr>
      <w:r w:rsidRPr="00B70771">
        <w:rPr>
          <w:rFonts w:ascii="Daxline Offc Pro" w:hAnsi="Daxline Offc Pro"/>
          <w:b/>
        </w:rPr>
        <w:t>“Promising practice</w:t>
      </w:r>
      <w:r w:rsidR="00872AB3">
        <w:rPr>
          <w:rFonts w:ascii="Daxline Offc Pro" w:hAnsi="Daxline Offc Pro"/>
          <w:b/>
        </w:rPr>
        <w:t>:</w:t>
      </w:r>
      <w:r>
        <w:rPr>
          <w:rFonts w:ascii="Daxline Offc Pro" w:hAnsi="Daxline Offc Pro"/>
          <w:b/>
        </w:rPr>
        <w:t xml:space="preserve"> </w:t>
      </w:r>
      <w:r w:rsidRPr="00872AB3">
        <w:rPr>
          <w:rFonts w:ascii="Daxline Offc Pro" w:hAnsi="Daxline Offc Pro"/>
          <w:b/>
        </w:rPr>
        <w:t>Promoting integration at schools</w:t>
      </w:r>
      <w:r w:rsidRPr="00B70771">
        <w:rPr>
          <w:rFonts w:ascii="Daxline Offc Pro" w:hAnsi="Daxline Offc Pro"/>
        </w:rPr>
        <w:t xml:space="preserve"> </w:t>
      </w:r>
    </w:p>
    <w:p w14:paraId="4A03528F" w14:textId="77777777" w:rsidR="00CA2392" w:rsidRPr="00CA2392" w:rsidRDefault="00AB3B71" w:rsidP="00CA2392">
      <w:pPr>
        <w:jc w:val="both"/>
        <w:rPr>
          <w:rFonts w:ascii="Daxline Offc Pro" w:hAnsi="Daxline Offc Pro"/>
          <w:b/>
        </w:rPr>
      </w:pPr>
      <w:r w:rsidRPr="00B70771">
        <w:rPr>
          <w:rFonts w:ascii="Daxline Offc Pro" w:hAnsi="Daxline Offc Pro"/>
        </w:rPr>
        <w:t>The organisation eduRoma started offering assistance in</w:t>
      </w:r>
      <w:r>
        <w:rPr>
          <w:rFonts w:ascii="Daxline Offc Pro" w:hAnsi="Daxline Offc Pro"/>
        </w:rPr>
        <w:t xml:space="preserve"> the process of </w:t>
      </w:r>
      <w:r w:rsidRPr="00CA2392">
        <w:rPr>
          <w:rFonts w:ascii="Daxline Offc Pro" w:hAnsi="Daxline Offc Pro"/>
          <w:b/>
        </w:rPr>
        <w:t>desegregating a school</w:t>
      </w:r>
      <w:r w:rsidRPr="00B70771">
        <w:rPr>
          <w:rFonts w:ascii="Daxline Offc Pro" w:hAnsi="Daxline Offc Pro"/>
        </w:rPr>
        <w:t xml:space="preserve"> in Šarišské Michaľany, </w:t>
      </w:r>
      <w:r w:rsidRPr="00B70771">
        <w:rPr>
          <w:rFonts w:ascii="Daxline Offc Pro" w:hAnsi="Daxline Offc Pro"/>
          <w:b/>
        </w:rPr>
        <w:t>Slovakia</w:t>
      </w:r>
      <w:r w:rsidRPr="00B70771">
        <w:rPr>
          <w:rFonts w:ascii="Daxline Offc Pro" w:hAnsi="Daxline Offc Pro"/>
        </w:rPr>
        <w:t>, in 2013. The effort followed a regional co</w:t>
      </w:r>
      <w:r w:rsidR="00CA2392">
        <w:rPr>
          <w:rFonts w:ascii="Daxline Offc Pro" w:hAnsi="Daxline Offc Pro"/>
        </w:rPr>
        <w:t>urt decision and was part of a </w:t>
      </w:r>
      <w:r w:rsidRPr="00B70771">
        <w:rPr>
          <w:rFonts w:ascii="Daxline Offc Pro" w:hAnsi="Daxline Offc Pro"/>
        </w:rPr>
        <w:t>project financed by the Open Society Foundations’ Roma Initiative Office and Education Support Program and the EEA grants. The goal was finally accomplished in September 2015, following a wide range of activities at the local level, such as training and other extracurricular activities, with all key stakeholders  – teachers, municipality representatives and parents of both Roma and non-Roma children. In parallel, eduRoma engaged in advocacy activities at the central level, especially with the State School Inspection (</w:t>
      </w:r>
      <w:r w:rsidRPr="00A46446">
        <w:rPr>
          <w:rFonts w:ascii="Daxline Offc Pro" w:hAnsi="Daxline Offc Pro"/>
          <w:i/>
        </w:rPr>
        <w:t>Štátna školská inšpekcia</w:t>
      </w:r>
      <w:r w:rsidRPr="00B70771">
        <w:rPr>
          <w:rFonts w:ascii="Daxline Offc Pro" w:hAnsi="Daxline Offc Pro"/>
        </w:rPr>
        <w:t xml:space="preserve">). The organisation has developed a model of desegregation that is sensitive to, and takes into consideration, the particular local context. The approach specifically involves engaging local stakeholders, developing tailor-made plans for a specific community, improving the capacity of teachers, supporting Roma children to achieve better academic performance, and improving interaction between Roma and non-Roma children. It is transferable to other settings in </w:t>
      </w:r>
      <w:r w:rsidRPr="00B70771">
        <w:rPr>
          <w:rFonts w:ascii="Daxline Offc Pro" w:hAnsi="Daxline Offc Pro"/>
          <w:b/>
        </w:rPr>
        <w:t>Slovakia</w:t>
      </w:r>
      <w:r w:rsidRPr="00B70771">
        <w:rPr>
          <w:rFonts w:ascii="Daxline Offc Pro" w:hAnsi="Daxline Offc Pro"/>
        </w:rPr>
        <w:t xml:space="preserve"> and possibly to other Member States. For more information, see: </w:t>
      </w:r>
      <w:hyperlink r:id="rId22" w:history="1">
        <w:r w:rsidRPr="00B70771">
          <w:rPr>
            <w:rStyle w:val="Hyperlink"/>
            <w:rFonts w:ascii="Daxline Offc Pro" w:hAnsi="Daxline Offc Pro"/>
          </w:rPr>
          <w:t>www.eduroma.sk</w:t>
        </w:r>
      </w:hyperlink>
      <w:r w:rsidRPr="00B70771">
        <w:t>”</w:t>
      </w:r>
      <w:r w:rsidRPr="00B70771">
        <w:rPr>
          <w:rFonts w:ascii="Daxline Offc Pro" w:hAnsi="Daxline Offc Pro"/>
          <w:i/>
        </w:rPr>
        <w:t xml:space="preserve"> (FRA, </w:t>
      </w:r>
      <w:hyperlink r:id="rId23" w:history="1">
        <w:r w:rsidRPr="00B70771">
          <w:rPr>
            <w:rStyle w:val="Hyperlink"/>
            <w:rFonts w:ascii="Daxline Offc Pro" w:hAnsi="Daxline Offc Pro"/>
            <w:i/>
          </w:rPr>
          <w:t>Fundamental Rights Report 2016</w:t>
        </w:r>
      </w:hyperlink>
      <w:r w:rsidRPr="00B70771">
        <w:rPr>
          <w:rFonts w:ascii="Daxline Offc Pro" w:hAnsi="Daxline Offc Pro"/>
          <w:i/>
        </w:rPr>
        <w:t>, May 2016, p. 101)</w:t>
      </w:r>
    </w:p>
    <w:p w14:paraId="7C83177B" w14:textId="77777777" w:rsidR="000B5320" w:rsidRDefault="000B5320" w:rsidP="000B5320">
      <w:pPr>
        <w:jc w:val="both"/>
        <w:rPr>
          <w:rFonts w:ascii="Daxline Offc Pro" w:hAnsi="Daxline Offc Pro"/>
          <w:i/>
        </w:rPr>
      </w:pPr>
      <w:r w:rsidRPr="00B70771">
        <w:rPr>
          <w:rFonts w:ascii="Daxline Offc Pro" w:hAnsi="Daxline Offc Pro"/>
        </w:rPr>
        <w:t xml:space="preserve">“In January 2016, the government of </w:t>
      </w:r>
      <w:r w:rsidRPr="00B70771">
        <w:rPr>
          <w:rFonts w:ascii="Daxline Offc Pro" w:hAnsi="Daxline Offc Pro"/>
          <w:b/>
        </w:rPr>
        <w:t>Slovakia</w:t>
      </w:r>
      <w:r w:rsidRPr="00B70771">
        <w:rPr>
          <w:rFonts w:ascii="Daxline Offc Pro" w:hAnsi="Daxline Offc Pro"/>
        </w:rPr>
        <w:t xml:space="preserve"> adopted an action plan to </w:t>
      </w:r>
      <w:r w:rsidRPr="00CA2392">
        <w:rPr>
          <w:rFonts w:ascii="Daxline Offc Pro" w:hAnsi="Daxline Offc Pro"/>
          <w:b/>
        </w:rPr>
        <w:t>prevent and eliminate racism, xenophobia, antisemitism and other forms of intolerance</w:t>
      </w:r>
      <w:r w:rsidRPr="00B70771">
        <w:rPr>
          <w:rFonts w:ascii="Daxline Offc Pro" w:hAnsi="Daxline Offc Pro"/>
        </w:rPr>
        <w:t>, covering the period 2016–2018. The plan’s main aims are to prevent racist stereotyping, prejudice and hate crime, as well as to actively combat racism, xenophobia and related intolerance</w:t>
      </w:r>
      <w:r w:rsidRPr="00B70771">
        <w:rPr>
          <w:rFonts w:ascii="Daxline Offc Pro" w:hAnsi="Daxline Offc Pro"/>
          <w:i/>
        </w:rPr>
        <w:t xml:space="preserve">.” (FRA, </w:t>
      </w:r>
      <w:hyperlink r:id="rId24" w:history="1">
        <w:r w:rsidRPr="00B70771">
          <w:rPr>
            <w:rStyle w:val="Hyperlink"/>
            <w:rFonts w:ascii="Daxline Offc Pro" w:hAnsi="Daxline Offc Pro"/>
            <w:i/>
          </w:rPr>
          <w:t>Fundamental Rights Report 2017</w:t>
        </w:r>
      </w:hyperlink>
      <w:r w:rsidRPr="00B70771">
        <w:rPr>
          <w:rFonts w:ascii="Daxline Offc Pro" w:hAnsi="Daxline Offc Pro"/>
          <w:i/>
        </w:rPr>
        <w:t>, May 2017, p. 90)</w:t>
      </w:r>
    </w:p>
    <w:p w14:paraId="4C28BA3A" w14:textId="77777777" w:rsidR="000B5320" w:rsidRPr="00BD5AF0" w:rsidRDefault="000B5320" w:rsidP="00BD5AF0"/>
    <w:sectPr w:rsidR="000B5320" w:rsidRPr="00BD5AF0">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CEBC4" w14:textId="77777777" w:rsidR="009B20A1" w:rsidRDefault="009B20A1" w:rsidP="00872AB3">
      <w:pPr>
        <w:spacing w:after="0" w:line="240" w:lineRule="auto"/>
      </w:pPr>
      <w:r>
        <w:separator/>
      </w:r>
    </w:p>
  </w:endnote>
  <w:endnote w:type="continuationSeparator" w:id="0">
    <w:p w14:paraId="5D80716C" w14:textId="77777777" w:rsidR="009B20A1" w:rsidRDefault="009B20A1" w:rsidP="0087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axline Offc Pro">
    <w:altName w:val="Segoe Script"/>
    <w:charset w:val="00"/>
    <w:family w:val="swiss"/>
    <w:pitch w:val="variable"/>
    <w:sig w:usb0="00000001" w:usb1="4000A4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498473"/>
      <w:docPartObj>
        <w:docPartGallery w:val="Page Numbers (Bottom of Page)"/>
        <w:docPartUnique/>
      </w:docPartObj>
    </w:sdtPr>
    <w:sdtEndPr>
      <w:rPr>
        <w:noProof/>
      </w:rPr>
    </w:sdtEndPr>
    <w:sdtContent>
      <w:p w14:paraId="478035EE" w14:textId="06851C5A" w:rsidR="00872AB3" w:rsidRDefault="00872AB3">
        <w:pPr>
          <w:pStyle w:val="Footer"/>
          <w:jc w:val="right"/>
        </w:pPr>
        <w:r>
          <w:fldChar w:fldCharType="begin"/>
        </w:r>
        <w:r>
          <w:instrText xml:space="preserve"> PAGE   \* MERGEFORMAT </w:instrText>
        </w:r>
        <w:r>
          <w:fldChar w:fldCharType="separate"/>
        </w:r>
        <w:r w:rsidR="004D4920">
          <w:rPr>
            <w:noProof/>
          </w:rPr>
          <w:t>2</w:t>
        </w:r>
        <w:r>
          <w:rPr>
            <w:noProof/>
          </w:rPr>
          <w:fldChar w:fldCharType="end"/>
        </w:r>
      </w:p>
    </w:sdtContent>
  </w:sdt>
  <w:p w14:paraId="733A731F" w14:textId="77777777" w:rsidR="00872AB3" w:rsidRDefault="00872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8B16E" w14:textId="77777777" w:rsidR="009B20A1" w:rsidRDefault="009B20A1" w:rsidP="00872AB3">
      <w:pPr>
        <w:spacing w:after="0" w:line="240" w:lineRule="auto"/>
      </w:pPr>
      <w:r>
        <w:separator/>
      </w:r>
    </w:p>
  </w:footnote>
  <w:footnote w:type="continuationSeparator" w:id="0">
    <w:p w14:paraId="72AA94F0" w14:textId="77777777" w:rsidR="009B20A1" w:rsidRDefault="009B20A1" w:rsidP="00872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423"/>
    <w:multiLevelType w:val="hybridMultilevel"/>
    <w:tmpl w:val="EF900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F0"/>
    <w:rsid w:val="0003793F"/>
    <w:rsid w:val="000B40A7"/>
    <w:rsid w:val="000B5320"/>
    <w:rsid w:val="002755A6"/>
    <w:rsid w:val="00281117"/>
    <w:rsid w:val="00412693"/>
    <w:rsid w:val="004A7F9F"/>
    <w:rsid w:val="004D4920"/>
    <w:rsid w:val="00775AF9"/>
    <w:rsid w:val="00787C53"/>
    <w:rsid w:val="007A2910"/>
    <w:rsid w:val="007C09F5"/>
    <w:rsid w:val="00872AB3"/>
    <w:rsid w:val="008C08FE"/>
    <w:rsid w:val="00993599"/>
    <w:rsid w:val="009B20A1"/>
    <w:rsid w:val="009F6368"/>
    <w:rsid w:val="00A30322"/>
    <w:rsid w:val="00A314D0"/>
    <w:rsid w:val="00A3291F"/>
    <w:rsid w:val="00A46446"/>
    <w:rsid w:val="00AB3B71"/>
    <w:rsid w:val="00B70771"/>
    <w:rsid w:val="00BD5AF0"/>
    <w:rsid w:val="00C476E2"/>
    <w:rsid w:val="00C56C1D"/>
    <w:rsid w:val="00CA2392"/>
    <w:rsid w:val="00D01CD3"/>
    <w:rsid w:val="00E0442D"/>
    <w:rsid w:val="00E12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7F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A29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A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5AF0"/>
    <w:rPr>
      <w:b/>
      <w:bCs/>
    </w:rPr>
  </w:style>
  <w:style w:type="paragraph" w:styleId="ListParagraph">
    <w:name w:val="List Paragraph"/>
    <w:basedOn w:val="Normal"/>
    <w:uiPriority w:val="34"/>
    <w:qFormat/>
    <w:rsid w:val="00BD5AF0"/>
    <w:pPr>
      <w:ind w:left="720"/>
      <w:contextualSpacing/>
    </w:pPr>
  </w:style>
  <w:style w:type="table" w:styleId="TableGrid">
    <w:name w:val="Table Grid"/>
    <w:basedOn w:val="TableNormal"/>
    <w:uiPriority w:val="39"/>
    <w:rsid w:val="00BD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7F9F"/>
    <w:rPr>
      <w:color w:val="0563C1" w:themeColor="hyperlink"/>
      <w:u w:val="single"/>
    </w:rPr>
  </w:style>
  <w:style w:type="character" w:customStyle="1" w:styleId="Heading1Char">
    <w:name w:val="Heading 1 Char"/>
    <w:basedOn w:val="DefaultParagraphFont"/>
    <w:link w:val="Heading1"/>
    <w:uiPriority w:val="9"/>
    <w:rsid w:val="004A7F9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A7F9F"/>
    <w:pPr>
      <w:outlineLvl w:val="9"/>
    </w:pPr>
    <w:rPr>
      <w:lang w:val="en-US"/>
    </w:rPr>
  </w:style>
  <w:style w:type="character" w:customStyle="1" w:styleId="Heading4Char">
    <w:name w:val="Heading 4 Char"/>
    <w:basedOn w:val="DefaultParagraphFont"/>
    <w:link w:val="Heading4"/>
    <w:uiPriority w:val="9"/>
    <w:semiHidden/>
    <w:rsid w:val="007A2910"/>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0B5320"/>
    <w:rPr>
      <w:sz w:val="16"/>
      <w:szCs w:val="16"/>
    </w:rPr>
  </w:style>
  <w:style w:type="paragraph" w:styleId="CommentText">
    <w:name w:val="annotation text"/>
    <w:basedOn w:val="Normal"/>
    <w:link w:val="CommentTextChar"/>
    <w:uiPriority w:val="99"/>
    <w:semiHidden/>
    <w:unhideWhenUsed/>
    <w:rsid w:val="000B5320"/>
    <w:pPr>
      <w:spacing w:line="240" w:lineRule="auto"/>
    </w:pPr>
    <w:rPr>
      <w:sz w:val="20"/>
      <w:szCs w:val="20"/>
    </w:rPr>
  </w:style>
  <w:style w:type="character" w:customStyle="1" w:styleId="CommentTextChar">
    <w:name w:val="Comment Text Char"/>
    <w:basedOn w:val="DefaultParagraphFont"/>
    <w:link w:val="CommentText"/>
    <w:uiPriority w:val="99"/>
    <w:semiHidden/>
    <w:rsid w:val="000B5320"/>
    <w:rPr>
      <w:sz w:val="20"/>
      <w:szCs w:val="20"/>
    </w:rPr>
  </w:style>
  <w:style w:type="paragraph" w:styleId="CommentSubject">
    <w:name w:val="annotation subject"/>
    <w:basedOn w:val="CommentText"/>
    <w:next w:val="CommentText"/>
    <w:link w:val="CommentSubjectChar"/>
    <w:uiPriority w:val="99"/>
    <w:semiHidden/>
    <w:unhideWhenUsed/>
    <w:rsid w:val="000B5320"/>
    <w:rPr>
      <w:b/>
      <w:bCs/>
    </w:rPr>
  </w:style>
  <w:style w:type="character" w:customStyle="1" w:styleId="CommentSubjectChar">
    <w:name w:val="Comment Subject Char"/>
    <w:basedOn w:val="CommentTextChar"/>
    <w:link w:val="CommentSubject"/>
    <w:uiPriority w:val="99"/>
    <w:semiHidden/>
    <w:rsid w:val="000B5320"/>
    <w:rPr>
      <w:b/>
      <w:bCs/>
      <w:sz w:val="20"/>
      <w:szCs w:val="20"/>
    </w:rPr>
  </w:style>
  <w:style w:type="paragraph" w:styleId="BalloonText">
    <w:name w:val="Balloon Text"/>
    <w:basedOn w:val="Normal"/>
    <w:link w:val="BalloonTextChar"/>
    <w:uiPriority w:val="99"/>
    <w:semiHidden/>
    <w:unhideWhenUsed/>
    <w:rsid w:val="000B5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320"/>
    <w:rPr>
      <w:rFonts w:ascii="Segoe UI" w:hAnsi="Segoe UI" w:cs="Segoe UI"/>
      <w:sz w:val="18"/>
      <w:szCs w:val="18"/>
    </w:rPr>
  </w:style>
  <w:style w:type="paragraph" w:styleId="TOC1">
    <w:name w:val="toc 1"/>
    <w:basedOn w:val="Normal"/>
    <w:next w:val="Normal"/>
    <w:autoRedefine/>
    <w:uiPriority w:val="39"/>
    <w:unhideWhenUsed/>
    <w:rsid w:val="002755A6"/>
    <w:pPr>
      <w:spacing w:after="100"/>
    </w:pPr>
  </w:style>
  <w:style w:type="paragraph" w:styleId="Header">
    <w:name w:val="header"/>
    <w:basedOn w:val="Normal"/>
    <w:link w:val="HeaderChar"/>
    <w:uiPriority w:val="99"/>
    <w:unhideWhenUsed/>
    <w:rsid w:val="00872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AB3"/>
  </w:style>
  <w:style w:type="paragraph" w:styleId="Footer">
    <w:name w:val="footer"/>
    <w:basedOn w:val="Normal"/>
    <w:link w:val="FooterChar"/>
    <w:uiPriority w:val="99"/>
    <w:unhideWhenUsed/>
    <w:rsid w:val="00872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7F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A29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A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5AF0"/>
    <w:rPr>
      <w:b/>
      <w:bCs/>
    </w:rPr>
  </w:style>
  <w:style w:type="paragraph" w:styleId="ListParagraph">
    <w:name w:val="List Paragraph"/>
    <w:basedOn w:val="Normal"/>
    <w:uiPriority w:val="34"/>
    <w:qFormat/>
    <w:rsid w:val="00BD5AF0"/>
    <w:pPr>
      <w:ind w:left="720"/>
      <w:contextualSpacing/>
    </w:pPr>
  </w:style>
  <w:style w:type="table" w:styleId="TableGrid">
    <w:name w:val="Table Grid"/>
    <w:basedOn w:val="TableNormal"/>
    <w:uiPriority w:val="39"/>
    <w:rsid w:val="00BD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7F9F"/>
    <w:rPr>
      <w:color w:val="0563C1" w:themeColor="hyperlink"/>
      <w:u w:val="single"/>
    </w:rPr>
  </w:style>
  <w:style w:type="character" w:customStyle="1" w:styleId="Heading1Char">
    <w:name w:val="Heading 1 Char"/>
    <w:basedOn w:val="DefaultParagraphFont"/>
    <w:link w:val="Heading1"/>
    <w:uiPriority w:val="9"/>
    <w:rsid w:val="004A7F9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A7F9F"/>
    <w:pPr>
      <w:outlineLvl w:val="9"/>
    </w:pPr>
    <w:rPr>
      <w:lang w:val="en-US"/>
    </w:rPr>
  </w:style>
  <w:style w:type="character" w:customStyle="1" w:styleId="Heading4Char">
    <w:name w:val="Heading 4 Char"/>
    <w:basedOn w:val="DefaultParagraphFont"/>
    <w:link w:val="Heading4"/>
    <w:uiPriority w:val="9"/>
    <w:semiHidden/>
    <w:rsid w:val="007A2910"/>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0B5320"/>
    <w:rPr>
      <w:sz w:val="16"/>
      <w:szCs w:val="16"/>
    </w:rPr>
  </w:style>
  <w:style w:type="paragraph" w:styleId="CommentText">
    <w:name w:val="annotation text"/>
    <w:basedOn w:val="Normal"/>
    <w:link w:val="CommentTextChar"/>
    <w:uiPriority w:val="99"/>
    <w:semiHidden/>
    <w:unhideWhenUsed/>
    <w:rsid w:val="000B5320"/>
    <w:pPr>
      <w:spacing w:line="240" w:lineRule="auto"/>
    </w:pPr>
    <w:rPr>
      <w:sz w:val="20"/>
      <w:szCs w:val="20"/>
    </w:rPr>
  </w:style>
  <w:style w:type="character" w:customStyle="1" w:styleId="CommentTextChar">
    <w:name w:val="Comment Text Char"/>
    <w:basedOn w:val="DefaultParagraphFont"/>
    <w:link w:val="CommentText"/>
    <w:uiPriority w:val="99"/>
    <w:semiHidden/>
    <w:rsid w:val="000B5320"/>
    <w:rPr>
      <w:sz w:val="20"/>
      <w:szCs w:val="20"/>
    </w:rPr>
  </w:style>
  <w:style w:type="paragraph" w:styleId="CommentSubject">
    <w:name w:val="annotation subject"/>
    <w:basedOn w:val="CommentText"/>
    <w:next w:val="CommentText"/>
    <w:link w:val="CommentSubjectChar"/>
    <w:uiPriority w:val="99"/>
    <w:semiHidden/>
    <w:unhideWhenUsed/>
    <w:rsid w:val="000B5320"/>
    <w:rPr>
      <w:b/>
      <w:bCs/>
    </w:rPr>
  </w:style>
  <w:style w:type="character" w:customStyle="1" w:styleId="CommentSubjectChar">
    <w:name w:val="Comment Subject Char"/>
    <w:basedOn w:val="CommentTextChar"/>
    <w:link w:val="CommentSubject"/>
    <w:uiPriority w:val="99"/>
    <w:semiHidden/>
    <w:rsid w:val="000B5320"/>
    <w:rPr>
      <w:b/>
      <w:bCs/>
      <w:sz w:val="20"/>
      <w:szCs w:val="20"/>
    </w:rPr>
  </w:style>
  <w:style w:type="paragraph" w:styleId="BalloonText">
    <w:name w:val="Balloon Text"/>
    <w:basedOn w:val="Normal"/>
    <w:link w:val="BalloonTextChar"/>
    <w:uiPriority w:val="99"/>
    <w:semiHidden/>
    <w:unhideWhenUsed/>
    <w:rsid w:val="000B5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320"/>
    <w:rPr>
      <w:rFonts w:ascii="Segoe UI" w:hAnsi="Segoe UI" w:cs="Segoe UI"/>
      <w:sz w:val="18"/>
      <w:szCs w:val="18"/>
    </w:rPr>
  </w:style>
  <w:style w:type="paragraph" w:styleId="TOC1">
    <w:name w:val="toc 1"/>
    <w:basedOn w:val="Normal"/>
    <w:next w:val="Normal"/>
    <w:autoRedefine/>
    <w:uiPriority w:val="39"/>
    <w:unhideWhenUsed/>
    <w:rsid w:val="002755A6"/>
    <w:pPr>
      <w:spacing w:after="100"/>
    </w:pPr>
  </w:style>
  <w:style w:type="paragraph" w:styleId="Header">
    <w:name w:val="header"/>
    <w:basedOn w:val="Normal"/>
    <w:link w:val="HeaderChar"/>
    <w:uiPriority w:val="99"/>
    <w:unhideWhenUsed/>
    <w:rsid w:val="00872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AB3"/>
  </w:style>
  <w:style w:type="paragraph" w:styleId="Footer">
    <w:name w:val="footer"/>
    <w:basedOn w:val="Normal"/>
    <w:link w:val="FooterChar"/>
    <w:uiPriority w:val="99"/>
    <w:unhideWhenUsed/>
    <w:rsid w:val="00872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184">
      <w:bodyDiv w:val="1"/>
      <w:marLeft w:val="0"/>
      <w:marRight w:val="0"/>
      <w:marTop w:val="0"/>
      <w:marBottom w:val="0"/>
      <w:divBdr>
        <w:top w:val="none" w:sz="0" w:space="0" w:color="auto"/>
        <w:left w:val="none" w:sz="0" w:space="0" w:color="auto"/>
        <w:bottom w:val="none" w:sz="0" w:space="0" w:color="auto"/>
        <w:right w:val="none" w:sz="0" w:space="0" w:color="auto"/>
      </w:divBdr>
    </w:div>
    <w:div w:id="581138109">
      <w:bodyDiv w:val="1"/>
      <w:marLeft w:val="0"/>
      <w:marRight w:val="0"/>
      <w:marTop w:val="0"/>
      <w:marBottom w:val="0"/>
      <w:divBdr>
        <w:top w:val="none" w:sz="0" w:space="0" w:color="auto"/>
        <w:left w:val="none" w:sz="0" w:space="0" w:color="auto"/>
        <w:bottom w:val="none" w:sz="0" w:space="0" w:color="auto"/>
        <w:right w:val="none" w:sz="0" w:space="0" w:color="auto"/>
      </w:divBdr>
    </w:div>
    <w:div w:id="629634247">
      <w:bodyDiv w:val="1"/>
      <w:marLeft w:val="0"/>
      <w:marRight w:val="0"/>
      <w:marTop w:val="0"/>
      <w:marBottom w:val="0"/>
      <w:divBdr>
        <w:top w:val="none" w:sz="0" w:space="0" w:color="auto"/>
        <w:left w:val="none" w:sz="0" w:space="0" w:color="auto"/>
        <w:bottom w:val="none" w:sz="0" w:space="0" w:color="auto"/>
        <w:right w:val="none" w:sz="0" w:space="0" w:color="auto"/>
      </w:divBdr>
    </w:div>
    <w:div w:id="1009796704">
      <w:bodyDiv w:val="1"/>
      <w:marLeft w:val="0"/>
      <w:marRight w:val="0"/>
      <w:marTop w:val="0"/>
      <w:marBottom w:val="0"/>
      <w:divBdr>
        <w:top w:val="none" w:sz="0" w:space="0" w:color="auto"/>
        <w:left w:val="none" w:sz="0" w:space="0" w:color="auto"/>
        <w:bottom w:val="none" w:sz="0" w:space="0" w:color="auto"/>
        <w:right w:val="none" w:sz="0" w:space="0" w:color="auto"/>
      </w:divBdr>
    </w:div>
    <w:div w:id="1193686732">
      <w:bodyDiv w:val="1"/>
      <w:marLeft w:val="0"/>
      <w:marRight w:val="0"/>
      <w:marTop w:val="0"/>
      <w:marBottom w:val="0"/>
      <w:divBdr>
        <w:top w:val="none" w:sz="0" w:space="0" w:color="auto"/>
        <w:left w:val="none" w:sz="0" w:space="0" w:color="auto"/>
        <w:bottom w:val="none" w:sz="0" w:space="0" w:color="auto"/>
        <w:right w:val="none" w:sz="0" w:space="0" w:color="auto"/>
      </w:divBdr>
    </w:div>
    <w:div w:id="1269309486">
      <w:bodyDiv w:val="1"/>
      <w:marLeft w:val="0"/>
      <w:marRight w:val="0"/>
      <w:marTop w:val="0"/>
      <w:marBottom w:val="0"/>
      <w:divBdr>
        <w:top w:val="none" w:sz="0" w:space="0" w:color="auto"/>
        <w:left w:val="none" w:sz="0" w:space="0" w:color="auto"/>
        <w:bottom w:val="none" w:sz="0" w:space="0" w:color="auto"/>
        <w:right w:val="none" w:sz="0" w:space="0" w:color="auto"/>
      </w:divBdr>
    </w:div>
    <w:div w:id="1428503512">
      <w:bodyDiv w:val="1"/>
      <w:marLeft w:val="0"/>
      <w:marRight w:val="0"/>
      <w:marTop w:val="0"/>
      <w:marBottom w:val="0"/>
      <w:divBdr>
        <w:top w:val="none" w:sz="0" w:space="0" w:color="auto"/>
        <w:left w:val="none" w:sz="0" w:space="0" w:color="auto"/>
        <w:bottom w:val="none" w:sz="0" w:space="0" w:color="auto"/>
        <w:right w:val="none" w:sz="0" w:space="0" w:color="auto"/>
      </w:divBdr>
    </w:div>
    <w:div w:id="1433279015">
      <w:bodyDiv w:val="1"/>
      <w:marLeft w:val="0"/>
      <w:marRight w:val="0"/>
      <w:marTop w:val="0"/>
      <w:marBottom w:val="0"/>
      <w:divBdr>
        <w:top w:val="none" w:sz="0" w:space="0" w:color="auto"/>
        <w:left w:val="none" w:sz="0" w:space="0" w:color="auto"/>
        <w:bottom w:val="none" w:sz="0" w:space="0" w:color="auto"/>
        <w:right w:val="none" w:sz="0" w:space="0" w:color="auto"/>
      </w:divBdr>
    </w:div>
    <w:div w:id="1481538951">
      <w:bodyDiv w:val="1"/>
      <w:marLeft w:val="0"/>
      <w:marRight w:val="0"/>
      <w:marTop w:val="0"/>
      <w:marBottom w:val="0"/>
      <w:divBdr>
        <w:top w:val="none" w:sz="0" w:space="0" w:color="auto"/>
        <w:left w:val="none" w:sz="0" w:space="0" w:color="auto"/>
        <w:bottom w:val="none" w:sz="0" w:space="0" w:color="auto"/>
        <w:right w:val="none" w:sz="0" w:space="0" w:color="auto"/>
      </w:divBdr>
    </w:div>
    <w:div w:id="1781945971">
      <w:bodyDiv w:val="1"/>
      <w:marLeft w:val="0"/>
      <w:marRight w:val="0"/>
      <w:marTop w:val="0"/>
      <w:marBottom w:val="0"/>
      <w:divBdr>
        <w:top w:val="none" w:sz="0" w:space="0" w:color="auto"/>
        <w:left w:val="none" w:sz="0" w:space="0" w:color="auto"/>
        <w:bottom w:val="none" w:sz="0" w:space="0" w:color="auto"/>
        <w:right w:val="none" w:sz="0" w:space="0" w:color="auto"/>
      </w:divBdr>
    </w:div>
    <w:div w:id="1844392699">
      <w:bodyDiv w:val="1"/>
      <w:marLeft w:val="0"/>
      <w:marRight w:val="0"/>
      <w:marTop w:val="0"/>
      <w:marBottom w:val="0"/>
      <w:divBdr>
        <w:top w:val="none" w:sz="0" w:space="0" w:color="auto"/>
        <w:left w:val="none" w:sz="0" w:space="0" w:color="auto"/>
        <w:bottom w:val="none" w:sz="0" w:space="0" w:color="auto"/>
        <w:right w:val="none" w:sz="0" w:space="0" w:color="auto"/>
      </w:divBdr>
    </w:div>
    <w:div w:id="21221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a.europa.eu/en/publication/2017/fundamental-rights-report-2017" TargetMode="External"/><Relationship Id="rId18" Type="http://schemas.openxmlformats.org/officeDocument/2006/relationships/hyperlink" Target="http://fra.europa.eu/en/publication/2017/fundamental-rights-report-20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ra.europa.eu/en/publication/2017/fundamental-rights-report-2017" TargetMode="External"/><Relationship Id="rId7" Type="http://schemas.openxmlformats.org/officeDocument/2006/relationships/footnotes" Target="footnotes.xml"/><Relationship Id="rId12" Type="http://schemas.openxmlformats.org/officeDocument/2006/relationships/hyperlink" Target="http://fra.europa.eu/en/publication/2017/fundamental-rights-report-2017" TargetMode="External"/><Relationship Id="rId17" Type="http://schemas.openxmlformats.org/officeDocument/2006/relationships/hyperlink" Target="http://fra.europa.eu/en/publication/2017/fundamental-rights-report-201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ra.europa.eu/en/publication/2017/fundamental-rights-report-2017" TargetMode="External"/><Relationship Id="rId20" Type="http://schemas.openxmlformats.org/officeDocument/2006/relationships/hyperlink" Target="http://fra.europa.eu/en/publication/2017/fundamental-rights-report-2017"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a.europa.eu/en/publication/2016/current-migration-situation-eu-hate-crime" TargetMode="External"/><Relationship Id="rId24" Type="http://schemas.openxmlformats.org/officeDocument/2006/relationships/hyperlink" Target="http://fra.europa.eu/en/publication/2017/fundamental-rights-report-2017" TargetMode="External"/><Relationship Id="rId5" Type="http://schemas.openxmlformats.org/officeDocument/2006/relationships/settings" Target="settings.xml"/><Relationship Id="rId15" Type="http://schemas.openxmlformats.org/officeDocument/2006/relationships/hyperlink" Target="http://fra.europa.eu/en/publication/2016/fundamental-rights-report-2016" TargetMode="External"/><Relationship Id="rId23" Type="http://schemas.openxmlformats.org/officeDocument/2006/relationships/hyperlink" Target="http://fra.europa.eu/en/publication/2016/fundamental-rights-report-2016" TargetMode="External"/><Relationship Id="rId28" Type="http://schemas.openxmlformats.org/officeDocument/2006/relationships/customXml" Target="../customXml/item2.xml"/><Relationship Id="rId10" Type="http://schemas.openxmlformats.org/officeDocument/2006/relationships/hyperlink" Target="http://fra.europa.eu/en/publication/2016/ensuring-justice-hate-crime-victims-professional-perspectives" TargetMode="External"/><Relationship Id="rId19" Type="http://schemas.openxmlformats.org/officeDocument/2006/relationships/hyperlink" Target="http://fra.europa.eu/en/publication/2016/ensuring-justice-hate-crime-victims-professional-perspectives" TargetMode="External"/><Relationship Id="rId4" Type="http://schemas.microsoft.com/office/2007/relationships/stylesWithEffects" Target="stylesWithEffects.xml"/><Relationship Id="rId9" Type="http://schemas.openxmlformats.org/officeDocument/2006/relationships/hyperlink" Target="http://fra.europa.eu/" TargetMode="External"/><Relationship Id="rId14" Type="http://schemas.openxmlformats.org/officeDocument/2006/relationships/hyperlink" Target="http://fra.europa.eu/en/publication/2017/fundamental-rights-report-2017" TargetMode="External"/><Relationship Id="rId22" Type="http://schemas.openxmlformats.org/officeDocument/2006/relationships/hyperlink" Target="http://www.eduroma.sk"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c437bac2dafaf8737ed4b52229b52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9C5BD-2E84-4D48-9452-6A9184A17F6A}"/>
</file>

<file path=customXml/itemProps2.xml><?xml version="1.0" encoding="utf-8"?>
<ds:datastoreItem xmlns:ds="http://schemas.openxmlformats.org/officeDocument/2006/customXml" ds:itemID="{43C78DC5-B257-4168-8FAD-CE9ACBBCBC7B}"/>
</file>

<file path=customXml/itemProps3.xml><?xml version="1.0" encoding="utf-8"?>
<ds:datastoreItem xmlns:ds="http://schemas.openxmlformats.org/officeDocument/2006/customXml" ds:itemID="{2D7215FC-0A61-4685-AE3A-3E4E8E96CA72}"/>
</file>

<file path=customXml/itemProps4.xml><?xml version="1.0" encoding="utf-8"?>
<ds:datastoreItem xmlns:ds="http://schemas.openxmlformats.org/officeDocument/2006/customXml" ds:itemID="{F17BDA62-EE10-4580-9A21-7CE8C27AC343}"/>
</file>

<file path=docProps/app.xml><?xml version="1.0" encoding="utf-8"?>
<Properties xmlns="http://schemas.openxmlformats.org/officeDocument/2006/extended-properties" xmlns:vt="http://schemas.openxmlformats.org/officeDocument/2006/docPropsVTypes">
  <Template>Normal.dotm</Template>
  <TotalTime>1</TotalTime>
  <Pages>5</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EU Fundamental Rights Agency</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BOURGEAIS Caroline (FRA)</dc:creator>
  <cp:lastModifiedBy>Kalpana Singh</cp:lastModifiedBy>
  <cp:revision>2</cp:revision>
  <dcterms:created xsi:type="dcterms:W3CDTF">2017-10-17T07:54:00Z</dcterms:created>
  <dcterms:modified xsi:type="dcterms:W3CDTF">2017-10-17T07:54:00Z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