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438" w:rsidRPr="00A543FB" w:rsidRDefault="00DD6520" w:rsidP="00CE61B5">
      <w:pPr>
        <w:spacing w:after="0" w:line="360" w:lineRule="auto"/>
        <w:contextualSpacing/>
        <w:jc w:val="center"/>
      </w:pPr>
      <w:bookmarkStart w:id="0" w:name="_Hlk213669420"/>
      <w:r w:rsidRPr="00A543FB">
        <w:rPr>
          <w:noProof/>
        </w:rPr>
        <w:drawing>
          <wp:inline distT="0" distB="0" distL="0" distR="0">
            <wp:extent cx="838200" cy="952500"/>
            <wp:effectExtent l="0" t="0" r="0" b="0"/>
            <wp:docPr id="1" name="Picture 1" descr="Coat of arms M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92073" name="Picture 1" descr="grb mali"/>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38200" cy="952500"/>
                    </a:xfrm>
                    <a:prstGeom prst="rect">
                      <a:avLst/>
                    </a:prstGeom>
                    <a:noFill/>
                    <a:ln>
                      <a:noFill/>
                    </a:ln>
                  </pic:spPr>
                </pic:pic>
              </a:graphicData>
            </a:graphic>
          </wp:inline>
        </w:drawing>
      </w:r>
    </w:p>
    <w:p w:rsidR="000D5438" w:rsidRPr="00A543FB" w:rsidRDefault="00DD6520" w:rsidP="00CE61B5">
      <w:pPr>
        <w:spacing w:after="0" w:line="360" w:lineRule="auto"/>
        <w:contextualSpacing/>
        <w:jc w:val="center"/>
        <w:rPr>
          <w:rFonts w:ascii="Monotype Corsiva" w:hAnsi="Monotype Corsiva"/>
        </w:rPr>
      </w:pPr>
      <w:r w:rsidRPr="00A543FB">
        <w:rPr>
          <w:rFonts w:ascii="Monotype Corsiva" w:hAnsi="Monotype Corsiva"/>
        </w:rPr>
        <w:t xml:space="preserve">Montenegro </w:t>
      </w:r>
    </w:p>
    <w:p w:rsidR="000D5438" w:rsidRPr="00A543FB" w:rsidRDefault="00DD6520" w:rsidP="00CE61B5">
      <w:pPr>
        <w:spacing w:after="0" w:line="360" w:lineRule="auto"/>
        <w:contextualSpacing/>
        <w:jc w:val="center"/>
        <w:rPr>
          <w:rFonts w:ascii="Monotype Corsiva" w:hAnsi="Monotype Corsiva"/>
        </w:rPr>
      </w:pPr>
      <w:r w:rsidRPr="00A543FB">
        <w:rPr>
          <w:rFonts w:ascii="Monotype Corsiva" w:hAnsi="Monotype Corsiva"/>
        </w:rPr>
        <w:t>_____________________________________</w:t>
      </w:r>
    </w:p>
    <w:p w:rsidR="000D5438" w:rsidRPr="00A543FB" w:rsidRDefault="00DD6520" w:rsidP="00CE61B5">
      <w:pPr>
        <w:spacing w:after="0" w:line="360" w:lineRule="auto"/>
        <w:contextualSpacing/>
        <w:jc w:val="center"/>
        <w:rPr>
          <w:rFonts w:ascii="Times New Roman" w:hAnsi="Times New Roman" w:cs="Times New Roman"/>
          <w:b/>
          <w:i/>
        </w:rPr>
      </w:pPr>
      <w:r w:rsidRPr="00A543FB">
        <w:rPr>
          <w:rFonts w:ascii="Times New Roman" w:hAnsi="Times New Roman" w:cs="Times New Roman"/>
          <w:b/>
          <w:i/>
        </w:rPr>
        <w:t xml:space="preserve">Ministry of </w:t>
      </w:r>
      <w:r w:rsidR="00A54C53" w:rsidRPr="00A543FB">
        <w:rPr>
          <w:rFonts w:ascii="Times New Roman" w:hAnsi="Times New Roman" w:cs="Times New Roman"/>
          <w:b/>
          <w:i/>
        </w:rPr>
        <w:t>Labor</w:t>
      </w:r>
      <w:r w:rsidRPr="00A543FB">
        <w:rPr>
          <w:rFonts w:ascii="Times New Roman" w:hAnsi="Times New Roman" w:cs="Times New Roman"/>
          <w:b/>
          <w:i/>
        </w:rPr>
        <w:t xml:space="preserve">, Employment and Social Dialogue </w:t>
      </w:r>
    </w:p>
    <w:p w:rsidR="000D5438" w:rsidRPr="00A543FB" w:rsidRDefault="000D5438" w:rsidP="00CE61B5">
      <w:pPr>
        <w:spacing w:after="0" w:line="360" w:lineRule="auto"/>
        <w:contextualSpacing/>
        <w:jc w:val="center"/>
        <w:rPr>
          <w:rFonts w:ascii="Monotype Corsiva" w:hAnsi="Monotype Corsiva"/>
        </w:rPr>
      </w:pPr>
    </w:p>
    <w:p w:rsidR="00412C8D" w:rsidRPr="00A543FB" w:rsidRDefault="00DD6520" w:rsidP="00CE61B5">
      <w:pPr>
        <w:tabs>
          <w:tab w:val="left" w:pos="3667"/>
        </w:tabs>
        <w:spacing w:after="0" w:line="360" w:lineRule="auto"/>
        <w:ind w:left="5760"/>
        <w:contextualSpacing/>
        <w:jc w:val="center"/>
        <w:rPr>
          <w:rFonts w:ascii="Times New Roman" w:hAnsi="Times New Roman" w:cs="Times New Roman"/>
          <w:u w:val="single"/>
        </w:rPr>
      </w:pP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p>
    <w:p w:rsidR="00691BFF" w:rsidRPr="00A543FB" w:rsidRDefault="00DD6520" w:rsidP="00CE61B5">
      <w:pPr>
        <w:tabs>
          <w:tab w:val="left" w:pos="3210"/>
        </w:tabs>
        <w:spacing w:after="0" w:line="360" w:lineRule="auto"/>
        <w:contextualSpacing/>
        <w:rPr>
          <w:rFonts w:ascii="Monotype Corsiva" w:hAnsi="Monotype Corsiva"/>
        </w:rPr>
      </w:pP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p>
    <w:p w:rsidR="00691BFF" w:rsidRPr="00A543FB" w:rsidRDefault="00691BFF" w:rsidP="00CE61B5">
      <w:pPr>
        <w:tabs>
          <w:tab w:val="left" w:pos="3210"/>
        </w:tabs>
        <w:spacing w:after="0" w:line="360" w:lineRule="auto"/>
        <w:contextualSpacing/>
        <w:rPr>
          <w:rFonts w:ascii="Monotype Corsiva" w:hAnsi="Monotype Corsiva"/>
        </w:rPr>
      </w:pPr>
    </w:p>
    <w:p w:rsidR="000D5438" w:rsidRPr="00A543FB" w:rsidRDefault="00DD6520" w:rsidP="00CE61B5">
      <w:pPr>
        <w:tabs>
          <w:tab w:val="left" w:pos="3210"/>
        </w:tabs>
        <w:spacing w:after="0" w:line="360" w:lineRule="auto"/>
        <w:contextualSpacing/>
        <w:rPr>
          <w:rFonts w:ascii="Monotype Corsiva" w:hAnsi="Monotype Corsiva"/>
        </w:rPr>
      </w:pP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r w:rsidRPr="00A543FB">
        <w:rPr>
          <w:rFonts w:ascii="Monotype Corsiva" w:hAnsi="Monotype Corsiva"/>
        </w:rPr>
        <w:tab/>
      </w:r>
    </w:p>
    <w:p w:rsidR="00412C8D" w:rsidRPr="00A543FB" w:rsidRDefault="00412C8D" w:rsidP="00CE61B5">
      <w:pPr>
        <w:spacing w:after="0" w:line="360" w:lineRule="auto"/>
        <w:contextualSpacing/>
        <w:jc w:val="center"/>
        <w:rPr>
          <w:rFonts w:ascii="Times New Roman" w:hAnsi="Times New Roman" w:cs="Times New Roman"/>
          <w:b/>
        </w:rPr>
      </w:pPr>
    </w:p>
    <w:p w:rsidR="000D5438" w:rsidRPr="00A543FB" w:rsidRDefault="00DD6520" w:rsidP="00CE61B5">
      <w:pPr>
        <w:spacing w:after="0" w:line="360" w:lineRule="auto"/>
        <w:contextualSpacing/>
        <w:jc w:val="center"/>
        <w:rPr>
          <w:rFonts w:ascii="Times New Roman" w:hAnsi="Times New Roman" w:cs="Times New Roman"/>
          <w:b/>
        </w:rPr>
      </w:pPr>
      <w:bookmarkStart w:id="1" w:name="_GoBack"/>
      <w:r w:rsidRPr="00A543FB">
        <w:rPr>
          <w:rFonts w:ascii="Times New Roman" w:hAnsi="Times New Roman" w:cs="Times New Roman"/>
          <w:b/>
        </w:rPr>
        <w:t xml:space="preserve">SECOND PERIODIC REPORT ON THE IMPLEMENTATION OF THE INTERNATIONAL COVENANT ON ECONOMIC, SOCIAL AND CULTURAL RIGHTS </w:t>
      </w:r>
      <w:r w:rsidR="003562A6" w:rsidRPr="00A543FB">
        <w:rPr>
          <w:rFonts w:ascii="Times New Roman" w:hAnsi="Times New Roman" w:cs="Times New Roman"/>
          <w:b/>
        </w:rPr>
        <w:t xml:space="preserve"> </w:t>
      </w:r>
    </w:p>
    <w:bookmarkEnd w:id="1"/>
    <w:p w:rsidR="000D5438" w:rsidRPr="00A543FB" w:rsidRDefault="000D5438" w:rsidP="00CE61B5">
      <w:pPr>
        <w:spacing w:after="0" w:line="360" w:lineRule="auto"/>
        <w:contextualSpacing/>
        <w:jc w:val="center"/>
        <w:rPr>
          <w:rFonts w:ascii="Monotype Corsiva" w:hAnsi="Monotype Corsiva"/>
        </w:rPr>
      </w:pPr>
    </w:p>
    <w:p w:rsidR="000D5438" w:rsidRPr="00A543FB" w:rsidRDefault="000D5438" w:rsidP="00CE61B5">
      <w:pPr>
        <w:spacing w:after="0" w:line="360" w:lineRule="auto"/>
        <w:contextualSpacing/>
        <w:jc w:val="center"/>
        <w:rPr>
          <w:rFonts w:ascii="Monotype Corsiva" w:hAnsi="Monotype Corsiva"/>
        </w:rPr>
      </w:pPr>
    </w:p>
    <w:p w:rsidR="000D5438" w:rsidRPr="00A543FB" w:rsidRDefault="000D5438"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0D5438" w:rsidRPr="00A543FB" w:rsidRDefault="000D5438" w:rsidP="00CE61B5">
      <w:pPr>
        <w:spacing w:after="0" w:line="360" w:lineRule="auto"/>
        <w:contextualSpacing/>
        <w:jc w:val="center"/>
        <w:rPr>
          <w:rFonts w:ascii="Times New Roman" w:hAnsi="Times New Roman" w:cs="Times New Roman"/>
          <w:b/>
        </w:rPr>
      </w:pPr>
    </w:p>
    <w:p w:rsidR="000D5438" w:rsidRPr="00A543FB" w:rsidRDefault="000D5438"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691BFF" w:rsidRPr="00A543FB" w:rsidRDefault="00691BFF" w:rsidP="00CE61B5">
      <w:pPr>
        <w:spacing w:after="0" w:line="360" w:lineRule="auto"/>
        <w:contextualSpacing/>
        <w:jc w:val="center"/>
        <w:rPr>
          <w:rFonts w:ascii="Times New Roman" w:hAnsi="Times New Roman" w:cs="Times New Roman"/>
          <w:b/>
        </w:rPr>
      </w:pPr>
    </w:p>
    <w:p w:rsidR="00DB24C8" w:rsidRPr="00A543FB" w:rsidRDefault="00DB24C8" w:rsidP="00CE61B5">
      <w:pPr>
        <w:spacing w:after="0" w:line="360" w:lineRule="auto"/>
        <w:contextualSpacing/>
        <w:jc w:val="center"/>
        <w:rPr>
          <w:rFonts w:ascii="Times New Roman" w:hAnsi="Times New Roman" w:cs="Times New Roman"/>
          <w:b/>
        </w:rPr>
      </w:pPr>
    </w:p>
    <w:p w:rsidR="000D5438" w:rsidRPr="00A543FB" w:rsidRDefault="00DD6520" w:rsidP="00CE61B5">
      <w:pPr>
        <w:spacing w:after="0" w:line="360" w:lineRule="auto"/>
        <w:contextualSpacing/>
        <w:jc w:val="center"/>
        <w:rPr>
          <w:rFonts w:ascii="Times New Roman" w:hAnsi="Times New Roman" w:cs="Times New Roman"/>
          <w:b/>
        </w:rPr>
      </w:pPr>
      <w:r w:rsidRPr="00A543FB">
        <w:rPr>
          <w:rFonts w:ascii="Times New Roman" w:hAnsi="Times New Roman" w:cs="Times New Roman"/>
          <w:b/>
        </w:rPr>
        <w:t xml:space="preserve">Podgorica, </w:t>
      </w:r>
      <w:r w:rsidR="009A6AF0" w:rsidRPr="00A543FB">
        <w:rPr>
          <w:rFonts w:ascii="Times New Roman" w:hAnsi="Times New Roman" w:cs="Times New Roman"/>
          <w:b/>
        </w:rPr>
        <w:t>J</w:t>
      </w:r>
      <w:r w:rsidR="00B402BB" w:rsidRPr="00A543FB">
        <w:rPr>
          <w:rFonts w:ascii="Times New Roman" w:hAnsi="Times New Roman" w:cs="Times New Roman"/>
          <w:b/>
        </w:rPr>
        <w:t>anuar</w:t>
      </w:r>
      <w:r w:rsidR="009A6AF0" w:rsidRPr="00A543FB">
        <w:rPr>
          <w:rFonts w:ascii="Times New Roman" w:hAnsi="Times New Roman" w:cs="Times New Roman"/>
          <w:b/>
        </w:rPr>
        <w:t>y</w:t>
      </w:r>
      <w:r w:rsidRPr="00A543FB">
        <w:rPr>
          <w:rFonts w:ascii="Times New Roman" w:hAnsi="Times New Roman" w:cs="Times New Roman"/>
          <w:b/>
        </w:rPr>
        <w:t xml:space="preserve"> 202</w:t>
      </w:r>
      <w:r w:rsidR="00B402BB" w:rsidRPr="00A543FB">
        <w:rPr>
          <w:rFonts w:ascii="Times New Roman" w:hAnsi="Times New Roman" w:cs="Times New Roman"/>
          <w:b/>
        </w:rPr>
        <w:t>6</w:t>
      </w:r>
      <w:r w:rsidR="009A6AF0" w:rsidRPr="00A543FB">
        <w:rPr>
          <w:rFonts w:ascii="Times New Roman" w:hAnsi="Times New Roman" w:cs="Times New Roman"/>
          <w:b/>
        </w:rPr>
        <w:t xml:space="preserve"> </w:t>
      </w:r>
    </w:p>
    <w:p w:rsidR="002339BD" w:rsidRPr="00A543FB" w:rsidRDefault="002339BD" w:rsidP="00CE61B5">
      <w:pPr>
        <w:spacing w:after="0" w:line="360" w:lineRule="auto"/>
        <w:contextualSpacing/>
        <w:jc w:val="center"/>
        <w:rPr>
          <w:rFonts w:ascii="Times New Roman" w:hAnsi="Times New Roman" w:cs="Times New Roman"/>
          <w:b/>
        </w:rPr>
      </w:pPr>
    </w:p>
    <w:p w:rsidR="002339BD" w:rsidRPr="00A543FB" w:rsidRDefault="002339BD" w:rsidP="00CE61B5">
      <w:pPr>
        <w:spacing w:after="0" w:line="360" w:lineRule="auto"/>
        <w:contextualSpacing/>
        <w:jc w:val="center"/>
        <w:rPr>
          <w:rFonts w:ascii="Times New Roman" w:hAnsi="Times New Roman" w:cs="Times New Roman"/>
          <w:b/>
        </w:rPr>
      </w:pPr>
    </w:p>
    <w:p w:rsidR="002339BD" w:rsidRPr="00A543FB" w:rsidRDefault="002339BD" w:rsidP="00CE61B5">
      <w:pPr>
        <w:spacing w:after="0" w:line="360" w:lineRule="auto"/>
        <w:contextualSpacing/>
        <w:jc w:val="center"/>
        <w:rPr>
          <w:rFonts w:ascii="Times New Roman" w:hAnsi="Times New Roman" w:cs="Times New Roman"/>
          <w:b/>
        </w:rPr>
      </w:pPr>
    </w:p>
    <w:p w:rsidR="002339BD" w:rsidRPr="00A543FB" w:rsidRDefault="002339BD" w:rsidP="00CE61B5">
      <w:pPr>
        <w:spacing w:after="0" w:line="360" w:lineRule="auto"/>
        <w:contextualSpacing/>
        <w:jc w:val="center"/>
        <w:rPr>
          <w:rFonts w:ascii="Times New Roman" w:hAnsi="Times New Roman" w:cs="Times New Roman"/>
          <w:b/>
        </w:rPr>
      </w:pPr>
    </w:p>
    <w:p w:rsidR="00E6187F" w:rsidRPr="00A543FB" w:rsidRDefault="00DD6520" w:rsidP="00CE61B5">
      <w:pPr>
        <w:spacing w:after="0" w:line="360" w:lineRule="auto"/>
        <w:contextualSpacing/>
        <w:rPr>
          <w:rFonts w:ascii="Times New Roman" w:eastAsia="Times New Roman" w:hAnsi="Times New Roman" w:cs="Times New Roman"/>
          <w:b/>
        </w:rPr>
      </w:pPr>
      <w:r w:rsidRPr="00A543FB">
        <w:rPr>
          <w:rFonts w:ascii="Times New Roman" w:eastAsia="Times New Roman" w:hAnsi="Times New Roman" w:cs="Times New Roman"/>
        </w:rPr>
        <w:t> </w:t>
      </w:r>
      <w:r w:rsidR="009A6AF0" w:rsidRPr="00A543FB">
        <w:rPr>
          <w:rFonts w:ascii="Times New Roman" w:hAnsi="Times New Roman" w:cs="Times New Roman"/>
          <w:b/>
        </w:rPr>
        <w:t xml:space="preserve">INTRODUCTION </w:t>
      </w:r>
      <w:r w:rsidRPr="00A543FB">
        <w:rPr>
          <w:rFonts w:ascii="Times New Roman" w:hAnsi="Times New Roman" w:cs="Times New Roman"/>
          <w:b/>
        </w:rPr>
        <w:t xml:space="preserve"> </w:t>
      </w:r>
    </w:p>
    <w:p w:rsidR="00691BFF" w:rsidRPr="00A543FB" w:rsidRDefault="00691BFF" w:rsidP="00CE61B5">
      <w:pPr>
        <w:spacing w:after="0" w:line="360" w:lineRule="auto"/>
        <w:contextualSpacing/>
        <w:jc w:val="both"/>
        <w:rPr>
          <w:rFonts w:ascii="Times New Roman" w:hAnsi="Times New Roman" w:cs="Times New Roman"/>
        </w:rPr>
      </w:pPr>
    </w:p>
    <w:p w:rsidR="009A6AF0" w:rsidRPr="00A543FB" w:rsidRDefault="00DD6520" w:rsidP="009A6AF0">
      <w:pPr>
        <w:spacing w:after="0" w:line="360" w:lineRule="auto"/>
        <w:contextualSpacing/>
        <w:jc w:val="both"/>
        <w:rPr>
          <w:rFonts w:ascii="Times New Roman" w:hAnsi="Times New Roman" w:cs="Times New Roman"/>
        </w:rPr>
      </w:pPr>
      <w:r w:rsidRPr="00A543FB">
        <w:rPr>
          <w:rFonts w:ascii="Times New Roman" w:hAnsi="Times New Roman" w:cs="Times New Roman"/>
        </w:rPr>
        <w:t>Montenegro is a State Party to the ICESCR and its Optional Protocol. In accordance with Article 9 of the Constitution of Montenegro</w:t>
      </w:r>
      <w:r w:rsidR="00E2395E" w:rsidRPr="00A543FB">
        <w:rPr>
          <w:rFonts w:ascii="Times New Roman" w:hAnsi="Times New Roman" w:cs="Times New Roman"/>
        </w:rPr>
        <w:t xml:space="preserve">, </w:t>
      </w:r>
      <w:r w:rsidRPr="00A543FB">
        <w:rPr>
          <w:rFonts w:ascii="Times New Roman" w:hAnsi="Times New Roman" w:cs="Times New Roman"/>
        </w:rPr>
        <w:t xml:space="preserve">Covenant </w:t>
      </w:r>
      <w:r w:rsidR="00E2395E" w:rsidRPr="00A543FB">
        <w:rPr>
          <w:rFonts w:ascii="Times New Roman" w:hAnsi="Times New Roman" w:cs="Times New Roman"/>
        </w:rPr>
        <w:t xml:space="preserve">provisions </w:t>
      </w:r>
      <w:r w:rsidRPr="00A543FB">
        <w:rPr>
          <w:rFonts w:ascii="Times New Roman" w:hAnsi="Times New Roman" w:cs="Times New Roman"/>
        </w:rPr>
        <w:t xml:space="preserve">form an integral part of the domestic legal order, </w:t>
      </w:r>
      <w:r w:rsidR="00517E74" w:rsidRPr="00517E74">
        <w:rPr>
          <w:rFonts w:ascii="Times New Roman" w:hAnsi="Times New Roman" w:cs="Times New Roman"/>
        </w:rPr>
        <w:t>prevail over national legislation, and apply directly when</w:t>
      </w:r>
      <w:r w:rsidR="00517E74">
        <w:rPr>
          <w:rFonts w:ascii="Times New Roman" w:hAnsi="Times New Roman" w:cs="Times New Roman"/>
        </w:rPr>
        <w:t xml:space="preserve"> they differ from domestic laws</w:t>
      </w:r>
      <w:r w:rsidRPr="00A543FB">
        <w:rPr>
          <w:rFonts w:ascii="Times New Roman" w:hAnsi="Times New Roman" w:cs="Times New Roman"/>
        </w:rPr>
        <w:t xml:space="preserve">. </w:t>
      </w:r>
    </w:p>
    <w:p w:rsidR="009A6AF0" w:rsidRPr="00A543FB" w:rsidRDefault="00DD6520" w:rsidP="009A6AF0">
      <w:pPr>
        <w:spacing w:after="0" w:line="360" w:lineRule="auto"/>
        <w:contextualSpacing/>
        <w:jc w:val="both"/>
        <w:rPr>
          <w:rFonts w:ascii="Times New Roman" w:hAnsi="Times New Roman" w:cs="Times New Roman"/>
        </w:rPr>
      </w:pPr>
      <w:r w:rsidRPr="00A543FB">
        <w:rPr>
          <w:rFonts w:ascii="Times New Roman" w:hAnsi="Times New Roman" w:cs="Times New Roman"/>
        </w:rPr>
        <w:t>At CESCR 53rd session, held on 13–14 November 2014, Montenegro presented the</w:t>
      </w:r>
      <w:r w:rsidRPr="00A543FB">
        <w:rPr>
          <w:rFonts w:ascii="Times New Roman" w:hAnsi="Times New Roman" w:cs="Times New Roman"/>
        </w:rPr>
        <w:t xml:space="preserve"> Initial Report on the implementation of the </w:t>
      </w:r>
      <w:r w:rsidR="00056652" w:rsidRPr="00A543FB">
        <w:rPr>
          <w:rFonts w:ascii="Times New Roman" w:hAnsi="Times New Roman" w:cs="Times New Roman"/>
        </w:rPr>
        <w:t>ICESCR</w:t>
      </w:r>
      <w:r w:rsidRPr="00A543FB">
        <w:rPr>
          <w:rFonts w:ascii="Times New Roman" w:hAnsi="Times New Roman" w:cs="Times New Roman"/>
        </w:rPr>
        <w:t xml:space="preserve">, which had been prepared in 2012. The Committee on Economic, Social and Cultural Rights adopted its Concluding Observations on 28 November 2014. </w:t>
      </w:r>
    </w:p>
    <w:p w:rsidR="00056652" w:rsidRPr="00A543FB" w:rsidRDefault="00DD6520" w:rsidP="00056652">
      <w:pPr>
        <w:spacing w:after="0" w:line="360" w:lineRule="auto"/>
        <w:contextualSpacing/>
        <w:jc w:val="both"/>
        <w:rPr>
          <w:rFonts w:ascii="Times New Roman" w:hAnsi="Times New Roman" w:cs="Times New Roman"/>
        </w:rPr>
      </w:pPr>
      <w:r w:rsidRPr="00A543FB">
        <w:rPr>
          <w:rFonts w:ascii="Times New Roman" w:hAnsi="Times New Roman" w:cs="Times New Roman"/>
        </w:rPr>
        <w:t>This is Montenegro's second report on the implementation o</w:t>
      </w:r>
      <w:r w:rsidRPr="00A543FB">
        <w:rPr>
          <w:rFonts w:ascii="Times New Roman" w:hAnsi="Times New Roman" w:cs="Times New Roman"/>
        </w:rPr>
        <w:t xml:space="preserve">f the ICESCR, containing responses to the recommendations from the Concluding Observations adopted by the Committee in 2014. The report was prepared in 2025 by the Ministry of </w:t>
      </w:r>
      <w:r w:rsidR="00A530AB" w:rsidRPr="00A543FB">
        <w:rPr>
          <w:rFonts w:ascii="Times New Roman" w:hAnsi="Times New Roman" w:cs="Times New Roman"/>
        </w:rPr>
        <w:t>Labor</w:t>
      </w:r>
      <w:r w:rsidRPr="00A543FB">
        <w:rPr>
          <w:rFonts w:ascii="Times New Roman" w:hAnsi="Times New Roman" w:cs="Times New Roman"/>
        </w:rPr>
        <w:t>, Employment and Social Dialogue</w:t>
      </w:r>
      <w:r w:rsidR="00A530AB" w:rsidRPr="00A543FB">
        <w:rPr>
          <w:rFonts w:ascii="Times New Roman" w:hAnsi="Times New Roman" w:cs="Times New Roman"/>
        </w:rPr>
        <w:t xml:space="preserve"> (MLESD)</w:t>
      </w:r>
      <w:r w:rsidRPr="00A543FB">
        <w:rPr>
          <w:rFonts w:ascii="Times New Roman" w:hAnsi="Times New Roman" w:cs="Times New Roman"/>
        </w:rPr>
        <w:t xml:space="preserve"> in cooperation with the Ministry o</w:t>
      </w:r>
      <w:r w:rsidRPr="00A543FB">
        <w:rPr>
          <w:rFonts w:ascii="Times New Roman" w:hAnsi="Times New Roman" w:cs="Times New Roman"/>
        </w:rPr>
        <w:t>f Human and Minority Rights</w:t>
      </w:r>
      <w:r w:rsidR="00A530AB" w:rsidRPr="00A543FB">
        <w:rPr>
          <w:rFonts w:ascii="Times New Roman" w:hAnsi="Times New Roman" w:cs="Times New Roman"/>
        </w:rPr>
        <w:t xml:space="preserve"> (MHMR)</w:t>
      </w:r>
      <w:r w:rsidRPr="00A543FB">
        <w:rPr>
          <w:rFonts w:ascii="Times New Roman" w:hAnsi="Times New Roman" w:cs="Times New Roman"/>
        </w:rPr>
        <w:t>, Ministry of Interior</w:t>
      </w:r>
      <w:r w:rsidR="00A530AB" w:rsidRPr="00A543FB">
        <w:rPr>
          <w:rFonts w:ascii="Times New Roman" w:hAnsi="Times New Roman" w:cs="Times New Roman"/>
        </w:rPr>
        <w:t xml:space="preserve"> (</w:t>
      </w:r>
      <w:proofErr w:type="spellStart"/>
      <w:r w:rsidR="00A530AB" w:rsidRPr="00A543FB">
        <w:rPr>
          <w:rFonts w:ascii="Times New Roman" w:hAnsi="Times New Roman" w:cs="Times New Roman"/>
        </w:rPr>
        <w:t>MoI</w:t>
      </w:r>
      <w:proofErr w:type="spellEnd"/>
      <w:r w:rsidR="00A530AB" w:rsidRPr="00A543FB">
        <w:rPr>
          <w:rFonts w:ascii="Times New Roman" w:hAnsi="Times New Roman" w:cs="Times New Roman"/>
        </w:rPr>
        <w:t>)</w:t>
      </w:r>
      <w:r w:rsidRPr="00A543FB">
        <w:rPr>
          <w:rFonts w:ascii="Times New Roman" w:hAnsi="Times New Roman" w:cs="Times New Roman"/>
        </w:rPr>
        <w:t>, Ministry of Social Welfare, Family Care and Demography</w:t>
      </w:r>
      <w:r w:rsidR="00A530AB" w:rsidRPr="00A543FB">
        <w:rPr>
          <w:rFonts w:ascii="Times New Roman" w:hAnsi="Times New Roman" w:cs="Times New Roman"/>
        </w:rPr>
        <w:t xml:space="preserve"> (MSWFCD)</w:t>
      </w:r>
      <w:r w:rsidRPr="00A543FB">
        <w:rPr>
          <w:rFonts w:ascii="Times New Roman" w:hAnsi="Times New Roman" w:cs="Times New Roman"/>
        </w:rPr>
        <w:t>, Ministry of Health</w:t>
      </w:r>
      <w:r w:rsidR="00A530AB" w:rsidRPr="00A543FB">
        <w:rPr>
          <w:rFonts w:ascii="Times New Roman" w:hAnsi="Times New Roman" w:cs="Times New Roman"/>
        </w:rPr>
        <w:t xml:space="preserve"> (</w:t>
      </w:r>
      <w:proofErr w:type="spellStart"/>
      <w:r w:rsidR="00A530AB" w:rsidRPr="00A543FB">
        <w:rPr>
          <w:rFonts w:ascii="Times New Roman" w:hAnsi="Times New Roman" w:cs="Times New Roman"/>
        </w:rPr>
        <w:t>MoH</w:t>
      </w:r>
      <w:proofErr w:type="spellEnd"/>
      <w:r w:rsidR="00A530AB" w:rsidRPr="00A543FB">
        <w:rPr>
          <w:rFonts w:ascii="Times New Roman" w:hAnsi="Times New Roman" w:cs="Times New Roman"/>
        </w:rPr>
        <w:t>)</w:t>
      </w:r>
      <w:r w:rsidRPr="00A543FB">
        <w:rPr>
          <w:rFonts w:ascii="Times New Roman" w:hAnsi="Times New Roman" w:cs="Times New Roman"/>
        </w:rPr>
        <w:t>, Ministry of Justice</w:t>
      </w:r>
      <w:r w:rsidR="00A530AB" w:rsidRPr="00A543FB">
        <w:rPr>
          <w:rFonts w:ascii="Times New Roman" w:hAnsi="Times New Roman" w:cs="Times New Roman"/>
        </w:rPr>
        <w:t xml:space="preserve"> (</w:t>
      </w:r>
      <w:proofErr w:type="spellStart"/>
      <w:r w:rsidR="00A530AB" w:rsidRPr="00A543FB">
        <w:rPr>
          <w:rFonts w:ascii="Times New Roman" w:hAnsi="Times New Roman" w:cs="Times New Roman"/>
        </w:rPr>
        <w:t>MoJ</w:t>
      </w:r>
      <w:proofErr w:type="spellEnd"/>
      <w:r w:rsidR="00A530AB" w:rsidRPr="00A543FB">
        <w:rPr>
          <w:rFonts w:ascii="Times New Roman" w:hAnsi="Times New Roman" w:cs="Times New Roman"/>
        </w:rPr>
        <w:t>)</w:t>
      </w:r>
      <w:r w:rsidRPr="00A543FB">
        <w:rPr>
          <w:rFonts w:ascii="Times New Roman" w:hAnsi="Times New Roman" w:cs="Times New Roman"/>
        </w:rPr>
        <w:t>, Ministry of Education, Science and Innovation</w:t>
      </w:r>
      <w:r w:rsidR="00A530AB" w:rsidRPr="00A543FB">
        <w:rPr>
          <w:rFonts w:ascii="Times New Roman" w:hAnsi="Times New Roman" w:cs="Times New Roman"/>
        </w:rPr>
        <w:t xml:space="preserve"> (MESI)</w:t>
      </w:r>
      <w:r w:rsidRPr="00A543FB">
        <w:rPr>
          <w:rFonts w:ascii="Times New Roman" w:hAnsi="Times New Roman" w:cs="Times New Roman"/>
        </w:rPr>
        <w:t xml:space="preserve">, Ministry of Culture </w:t>
      </w:r>
      <w:r w:rsidRPr="00A543FB">
        <w:rPr>
          <w:rFonts w:ascii="Times New Roman" w:hAnsi="Times New Roman" w:cs="Times New Roman"/>
        </w:rPr>
        <w:t>and Media</w:t>
      </w:r>
      <w:r w:rsidR="00A530AB" w:rsidRPr="00A543FB">
        <w:rPr>
          <w:rFonts w:ascii="Times New Roman" w:hAnsi="Times New Roman" w:cs="Times New Roman"/>
        </w:rPr>
        <w:t xml:space="preserve"> (MCM)</w:t>
      </w:r>
      <w:r w:rsidRPr="00A543FB">
        <w:rPr>
          <w:rFonts w:ascii="Times New Roman" w:hAnsi="Times New Roman" w:cs="Times New Roman"/>
        </w:rPr>
        <w:t>, Ministry of Spatial Planning, Urbanism and State Property</w:t>
      </w:r>
      <w:r w:rsidR="00A530AB" w:rsidRPr="00A543FB">
        <w:rPr>
          <w:rFonts w:ascii="Times New Roman" w:hAnsi="Times New Roman" w:cs="Times New Roman"/>
        </w:rPr>
        <w:t xml:space="preserve"> (MSPUSP)</w:t>
      </w:r>
      <w:r w:rsidRPr="00A543FB">
        <w:rPr>
          <w:rFonts w:ascii="Times New Roman" w:hAnsi="Times New Roman" w:cs="Times New Roman"/>
        </w:rPr>
        <w:t xml:space="preserve">, </w:t>
      </w:r>
      <w:r w:rsidR="00CE4113" w:rsidRPr="00A543FB">
        <w:rPr>
          <w:rFonts w:ascii="Times New Roman" w:hAnsi="Times New Roman" w:cs="Times New Roman"/>
        </w:rPr>
        <w:t>MONSTAT</w:t>
      </w:r>
      <w:r w:rsidRPr="00A543FB">
        <w:rPr>
          <w:rFonts w:ascii="Times New Roman" w:hAnsi="Times New Roman" w:cs="Times New Roman"/>
        </w:rPr>
        <w:t>, Employment Agency of Montenegro</w:t>
      </w:r>
      <w:r w:rsidR="00833C13">
        <w:rPr>
          <w:rFonts w:ascii="Times New Roman" w:hAnsi="Times New Roman" w:cs="Times New Roman"/>
        </w:rPr>
        <w:t xml:space="preserve"> (EAM)</w:t>
      </w:r>
      <w:r w:rsidRPr="00A543FB">
        <w:rPr>
          <w:rFonts w:ascii="Times New Roman" w:hAnsi="Times New Roman" w:cs="Times New Roman"/>
        </w:rPr>
        <w:t>, Protector of Human Rights and Freedoms</w:t>
      </w:r>
      <w:r w:rsidR="00833C13">
        <w:rPr>
          <w:rFonts w:ascii="Times New Roman" w:hAnsi="Times New Roman" w:cs="Times New Roman"/>
        </w:rPr>
        <w:t xml:space="preserve"> (HRF)</w:t>
      </w:r>
      <w:r w:rsidRPr="00A543FB">
        <w:rPr>
          <w:rFonts w:ascii="Times New Roman" w:hAnsi="Times New Roman" w:cs="Times New Roman"/>
        </w:rPr>
        <w:t xml:space="preserve"> of Montenegro, Supreme State Prosecutor’s Office, and the Centre for Training </w:t>
      </w:r>
      <w:r w:rsidRPr="00A543FB">
        <w:rPr>
          <w:rFonts w:ascii="Times New Roman" w:hAnsi="Times New Roman" w:cs="Times New Roman"/>
        </w:rPr>
        <w:t>in Judiciary and State Prosecution</w:t>
      </w:r>
      <w:r w:rsidR="00166E40" w:rsidRPr="00A543FB">
        <w:rPr>
          <w:rFonts w:ascii="Times New Roman" w:hAnsi="Times New Roman" w:cs="Times New Roman"/>
        </w:rPr>
        <w:t xml:space="preserve"> (</w:t>
      </w:r>
      <w:r w:rsidR="00243D19">
        <w:rPr>
          <w:rFonts w:ascii="Times New Roman" w:hAnsi="Times New Roman" w:cs="Times New Roman"/>
        </w:rPr>
        <w:t>CTJSP</w:t>
      </w:r>
      <w:r w:rsidR="00166E40" w:rsidRPr="00A543FB">
        <w:rPr>
          <w:rFonts w:ascii="Times New Roman" w:hAnsi="Times New Roman" w:cs="Times New Roman"/>
        </w:rPr>
        <w:t>)</w:t>
      </w:r>
      <w:r w:rsidRPr="00A543FB">
        <w:rPr>
          <w:rFonts w:ascii="Times New Roman" w:hAnsi="Times New Roman" w:cs="Times New Roman"/>
        </w:rPr>
        <w:t xml:space="preserve">. </w:t>
      </w:r>
    </w:p>
    <w:p w:rsidR="00871212" w:rsidRPr="00A543FB" w:rsidRDefault="00DD6520" w:rsidP="00056652">
      <w:pPr>
        <w:spacing w:after="0" w:line="360" w:lineRule="auto"/>
        <w:contextualSpacing/>
        <w:jc w:val="both"/>
        <w:rPr>
          <w:rFonts w:ascii="Times New Roman" w:hAnsi="Times New Roman" w:cs="Times New Roman"/>
        </w:rPr>
      </w:pPr>
      <w:r w:rsidRPr="00517E74">
        <w:rPr>
          <w:rFonts w:ascii="Times New Roman" w:hAnsi="Times New Roman" w:cs="Times New Roman"/>
        </w:rPr>
        <w:t xml:space="preserve">The Concluding Observations recommended submitting the Second Periodic Report to CESCR by </w:t>
      </w:r>
      <w:r w:rsidRPr="00517E74">
        <w:rPr>
          <w:rFonts w:ascii="Times New Roman" w:hAnsi="Times New Roman" w:cs="Times New Roman"/>
          <w:b/>
        </w:rPr>
        <w:t>30 November 2019</w:t>
      </w:r>
      <w:r w:rsidRPr="00517E74">
        <w:rPr>
          <w:rFonts w:ascii="Times New Roman" w:hAnsi="Times New Roman" w:cs="Times New Roman"/>
        </w:rPr>
        <w:t>.</w:t>
      </w:r>
      <w:r>
        <w:rPr>
          <w:rFonts w:ascii="Times New Roman" w:hAnsi="Times New Roman" w:cs="Times New Roman"/>
        </w:rPr>
        <w:t xml:space="preserve"> </w:t>
      </w:r>
      <w:r w:rsidRPr="00A543FB">
        <w:rPr>
          <w:rFonts w:ascii="Times New Roman" w:hAnsi="Times New Roman" w:cs="Times New Roman"/>
          <w:b/>
        </w:rPr>
        <w:t xml:space="preserve">Given the significant delay in submitting the Report, it includes an overview of the most recent </w:t>
      </w:r>
      <w:r w:rsidRPr="00A543FB">
        <w:rPr>
          <w:rFonts w:ascii="Times New Roman" w:hAnsi="Times New Roman" w:cs="Times New Roman"/>
          <w:b/>
        </w:rPr>
        <w:t>policies and measures, in line with the Concluding Observations</w:t>
      </w:r>
      <w:r w:rsidRPr="00A543FB">
        <w:rPr>
          <w:rFonts w:ascii="Times New Roman" w:hAnsi="Times New Roman" w:cs="Times New Roman"/>
        </w:rPr>
        <w:t xml:space="preserve">. </w:t>
      </w:r>
    </w:p>
    <w:p w:rsidR="00871212" w:rsidRPr="00A543FB" w:rsidRDefault="00DD6520" w:rsidP="00056652">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Report was presented and discussed at a round table organized by the </w:t>
      </w:r>
      <w:r w:rsidR="00517E74" w:rsidRPr="00517E74">
        <w:rPr>
          <w:rFonts w:ascii="Times New Roman" w:hAnsi="Times New Roman" w:cs="Times New Roman"/>
        </w:rPr>
        <w:t>MLESD with UN support in Montenegro and participation o</w:t>
      </w:r>
      <w:r w:rsidR="00517E74">
        <w:rPr>
          <w:rFonts w:ascii="Times New Roman" w:hAnsi="Times New Roman" w:cs="Times New Roman"/>
        </w:rPr>
        <w:t>f civil society representatives</w:t>
      </w:r>
      <w:r w:rsidRPr="00A543FB">
        <w:rPr>
          <w:rFonts w:ascii="Times New Roman" w:hAnsi="Times New Roman" w:cs="Times New Roman"/>
        </w:rPr>
        <w:t>. Following the presentation of</w:t>
      </w:r>
      <w:r w:rsidRPr="00A543FB">
        <w:rPr>
          <w:rFonts w:ascii="Times New Roman" w:hAnsi="Times New Roman" w:cs="Times New Roman"/>
        </w:rPr>
        <w:t xml:space="preserve"> the Report and an open discussion, civil society representatives were given a period of 10 days to submit written suggestions, comments and recommendations. </w:t>
      </w:r>
    </w:p>
    <w:p w:rsidR="002339BD" w:rsidRPr="00A543FB" w:rsidRDefault="002339BD" w:rsidP="00CE61B5">
      <w:pPr>
        <w:spacing w:after="0" w:line="360" w:lineRule="auto"/>
        <w:contextualSpacing/>
        <w:jc w:val="both"/>
        <w:rPr>
          <w:rFonts w:ascii="Times New Roman" w:hAnsi="Times New Roman" w:cs="Times New Roman"/>
        </w:rPr>
      </w:pPr>
    </w:p>
    <w:p w:rsidR="00691BFF" w:rsidRPr="00A543FB" w:rsidRDefault="00691BFF" w:rsidP="00CE61B5">
      <w:pPr>
        <w:spacing w:after="0" w:line="360" w:lineRule="auto"/>
        <w:contextualSpacing/>
        <w:jc w:val="both"/>
        <w:rPr>
          <w:rFonts w:ascii="Times New Roman" w:hAnsi="Times New Roman" w:cs="Times New Roman"/>
        </w:rPr>
      </w:pPr>
    </w:p>
    <w:p w:rsidR="00691BFF" w:rsidRPr="00A543FB" w:rsidRDefault="00691BFF" w:rsidP="00CE61B5">
      <w:pPr>
        <w:spacing w:after="0" w:line="360" w:lineRule="auto"/>
        <w:contextualSpacing/>
        <w:jc w:val="both"/>
        <w:rPr>
          <w:rFonts w:ascii="Times New Roman" w:hAnsi="Times New Roman" w:cs="Times New Roman"/>
        </w:rPr>
      </w:pPr>
    </w:p>
    <w:p w:rsidR="00691BFF" w:rsidRPr="00A543FB" w:rsidRDefault="00691BFF" w:rsidP="00CE61B5">
      <w:pPr>
        <w:spacing w:after="0" w:line="360" w:lineRule="auto"/>
        <w:contextualSpacing/>
        <w:jc w:val="both"/>
        <w:rPr>
          <w:rFonts w:ascii="Times New Roman" w:hAnsi="Times New Roman" w:cs="Times New Roman"/>
        </w:rPr>
      </w:pPr>
    </w:p>
    <w:p w:rsidR="00691BFF" w:rsidRPr="00A543FB" w:rsidRDefault="00691BFF" w:rsidP="00CE61B5">
      <w:pPr>
        <w:spacing w:after="0" w:line="360" w:lineRule="auto"/>
        <w:contextualSpacing/>
        <w:jc w:val="both"/>
        <w:rPr>
          <w:rFonts w:ascii="Times New Roman" w:hAnsi="Times New Roman" w:cs="Times New Roman"/>
        </w:rPr>
      </w:pPr>
    </w:p>
    <w:p w:rsidR="007F6C08" w:rsidRPr="00A543FB" w:rsidRDefault="007F6C08" w:rsidP="00CE61B5">
      <w:pPr>
        <w:spacing w:after="0" w:line="360" w:lineRule="auto"/>
        <w:contextualSpacing/>
        <w:jc w:val="both"/>
        <w:rPr>
          <w:rFonts w:ascii="Times New Roman" w:hAnsi="Times New Roman" w:cs="Times New Roman"/>
        </w:rPr>
      </w:pPr>
    </w:p>
    <w:p w:rsidR="00691BFF" w:rsidRPr="00A543FB" w:rsidRDefault="00691BFF" w:rsidP="00CE61B5">
      <w:pPr>
        <w:spacing w:after="0" w:line="360" w:lineRule="auto"/>
        <w:contextualSpacing/>
        <w:jc w:val="both"/>
        <w:rPr>
          <w:rFonts w:ascii="Times New Roman" w:hAnsi="Times New Roman" w:cs="Times New Roman"/>
        </w:rPr>
      </w:pPr>
    </w:p>
    <w:p w:rsidR="00395DD7" w:rsidRPr="00A543FB" w:rsidRDefault="00DD6520" w:rsidP="00CE61B5">
      <w:pPr>
        <w:spacing w:after="0" w:line="360" w:lineRule="auto"/>
        <w:contextualSpacing/>
        <w:jc w:val="both"/>
        <w:rPr>
          <w:rFonts w:ascii="Times New Roman" w:hAnsi="Times New Roman" w:cs="Times New Roman"/>
        </w:rPr>
      </w:pPr>
      <w:r w:rsidRPr="00A543FB">
        <w:rPr>
          <w:rFonts w:ascii="Times New Roman" w:eastAsia="Times New Roman" w:hAnsi="Times New Roman" w:cs="Times New Roman"/>
          <w:b/>
        </w:rPr>
        <w:t xml:space="preserve">C. </w:t>
      </w:r>
      <w:r w:rsidR="007F6C08" w:rsidRPr="00A543FB">
        <w:rPr>
          <w:rFonts w:ascii="Times New Roman" w:eastAsia="Times New Roman" w:hAnsi="Times New Roman" w:cs="Times New Roman"/>
          <w:b/>
        </w:rPr>
        <w:t xml:space="preserve">Main Concerns and Recommendations </w:t>
      </w:r>
    </w:p>
    <w:p w:rsidR="002E7BBC" w:rsidRPr="00A543FB" w:rsidRDefault="00DD6520" w:rsidP="00CE61B5">
      <w:pPr>
        <w:spacing w:after="0" w:line="360" w:lineRule="auto"/>
        <w:contextualSpacing/>
        <w:jc w:val="both"/>
        <w:rPr>
          <w:rFonts w:ascii="Times New Roman" w:hAnsi="Times New Roman" w:cs="Times New Roman"/>
          <w:b/>
          <w:bCs/>
        </w:rPr>
      </w:pPr>
      <w:r w:rsidRPr="00A543FB">
        <w:rPr>
          <w:rFonts w:ascii="Times New Roman" w:hAnsi="Times New Roman" w:cs="Times New Roman"/>
          <w:b/>
        </w:rPr>
        <w:t>6.</w:t>
      </w:r>
      <w:r w:rsidR="002357EB" w:rsidRPr="00A543FB">
        <w:rPr>
          <w:rFonts w:ascii="Times New Roman" w:hAnsi="Times New Roman" w:cs="Times New Roman"/>
          <w:b/>
        </w:rPr>
        <w:t xml:space="preserve"> </w:t>
      </w:r>
      <w:r w:rsidR="007F6C08" w:rsidRPr="00A543FB">
        <w:rPr>
          <w:rFonts w:ascii="Times New Roman" w:hAnsi="Times New Roman" w:cs="Times New Roman"/>
          <w:b/>
        </w:rPr>
        <w:t xml:space="preserve">Data Collection </w:t>
      </w:r>
    </w:p>
    <w:p w:rsidR="007F6C08"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lastRenderedPageBreak/>
        <w:t>The Committee is concerned that the State party did not provide sufficient reliable and detailed information in its report or in its replies to the list of issues to enable the Committee to assess the impact of the measures taken by the State party to full</w:t>
      </w:r>
      <w:r w:rsidRPr="00A543FB">
        <w:rPr>
          <w:rFonts w:ascii="Times New Roman" w:eastAsia="Times New Roman" w:hAnsi="Times New Roman" w:cs="Times New Roman"/>
        </w:rPr>
        <w:t xml:space="preserve">y implement the provisions of the Covenant or to measure the exercise of economic, social and cultural rights in the State party (Article 2). </w:t>
      </w:r>
    </w:p>
    <w:p w:rsidR="007F6C08"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 xml:space="preserve">a) </w:t>
      </w:r>
      <w:r w:rsidRPr="00A543FB">
        <w:rPr>
          <w:rFonts w:ascii="Times New Roman" w:eastAsia="Times New Roman" w:hAnsi="Times New Roman" w:cs="Times New Roman"/>
          <w:b/>
        </w:rPr>
        <w:t xml:space="preserve">Establish a system for collecting statistical data on the implementation of the economic, social and cultural </w:t>
      </w:r>
      <w:r w:rsidRPr="00A543FB">
        <w:rPr>
          <w:rFonts w:ascii="Times New Roman" w:eastAsia="Times New Roman" w:hAnsi="Times New Roman" w:cs="Times New Roman"/>
          <w:b/>
        </w:rPr>
        <w:t>rights defined in the Covenant, disaggregated by age, sex, urban/rural population, ethnic origin, based on anonymity and voluntary self-identification, vulnerable and marginalized groups, and other relevant criteria, and include such statistical data in it</w:t>
      </w:r>
      <w:r w:rsidRPr="00A543FB">
        <w:rPr>
          <w:rFonts w:ascii="Times New Roman" w:eastAsia="Times New Roman" w:hAnsi="Times New Roman" w:cs="Times New Roman"/>
          <w:b/>
        </w:rPr>
        <w:t>s next periodic report</w:t>
      </w:r>
      <w:r w:rsidRPr="00A543FB">
        <w:rPr>
          <w:rFonts w:ascii="Times New Roman" w:eastAsia="Times New Roman" w:hAnsi="Times New Roman" w:cs="Times New Roman"/>
        </w:rPr>
        <w:t xml:space="preserve">; </w:t>
      </w:r>
    </w:p>
    <w:p w:rsidR="00A530AB" w:rsidRPr="00A543FB" w:rsidRDefault="00DD6520" w:rsidP="00A530AB">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MONSTAT</w:t>
      </w:r>
      <w:r w:rsidR="007F6C08" w:rsidRPr="00A543FB">
        <w:rPr>
          <w:rFonts w:ascii="Times New Roman" w:eastAsia="Times New Roman" w:hAnsi="Times New Roman" w:cs="Times New Roman"/>
        </w:rPr>
        <w:t xml:space="preserve"> is the competent authority responsible for the production of official statistics and performs tasks related to the organization and implementation of official statistics, collection, processing, statistical analysis and </w:t>
      </w:r>
      <w:r w:rsidRPr="00A543FB">
        <w:rPr>
          <w:rFonts w:ascii="Times New Roman" w:eastAsia="Times New Roman" w:hAnsi="Times New Roman" w:cs="Times New Roman"/>
        </w:rPr>
        <w:t>pub</w:t>
      </w:r>
      <w:r w:rsidRPr="00A543FB">
        <w:rPr>
          <w:rFonts w:ascii="Times New Roman" w:eastAsia="Times New Roman" w:hAnsi="Times New Roman" w:cs="Times New Roman"/>
        </w:rPr>
        <w:t>lication</w:t>
      </w:r>
      <w:r w:rsidR="007F6C08" w:rsidRPr="00A543FB">
        <w:rPr>
          <w:rFonts w:ascii="Times New Roman" w:eastAsia="Times New Roman" w:hAnsi="Times New Roman" w:cs="Times New Roman"/>
        </w:rPr>
        <w:t xml:space="preserve"> of official data. Data are collected through field-based statistical surveys, administrative data sources, and statistics derived from combined data sources. </w:t>
      </w:r>
      <w:r w:rsidR="00E233BD" w:rsidRPr="00E233BD">
        <w:rPr>
          <w:rFonts w:ascii="Times New Roman" w:eastAsia="Times New Roman" w:hAnsi="Times New Roman" w:cs="Times New Roman"/>
        </w:rPr>
        <w:t>Most social statistics surveys are conducted annually</w:t>
      </w:r>
      <w:r w:rsidR="007F6C08" w:rsidRPr="00A543FB">
        <w:rPr>
          <w:rFonts w:ascii="Times New Roman" w:eastAsia="Times New Roman" w:hAnsi="Times New Roman" w:cs="Times New Roman"/>
        </w:rPr>
        <w:t xml:space="preserve">, </w:t>
      </w:r>
      <w:r w:rsidR="00E233BD">
        <w:rPr>
          <w:rFonts w:ascii="Times New Roman" w:eastAsia="Times New Roman" w:hAnsi="Times New Roman" w:cs="Times New Roman"/>
        </w:rPr>
        <w:t>according to</w:t>
      </w:r>
      <w:r w:rsidR="007F6C08" w:rsidRPr="00A543FB">
        <w:rPr>
          <w:rFonts w:ascii="Times New Roman" w:eastAsia="Times New Roman" w:hAnsi="Times New Roman" w:cs="Times New Roman"/>
        </w:rPr>
        <w:t xml:space="preserve"> relevant regulations and the periodic data transmission requirements of Eurostat. </w:t>
      </w:r>
      <w:r w:rsidR="00A5379A" w:rsidRPr="00A543FB">
        <w:rPr>
          <w:rFonts w:ascii="Times New Roman" w:eastAsia="Times New Roman" w:hAnsi="Times New Roman" w:cs="Times New Roman"/>
        </w:rPr>
        <w:t xml:space="preserve">Data are generally published on </w:t>
      </w:r>
      <w:r w:rsidR="007F6C08" w:rsidRPr="00A543FB">
        <w:rPr>
          <w:rFonts w:ascii="Times New Roman" w:eastAsia="Times New Roman" w:hAnsi="Times New Roman" w:cs="Times New Roman"/>
        </w:rPr>
        <w:t xml:space="preserve">the territory of Montenegro. For national purposes, the results of certain surveys (EU-SILC) are disaggregated at the regional level, while data at the municipal and settlement levels are available exclusively from population census results. </w:t>
      </w:r>
    </w:p>
    <w:p w:rsidR="00A530AB" w:rsidRPr="00A543FB" w:rsidRDefault="00DD6520" w:rsidP="00CE61B5">
      <w:pPr>
        <w:spacing w:after="0" w:line="360" w:lineRule="auto"/>
        <w:contextualSpacing/>
        <w:jc w:val="both"/>
        <w:rPr>
          <w:rFonts w:ascii="Times New Roman" w:eastAsia="Times New Roman" w:hAnsi="Times New Roman" w:cs="Times New Roman"/>
        </w:rPr>
      </w:pPr>
      <w:r w:rsidRPr="00E233BD">
        <w:rPr>
          <w:rFonts w:ascii="Times New Roman" w:eastAsia="Times New Roman" w:hAnsi="Times New Roman" w:cs="Times New Roman"/>
        </w:rPr>
        <w:t>Through labor market statistics, income and living conditions data, and other surveys and censuses, MONSTAT continuously monitors indicators such as</w:t>
      </w:r>
      <w:r>
        <w:rPr>
          <w:rFonts w:ascii="Times New Roman" w:eastAsia="Times New Roman" w:hAnsi="Times New Roman" w:cs="Times New Roman"/>
        </w:rPr>
        <w:t xml:space="preserve"> </w:t>
      </w:r>
      <w:r w:rsidRPr="00A543FB">
        <w:rPr>
          <w:rFonts w:ascii="Times New Roman" w:eastAsia="Times New Roman" w:hAnsi="Times New Roman" w:cs="Times New Roman"/>
        </w:rPr>
        <w:t>employment, unemployment, w</w:t>
      </w:r>
      <w:r w:rsidRPr="00A543FB">
        <w:rPr>
          <w:rFonts w:ascii="Times New Roman" w:eastAsia="Times New Roman" w:hAnsi="Times New Roman" w:cs="Times New Roman"/>
        </w:rPr>
        <w:t>ages, risk of poverty, material and social deprivation, and other</w:t>
      </w:r>
      <w:r w:rsidR="00DB468E" w:rsidRPr="00A543FB">
        <w:rPr>
          <w:rFonts w:ascii="Times New Roman" w:eastAsia="Times New Roman" w:hAnsi="Times New Roman" w:cs="Times New Roman"/>
        </w:rPr>
        <w:t>s, and d</w:t>
      </w:r>
      <w:r w:rsidRPr="00A543FB">
        <w:rPr>
          <w:rFonts w:ascii="Times New Roman" w:eastAsia="Times New Roman" w:hAnsi="Times New Roman" w:cs="Times New Roman"/>
        </w:rPr>
        <w:t>epending on the indicator, data are produced according to various characteristics, such as sex, age, education, ethni</w:t>
      </w:r>
      <w:r>
        <w:rPr>
          <w:rFonts w:ascii="Times New Roman" w:eastAsia="Times New Roman" w:hAnsi="Times New Roman" w:cs="Times New Roman"/>
        </w:rPr>
        <w:t>c origin, and others. T</w:t>
      </w:r>
      <w:r w:rsidRPr="00A543FB">
        <w:rPr>
          <w:rFonts w:ascii="Times New Roman" w:eastAsia="Times New Roman" w:hAnsi="Times New Roman" w:cs="Times New Roman"/>
        </w:rPr>
        <w:t xml:space="preserve">o ensure comparability with equivalent </w:t>
      </w:r>
      <w:r w:rsidRPr="00A543FB">
        <w:rPr>
          <w:rFonts w:ascii="Times New Roman" w:eastAsia="Times New Roman" w:hAnsi="Times New Roman" w:cs="Times New Roman"/>
        </w:rPr>
        <w:t>categories in other countries, international standards are continu</w:t>
      </w:r>
      <w:r w:rsidR="004376C0" w:rsidRPr="00A543FB">
        <w:rPr>
          <w:rFonts w:ascii="Times New Roman" w:eastAsia="Times New Roman" w:hAnsi="Times New Roman" w:cs="Times New Roman"/>
        </w:rPr>
        <w:t>ously monitored and applied, according to</w:t>
      </w:r>
      <w:r w:rsidRPr="00A543FB">
        <w:rPr>
          <w:rFonts w:ascii="Times New Roman" w:eastAsia="Times New Roman" w:hAnsi="Times New Roman" w:cs="Times New Roman"/>
        </w:rPr>
        <w:t xml:space="preserve"> </w:t>
      </w:r>
      <w:r w:rsidR="004376C0" w:rsidRPr="00A543FB">
        <w:rPr>
          <w:rFonts w:ascii="Times New Roman" w:eastAsia="Times New Roman" w:hAnsi="Times New Roman" w:cs="Times New Roman"/>
        </w:rPr>
        <w:t>Eurostat regulations and methodologies</w:t>
      </w:r>
      <w:r w:rsidRPr="00A543FB">
        <w:rPr>
          <w:rFonts w:ascii="Times New Roman" w:eastAsia="Times New Roman" w:hAnsi="Times New Roman" w:cs="Times New Roman"/>
        </w:rPr>
        <w:t xml:space="preserve">. The periodicity is defined by the annual </w:t>
      </w:r>
      <w:r w:rsidR="004376C0" w:rsidRPr="00A543FB">
        <w:rPr>
          <w:rFonts w:ascii="Times New Roman" w:eastAsia="Times New Roman" w:hAnsi="Times New Roman" w:cs="Times New Roman"/>
        </w:rPr>
        <w:t>plan and the five-year</w:t>
      </w:r>
      <w:r w:rsidRPr="00A543FB">
        <w:rPr>
          <w:rFonts w:ascii="Times New Roman" w:eastAsia="Times New Roman" w:hAnsi="Times New Roman" w:cs="Times New Roman"/>
        </w:rPr>
        <w:t xml:space="preserve"> program. </w:t>
      </w:r>
    </w:p>
    <w:p w:rsidR="00E31BC6" w:rsidRPr="00A543FB" w:rsidRDefault="00DD6520" w:rsidP="00E31BC6">
      <w:pPr>
        <w:spacing w:after="0" w:line="360" w:lineRule="auto"/>
        <w:contextualSpacing/>
        <w:jc w:val="both"/>
        <w:rPr>
          <w:rFonts w:ascii="Times New Roman" w:eastAsia="Times New Roman" w:hAnsi="Times New Roman" w:cs="Times New Roman"/>
        </w:rPr>
      </w:pPr>
      <w:r w:rsidRPr="00E233BD">
        <w:rPr>
          <w:rFonts w:ascii="Times New Roman" w:eastAsia="Times New Roman" w:hAnsi="Times New Roman" w:cs="Times New Roman"/>
        </w:rPr>
        <w:t xml:space="preserve">The Labor Force Survey (LFS), the </w:t>
      </w:r>
      <w:r w:rsidRPr="00E233BD">
        <w:rPr>
          <w:rFonts w:ascii="Times New Roman" w:eastAsia="Times New Roman" w:hAnsi="Times New Roman" w:cs="Times New Roman"/>
        </w:rPr>
        <w:t>Survey on Income and Living Conditions (EU-SILC), and the Household Budget Survey (HBS) are conducted annually as potential sources of human rights indicators. HBS was annual until 2015, conducted periodically from 2015 to 2021 (2017 and 2021), and re-esta</w:t>
      </w:r>
      <w:r w:rsidRPr="00E233BD">
        <w:rPr>
          <w:rFonts w:ascii="Times New Roman" w:eastAsia="Times New Roman" w:hAnsi="Times New Roman" w:cs="Times New Roman"/>
        </w:rPr>
        <w:t>blished as an annual survey from 2025.</w:t>
      </w:r>
      <w:r>
        <w:rPr>
          <w:rFonts w:ascii="Times New Roman" w:eastAsia="Times New Roman" w:hAnsi="Times New Roman" w:cs="Times New Roman"/>
        </w:rPr>
        <w:t xml:space="preserve"> </w:t>
      </w:r>
      <w:r w:rsidR="004376C0" w:rsidRPr="00A543FB">
        <w:rPr>
          <w:rFonts w:ascii="Times New Roman" w:eastAsia="Times New Roman" w:hAnsi="Times New Roman" w:cs="Times New Roman"/>
        </w:rPr>
        <w:t xml:space="preserve">Data are published </w:t>
      </w:r>
      <w:r w:rsidR="00CA44DE" w:rsidRPr="00A543FB">
        <w:rPr>
          <w:rFonts w:ascii="Times New Roman" w:eastAsia="Times New Roman" w:hAnsi="Times New Roman" w:cs="Times New Roman"/>
        </w:rPr>
        <w:t>on</w:t>
      </w:r>
      <w:r w:rsidR="004376C0" w:rsidRPr="00A543FB">
        <w:rPr>
          <w:rFonts w:ascii="Times New Roman" w:eastAsia="Times New Roman" w:hAnsi="Times New Roman" w:cs="Times New Roman"/>
        </w:rPr>
        <w:t xml:space="preserve"> the territory of Montenegro. For national purposes, the results of certain surveys (EU-SILC) are disaggregated at the regional level, while data at the municipal and settlement levels</w:t>
      </w:r>
      <w:r w:rsidRPr="00A543FB">
        <w:rPr>
          <w:rFonts w:ascii="Times New Roman" w:eastAsia="Times New Roman" w:hAnsi="Times New Roman" w:cs="Times New Roman"/>
        </w:rPr>
        <w:t>, as well as</w:t>
      </w:r>
      <w:r w:rsidRPr="00A543FB">
        <w:rPr>
          <w:rFonts w:ascii="Times New Roman" w:eastAsia="Times New Roman" w:hAnsi="Times New Roman" w:cs="Times New Roman"/>
        </w:rPr>
        <w:t xml:space="preserve"> ethnic characteristics,</w:t>
      </w:r>
      <w:r w:rsidR="004376C0" w:rsidRPr="00A543FB">
        <w:rPr>
          <w:rFonts w:ascii="Times New Roman" w:eastAsia="Times New Roman" w:hAnsi="Times New Roman" w:cs="Times New Roman"/>
        </w:rPr>
        <w:t xml:space="preserve"> are available exclusively</w:t>
      </w:r>
      <w:r w:rsidRPr="00A543FB">
        <w:rPr>
          <w:rFonts w:ascii="Times New Roman" w:eastAsia="Times New Roman" w:hAnsi="Times New Roman" w:cs="Times New Roman"/>
        </w:rPr>
        <w:t xml:space="preserve"> from population census results</w:t>
      </w:r>
      <w:r w:rsidR="004376C0" w:rsidRPr="00A543FB">
        <w:rPr>
          <w:rFonts w:ascii="Times New Roman" w:eastAsia="Times New Roman" w:hAnsi="Times New Roman" w:cs="Times New Roman"/>
        </w:rPr>
        <w:t xml:space="preserve">. </w:t>
      </w:r>
    </w:p>
    <w:p w:rsidR="00842F29" w:rsidRPr="00A543FB" w:rsidRDefault="00DD6520" w:rsidP="00E31BC6">
      <w:pPr>
        <w:spacing w:after="0" w:line="360" w:lineRule="auto"/>
        <w:contextualSpacing/>
        <w:jc w:val="both"/>
        <w:rPr>
          <w:rFonts w:ascii="Times New Roman" w:eastAsia="Times New Roman" w:hAnsi="Times New Roman" w:cs="Times New Roman"/>
          <w:b/>
        </w:rPr>
      </w:pPr>
      <w:r w:rsidRPr="00A543FB">
        <w:rPr>
          <w:rFonts w:ascii="Times New Roman" w:eastAsia="Times New Roman" w:hAnsi="Times New Roman" w:cs="Times New Roman"/>
          <w:b/>
        </w:rPr>
        <w:t xml:space="preserve">b) Conduct regular and systematic assessments, with a clear set of indicators, of the level of exercising of all economic, social and cultural rights by different segments </w:t>
      </w:r>
      <w:r w:rsidRPr="00A543FB">
        <w:rPr>
          <w:rFonts w:ascii="Times New Roman" w:eastAsia="Times New Roman" w:hAnsi="Times New Roman" w:cs="Times New Roman"/>
          <w:b/>
        </w:rPr>
        <w:t xml:space="preserve">of the population, considering the conceptual and methodological framework on human rights indicators developed by the OHCHR (HRI/MC/2008/3). </w:t>
      </w:r>
    </w:p>
    <w:p w:rsidR="00842F29" w:rsidRPr="00A543FB" w:rsidRDefault="00DD6520" w:rsidP="00CE61B5">
      <w:pPr>
        <w:pStyle w:val="CommentText"/>
        <w:spacing w:after="0" w:line="360" w:lineRule="auto"/>
        <w:contextualSpacing/>
        <w:jc w:val="both"/>
        <w:rPr>
          <w:rFonts w:ascii="Times New Roman" w:hAnsi="Times New Roman" w:cs="Times New Roman"/>
          <w:sz w:val="22"/>
          <w:szCs w:val="22"/>
        </w:rPr>
      </w:pPr>
      <w:r w:rsidRPr="00216780">
        <w:rPr>
          <w:rFonts w:ascii="Times New Roman" w:hAnsi="Times New Roman" w:cs="Times New Roman"/>
          <w:sz w:val="22"/>
          <w:szCs w:val="22"/>
        </w:rPr>
        <w:lastRenderedPageBreak/>
        <w:t xml:space="preserve">MONSTAT </w:t>
      </w:r>
      <w:r w:rsidRPr="00A543FB">
        <w:rPr>
          <w:rFonts w:ascii="Times New Roman" w:hAnsi="Times New Roman" w:cs="Times New Roman"/>
          <w:sz w:val="22"/>
          <w:szCs w:val="22"/>
        </w:rPr>
        <w:t>bases its survey data on factual findings and does not perform assessments in the areas of social issues,</w:t>
      </w:r>
      <w:r w:rsidRPr="00A543FB">
        <w:rPr>
          <w:rFonts w:ascii="Times New Roman" w:hAnsi="Times New Roman" w:cs="Times New Roman"/>
          <w:sz w:val="22"/>
          <w:szCs w:val="22"/>
        </w:rPr>
        <w:t xml:space="preserve"> employment, education or migration. </w:t>
      </w:r>
      <w:r w:rsidR="0029756F" w:rsidRPr="00A543FB">
        <w:rPr>
          <w:rFonts w:ascii="Times New Roman" w:hAnsi="Times New Roman" w:cs="Times New Roman"/>
          <w:sz w:val="22"/>
          <w:szCs w:val="22"/>
        </w:rPr>
        <w:t xml:space="preserve">MONSTAT only produces estimates </w:t>
      </w:r>
      <w:r w:rsidRPr="00A543FB">
        <w:rPr>
          <w:rFonts w:ascii="Times New Roman" w:hAnsi="Times New Roman" w:cs="Times New Roman"/>
          <w:sz w:val="22"/>
          <w:szCs w:val="22"/>
        </w:rPr>
        <w:t>relate</w:t>
      </w:r>
      <w:r w:rsidR="0029756F" w:rsidRPr="00A543FB">
        <w:rPr>
          <w:rFonts w:ascii="Times New Roman" w:hAnsi="Times New Roman" w:cs="Times New Roman"/>
          <w:sz w:val="22"/>
          <w:szCs w:val="22"/>
        </w:rPr>
        <w:t>d</w:t>
      </w:r>
      <w:r w:rsidRPr="00A543FB">
        <w:rPr>
          <w:rFonts w:ascii="Times New Roman" w:hAnsi="Times New Roman" w:cs="Times New Roman"/>
          <w:sz w:val="22"/>
          <w:szCs w:val="22"/>
        </w:rPr>
        <w:t xml:space="preserve"> to the total population at the</w:t>
      </w:r>
      <w:r w:rsidR="0029756F" w:rsidRPr="00A543FB">
        <w:rPr>
          <w:rFonts w:ascii="Times New Roman" w:hAnsi="Times New Roman" w:cs="Times New Roman"/>
          <w:sz w:val="22"/>
          <w:szCs w:val="22"/>
        </w:rPr>
        <w:t xml:space="preserve"> beginning and end of the year, while the survey is done on a random sample selection for the territory of Montenegro.</w:t>
      </w:r>
      <w:r w:rsidRPr="00A543FB">
        <w:rPr>
          <w:rFonts w:ascii="Times New Roman" w:hAnsi="Times New Roman" w:cs="Times New Roman"/>
          <w:sz w:val="22"/>
          <w:szCs w:val="22"/>
        </w:rPr>
        <w:t xml:space="preserve"> </w:t>
      </w:r>
    </w:p>
    <w:p w:rsidR="0029756F" w:rsidRPr="00A543FB" w:rsidRDefault="00DD6520" w:rsidP="0029756F">
      <w:pPr>
        <w:pStyle w:val="CommentText"/>
        <w:spacing w:after="0" w:line="360" w:lineRule="auto"/>
        <w:contextualSpacing/>
        <w:jc w:val="both"/>
        <w:rPr>
          <w:rFonts w:ascii="Times New Roman" w:hAnsi="Times New Roman" w:cs="Times New Roman"/>
          <w:sz w:val="22"/>
          <w:szCs w:val="22"/>
        </w:rPr>
      </w:pPr>
      <w:r w:rsidRPr="00A543FB">
        <w:rPr>
          <w:rFonts w:ascii="Times New Roman" w:hAnsi="Times New Roman" w:cs="Times New Roman"/>
          <w:sz w:val="22"/>
          <w:szCs w:val="22"/>
        </w:rPr>
        <w:t xml:space="preserve">Regarding research </w:t>
      </w:r>
      <w:r w:rsidRPr="00A543FB">
        <w:rPr>
          <w:rFonts w:ascii="Times New Roman" w:hAnsi="Times New Roman" w:cs="Times New Roman"/>
          <w:sz w:val="22"/>
          <w:szCs w:val="22"/>
        </w:rPr>
        <w:t>activities, the MHMR, in cooperation with the Regional Cooperation Council, conducted a survey in 2020 on the socio-economic status of Roma and Egyptians</w:t>
      </w:r>
      <w:r w:rsidR="00543816" w:rsidRPr="00A543FB">
        <w:rPr>
          <w:rFonts w:ascii="Times New Roman" w:hAnsi="Times New Roman" w:cs="Times New Roman"/>
          <w:sz w:val="22"/>
          <w:szCs w:val="22"/>
        </w:rPr>
        <w:t xml:space="preserve"> (RE)</w:t>
      </w:r>
      <w:r w:rsidRPr="00A543FB">
        <w:rPr>
          <w:rFonts w:ascii="Times New Roman" w:hAnsi="Times New Roman" w:cs="Times New Roman"/>
          <w:sz w:val="22"/>
          <w:szCs w:val="22"/>
        </w:rPr>
        <w:t xml:space="preserve"> in Montenegro. Additionally, the Multiple Indicator Cluster Survey (MICS 2018 in Montenegro) was </w:t>
      </w:r>
      <w:r w:rsidRPr="00A543FB">
        <w:rPr>
          <w:rFonts w:ascii="Times New Roman" w:hAnsi="Times New Roman" w:cs="Times New Roman"/>
          <w:sz w:val="22"/>
          <w:szCs w:val="22"/>
        </w:rPr>
        <w:t xml:space="preserve">carried out, as well as the MICS 2018 in Roma settlements in Montenegro, which was implemented by MONSTAT as part of the global MICS program. Furthermore, a Feasibility Study on Social Housing for </w:t>
      </w:r>
      <w:r w:rsidR="00282591" w:rsidRPr="00A543FB">
        <w:rPr>
          <w:rFonts w:ascii="Times New Roman" w:hAnsi="Times New Roman" w:cs="Times New Roman"/>
          <w:sz w:val="22"/>
          <w:szCs w:val="22"/>
        </w:rPr>
        <w:t>RE</w:t>
      </w:r>
      <w:r w:rsidRPr="00A543FB">
        <w:rPr>
          <w:rFonts w:ascii="Times New Roman" w:hAnsi="Times New Roman" w:cs="Times New Roman"/>
          <w:sz w:val="22"/>
          <w:szCs w:val="22"/>
        </w:rPr>
        <w:t xml:space="preserve"> in eight municipalities in Montenegro was prepared with </w:t>
      </w:r>
      <w:r w:rsidRPr="00A543FB">
        <w:rPr>
          <w:rFonts w:ascii="Times New Roman" w:hAnsi="Times New Roman" w:cs="Times New Roman"/>
          <w:sz w:val="22"/>
          <w:szCs w:val="22"/>
        </w:rPr>
        <w:t xml:space="preserve">the support of the Council of Europe. </w:t>
      </w:r>
    </w:p>
    <w:p w:rsidR="009A26B3" w:rsidRPr="00A543FB" w:rsidRDefault="00DD6520" w:rsidP="0029756F">
      <w:pPr>
        <w:pStyle w:val="CommentText"/>
        <w:spacing w:after="0" w:line="360" w:lineRule="auto"/>
        <w:contextualSpacing/>
        <w:jc w:val="both"/>
        <w:rPr>
          <w:rFonts w:ascii="Times New Roman" w:hAnsi="Times New Roman" w:cs="Times New Roman"/>
          <w:b/>
          <w:sz w:val="22"/>
          <w:szCs w:val="22"/>
        </w:rPr>
      </w:pPr>
      <w:r w:rsidRPr="00A543FB">
        <w:rPr>
          <w:rFonts w:ascii="Times New Roman" w:hAnsi="Times New Roman" w:cs="Times New Roman"/>
          <w:b/>
          <w:sz w:val="22"/>
          <w:szCs w:val="22"/>
        </w:rPr>
        <w:t xml:space="preserve">c) Implement human rights indicators, particularly those relating to economic, social and cultural rights, as part of national development strategies. </w:t>
      </w:r>
    </w:p>
    <w:p w:rsidR="009A26B3" w:rsidRPr="00A543FB" w:rsidRDefault="00DD6520" w:rsidP="009A26B3">
      <w:pPr>
        <w:pStyle w:val="CommentText"/>
        <w:spacing w:after="0" w:line="360" w:lineRule="auto"/>
        <w:contextualSpacing/>
        <w:jc w:val="both"/>
        <w:rPr>
          <w:rFonts w:ascii="Times New Roman" w:eastAsia="Times New Roman" w:hAnsi="Times New Roman" w:cs="Times New Roman"/>
          <w:sz w:val="22"/>
          <w:szCs w:val="22"/>
        </w:rPr>
      </w:pPr>
      <w:r w:rsidRPr="00A543FB">
        <w:rPr>
          <w:rFonts w:ascii="Times New Roman" w:eastAsia="Times New Roman" w:hAnsi="Times New Roman" w:cs="Times New Roman"/>
          <w:sz w:val="22"/>
          <w:szCs w:val="22"/>
        </w:rPr>
        <w:t>Montenegro's Government continuously develops and improves the st</w:t>
      </w:r>
      <w:r w:rsidRPr="00A543FB">
        <w:rPr>
          <w:rFonts w:ascii="Times New Roman" w:eastAsia="Times New Roman" w:hAnsi="Times New Roman" w:cs="Times New Roman"/>
          <w:sz w:val="22"/>
          <w:szCs w:val="22"/>
        </w:rPr>
        <w:t>rategic framework for the human and minority rights</w:t>
      </w:r>
      <w:r w:rsidR="003F42A2" w:rsidRPr="00A543FB">
        <w:rPr>
          <w:rFonts w:ascii="Times New Roman" w:eastAsia="Times New Roman" w:hAnsi="Times New Roman" w:cs="Times New Roman"/>
          <w:sz w:val="22"/>
          <w:szCs w:val="22"/>
        </w:rPr>
        <w:t xml:space="preserve"> protection</w:t>
      </w:r>
      <w:r w:rsidRPr="00A543FB">
        <w:rPr>
          <w:rFonts w:ascii="Times New Roman" w:eastAsia="Times New Roman" w:hAnsi="Times New Roman" w:cs="Times New Roman"/>
          <w:sz w:val="22"/>
          <w:szCs w:val="22"/>
        </w:rPr>
        <w:t xml:space="preserve">, </w:t>
      </w:r>
      <w:proofErr w:type="gramStart"/>
      <w:r w:rsidRPr="00A543FB">
        <w:rPr>
          <w:rFonts w:ascii="Times New Roman" w:eastAsia="Times New Roman" w:hAnsi="Times New Roman" w:cs="Times New Roman"/>
          <w:sz w:val="22"/>
          <w:szCs w:val="22"/>
        </w:rPr>
        <w:t>taking into account</w:t>
      </w:r>
      <w:proofErr w:type="gramEnd"/>
      <w:r w:rsidRPr="00A543FB">
        <w:rPr>
          <w:rFonts w:ascii="Times New Roman" w:eastAsia="Times New Roman" w:hAnsi="Times New Roman" w:cs="Times New Roman"/>
          <w:sz w:val="22"/>
          <w:szCs w:val="22"/>
        </w:rPr>
        <w:t xml:space="preserve"> human rights indicators in the drafting process, including those relating to economic, social and cultural rights. </w:t>
      </w:r>
      <w:r w:rsidR="00812E95" w:rsidRPr="00A543FB">
        <w:rPr>
          <w:rFonts w:ascii="Times New Roman" w:eastAsia="Times New Roman" w:hAnsi="Times New Roman" w:cs="Times New Roman"/>
          <w:sz w:val="22"/>
          <w:szCs w:val="22"/>
        </w:rPr>
        <w:t>Montenegro continuously implements s</w:t>
      </w:r>
      <w:r w:rsidRPr="00A543FB">
        <w:rPr>
          <w:rFonts w:ascii="Times New Roman" w:eastAsia="Times New Roman" w:hAnsi="Times New Roman" w:cs="Times New Roman"/>
          <w:sz w:val="22"/>
          <w:szCs w:val="22"/>
        </w:rPr>
        <w:t>trategic documents co</w:t>
      </w:r>
      <w:r w:rsidRPr="00A543FB">
        <w:rPr>
          <w:rFonts w:ascii="Times New Roman" w:eastAsia="Times New Roman" w:hAnsi="Times New Roman" w:cs="Times New Roman"/>
          <w:sz w:val="22"/>
          <w:szCs w:val="22"/>
        </w:rPr>
        <w:t xml:space="preserve">ncerning the social inclusion of </w:t>
      </w:r>
      <w:r w:rsidR="00282591" w:rsidRPr="00A543FB">
        <w:rPr>
          <w:rFonts w:ascii="Times New Roman" w:eastAsia="Times New Roman" w:hAnsi="Times New Roman" w:cs="Times New Roman"/>
          <w:sz w:val="22"/>
          <w:szCs w:val="22"/>
        </w:rPr>
        <w:t>RE</w:t>
      </w:r>
      <w:r w:rsidRPr="00A543FB">
        <w:rPr>
          <w:rFonts w:ascii="Times New Roman" w:eastAsia="Times New Roman" w:hAnsi="Times New Roman" w:cs="Times New Roman"/>
          <w:sz w:val="22"/>
          <w:szCs w:val="22"/>
        </w:rPr>
        <w:t xml:space="preserve"> in Montenegro, the protection of </w:t>
      </w:r>
      <w:proofErr w:type="gramStart"/>
      <w:r w:rsidR="00543816" w:rsidRPr="00A543FB">
        <w:rPr>
          <w:rFonts w:ascii="Times New Roman" w:eastAsia="Times New Roman" w:hAnsi="Times New Roman" w:cs="Times New Roman"/>
          <w:sz w:val="22"/>
          <w:szCs w:val="22"/>
        </w:rPr>
        <w:t xml:space="preserve">PWDs </w:t>
      </w:r>
      <w:r w:rsidRPr="00A543FB">
        <w:rPr>
          <w:rFonts w:ascii="Times New Roman" w:eastAsia="Times New Roman" w:hAnsi="Times New Roman" w:cs="Times New Roman"/>
          <w:sz w:val="22"/>
          <w:szCs w:val="22"/>
        </w:rPr>
        <w:t xml:space="preserve"> from</w:t>
      </w:r>
      <w:proofErr w:type="gramEnd"/>
      <w:r w:rsidRPr="00A543FB">
        <w:rPr>
          <w:rFonts w:ascii="Times New Roman" w:eastAsia="Times New Roman" w:hAnsi="Times New Roman" w:cs="Times New Roman"/>
          <w:sz w:val="22"/>
          <w:szCs w:val="22"/>
        </w:rPr>
        <w:t xml:space="preserve"> discrimination and the promotion of equality, minority policies, gender equality, and the improvement of the qual</w:t>
      </w:r>
      <w:r w:rsidR="00812E95" w:rsidRPr="00A543FB">
        <w:rPr>
          <w:rFonts w:ascii="Times New Roman" w:eastAsia="Times New Roman" w:hAnsi="Times New Roman" w:cs="Times New Roman"/>
          <w:sz w:val="22"/>
          <w:szCs w:val="22"/>
        </w:rPr>
        <w:t>ity of life of LGBTIQ persons</w:t>
      </w:r>
      <w:r w:rsidRPr="00A543FB">
        <w:rPr>
          <w:rFonts w:ascii="Times New Roman" w:eastAsia="Times New Roman" w:hAnsi="Times New Roman" w:cs="Times New Roman"/>
          <w:sz w:val="22"/>
          <w:szCs w:val="22"/>
        </w:rPr>
        <w:t xml:space="preserve">. In 2024, Montenegro adopted its </w:t>
      </w:r>
      <w:r w:rsidRPr="00A543FB">
        <w:rPr>
          <w:rFonts w:ascii="Times New Roman" w:eastAsia="Times New Roman" w:hAnsi="Times New Roman" w:cs="Times New Roman"/>
          <w:sz w:val="22"/>
          <w:szCs w:val="22"/>
        </w:rPr>
        <w:t>first Strategy for Interculturalism and Social Cohesion 2025–2028. Through the socio-cultural dimension of fundamental rights, the Strategy addresses key societal challenges such as ethnic distance, various discrimination</w:t>
      </w:r>
      <w:r w:rsidR="00812E95" w:rsidRPr="00A543FB">
        <w:rPr>
          <w:rFonts w:ascii="Times New Roman" w:eastAsia="Times New Roman" w:hAnsi="Times New Roman" w:cs="Times New Roman"/>
          <w:sz w:val="22"/>
          <w:szCs w:val="22"/>
        </w:rPr>
        <w:t xml:space="preserve"> forms</w:t>
      </w:r>
      <w:r w:rsidRPr="00A543FB">
        <w:rPr>
          <w:rFonts w:ascii="Times New Roman" w:eastAsia="Times New Roman" w:hAnsi="Times New Roman" w:cs="Times New Roman"/>
          <w:sz w:val="22"/>
          <w:szCs w:val="22"/>
        </w:rPr>
        <w:t>, lack of trust and intercult</w:t>
      </w:r>
      <w:r w:rsidRPr="00A543FB">
        <w:rPr>
          <w:rFonts w:ascii="Times New Roman" w:eastAsia="Times New Roman" w:hAnsi="Times New Roman" w:cs="Times New Roman"/>
          <w:sz w:val="22"/>
          <w:szCs w:val="22"/>
        </w:rPr>
        <w:t xml:space="preserve">ural dialogue and understanding, </w:t>
      </w:r>
      <w:r w:rsidR="00812E95" w:rsidRPr="00A543FB">
        <w:rPr>
          <w:rFonts w:ascii="Times New Roman" w:eastAsia="Times New Roman" w:hAnsi="Times New Roman" w:cs="Times New Roman"/>
          <w:sz w:val="22"/>
          <w:szCs w:val="22"/>
        </w:rPr>
        <w:t>improves</w:t>
      </w:r>
      <w:r w:rsidRPr="00A543FB">
        <w:rPr>
          <w:rFonts w:ascii="Times New Roman" w:eastAsia="Times New Roman" w:hAnsi="Times New Roman" w:cs="Times New Roman"/>
          <w:sz w:val="22"/>
          <w:szCs w:val="22"/>
        </w:rPr>
        <w:t xml:space="preserve"> interpersonal relations and redu</w:t>
      </w:r>
      <w:r w:rsidR="00812E95" w:rsidRPr="00A543FB">
        <w:rPr>
          <w:rFonts w:ascii="Times New Roman" w:eastAsia="Times New Roman" w:hAnsi="Times New Roman" w:cs="Times New Roman"/>
          <w:sz w:val="22"/>
          <w:szCs w:val="22"/>
        </w:rPr>
        <w:t>ces</w:t>
      </w:r>
      <w:r w:rsidRPr="00A543FB">
        <w:rPr>
          <w:rFonts w:ascii="Times New Roman" w:eastAsia="Times New Roman" w:hAnsi="Times New Roman" w:cs="Times New Roman"/>
          <w:sz w:val="22"/>
          <w:szCs w:val="22"/>
        </w:rPr>
        <w:t xml:space="preserve"> social and economic inequalities among different groups and </w:t>
      </w:r>
      <w:r w:rsidR="00812E95" w:rsidRPr="00A543FB">
        <w:rPr>
          <w:rFonts w:ascii="Times New Roman" w:eastAsia="Times New Roman" w:hAnsi="Times New Roman" w:cs="Times New Roman"/>
          <w:sz w:val="22"/>
          <w:szCs w:val="22"/>
        </w:rPr>
        <w:t>society segments</w:t>
      </w:r>
      <w:r w:rsidRPr="00A543FB">
        <w:rPr>
          <w:rFonts w:ascii="Times New Roman" w:eastAsia="Times New Roman" w:hAnsi="Times New Roman" w:cs="Times New Roman"/>
          <w:sz w:val="22"/>
          <w:szCs w:val="22"/>
        </w:rPr>
        <w:t xml:space="preserve">. </w:t>
      </w:r>
    </w:p>
    <w:p w:rsidR="00812E95" w:rsidRPr="00A543FB" w:rsidRDefault="00DD6520" w:rsidP="009A26B3">
      <w:pPr>
        <w:pStyle w:val="CommentText"/>
        <w:spacing w:after="0" w:line="360" w:lineRule="auto"/>
        <w:contextualSpacing/>
        <w:jc w:val="both"/>
        <w:rPr>
          <w:rFonts w:ascii="Times New Roman" w:eastAsia="Times New Roman" w:hAnsi="Times New Roman" w:cs="Times New Roman"/>
          <w:sz w:val="22"/>
          <w:szCs w:val="22"/>
        </w:rPr>
      </w:pPr>
      <w:r w:rsidRPr="00A543FB">
        <w:rPr>
          <w:rFonts w:ascii="Times New Roman" w:eastAsia="Times New Roman" w:hAnsi="Times New Roman" w:cs="Times New Roman"/>
          <w:sz w:val="22"/>
          <w:szCs w:val="22"/>
        </w:rPr>
        <w:t>Additionally, every two years a survey is conducted on the level of discrimination, which continues</w:t>
      </w:r>
      <w:r w:rsidRPr="00A543FB">
        <w:rPr>
          <w:rFonts w:ascii="Times New Roman" w:eastAsia="Times New Roman" w:hAnsi="Times New Roman" w:cs="Times New Roman"/>
          <w:sz w:val="22"/>
          <w:szCs w:val="22"/>
        </w:rPr>
        <w:t xml:space="preserve"> to state that </w:t>
      </w:r>
      <w:r w:rsidR="00282591" w:rsidRPr="00A543FB">
        <w:rPr>
          <w:rFonts w:ascii="Times New Roman" w:eastAsia="Times New Roman" w:hAnsi="Times New Roman" w:cs="Times New Roman"/>
          <w:sz w:val="22"/>
          <w:szCs w:val="22"/>
        </w:rPr>
        <w:t>RE</w:t>
      </w:r>
      <w:r w:rsidRPr="00A543FB">
        <w:rPr>
          <w:rFonts w:ascii="Times New Roman" w:eastAsia="Times New Roman" w:hAnsi="Times New Roman" w:cs="Times New Roman"/>
          <w:sz w:val="22"/>
          <w:szCs w:val="22"/>
        </w:rPr>
        <w:t xml:space="preserve"> communities, </w:t>
      </w:r>
      <w:r w:rsidR="00282591" w:rsidRPr="00A543FB">
        <w:rPr>
          <w:rFonts w:ascii="Times New Roman" w:eastAsia="Times New Roman" w:hAnsi="Times New Roman" w:cs="Times New Roman"/>
          <w:sz w:val="22"/>
          <w:szCs w:val="22"/>
        </w:rPr>
        <w:t>PWDs</w:t>
      </w:r>
      <w:r w:rsidRPr="00A543FB">
        <w:rPr>
          <w:rFonts w:ascii="Times New Roman" w:eastAsia="Times New Roman" w:hAnsi="Times New Roman" w:cs="Times New Roman"/>
          <w:sz w:val="22"/>
          <w:szCs w:val="22"/>
        </w:rPr>
        <w:t xml:space="preserve">, and LGBTIQ persons remain the three most discriminated and vulnerable groups in Montenegrin society. </w:t>
      </w:r>
    </w:p>
    <w:p w:rsidR="00AD6534" w:rsidRPr="00A543FB" w:rsidRDefault="00DD6520" w:rsidP="00CE61B5">
      <w:pPr>
        <w:pStyle w:val="CommentText"/>
        <w:spacing w:after="0" w:line="360" w:lineRule="auto"/>
        <w:contextualSpacing/>
        <w:jc w:val="both"/>
        <w:rPr>
          <w:rFonts w:ascii="Times New Roman" w:hAnsi="Times New Roman" w:cs="Times New Roman"/>
          <w:sz w:val="22"/>
          <w:szCs w:val="22"/>
        </w:rPr>
      </w:pPr>
      <w:r w:rsidRPr="00A543FB">
        <w:rPr>
          <w:rFonts w:ascii="Times New Roman" w:hAnsi="Times New Roman" w:cs="Times New Roman"/>
          <w:b/>
          <w:bCs/>
          <w:sz w:val="22"/>
          <w:szCs w:val="22"/>
        </w:rPr>
        <w:t>7.</w:t>
      </w:r>
      <w:r w:rsidR="002357EB" w:rsidRPr="00A543FB">
        <w:rPr>
          <w:rFonts w:ascii="Times New Roman" w:hAnsi="Times New Roman" w:cs="Times New Roman"/>
          <w:b/>
          <w:bCs/>
          <w:sz w:val="22"/>
          <w:szCs w:val="22"/>
        </w:rPr>
        <w:t xml:space="preserve"> </w:t>
      </w:r>
      <w:r w:rsidR="00647FA5" w:rsidRPr="00A543FB">
        <w:rPr>
          <w:rFonts w:ascii="Times New Roman" w:hAnsi="Times New Roman" w:cs="Times New Roman"/>
          <w:b/>
          <w:bCs/>
          <w:sz w:val="22"/>
          <w:szCs w:val="22"/>
        </w:rPr>
        <w:t xml:space="preserve">Judiciary Independence </w:t>
      </w:r>
    </w:p>
    <w:p w:rsidR="00647FA5" w:rsidRPr="00A543FB" w:rsidRDefault="00DD6520" w:rsidP="00647FA5">
      <w:pPr>
        <w:spacing w:after="0" w:line="360" w:lineRule="auto"/>
        <w:contextualSpacing/>
        <w:jc w:val="both"/>
        <w:rPr>
          <w:rFonts w:ascii="Times New Roman" w:eastAsia="Times New Roman" w:hAnsi="Times New Roman" w:cs="Times New Roman"/>
          <w:bCs/>
        </w:rPr>
      </w:pPr>
      <w:r w:rsidRPr="00A543FB">
        <w:rPr>
          <w:rFonts w:ascii="Times New Roman" w:eastAsia="Times New Roman" w:hAnsi="Times New Roman" w:cs="Times New Roman"/>
          <w:bCs/>
        </w:rPr>
        <w:t xml:space="preserve">Noting the efforts undertaken to reform the judiciary and the </w:t>
      </w:r>
      <w:r w:rsidR="0054472A" w:rsidRPr="00A543FB">
        <w:rPr>
          <w:rFonts w:ascii="Times New Roman" w:eastAsia="Times New Roman" w:hAnsi="Times New Roman" w:cs="Times New Roman"/>
          <w:bCs/>
        </w:rPr>
        <w:t xml:space="preserve">delegation's </w:t>
      </w:r>
      <w:r w:rsidRPr="00A543FB">
        <w:rPr>
          <w:rFonts w:ascii="Times New Roman" w:eastAsia="Times New Roman" w:hAnsi="Times New Roman" w:cs="Times New Roman"/>
          <w:bCs/>
        </w:rPr>
        <w:t xml:space="preserve">detailed information, the Committee remains concerned about continuation of reports on </w:t>
      </w:r>
      <w:r w:rsidR="0054472A" w:rsidRPr="00A543FB">
        <w:rPr>
          <w:rFonts w:ascii="Times New Roman" w:eastAsia="Times New Roman" w:hAnsi="Times New Roman" w:cs="Times New Roman"/>
          <w:bCs/>
        </w:rPr>
        <w:t>the</w:t>
      </w:r>
      <w:r w:rsidRPr="00A543FB">
        <w:rPr>
          <w:rFonts w:ascii="Times New Roman" w:eastAsia="Times New Roman" w:hAnsi="Times New Roman" w:cs="Times New Roman"/>
          <w:bCs/>
        </w:rPr>
        <w:t xml:space="preserve"> lack of judicial independence (Article 1). </w:t>
      </w:r>
    </w:p>
    <w:p w:rsidR="00647FA5" w:rsidRPr="00A543FB" w:rsidRDefault="00DD6520" w:rsidP="00647FA5">
      <w:pPr>
        <w:spacing w:after="0" w:line="360" w:lineRule="auto"/>
        <w:contextualSpacing/>
        <w:jc w:val="both"/>
        <w:rPr>
          <w:rFonts w:ascii="Times New Roman" w:eastAsia="Times New Roman" w:hAnsi="Times New Roman" w:cs="Times New Roman"/>
          <w:b/>
          <w:bCs/>
        </w:rPr>
      </w:pPr>
      <w:r w:rsidRPr="00A543FB">
        <w:rPr>
          <w:rFonts w:ascii="Times New Roman" w:eastAsia="Times New Roman" w:hAnsi="Times New Roman" w:cs="Times New Roman"/>
          <w:b/>
          <w:bCs/>
        </w:rPr>
        <w:t>The Committee calls upon the State party to take all necessary legislative and other measures to guarantee the full indep</w:t>
      </w:r>
      <w:r w:rsidRPr="00A543FB">
        <w:rPr>
          <w:rFonts w:ascii="Times New Roman" w:eastAsia="Times New Roman" w:hAnsi="Times New Roman" w:cs="Times New Roman"/>
          <w:b/>
          <w:bCs/>
        </w:rPr>
        <w:t xml:space="preserve">endence and impartiality of the judiciary, in accordance with the </w:t>
      </w:r>
      <w:r w:rsidR="0054472A" w:rsidRPr="00A543FB">
        <w:rPr>
          <w:rFonts w:ascii="Times New Roman" w:eastAsia="Times New Roman" w:hAnsi="Times New Roman" w:cs="Times New Roman"/>
          <w:b/>
          <w:bCs/>
        </w:rPr>
        <w:t>UN Basic Principles on the Independence of the Judiciary</w:t>
      </w:r>
      <w:r w:rsidRPr="00A543FB">
        <w:rPr>
          <w:rFonts w:ascii="Times New Roman" w:eastAsia="Times New Roman" w:hAnsi="Times New Roman" w:cs="Times New Roman"/>
          <w:b/>
          <w:bCs/>
        </w:rPr>
        <w:t xml:space="preserve">. </w:t>
      </w:r>
      <w:r w:rsidR="0054472A" w:rsidRPr="00A543FB">
        <w:rPr>
          <w:rFonts w:ascii="Times New Roman" w:eastAsia="Times New Roman" w:hAnsi="Times New Roman" w:cs="Times New Roman"/>
          <w:b/>
          <w:bCs/>
        </w:rPr>
        <w:t>It</w:t>
      </w:r>
      <w:r w:rsidRPr="00A543FB">
        <w:rPr>
          <w:rFonts w:ascii="Times New Roman" w:eastAsia="Times New Roman" w:hAnsi="Times New Roman" w:cs="Times New Roman"/>
          <w:b/>
          <w:bCs/>
        </w:rPr>
        <w:t xml:space="preserve"> also recommends that the State party continue its efforts to ensure that judges, lawyers and prosecutors receive training on the </w:t>
      </w:r>
      <w:r w:rsidRPr="00A543FB">
        <w:rPr>
          <w:rFonts w:ascii="Times New Roman" w:eastAsia="Times New Roman" w:hAnsi="Times New Roman" w:cs="Times New Roman"/>
          <w:b/>
          <w:bCs/>
        </w:rPr>
        <w:t xml:space="preserve">justiciability of economic, social and cultural rights. </w:t>
      </w:r>
    </w:p>
    <w:p w:rsidR="0054472A" w:rsidRPr="00A543FB" w:rsidRDefault="00DD6520" w:rsidP="00282F1B">
      <w:pPr>
        <w:pStyle w:val="3mesto"/>
        <w:spacing w:before="0" w:beforeAutospacing="0" w:after="0" w:afterAutospacing="0" w:line="360" w:lineRule="auto"/>
        <w:jc w:val="both"/>
        <w:rPr>
          <w:sz w:val="22"/>
          <w:szCs w:val="22"/>
        </w:rPr>
      </w:pPr>
      <w:r w:rsidRPr="00A543FB">
        <w:rPr>
          <w:sz w:val="22"/>
          <w:szCs w:val="22"/>
        </w:rPr>
        <w:lastRenderedPageBreak/>
        <w:t>Montenegro's Constitution (Article 118) stipulates that the courts are autonomous and independent. Courts adjudicate according to the Constitution, laws, and ratified and published international trea</w:t>
      </w:r>
      <w:r w:rsidRPr="00A543FB">
        <w:rPr>
          <w:sz w:val="22"/>
          <w:szCs w:val="22"/>
        </w:rPr>
        <w:t>ties. Article 2 of the Law on the Judicial Council and Judges</w:t>
      </w:r>
      <w:r>
        <w:rPr>
          <w:rStyle w:val="FootnoteReference"/>
          <w:sz w:val="22"/>
          <w:szCs w:val="22"/>
        </w:rPr>
        <w:footnoteReference w:id="1"/>
      </w:r>
      <w:r w:rsidRPr="00A543FB">
        <w:rPr>
          <w:sz w:val="22"/>
          <w:szCs w:val="22"/>
        </w:rPr>
        <w:t xml:space="preserve"> provides that a judge shall adjudicate and decide independently and autonomously. Judicial office shall not be exercised under anyone’s influence. No one may ex</w:t>
      </w:r>
      <w:r w:rsidR="00CA7A2A" w:rsidRPr="00A543FB">
        <w:rPr>
          <w:sz w:val="22"/>
          <w:szCs w:val="22"/>
        </w:rPr>
        <w:t>ert influence over a judge in performing</w:t>
      </w:r>
      <w:r w:rsidRPr="00A543FB">
        <w:rPr>
          <w:sz w:val="22"/>
          <w:szCs w:val="22"/>
        </w:rPr>
        <w:t xml:space="preserve"> judicial duties. </w:t>
      </w:r>
      <w:r w:rsidR="00CA7A2A" w:rsidRPr="00A543FB">
        <w:rPr>
          <w:sz w:val="22"/>
          <w:szCs w:val="22"/>
        </w:rPr>
        <w:t xml:space="preserve">Judicial Council </w:t>
      </w:r>
      <w:r w:rsidR="00AA1ED2" w:rsidRPr="00A543FB">
        <w:rPr>
          <w:sz w:val="22"/>
          <w:szCs w:val="22"/>
        </w:rPr>
        <w:t xml:space="preserve">(JC) </w:t>
      </w:r>
      <w:r w:rsidR="00CA7A2A" w:rsidRPr="00A543FB">
        <w:rPr>
          <w:sz w:val="22"/>
          <w:szCs w:val="22"/>
        </w:rPr>
        <w:t xml:space="preserve">ensures </w:t>
      </w:r>
      <w:r w:rsidRPr="00A543FB">
        <w:rPr>
          <w:sz w:val="22"/>
          <w:szCs w:val="22"/>
        </w:rPr>
        <w:t xml:space="preserve">independence, autonomy, accountability and professionalism of the courts and judges. </w:t>
      </w:r>
    </w:p>
    <w:p w:rsidR="00CA7A2A" w:rsidRPr="00A543FB" w:rsidRDefault="00DD6520" w:rsidP="00282F1B">
      <w:pPr>
        <w:pStyle w:val="3mesto"/>
        <w:spacing w:before="0" w:beforeAutospacing="0" w:after="0" w:afterAutospacing="0" w:line="360" w:lineRule="auto"/>
        <w:jc w:val="both"/>
        <w:rPr>
          <w:sz w:val="22"/>
          <w:szCs w:val="22"/>
        </w:rPr>
      </w:pPr>
      <w:r w:rsidRPr="00A543FB">
        <w:rPr>
          <w:sz w:val="22"/>
          <w:szCs w:val="22"/>
        </w:rPr>
        <w:t xml:space="preserve">Montenegro continuously works on legislative and institutional improvements in judiciary, </w:t>
      </w:r>
      <w:r w:rsidR="00FF6255" w:rsidRPr="00A543FB">
        <w:rPr>
          <w:sz w:val="22"/>
          <w:szCs w:val="22"/>
        </w:rPr>
        <w:t>according to international standards,</w:t>
      </w:r>
      <w:r w:rsidRPr="00A543FB">
        <w:rPr>
          <w:sz w:val="22"/>
          <w:szCs w:val="22"/>
        </w:rPr>
        <w:t xml:space="preserve"> </w:t>
      </w:r>
      <w:r w:rsidR="00FF6255" w:rsidRPr="00A543FB">
        <w:rPr>
          <w:sz w:val="22"/>
          <w:szCs w:val="22"/>
        </w:rPr>
        <w:t>p</w:t>
      </w:r>
      <w:r w:rsidRPr="00A543FB">
        <w:rPr>
          <w:sz w:val="22"/>
          <w:szCs w:val="22"/>
        </w:rPr>
        <w:t>articular</w:t>
      </w:r>
      <w:r w:rsidR="00FF6255" w:rsidRPr="00A543FB">
        <w:rPr>
          <w:sz w:val="22"/>
          <w:szCs w:val="22"/>
        </w:rPr>
        <w:t>ly</w:t>
      </w:r>
      <w:r w:rsidRPr="00A543FB">
        <w:rPr>
          <w:sz w:val="22"/>
          <w:szCs w:val="22"/>
        </w:rPr>
        <w:t xml:space="preserve"> highlig</w:t>
      </w:r>
      <w:r w:rsidR="00FF6255" w:rsidRPr="00A543FB">
        <w:rPr>
          <w:sz w:val="22"/>
          <w:szCs w:val="22"/>
        </w:rPr>
        <w:t>hting</w:t>
      </w:r>
      <w:r w:rsidRPr="00A543FB">
        <w:rPr>
          <w:sz w:val="22"/>
          <w:szCs w:val="22"/>
        </w:rPr>
        <w:t xml:space="preserve"> the adoption of the Law on Amendments to the Law on the Judicial Council and Judges. These amendments, inter alia, enabled the election of </w:t>
      </w:r>
      <w:r w:rsidR="00FF6255" w:rsidRPr="00A543FB">
        <w:rPr>
          <w:sz w:val="22"/>
          <w:szCs w:val="22"/>
        </w:rPr>
        <w:t>Montenegro’s</w:t>
      </w:r>
      <w:r w:rsidRPr="00A543FB">
        <w:rPr>
          <w:sz w:val="22"/>
          <w:szCs w:val="22"/>
        </w:rPr>
        <w:t xml:space="preserve"> </w:t>
      </w:r>
      <w:r w:rsidR="00FF6255" w:rsidRPr="00A543FB">
        <w:rPr>
          <w:sz w:val="22"/>
          <w:szCs w:val="22"/>
        </w:rPr>
        <w:t xml:space="preserve">Supreme Court </w:t>
      </w:r>
      <w:r w:rsidRPr="00A543FB">
        <w:rPr>
          <w:sz w:val="22"/>
          <w:szCs w:val="22"/>
        </w:rPr>
        <w:t>President and end</w:t>
      </w:r>
      <w:r w:rsidR="00FF6255" w:rsidRPr="00A543FB">
        <w:rPr>
          <w:sz w:val="22"/>
          <w:szCs w:val="22"/>
        </w:rPr>
        <w:t>ed</w:t>
      </w:r>
      <w:r w:rsidRPr="00A543FB">
        <w:rPr>
          <w:sz w:val="22"/>
          <w:szCs w:val="22"/>
        </w:rPr>
        <w:t xml:space="preserve"> the long-standing situation in which this important judicial function had been performed in an acting capacity. </w:t>
      </w:r>
      <w:r w:rsidR="00FF6255" w:rsidRPr="00A543FB">
        <w:rPr>
          <w:sz w:val="22"/>
          <w:szCs w:val="22"/>
        </w:rPr>
        <w:t>The Justice Reform Strategy 2024-2027 with the accompanying two-year Action Plan for its implementation was also determined</w:t>
      </w:r>
      <w:r w:rsidRPr="00A543FB">
        <w:rPr>
          <w:sz w:val="22"/>
          <w:szCs w:val="22"/>
        </w:rPr>
        <w:t>. The Strategy is ba</w:t>
      </w:r>
      <w:r w:rsidRPr="00A543FB">
        <w:rPr>
          <w:sz w:val="22"/>
          <w:szCs w:val="22"/>
        </w:rPr>
        <w:t xml:space="preserve">sed on three specific strategic objectives: Strengthening </w:t>
      </w:r>
      <w:r w:rsidR="00282F1B" w:rsidRPr="00A543FB">
        <w:rPr>
          <w:sz w:val="22"/>
          <w:szCs w:val="22"/>
        </w:rPr>
        <w:t xml:space="preserve">judiciary’s </w:t>
      </w:r>
      <w:r w:rsidRPr="00A543FB">
        <w:rPr>
          <w:sz w:val="22"/>
          <w:szCs w:val="22"/>
        </w:rPr>
        <w:t xml:space="preserve">independence, impartiality and accountability; Improving </w:t>
      </w:r>
      <w:r w:rsidR="00FF6255" w:rsidRPr="00A543FB">
        <w:rPr>
          <w:sz w:val="22"/>
          <w:szCs w:val="22"/>
        </w:rPr>
        <w:t>its</w:t>
      </w:r>
      <w:r w:rsidRPr="00A543FB">
        <w:rPr>
          <w:sz w:val="22"/>
          <w:szCs w:val="22"/>
        </w:rPr>
        <w:t xml:space="preserve"> profe</w:t>
      </w:r>
      <w:r w:rsidR="00BD71E8">
        <w:rPr>
          <w:sz w:val="22"/>
          <w:szCs w:val="22"/>
        </w:rPr>
        <w:t>ssionalism and efficiency; and e</w:t>
      </w:r>
      <w:r w:rsidRPr="00A543FB">
        <w:rPr>
          <w:sz w:val="22"/>
          <w:szCs w:val="22"/>
        </w:rPr>
        <w:t xml:space="preserve">nhancing access to justice, transparency and public trust. </w:t>
      </w:r>
    </w:p>
    <w:p w:rsidR="00282F1B" w:rsidRPr="00A543FB" w:rsidRDefault="00DD6520" w:rsidP="00282F1B">
      <w:pPr>
        <w:pStyle w:val="3mesto"/>
        <w:spacing w:before="0" w:beforeAutospacing="0" w:after="0" w:afterAutospacing="0" w:line="360" w:lineRule="auto"/>
        <w:jc w:val="both"/>
        <w:rPr>
          <w:sz w:val="22"/>
          <w:szCs w:val="22"/>
        </w:rPr>
      </w:pPr>
      <w:r w:rsidRPr="00A543FB">
        <w:rPr>
          <w:sz w:val="22"/>
          <w:szCs w:val="22"/>
        </w:rPr>
        <w:t>The</w:t>
      </w:r>
      <w:r w:rsidR="006E1B78" w:rsidRPr="00A543FB">
        <w:rPr>
          <w:sz w:val="22"/>
          <w:szCs w:val="22"/>
        </w:rPr>
        <w:t>se</w:t>
      </w:r>
      <w:r w:rsidRPr="00A543FB">
        <w:rPr>
          <w:sz w:val="22"/>
          <w:szCs w:val="22"/>
        </w:rPr>
        <w:t xml:space="preserve"> </w:t>
      </w:r>
      <w:r w:rsidR="006E1B78" w:rsidRPr="00A543FB">
        <w:rPr>
          <w:sz w:val="22"/>
          <w:szCs w:val="22"/>
        </w:rPr>
        <w:t>legislative amendments</w:t>
      </w:r>
      <w:r w:rsidRPr="00A543FB">
        <w:rPr>
          <w:sz w:val="22"/>
          <w:szCs w:val="22"/>
        </w:rPr>
        <w:t xml:space="preserve"> </w:t>
      </w:r>
      <w:r w:rsidR="006E1B78" w:rsidRPr="00A543FB">
        <w:rPr>
          <w:sz w:val="22"/>
          <w:szCs w:val="22"/>
        </w:rPr>
        <w:t>and</w:t>
      </w:r>
      <w:r w:rsidRPr="00A543FB">
        <w:rPr>
          <w:sz w:val="22"/>
          <w:szCs w:val="22"/>
        </w:rPr>
        <w:t xml:space="preserve"> defined st</w:t>
      </w:r>
      <w:r w:rsidR="006E1B78" w:rsidRPr="00A543FB">
        <w:rPr>
          <w:sz w:val="22"/>
          <w:szCs w:val="22"/>
        </w:rPr>
        <w:t>rategic objectives and measures</w:t>
      </w:r>
      <w:r w:rsidRPr="00A543FB">
        <w:rPr>
          <w:sz w:val="22"/>
          <w:szCs w:val="22"/>
        </w:rPr>
        <w:t xml:space="preserve"> </w:t>
      </w:r>
      <w:r w:rsidR="006E1B78" w:rsidRPr="00A543FB">
        <w:rPr>
          <w:sz w:val="22"/>
          <w:szCs w:val="22"/>
        </w:rPr>
        <w:t>aim to improve</w:t>
      </w:r>
      <w:r w:rsidRPr="00A543FB">
        <w:rPr>
          <w:sz w:val="22"/>
          <w:szCs w:val="22"/>
        </w:rPr>
        <w:t xml:space="preserve"> the procedures for the selection and accountability of judges in line with European standards. </w:t>
      </w:r>
      <w:r w:rsidR="006E1B78" w:rsidRPr="00A543FB">
        <w:rPr>
          <w:sz w:val="22"/>
          <w:szCs w:val="22"/>
        </w:rPr>
        <w:t>These activities led</w:t>
      </w:r>
      <w:r w:rsidRPr="00A543FB">
        <w:rPr>
          <w:sz w:val="22"/>
          <w:szCs w:val="22"/>
        </w:rPr>
        <w:t xml:space="preserve"> Montenegro </w:t>
      </w:r>
      <w:r w:rsidR="006E1B78" w:rsidRPr="00A543FB">
        <w:rPr>
          <w:sz w:val="22"/>
          <w:szCs w:val="22"/>
        </w:rPr>
        <w:t>to</w:t>
      </w:r>
      <w:r w:rsidRPr="00A543FB">
        <w:rPr>
          <w:sz w:val="22"/>
          <w:szCs w:val="22"/>
        </w:rPr>
        <w:t xml:space="preserve"> closing benchmarks for the provisional closure of Chapter 23 – J</w:t>
      </w:r>
      <w:r w:rsidRPr="00A543FB">
        <w:rPr>
          <w:sz w:val="22"/>
          <w:szCs w:val="22"/>
        </w:rPr>
        <w:t xml:space="preserve">udiciary and Fundamental Rights, </w:t>
      </w:r>
      <w:r w:rsidR="006E1B78" w:rsidRPr="00A543FB">
        <w:rPr>
          <w:sz w:val="22"/>
          <w:szCs w:val="22"/>
        </w:rPr>
        <w:t>as part</w:t>
      </w:r>
      <w:r w:rsidRPr="00A543FB">
        <w:rPr>
          <w:sz w:val="22"/>
          <w:szCs w:val="22"/>
        </w:rPr>
        <w:t xml:space="preserve"> of its st</w:t>
      </w:r>
      <w:r w:rsidR="006E1B78" w:rsidRPr="00A543FB">
        <w:rPr>
          <w:sz w:val="22"/>
          <w:szCs w:val="22"/>
        </w:rPr>
        <w:t>rategic commitment to becoming</w:t>
      </w:r>
      <w:r w:rsidRPr="00A543FB">
        <w:rPr>
          <w:sz w:val="22"/>
          <w:szCs w:val="22"/>
        </w:rPr>
        <w:t xml:space="preserve"> </w:t>
      </w:r>
      <w:r w:rsidR="006E1B78" w:rsidRPr="00A543FB">
        <w:rPr>
          <w:sz w:val="22"/>
          <w:szCs w:val="22"/>
        </w:rPr>
        <w:t xml:space="preserve">EU </w:t>
      </w:r>
      <w:r w:rsidRPr="00A543FB">
        <w:rPr>
          <w:sz w:val="22"/>
          <w:szCs w:val="22"/>
        </w:rPr>
        <w:t>membe</w:t>
      </w:r>
      <w:r w:rsidR="006E1B78" w:rsidRPr="00A543FB">
        <w:rPr>
          <w:sz w:val="22"/>
          <w:szCs w:val="22"/>
        </w:rPr>
        <w:t>r</w:t>
      </w:r>
      <w:r w:rsidRPr="00A543FB">
        <w:rPr>
          <w:sz w:val="22"/>
          <w:szCs w:val="22"/>
        </w:rPr>
        <w:t xml:space="preserve">. Amendments to the Constitution are planned, with regard to excluding the Minister of Justice from </w:t>
      </w:r>
      <w:r w:rsidR="00AA1ED2" w:rsidRPr="00A543FB">
        <w:rPr>
          <w:sz w:val="22"/>
          <w:szCs w:val="22"/>
        </w:rPr>
        <w:t>the JC</w:t>
      </w:r>
      <w:r w:rsidRPr="00A543FB">
        <w:rPr>
          <w:sz w:val="22"/>
          <w:szCs w:val="22"/>
        </w:rPr>
        <w:t xml:space="preserve"> and further strengthening the legislative framework to enha</w:t>
      </w:r>
      <w:r w:rsidRPr="00A543FB">
        <w:rPr>
          <w:sz w:val="22"/>
          <w:szCs w:val="22"/>
        </w:rPr>
        <w:t>nce judicial independence, with a</w:t>
      </w:r>
      <w:r w:rsidR="005B34FE" w:rsidRPr="00A543FB">
        <w:rPr>
          <w:sz w:val="22"/>
          <w:szCs w:val="22"/>
        </w:rPr>
        <w:t>n</w:t>
      </w:r>
      <w:r w:rsidRPr="00A543FB">
        <w:rPr>
          <w:sz w:val="22"/>
          <w:szCs w:val="22"/>
        </w:rPr>
        <w:t xml:space="preserve"> emphasis on improving the material status of judicial office holders. </w:t>
      </w:r>
    </w:p>
    <w:p w:rsidR="005B34FE" w:rsidRPr="00A543FB" w:rsidRDefault="00DD6520" w:rsidP="00A73F41">
      <w:pPr>
        <w:pStyle w:val="3mesto"/>
        <w:spacing w:before="0" w:beforeAutospacing="0" w:after="0" w:afterAutospacing="0" w:line="360" w:lineRule="auto"/>
        <w:jc w:val="both"/>
        <w:rPr>
          <w:sz w:val="22"/>
          <w:szCs w:val="22"/>
        </w:rPr>
      </w:pPr>
      <w:r w:rsidRPr="00A543FB">
        <w:rPr>
          <w:sz w:val="22"/>
          <w:szCs w:val="22"/>
        </w:rPr>
        <w:t>Since</w:t>
      </w:r>
      <w:r w:rsidR="00AA1ED2" w:rsidRPr="00A543FB">
        <w:rPr>
          <w:sz w:val="22"/>
          <w:szCs w:val="22"/>
        </w:rPr>
        <w:t xml:space="preserve"> 29 December 2023, the JC</w:t>
      </w:r>
      <w:r w:rsidRPr="00A543FB">
        <w:rPr>
          <w:sz w:val="22"/>
          <w:szCs w:val="22"/>
        </w:rPr>
        <w:t xml:space="preserve"> has been operating in its full composition. According to its constitutional competences, the Council is autonomous and </w:t>
      </w:r>
      <w:r w:rsidRPr="00A543FB">
        <w:rPr>
          <w:sz w:val="22"/>
          <w:szCs w:val="22"/>
        </w:rPr>
        <w:t xml:space="preserve">independent in its work and immune to any potential political or other undue influence or pressure, particularly in matters of selection, assignment, promotion and evaluation of judges, and overall judicial accountability. </w:t>
      </w:r>
      <w:r w:rsidR="00AA1ED2" w:rsidRPr="00A543FB">
        <w:rPr>
          <w:sz w:val="22"/>
          <w:szCs w:val="22"/>
        </w:rPr>
        <w:t>The JC</w:t>
      </w:r>
      <w:r w:rsidRPr="00A543FB">
        <w:rPr>
          <w:sz w:val="22"/>
          <w:szCs w:val="22"/>
        </w:rPr>
        <w:t xml:space="preserve"> will continue to strengthe</w:t>
      </w:r>
      <w:r w:rsidRPr="00A543FB">
        <w:rPr>
          <w:sz w:val="22"/>
          <w:szCs w:val="22"/>
        </w:rPr>
        <w:t xml:space="preserve">n the </w:t>
      </w:r>
      <w:r w:rsidR="007B11C5" w:rsidRPr="00A543FB">
        <w:rPr>
          <w:sz w:val="22"/>
          <w:szCs w:val="22"/>
        </w:rPr>
        <w:t xml:space="preserve">judiciary </w:t>
      </w:r>
      <w:r w:rsidRPr="00A543FB">
        <w:rPr>
          <w:sz w:val="22"/>
          <w:szCs w:val="22"/>
        </w:rPr>
        <w:t>independence, efficiency and accountability, as it did during 2024 through the election of court presidents and judges, especially by electing the Supreme Court President after nine unsuccessful public calls to fill this judicial position, thereby ending t</w:t>
      </w:r>
      <w:r w:rsidRPr="00A543FB">
        <w:rPr>
          <w:sz w:val="22"/>
          <w:szCs w:val="22"/>
        </w:rPr>
        <w:t xml:space="preserve">he long-standing acting status at that Court. </w:t>
      </w:r>
      <w:r w:rsidR="007B11C5" w:rsidRPr="00A543FB">
        <w:rPr>
          <w:sz w:val="22"/>
          <w:szCs w:val="22"/>
        </w:rPr>
        <w:t xml:space="preserve">Electing the Supreme Court President to a full term of office created conditions to improve the work organization of the entire judicial hierarchy and implement activities aimed at increasing court efficiency, improving technical and working conditions, and better use of available capacities. The Law on the Judicial Council and Judges prescribes the conditions for the election or promotion of judges. </w:t>
      </w:r>
      <w:r w:rsidR="006A0C0E" w:rsidRPr="00A543FB">
        <w:rPr>
          <w:sz w:val="22"/>
          <w:szCs w:val="22"/>
        </w:rPr>
        <w:t>J</w:t>
      </w:r>
      <w:r w:rsidR="00AA1ED2" w:rsidRPr="00A543FB">
        <w:rPr>
          <w:sz w:val="22"/>
          <w:szCs w:val="22"/>
        </w:rPr>
        <w:t xml:space="preserve">C </w:t>
      </w:r>
      <w:r w:rsidR="006A0C0E" w:rsidRPr="00A543FB">
        <w:rPr>
          <w:sz w:val="22"/>
          <w:szCs w:val="22"/>
        </w:rPr>
        <w:t>makes d</w:t>
      </w:r>
      <w:r w:rsidR="007B11C5" w:rsidRPr="00A543FB">
        <w:rPr>
          <w:sz w:val="22"/>
          <w:szCs w:val="22"/>
        </w:rPr>
        <w:t xml:space="preserve">ecisions on the election or </w:t>
      </w:r>
      <w:r w:rsidR="007B11C5" w:rsidRPr="00A543FB">
        <w:rPr>
          <w:sz w:val="22"/>
          <w:szCs w:val="22"/>
        </w:rPr>
        <w:lastRenderedPageBreak/>
        <w:t xml:space="preserve">promotion of judges by a majority vote, based on the ranking list. During 2024, eight court presidents were elected, </w:t>
      </w:r>
      <w:r w:rsidR="00232A9B">
        <w:rPr>
          <w:sz w:val="22"/>
          <w:szCs w:val="22"/>
        </w:rPr>
        <w:t>specifical</w:t>
      </w:r>
      <w:r w:rsidR="007B11C5" w:rsidRPr="00A543FB">
        <w:rPr>
          <w:sz w:val="22"/>
          <w:szCs w:val="22"/>
        </w:rPr>
        <w:t>ly the pr</w:t>
      </w:r>
      <w:r w:rsidR="006A0C0E" w:rsidRPr="00A543FB">
        <w:rPr>
          <w:sz w:val="22"/>
          <w:szCs w:val="22"/>
        </w:rPr>
        <w:t>esidents of Montenegro’s Supreme Court,</w:t>
      </w:r>
      <w:r w:rsidR="007B11C5" w:rsidRPr="00A543FB">
        <w:rPr>
          <w:sz w:val="22"/>
          <w:szCs w:val="22"/>
        </w:rPr>
        <w:t xml:space="preserve"> Court of Appeal</w:t>
      </w:r>
      <w:r w:rsidR="006A0C0E" w:rsidRPr="00A543FB">
        <w:rPr>
          <w:sz w:val="22"/>
          <w:szCs w:val="22"/>
        </w:rPr>
        <w:t xml:space="preserve">, </w:t>
      </w:r>
      <w:r w:rsidR="007B11C5" w:rsidRPr="00A543FB">
        <w:rPr>
          <w:sz w:val="22"/>
          <w:szCs w:val="22"/>
        </w:rPr>
        <w:t>High Court for Misdemeanors</w:t>
      </w:r>
      <w:r w:rsidR="006A0C0E" w:rsidRPr="00A543FB">
        <w:rPr>
          <w:sz w:val="22"/>
          <w:szCs w:val="22"/>
        </w:rPr>
        <w:t xml:space="preserve">, the High Courts in Podgorica and </w:t>
      </w:r>
      <w:proofErr w:type="spellStart"/>
      <w:r w:rsidR="007B11C5" w:rsidRPr="00A543FB">
        <w:rPr>
          <w:sz w:val="22"/>
          <w:szCs w:val="22"/>
        </w:rPr>
        <w:t>Bijelo</w:t>
      </w:r>
      <w:proofErr w:type="spellEnd"/>
      <w:r w:rsidR="007B11C5" w:rsidRPr="00A543FB">
        <w:rPr>
          <w:sz w:val="22"/>
          <w:szCs w:val="22"/>
        </w:rPr>
        <w:t xml:space="preserve"> Polje, and the Basic Courts in </w:t>
      </w:r>
      <w:proofErr w:type="spellStart"/>
      <w:r w:rsidR="007B11C5" w:rsidRPr="00A543FB">
        <w:rPr>
          <w:sz w:val="22"/>
          <w:szCs w:val="22"/>
        </w:rPr>
        <w:t>Nikšić</w:t>
      </w:r>
      <w:proofErr w:type="spellEnd"/>
      <w:r w:rsidR="007B11C5" w:rsidRPr="00A543FB">
        <w:rPr>
          <w:sz w:val="22"/>
          <w:szCs w:val="22"/>
        </w:rPr>
        <w:t xml:space="preserve">, </w:t>
      </w:r>
      <w:proofErr w:type="spellStart"/>
      <w:r w:rsidR="007B11C5" w:rsidRPr="00A543FB">
        <w:rPr>
          <w:sz w:val="22"/>
          <w:szCs w:val="22"/>
        </w:rPr>
        <w:t>Danilovgrad</w:t>
      </w:r>
      <w:proofErr w:type="spellEnd"/>
      <w:r w:rsidR="007B11C5" w:rsidRPr="00A543FB">
        <w:rPr>
          <w:sz w:val="22"/>
          <w:szCs w:val="22"/>
        </w:rPr>
        <w:t xml:space="preserve"> and Podgorica. </w:t>
      </w:r>
      <w:r w:rsidR="004F2E90" w:rsidRPr="00A543FB">
        <w:rPr>
          <w:sz w:val="22"/>
          <w:szCs w:val="22"/>
        </w:rPr>
        <w:t>Furthermore</w:t>
      </w:r>
      <w:r w:rsidR="006A0C0E" w:rsidRPr="00A543FB">
        <w:rPr>
          <w:sz w:val="22"/>
          <w:szCs w:val="22"/>
        </w:rPr>
        <w:t>, ten judges were elected: three to the Supreme Court</w:t>
      </w:r>
      <w:r w:rsidR="004F2E90" w:rsidRPr="00A543FB">
        <w:rPr>
          <w:sz w:val="22"/>
          <w:szCs w:val="22"/>
        </w:rPr>
        <w:t>, two</w:t>
      </w:r>
      <w:r w:rsidR="006A0C0E" w:rsidRPr="00A543FB">
        <w:rPr>
          <w:sz w:val="22"/>
          <w:szCs w:val="22"/>
        </w:rPr>
        <w:t xml:space="preserve"> to the Court of Appeal, four to the High Court in </w:t>
      </w:r>
      <w:proofErr w:type="spellStart"/>
      <w:r w:rsidR="006A0C0E" w:rsidRPr="00A543FB">
        <w:rPr>
          <w:sz w:val="22"/>
          <w:szCs w:val="22"/>
        </w:rPr>
        <w:t>Bijelo</w:t>
      </w:r>
      <w:proofErr w:type="spellEnd"/>
      <w:r w:rsidR="006A0C0E" w:rsidRPr="00A543FB">
        <w:rPr>
          <w:sz w:val="22"/>
          <w:szCs w:val="22"/>
        </w:rPr>
        <w:t xml:space="preserve"> Polje, and one to the High Court for Misdemeanors. </w:t>
      </w:r>
      <w:r w:rsidR="004F2E90" w:rsidRPr="00A543FB">
        <w:rPr>
          <w:sz w:val="22"/>
          <w:szCs w:val="22"/>
        </w:rPr>
        <w:t xml:space="preserve">Based </w:t>
      </w:r>
      <w:r w:rsidR="006A0C0E" w:rsidRPr="00A543FB">
        <w:rPr>
          <w:sz w:val="22"/>
          <w:szCs w:val="22"/>
        </w:rPr>
        <w:t>o</w:t>
      </w:r>
      <w:r w:rsidR="004F2E90" w:rsidRPr="00A543FB">
        <w:rPr>
          <w:sz w:val="22"/>
          <w:szCs w:val="22"/>
        </w:rPr>
        <w:t>n</w:t>
      </w:r>
      <w:r w:rsidR="006A0C0E" w:rsidRPr="00A543FB">
        <w:rPr>
          <w:sz w:val="22"/>
          <w:szCs w:val="22"/>
        </w:rPr>
        <w:t xml:space="preserve"> permanent voluntary transfer, one judge was reassigned. </w:t>
      </w:r>
      <w:r w:rsidR="004F2E90" w:rsidRPr="00A543FB">
        <w:rPr>
          <w:sz w:val="22"/>
          <w:szCs w:val="22"/>
        </w:rPr>
        <w:t>After</w:t>
      </w:r>
      <w:r w:rsidR="006A0C0E" w:rsidRPr="00A543FB">
        <w:rPr>
          <w:sz w:val="22"/>
          <w:szCs w:val="22"/>
        </w:rPr>
        <w:t xml:space="preserve"> </w:t>
      </w:r>
      <w:r w:rsidR="004F2E90" w:rsidRPr="00A543FB">
        <w:rPr>
          <w:sz w:val="22"/>
          <w:szCs w:val="22"/>
        </w:rPr>
        <w:t>training completion</w:t>
      </w:r>
      <w:r w:rsidR="006A0C0E" w:rsidRPr="00A543FB">
        <w:rPr>
          <w:sz w:val="22"/>
          <w:szCs w:val="22"/>
        </w:rPr>
        <w:t xml:space="preserve">, 15 candidates for judges were elected and assigned as follows: five to the Commercial Court, two to the Administrative Court, two to the Basic Court in </w:t>
      </w:r>
      <w:proofErr w:type="spellStart"/>
      <w:r w:rsidR="006A0C0E" w:rsidRPr="00A543FB">
        <w:rPr>
          <w:sz w:val="22"/>
          <w:szCs w:val="22"/>
        </w:rPr>
        <w:t>Bijelo</w:t>
      </w:r>
      <w:proofErr w:type="spellEnd"/>
      <w:r w:rsidR="006A0C0E" w:rsidRPr="00A543FB">
        <w:rPr>
          <w:sz w:val="22"/>
          <w:szCs w:val="22"/>
        </w:rPr>
        <w:t xml:space="preserve"> Polje, and one each to the Basic Courts in </w:t>
      </w:r>
      <w:proofErr w:type="spellStart"/>
      <w:r w:rsidR="006A0C0E" w:rsidRPr="00A543FB">
        <w:rPr>
          <w:sz w:val="22"/>
          <w:szCs w:val="22"/>
        </w:rPr>
        <w:t>Nikšić</w:t>
      </w:r>
      <w:proofErr w:type="spellEnd"/>
      <w:r w:rsidR="006A0C0E" w:rsidRPr="00A543FB">
        <w:rPr>
          <w:sz w:val="22"/>
          <w:szCs w:val="22"/>
        </w:rPr>
        <w:t xml:space="preserve">, </w:t>
      </w:r>
      <w:proofErr w:type="spellStart"/>
      <w:r w:rsidR="006A0C0E" w:rsidRPr="00A543FB">
        <w:rPr>
          <w:sz w:val="22"/>
          <w:szCs w:val="22"/>
        </w:rPr>
        <w:t>Berane</w:t>
      </w:r>
      <w:proofErr w:type="spellEnd"/>
      <w:r w:rsidR="006A0C0E" w:rsidRPr="00A543FB">
        <w:rPr>
          <w:sz w:val="22"/>
          <w:szCs w:val="22"/>
        </w:rPr>
        <w:t xml:space="preserve">, </w:t>
      </w:r>
      <w:proofErr w:type="spellStart"/>
      <w:r w:rsidR="006A0C0E" w:rsidRPr="00A543FB">
        <w:rPr>
          <w:sz w:val="22"/>
          <w:szCs w:val="22"/>
        </w:rPr>
        <w:t>Plav</w:t>
      </w:r>
      <w:proofErr w:type="spellEnd"/>
      <w:r w:rsidR="006A0C0E" w:rsidRPr="00A543FB">
        <w:rPr>
          <w:sz w:val="22"/>
          <w:szCs w:val="22"/>
        </w:rPr>
        <w:t xml:space="preserve">, Podgorica and </w:t>
      </w:r>
      <w:proofErr w:type="spellStart"/>
      <w:r w:rsidR="006A0C0E" w:rsidRPr="00A543FB">
        <w:rPr>
          <w:sz w:val="22"/>
          <w:szCs w:val="22"/>
        </w:rPr>
        <w:t>Kolašin</w:t>
      </w:r>
      <w:proofErr w:type="spellEnd"/>
      <w:r w:rsidR="006A0C0E" w:rsidRPr="00A543FB">
        <w:rPr>
          <w:sz w:val="22"/>
          <w:szCs w:val="22"/>
        </w:rPr>
        <w:t xml:space="preserve">, </w:t>
      </w:r>
      <w:r w:rsidR="004F2E90" w:rsidRPr="00A543FB">
        <w:rPr>
          <w:sz w:val="22"/>
          <w:szCs w:val="22"/>
        </w:rPr>
        <w:t>and</w:t>
      </w:r>
      <w:r w:rsidR="006A0C0E" w:rsidRPr="00A543FB">
        <w:rPr>
          <w:sz w:val="22"/>
          <w:szCs w:val="22"/>
        </w:rPr>
        <w:t xml:space="preserve"> one to the Misdemeanor Court in Podgorica. </w:t>
      </w:r>
      <w:r w:rsidR="004F2E90" w:rsidRPr="00A543FB">
        <w:rPr>
          <w:sz w:val="22"/>
          <w:szCs w:val="22"/>
        </w:rPr>
        <w:t xml:space="preserve">42 candidates for judges were selected and referred to initial training at the </w:t>
      </w:r>
      <w:r w:rsidR="00243D19">
        <w:rPr>
          <w:sz w:val="22"/>
          <w:szCs w:val="22"/>
        </w:rPr>
        <w:t>CTJSP</w:t>
      </w:r>
      <w:r w:rsidR="004F2E90" w:rsidRPr="00A543FB">
        <w:rPr>
          <w:sz w:val="22"/>
          <w:szCs w:val="22"/>
        </w:rPr>
        <w:t xml:space="preserve">: three candidates for the Commercial Court, three </w:t>
      </w:r>
      <w:r w:rsidR="00A73F41" w:rsidRPr="00A543FB">
        <w:rPr>
          <w:sz w:val="22"/>
          <w:szCs w:val="22"/>
        </w:rPr>
        <w:t>for</w:t>
      </w:r>
      <w:r w:rsidR="004F2E90" w:rsidRPr="00A543FB">
        <w:rPr>
          <w:sz w:val="22"/>
          <w:szCs w:val="22"/>
        </w:rPr>
        <w:t xml:space="preserve"> the misdemeanor courts, one </w:t>
      </w:r>
      <w:r w:rsidR="00A73F41" w:rsidRPr="00A543FB">
        <w:rPr>
          <w:sz w:val="22"/>
          <w:szCs w:val="22"/>
        </w:rPr>
        <w:t>for</w:t>
      </w:r>
      <w:r w:rsidR="004F2E90" w:rsidRPr="00A543FB">
        <w:rPr>
          <w:sz w:val="22"/>
          <w:szCs w:val="22"/>
        </w:rPr>
        <w:t xml:space="preserve"> the Administrative Court, and 35 </w:t>
      </w:r>
      <w:r w:rsidR="00A73F41" w:rsidRPr="00A543FB">
        <w:rPr>
          <w:sz w:val="22"/>
          <w:szCs w:val="22"/>
        </w:rPr>
        <w:t>for</w:t>
      </w:r>
      <w:r w:rsidR="004F2E90" w:rsidRPr="00A543FB">
        <w:rPr>
          <w:sz w:val="22"/>
          <w:szCs w:val="22"/>
        </w:rPr>
        <w:t xml:space="preserve"> the basic courts. The Council noted the termination of judicial office for 18 judges: eight at their own request, nine upon meeting the </w:t>
      </w:r>
      <w:r w:rsidR="00A73F41" w:rsidRPr="00A543FB">
        <w:rPr>
          <w:sz w:val="22"/>
          <w:szCs w:val="22"/>
        </w:rPr>
        <w:t xml:space="preserve">old-age </w:t>
      </w:r>
      <w:r w:rsidR="004F2E90" w:rsidRPr="00A543FB">
        <w:rPr>
          <w:sz w:val="22"/>
          <w:szCs w:val="22"/>
        </w:rPr>
        <w:t>retirement</w:t>
      </w:r>
      <w:r w:rsidR="00A73F41" w:rsidRPr="00A543FB">
        <w:rPr>
          <w:sz w:val="22"/>
          <w:szCs w:val="22"/>
        </w:rPr>
        <w:t xml:space="preserve"> conditions</w:t>
      </w:r>
      <w:r w:rsidR="004F2E90" w:rsidRPr="00A543FB">
        <w:rPr>
          <w:sz w:val="22"/>
          <w:szCs w:val="22"/>
        </w:rPr>
        <w:t xml:space="preserve">, and one by operation of the Constitution (dismissal). </w:t>
      </w:r>
    </w:p>
    <w:p w:rsidR="00A73F41" w:rsidRPr="00A543FB" w:rsidRDefault="00DD6520" w:rsidP="00A73F41">
      <w:pPr>
        <w:pStyle w:val="3mesto"/>
        <w:spacing w:before="0" w:beforeAutospacing="0" w:after="0" w:afterAutospacing="0" w:line="360" w:lineRule="auto"/>
        <w:jc w:val="both"/>
        <w:rPr>
          <w:sz w:val="22"/>
          <w:szCs w:val="22"/>
        </w:rPr>
      </w:pPr>
      <w:r w:rsidRPr="00A543FB">
        <w:rPr>
          <w:sz w:val="22"/>
          <w:szCs w:val="22"/>
        </w:rPr>
        <w:t xml:space="preserve">The JC and the presidents of courts </w:t>
      </w:r>
      <w:r w:rsidR="00AA1ED2" w:rsidRPr="00A543FB">
        <w:rPr>
          <w:sz w:val="22"/>
          <w:szCs w:val="22"/>
        </w:rPr>
        <w:t>work</w:t>
      </w:r>
      <w:r w:rsidRPr="00A543FB">
        <w:rPr>
          <w:sz w:val="22"/>
          <w:szCs w:val="22"/>
        </w:rPr>
        <w:t xml:space="preserve"> </w:t>
      </w:r>
      <w:r w:rsidR="00AA1ED2" w:rsidRPr="00A543FB">
        <w:rPr>
          <w:sz w:val="22"/>
          <w:szCs w:val="22"/>
        </w:rPr>
        <w:t>on</w:t>
      </w:r>
      <w:r w:rsidRPr="00A543FB">
        <w:rPr>
          <w:sz w:val="22"/>
          <w:szCs w:val="22"/>
        </w:rPr>
        <w:t xml:space="preserve"> enhanc</w:t>
      </w:r>
      <w:r w:rsidR="00AA1ED2" w:rsidRPr="00A543FB">
        <w:rPr>
          <w:sz w:val="22"/>
          <w:szCs w:val="22"/>
        </w:rPr>
        <w:t>ing</w:t>
      </w:r>
      <w:r w:rsidRPr="00A543FB">
        <w:rPr>
          <w:sz w:val="22"/>
          <w:szCs w:val="22"/>
        </w:rPr>
        <w:t xml:space="preserve"> the Montenegrin courts</w:t>
      </w:r>
      <w:r w:rsidR="00AA1ED2" w:rsidRPr="00A543FB">
        <w:rPr>
          <w:sz w:val="22"/>
          <w:szCs w:val="22"/>
        </w:rPr>
        <w:t xml:space="preserve"> efficiency</w:t>
      </w:r>
      <w:r w:rsidRPr="00A543FB">
        <w:rPr>
          <w:sz w:val="22"/>
          <w:szCs w:val="22"/>
        </w:rPr>
        <w:t>, particularly by increasing the number of criminal judgments in cases of organized crime, high-level corruption and money laundering. Spec</w:t>
      </w:r>
      <w:r w:rsidR="00AA1ED2" w:rsidRPr="00A543FB">
        <w:rPr>
          <w:sz w:val="22"/>
          <w:szCs w:val="22"/>
        </w:rPr>
        <w:t xml:space="preserve">ial emphasis will be placed on </w:t>
      </w:r>
      <w:r w:rsidRPr="00A543FB">
        <w:rPr>
          <w:sz w:val="22"/>
          <w:szCs w:val="22"/>
        </w:rPr>
        <w:t xml:space="preserve">a final and adequate judicial response to contemporary forms of organized crime and corruption. In this regard, activities have already commenced to monitor cases that are in the public spotlight. </w:t>
      </w:r>
      <w:r w:rsidR="00AA1ED2" w:rsidRPr="00A543FB">
        <w:rPr>
          <w:sz w:val="22"/>
          <w:szCs w:val="22"/>
        </w:rPr>
        <w:t xml:space="preserve">Achieving </w:t>
      </w:r>
      <w:r w:rsidRPr="00A543FB">
        <w:rPr>
          <w:sz w:val="22"/>
          <w:szCs w:val="22"/>
        </w:rPr>
        <w:t>these objectiv</w:t>
      </w:r>
      <w:r w:rsidR="00AA1ED2" w:rsidRPr="00A543FB">
        <w:rPr>
          <w:sz w:val="22"/>
          <w:szCs w:val="22"/>
        </w:rPr>
        <w:t>es requires additional efforts by</w:t>
      </w:r>
      <w:r w:rsidR="00166E40" w:rsidRPr="00A543FB">
        <w:rPr>
          <w:sz w:val="22"/>
          <w:szCs w:val="22"/>
        </w:rPr>
        <w:t xml:space="preserve"> judicial</w:t>
      </w:r>
      <w:r w:rsidR="00AA1ED2" w:rsidRPr="00A543FB">
        <w:rPr>
          <w:sz w:val="22"/>
          <w:szCs w:val="22"/>
        </w:rPr>
        <w:t>,</w:t>
      </w:r>
      <w:r w:rsidRPr="00A543FB">
        <w:rPr>
          <w:sz w:val="22"/>
          <w:szCs w:val="22"/>
        </w:rPr>
        <w:t xml:space="preserve"> legislative and executive branches of government. </w:t>
      </w:r>
    </w:p>
    <w:p w:rsidR="00166E40" w:rsidRPr="00A543FB" w:rsidRDefault="00DD6520" w:rsidP="00A73F41">
      <w:pPr>
        <w:pStyle w:val="3mesto"/>
        <w:spacing w:before="0" w:beforeAutospacing="0" w:after="0" w:afterAutospacing="0" w:line="360" w:lineRule="auto"/>
        <w:jc w:val="both"/>
        <w:rPr>
          <w:sz w:val="22"/>
          <w:szCs w:val="22"/>
        </w:rPr>
      </w:pPr>
      <w:r w:rsidRPr="00A543FB">
        <w:rPr>
          <w:sz w:val="22"/>
          <w:szCs w:val="22"/>
        </w:rPr>
        <w:t xml:space="preserve">As regards the training of candidates for judges, the theoretical part is conducted by the </w:t>
      </w:r>
      <w:r w:rsidR="00243D19">
        <w:rPr>
          <w:sz w:val="22"/>
          <w:szCs w:val="22"/>
        </w:rPr>
        <w:t>CTJSP</w:t>
      </w:r>
      <w:r w:rsidRPr="00A543FB">
        <w:rPr>
          <w:sz w:val="22"/>
          <w:szCs w:val="22"/>
        </w:rPr>
        <w:t xml:space="preserve">, based on the initial training program. The practical part is done in the courts under the supervision of a mentor judge appointed by the JC. </w:t>
      </w:r>
    </w:p>
    <w:p w:rsidR="000A2006" w:rsidRPr="00A543FB" w:rsidRDefault="00DD6520" w:rsidP="00A73F41">
      <w:pPr>
        <w:pStyle w:val="3mesto"/>
        <w:spacing w:before="0" w:beforeAutospacing="0" w:after="0" w:afterAutospacing="0" w:line="360" w:lineRule="auto"/>
        <w:jc w:val="both"/>
        <w:rPr>
          <w:sz w:val="22"/>
          <w:szCs w:val="22"/>
        </w:rPr>
      </w:pPr>
      <w:r w:rsidRPr="00A543FB">
        <w:rPr>
          <w:sz w:val="22"/>
          <w:szCs w:val="22"/>
        </w:rPr>
        <w:t xml:space="preserve">Since 2015, under the Law on the </w:t>
      </w:r>
      <w:r w:rsidR="00243D19">
        <w:rPr>
          <w:sz w:val="22"/>
          <w:szCs w:val="22"/>
        </w:rPr>
        <w:t>CTJSP</w:t>
      </w:r>
      <w:r w:rsidRPr="00A543FB">
        <w:rPr>
          <w:sz w:val="22"/>
          <w:szCs w:val="22"/>
        </w:rPr>
        <w:t xml:space="preserve">, the </w:t>
      </w:r>
      <w:r w:rsidR="00243D19">
        <w:rPr>
          <w:sz w:val="22"/>
          <w:szCs w:val="22"/>
        </w:rPr>
        <w:t>CTJSP</w:t>
      </w:r>
      <w:r w:rsidRPr="00A543FB">
        <w:rPr>
          <w:sz w:val="22"/>
          <w:szCs w:val="22"/>
        </w:rPr>
        <w:t xml:space="preserve"> has organized and delivered training for judges, state prosecu</w:t>
      </w:r>
      <w:r w:rsidRPr="00A543FB">
        <w:rPr>
          <w:sz w:val="22"/>
          <w:szCs w:val="22"/>
        </w:rPr>
        <w:t>tors and other legal professionals in accordance with specialized training programs. It also trains lecturers, mentors and interns in courts and state prosecutor’s offices, establishes international cooperation with domestic and international organizations</w:t>
      </w:r>
      <w:r w:rsidRPr="00A543FB">
        <w:rPr>
          <w:sz w:val="22"/>
          <w:szCs w:val="22"/>
        </w:rPr>
        <w:t xml:space="preserve"> and institutions, and performs other duties prescribed by law. </w:t>
      </w:r>
    </w:p>
    <w:p w:rsidR="000A2006" w:rsidRPr="00A543FB" w:rsidRDefault="00DD6520" w:rsidP="00A73F41">
      <w:pPr>
        <w:pStyle w:val="3mesto"/>
        <w:spacing w:before="0" w:beforeAutospacing="0" w:after="0" w:afterAutospacing="0" w:line="360" w:lineRule="auto"/>
        <w:jc w:val="both"/>
        <w:rPr>
          <w:sz w:val="22"/>
          <w:szCs w:val="22"/>
        </w:rPr>
      </w:pPr>
      <w:r w:rsidRPr="00A543FB">
        <w:rPr>
          <w:sz w:val="22"/>
          <w:szCs w:val="22"/>
        </w:rPr>
        <w:t xml:space="preserve">As in previous years, during 2024 the </w:t>
      </w:r>
      <w:r w:rsidR="00243D19">
        <w:rPr>
          <w:sz w:val="22"/>
          <w:szCs w:val="22"/>
        </w:rPr>
        <w:t>CTJSP</w:t>
      </w:r>
      <w:r w:rsidRPr="00A543FB">
        <w:rPr>
          <w:sz w:val="22"/>
          <w:szCs w:val="22"/>
        </w:rPr>
        <w:t xml:space="preserve"> devoted particular attention to training on international human rights protection standards, focusing on the European Convention on Human Rights (E</w:t>
      </w:r>
      <w:r w:rsidRPr="00A543FB">
        <w:rPr>
          <w:sz w:val="22"/>
          <w:szCs w:val="22"/>
        </w:rPr>
        <w:t xml:space="preserve">CHR), aiming to familiarize participants with the case law of the European Court of Human Rights in Strasbourg and the standards of the Council of Europe. </w:t>
      </w:r>
      <w:r w:rsidR="003E3011" w:rsidRPr="00A543FB">
        <w:rPr>
          <w:sz w:val="22"/>
          <w:szCs w:val="22"/>
        </w:rPr>
        <w:t>Although the EC</w:t>
      </w:r>
      <w:r w:rsidR="00222D05" w:rsidRPr="00A543FB">
        <w:rPr>
          <w:sz w:val="22"/>
          <w:szCs w:val="22"/>
        </w:rPr>
        <w:t>HR</w:t>
      </w:r>
      <w:r w:rsidR="003E3011" w:rsidRPr="00A543FB">
        <w:rPr>
          <w:sz w:val="22"/>
          <w:szCs w:val="22"/>
        </w:rPr>
        <w:t xml:space="preserve"> primarily protects civil and political rights, the case law of the European Court of Human Rights has developed standards of direct relevance to the enjoyment of economic, social and cultural rights guaranteed by the </w:t>
      </w:r>
      <w:r w:rsidR="00222D05" w:rsidRPr="00A543FB">
        <w:rPr>
          <w:sz w:val="22"/>
          <w:szCs w:val="22"/>
        </w:rPr>
        <w:t>ICESCR,</w:t>
      </w:r>
      <w:r w:rsidR="003E3011" w:rsidRPr="00A543FB">
        <w:rPr>
          <w:sz w:val="22"/>
          <w:szCs w:val="22"/>
        </w:rPr>
        <w:t xml:space="preserve"> particularly through the application of the prohibition of discrimination, the right to a fair trial, the right to an effective remedy, the right to respect for private and family life, the right to property, and the right to education.</w:t>
      </w:r>
      <w:r w:rsidR="00222D05" w:rsidRPr="00A543FB">
        <w:rPr>
          <w:sz w:val="22"/>
          <w:szCs w:val="22"/>
        </w:rPr>
        <w:t xml:space="preserve"> </w:t>
      </w:r>
      <w:r w:rsidR="00BB7205" w:rsidRPr="00A543FB">
        <w:rPr>
          <w:sz w:val="22"/>
          <w:szCs w:val="22"/>
        </w:rPr>
        <w:t xml:space="preserve">In this context, </w:t>
      </w:r>
      <w:r w:rsidR="00BB7205" w:rsidRPr="00A543FB">
        <w:rPr>
          <w:sz w:val="22"/>
          <w:szCs w:val="22"/>
        </w:rPr>
        <w:lastRenderedPageBreak/>
        <w:t xml:space="preserve">the training conducted by the </w:t>
      </w:r>
      <w:r w:rsidR="00243D19">
        <w:rPr>
          <w:sz w:val="22"/>
          <w:szCs w:val="22"/>
        </w:rPr>
        <w:t>CTJSP</w:t>
      </w:r>
      <w:r w:rsidR="00BB7205" w:rsidRPr="00A543FB">
        <w:rPr>
          <w:sz w:val="22"/>
          <w:szCs w:val="22"/>
        </w:rPr>
        <w:t xml:space="preserve"> in 2024 covered topics relevant to the judicial protection of economic, social and cultural rights, focusing on the prohibition of discrimination in the exercise of labor, social protection, education, health care, and property rights, and ensuring effective judicial remedies in disputes related to these rights. </w:t>
      </w:r>
    </w:p>
    <w:p w:rsidR="00BB7205" w:rsidRPr="00A543FB" w:rsidRDefault="00DD6520" w:rsidP="008D6762">
      <w:pPr>
        <w:pStyle w:val="3mesto"/>
        <w:spacing w:before="0" w:beforeAutospacing="0" w:after="0" w:afterAutospacing="0" w:line="360" w:lineRule="auto"/>
        <w:jc w:val="both"/>
        <w:rPr>
          <w:sz w:val="22"/>
          <w:szCs w:val="22"/>
        </w:rPr>
      </w:pPr>
      <w:r w:rsidRPr="00A543FB">
        <w:rPr>
          <w:sz w:val="22"/>
          <w:szCs w:val="22"/>
        </w:rPr>
        <w:t>The training sessions</w:t>
      </w:r>
      <w:r w:rsidRPr="00A543FB">
        <w:rPr>
          <w:sz w:val="22"/>
          <w:szCs w:val="22"/>
        </w:rPr>
        <w:t xml:space="preserve"> topics cov</w:t>
      </w:r>
      <w:r w:rsidR="00232A9B">
        <w:rPr>
          <w:sz w:val="22"/>
          <w:szCs w:val="22"/>
        </w:rPr>
        <w:t>ered: right to life (Article 2,</w:t>
      </w:r>
      <w:r w:rsidRPr="00A543FB">
        <w:rPr>
          <w:sz w:val="22"/>
          <w:szCs w:val="22"/>
        </w:rPr>
        <w:t xml:space="preserve"> ECHR), prohibition of torture (Article 3), detention (Article 5), right to a fair trial (Article 6), right to respect for private and family life (Article 8), freedom of expression (Article 10), right to an effect</w:t>
      </w:r>
      <w:r w:rsidRPr="00A543FB">
        <w:rPr>
          <w:sz w:val="22"/>
          <w:szCs w:val="22"/>
        </w:rPr>
        <w:t xml:space="preserve">ive remedy (Article 13), prohibition of discrimination (Article 14), right to property (Article 1 of Protocol No. 1 to the Convention), </w:t>
      </w:r>
      <w:r w:rsidR="008D6762" w:rsidRPr="00A543FB">
        <w:rPr>
          <w:sz w:val="22"/>
          <w:szCs w:val="22"/>
        </w:rPr>
        <w:t>and</w:t>
      </w:r>
      <w:r w:rsidRPr="00A543FB">
        <w:rPr>
          <w:sz w:val="22"/>
          <w:szCs w:val="22"/>
        </w:rPr>
        <w:t xml:space="preserve"> human rights – respect for and limitations of human rights in emergency situations (Article 15). </w:t>
      </w:r>
    </w:p>
    <w:p w:rsidR="008D6762" w:rsidRPr="00A543FB" w:rsidRDefault="00DD6520" w:rsidP="008D6762">
      <w:pPr>
        <w:pStyle w:val="3mesto"/>
        <w:spacing w:before="0" w:beforeAutospacing="0" w:after="0" w:afterAutospacing="0" w:line="360" w:lineRule="auto"/>
        <w:jc w:val="both"/>
        <w:rPr>
          <w:sz w:val="22"/>
          <w:szCs w:val="22"/>
        </w:rPr>
      </w:pPr>
      <w:r w:rsidRPr="00A543FB">
        <w:rPr>
          <w:sz w:val="22"/>
          <w:szCs w:val="22"/>
        </w:rPr>
        <w:t xml:space="preserve">In 2024, the </w:t>
      </w:r>
      <w:r w:rsidR="00243D19">
        <w:rPr>
          <w:sz w:val="22"/>
          <w:szCs w:val="22"/>
        </w:rPr>
        <w:t>CTJSP</w:t>
      </w:r>
      <w:r w:rsidRPr="00A543FB">
        <w:rPr>
          <w:sz w:val="22"/>
          <w:szCs w:val="22"/>
        </w:rPr>
        <w:t xml:space="preserve"> organized and delivered 12 training sessions on the ECHR and the case law of the European Court of Human Rights, either independently or in cooperation with partners. A total of 203 representatives of the Montenegrin judiciary participated in these traini</w:t>
      </w:r>
      <w:r w:rsidRPr="00A543FB">
        <w:rPr>
          <w:sz w:val="22"/>
          <w:szCs w:val="22"/>
        </w:rPr>
        <w:t xml:space="preserve">ngs, including 116 judges, 21 state prosecutors, 47 court advisers, 16 advisers in state prosecutor’s offices, and 3 candidates for judges. </w:t>
      </w:r>
    </w:p>
    <w:p w:rsidR="00707C0A" w:rsidRPr="00A543FB" w:rsidRDefault="00DD6520" w:rsidP="00CE61B5">
      <w:pPr>
        <w:spacing w:after="0" w:line="360" w:lineRule="auto"/>
        <w:contextualSpacing/>
        <w:jc w:val="both"/>
        <w:rPr>
          <w:rFonts w:ascii="Times New Roman" w:hAnsi="Times New Roman" w:cs="Times New Roman"/>
          <w:b/>
        </w:rPr>
      </w:pPr>
      <w:r w:rsidRPr="00A543FB">
        <w:rPr>
          <w:rFonts w:ascii="Times New Roman" w:hAnsi="Times New Roman" w:cs="Times New Roman"/>
          <w:b/>
        </w:rPr>
        <w:t>8.</w:t>
      </w:r>
      <w:r w:rsidR="00427064" w:rsidRPr="00A543FB">
        <w:rPr>
          <w:rFonts w:ascii="Times New Roman" w:hAnsi="Times New Roman" w:cs="Times New Roman"/>
          <w:b/>
        </w:rPr>
        <w:t xml:space="preserve"> </w:t>
      </w:r>
      <w:r w:rsidR="008D6762" w:rsidRPr="00A543FB">
        <w:rPr>
          <w:rFonts w:ascii="Times New Roman" w:hAnsi="Times New Roman" w:cs="Times New Roman"/>
          <w:b/>
        </w:rPr>
        <w:t xml:space="preserve">National Human Rights Institution </w:t>
      </w:r>
    </w:p>
    <w:p w:rsidR="008D6762" w:rsidRPr="00A543FB" w:rsidRDefault="00DD6520" w:rsidP="00CE61B5">
      <w:pPr>
        <w:spacing w:after="0" w:line="360" w:lineRule="auto"/>
        <w:contextualSpacing/>
        <w:jc w:val="both"/>
        <w:rPr>
          <w:rFonts w:ascii="Times New Roman" w:eastAsia="Times New Roman" w:hAnsi="Times New Roman" w:cs="Times New Roman"/>
          <w:bCs/>
        </w:rPr>
      </w:pPr>
      <w:r w:rsidRPr="00A543FB">
        <w:rPr>
          <w:rFonts w:ascii="Times New Roman" w:eastAsia="Times New Roman" w:hAnsi="Times New Roman" w:cs="Times New Roman"/>
          <w:bCs/>
        </w:rPr>
        <w:t xml:space="preserve">Noting the adoption of amendments to the Law on the Protector of </w:t>
      </w:r>
      <w:r w:rsidR="00833C13">
        <w:rPr>
          <w:rFonts w:ascii="Times New Roman" w:eastAsia="Times New Roman" w:hAnsi="Times New Roman" w:cs="Times New Roman"/>
          <w:bCs/>
        </w:rPr>
        <w:t>HRF</w:t>
      </w:r>
      <w:r w:rsidRPr="00A543FB">
        <w:rPr>
          <w:rFonts w:ascii="Times New Roman" w:eastAsia="Times New Roman" w:hAnsi="Times New Roman" w:cs="Times New Roman"/>
          <w:bCs/>
        </w:rPr>
        <w:t xml:space="preserve"> of Montenegro, the CESCR emphasizes that it has still not been accredited by the GANHRI and expresses concern about reports that its effectiveness is hindered by a lack of staff and financial resources, and frequent staff turnover (Article 1). </w:t>
      </w:r>
    </w:p>
    <w:p w:rsidR="004F5716" w:rsidRPr="00A543FB" w:rsidRDefault="00DD6520" w:rsidP="00CE61B5">
      <w:pPr>
        <w:spacing w:after="0" w:line="360" w:lineRule="auto"/>
        <w:contextualSpacing/>
        <w:jc w:val="both"/>
        <w:rPr>
          <w:rFonts w:ascii="Times New Roman" w:eastAsia="Times New Roman" w:hAnsi="Times New Roman" w:cs="Times New Roman"/>
          <w:b/>
          <w:bCs/>
        </w:rPr>
      </w:pPr>
      <w:r w:rsidRPr="00A543FB">
        <w:rPr>
          <w:rFonts w:ascii="Times New Roman" w:eastAsia="Times New Roman" w:hAnsi="Times New Roman" w:cs="Times New Roman"/>
          <w:b/>
          <w:bCs/>
        </w:rPr>
        <w:t xml:space="preserve">The CESCR </w:t>
      </w:r>
      <w:r w:rsidRPr="00A543FB">
        <w:rPr>
          <w:rFonts w:ascii="Times New Roman" w:eastAsia="Times New Roman" w:hAnsi="Times New Roman" w:cs="Times New Roman"/>
          <w:b/>
          <w:bCs/>
        </w:rPr>
        <w:t>recommends that the acceding country strengthen the capacity of the Protector of HRF to enable it to function effectively as a NHRI in accordance with the Paris Principles (General Assembly resolution 48/134, annex), by ensuring adequate human and financia</w:t>
      </w:r>
      <w:r w:rsidRPr="00A543FB">
        <w:rPr>
          <w:rFonts w:ascii="Times New Roman" w:eastAsia="Times New Roman" w:hAnsi="Times New Roman" w:cs="Times New Roman"/>
          <w:b/>
          <w:bCs/>
        </w:rPr>
        <w:t xml:space="preserve">l resources. </w:t>
      </w:r>
    </w:p>
    <w:p w:rsidR="0016340C" w:rsidRPr="00A543FB" w:rsidRDefault="00DD6520" w:rsidP="004F5716">
      <w:pPr>
        <w:spacing w:after="0" w:line="360" w:lineRule="auto"/>
        <w:contextualSpacing/>
        <w:jc w:val="both"/>
        <w:rPr>
          <w:rFonts w:ascii="Times New Roman" w:eastAsia="Times New Roman" w:hAnsi="Times New Roman" w:cs="Times New Roman"/>
          <w:bCs/>
          <w:shd w:val="clear" w:color="auto" w:fill="FFFFFF"/>
        </w:rPr>
      </w:pPr>
      <w:r w:rsidRPr="00A543FB">
        <w:rPr>
          <w:rFonts w:ascii="Times New Roman" w:eastAsia="Times New Roman" w:hAnsi="Times New Roman" w:cs="Times New Roman"/>
          <w:bCs/>
          <w:shd w:val="clear" w:color="auto" w:fill="FFFFFF"/>
        </w:rPr>
        <w:t>In 2024, Montenegro initiated the drafting of a new Law on the Protector of HRF of Montenegro aiming to secure “A status” accreditation for the Institution, in line with the Paris Principles and the UN General Assembly Resolution. The law wil</w:t>
      </w:r>
      <w:r w:rsidRPr="00A543FB">
        <w:rPr>
          <w:rFonts w:ascii="Times New Roman" w:eastAsia="Times New Roman" w:hAnsi="Times New Roman" w:cs="Times New Roman"/>
          <w:bCs/>
          <w:shd w:val="clear" w:color="auto" w:fill="FFFFFF"/>
        </w:rPr>
        <w:t xml:space="preserve">l strengthen Protector's structure, competence, resources </w:t>
      </w:r>
      <w:r w:rsidR="00BD71E8" w:rsidRPr="00A543FB">
        <w:rPr>
          <w:rFonts w:ascii="Times New Roman" w:eastAsia="Times New Roman" w:hAnsi="Times New Roman" w:cs="Times New Roman"/>
          <w:bCs/>
          <w:shd w:val="clear" w:color="auto" w:fill="FFFFFF"/>
        </w:rPr>
        <w:t>and independence</w:t>
      </w:r>
      <w:r w:rsidRPr="00A543FB">
        <w:rPr>
          <w:rFonts w:ascii="Times New Roman" w:eastAsia="Times New Roman" w:hAnsi="Times New Roman" w:cs="Times New Roman"/>
          <w:bCs/>
          <w:shd w:val="clear" w:color="auto" w:fill="FFFFFF"/>
        </w:rPr>
        <w:t xml:space="preserve">. It will reinforce the Deputy Protector's role by granting additional competences in specific </w:t>
      </w:r>
      <w:r w:rsidR="003A231C" w:rsidRPr="00A543FB">
        <w:rPr>
          <w:rFonts w:ascii="Times New Roman" w:eastAsia="Times New Roman" w:hAnsi="Times New Roman" w:cs="Times New Roman"/>
          <w:bCs/>
          <w:shd w:val="clear" w:color="auto" w:fill="FFFFFF"/>
        </w:rPr>
        <w:t>work areas</w:t>
      </w:r>
      <w:r w:rsidRPr="00A543FB">
        <w:rPr>
          <w:rFonts w:ascii="Times New Roman" w:eastAsia="Times New Roman" w:hAnsi="Times New Roman" w:cs="Times New Roman"/>
          <w:bCs/>
          <w:shd w:val="clear" w:color="auto" w:fill="FFFFFF"/>
        </w:rPr>
        <w:t xml:space="preserve">, </w:t>
      </w:r>
      <w:r w:rsidR="003A231C" w:rsidRPr="00A543FB">
        <w:rPr>
          <w:rFonts w:ascii="Times New Roman" w:eastAsia="Times New Roman" w:hAnsi="Times New Roman" w:cs="Times New Roman"/>
          <w:bCs/>
          <w:shd w:val="clear" w:color="auto" w:fill="FFFFFF"/>
        </w:rPr>
        <w:t>and</w:t>
      </w:r>
      <w:r w:rsidRPr="00A543FB">
        <w:rPr>
          <w:rFonts w:ascii="Times New Roman" w:eastAsia="Times New Roman" w:hAnsi="Times New Roman" w:cs="Times New Roman"/>
          <w:bCs/>
          <w:shd w:val="clear" w:color="auto" w:fill="FFFFFF"/>
        </w:rPr>
        <w:t xml:space="preserve"> enhance the capacities of the National Preventive Mechanism against Torture, as part of the Institution of the Protector. </w:t>
      </w:r>
    </w:p>
    <w:p w:rsidR="003A231C" w:rsidRPr="00A543FB" w:rsidRDefault="00DD6520" w:rsidP="003A231C">
      <w:pPr>
        <w:spacing w:after="0" w:line="360" w:lineRule="auto"/>
        <w:contextualSpacing/>
        <w:jc w:val="both"/>
        <w:rPr>
          <w:rFonts w:ascii="Times New Roman" w:eastAsia="Times New Roman" w:hAnsi="Times New Roman" w:cs="Times New Roman"/>
          <w:bCs/>
          <w:shd w:val="clear" w:color="auto" w:fill="FFFFFF"/>
        </w:rPr>
      </w:pPr>
      <w:r w:rsidRPr="00A543FB">
        <w:rPr>
          <w:rFonts w:ascii="Times New Roman" w:eastAsia="Times New Roman" w:hAnsi="Times New Roman" w:cs="Times New Roman"/>
          <w:bCs/>
          <w:shd w:val="clear" w:color="auto" w:fill="FFFFFF"/>
        </w:rPr>
        <w:t>Existing mechanisms – Golden Advisers Network, Independent Mechanism for the Promotion, Protection and Monitoring of the Implementat</w:t>
      </w:r>
      <w:r w:rsidRPr="00A543FB">
        <w:rPr>
          <w:rFonts w:ascii="Times New Roman" w:eastAsia="Times New Roman" w:hAnsi="Times New Roman" w:cs="Times New Roman"/>
          <w:bCs/>
          <w:shd w:val="clear" w:color="auto" w:fill="FFFFFF"/>
        </w:rPr>
        <w:t xml:space="preserve">ion of the Convention on the Rights of </w:t>
      </w:r>
      <w:r w:rsidR="00543816" w:rsidRPr="00A543FB">
        <w:rPr>
          <w:rFonts w:ascii="Times New Roman" w:eastAsia="Times New Roman" w:hAnsi="Times New Roman" w:cs="Times New Roman"/>
          <w:bCs/>
          <w:shd w:val="clear" w:color="auto" w:fill="FFFFFF"/>
        </w:rPr>
        <w:t xml:space="preserve">PWDs </w:t>
      </w:r>
      <w:r w:rsidRPr="00A543FB">
        <w:rPr>
          <w:rFonts w:ascii="Times New Roman" w:eastAsia="Times New Roman" w:hAnsi="Times New Roman" w:cs="Times New Roman"/>
          <w:bCs/>
          <w:shd w:val="clear" w:color="auto" w:fill="FFFFFF"/>
        </w:rPr>
        <w:t>in Montenegro, which currently operate on the basis of internal rules, will be formally regulated by law. The new law envisages work specialization in specific areas in order to meet international standards in th</w:t>
      </w:r>
      <w:r w:rsidRPr="00A543FB">
        <w:rPr>
          <w:rFonts w:ascii="Times New Roman" w:eastAsia="Times New Roman" w:hAnsi="Times New Roman" w:cs="Times New Roman"/>
          <w:bCs/>
          <w:shd w:val="clear" w:color="auto" w:fill="FFFFFF"/>
        </w:rPr>
        <w:t xml:space="preserve">e protection of the rights of the child, protection against discrimination and protection from torture. </w:t>
      </w:r>
      <w:r w:rsidR="00C94467" w:rsidRPr="00A543FB">
        <w:rPr>
          <w:rFonts w:ascii="Times New Roman" w:eastAsia="Times New Roman" w:hAnsi="Times New Roman" w:cs="Times New Roman"/>
          <w:bCs/>
          <w:shd w:val="clear" w:color="auto" w:fill="FFFFFF"/>
        </w:rPr>
        <w:t>The law envisages</w:t>
      </w:r>
      <w:r w:rsidRPr="00A543FB">
        <w:rPr>
          <w:rFonts w:ascii="Times New Roman" w:eastAsia="Times New Roman" w:hAnsi="Times New Roman" w:cs="Times New Roman"/>
          <w:bCs/>
          <w:shd w:val="clear" w:color="auto" w:fill="FFFFFF"/>
        </w:rPr>
        <w:t xml:space="preserve"> the adoption of the highest internal legal act—the Rules of Procedure of the Protector—to be adopted independently by the Institution.</w:t>
      </w:r>
      <w:r w:rsidRPr="00A543FB">
        <w:rPr>
          <w:rFonts w:ascii="Times New Roman" w:eastAsia="Times New Roman" w:hAnsi="Times New Roman" w:cs="Times New Roman"/>
          <w:bCs/>
          <w:shd w:val="clear" w:color="auto" w:fill="FFFFFF"/>
        </w:rPr>
        <w:t xml:space="preserve"> </w:t>
      </w:r>
    </w:p>
    <w:p w:rsidR="00F64746" w:rsidRPr="00A543FB" w:rsidRDefault="00DD6520" w:rsidP="00CE61B5">
      <w:pPr>
        <w:spacing w:after="0" w:line="360" w:lineRule="auto"/>
        <w:contextualSpacing/>
        <w:jc w:val="both"/>
        <w:rPr>
          <w:rFonts w:ascii="Times New Roman" w:eastAsia="Times New Roman" w:hAnsi="Times New Roman" w:cs="Times New Roman"/>
          <w:bCs/>
          <w:shd w:val="clear" w:color="auto" w:fill="FFFFFF"/>
        </w:rPr>
      </w:pPr>
      <w:r w:rsidRPr="00A543FB">
        <w:rPr>
          <w:rFonts w:ascii="Times New Roman" w:eastAsia="Times New Roman" w:hAnsi="Times New Roman" w:cs="Times New Roman"/>
          <w:bCs/>
          <w:shd w:val="clear" w:color="auto" w:fill="FFFFFF"/>
        </w:rPr>
        <w:lastRenderedPageBreak/>
        <w:t xml:space="preserve">The Ministry has established a Working Group composed of government officials, </w:t>
      </w:r>
      <w:r w:rsidR="007702B8" w:rsidRPr="00A543FB">
        <w:rPr>
          <w:rFonts w:ascii="Times New Roman" w:eastAsia="Times New Roman" w:hAnsi="Times New Roman" w:cs="Times New Roman"/>
          <w:bCs/>
          <w:shd w:val="clear" w:color="auto" w:fill="FFFFFF"/>
        </w:rPr>
        <w:t xml:space="preserve">judiciary and civil society </w:t>
      </w:r>
      <w:r w:rsidRPr="00A543FB">
        <w:rPr>
          <w:rFonts w:ascii="Times New Roman" w:eastAsia="Times New Roman" w:hAnsi="Times New Roman" w:cs="Times New Roman"/>
          <w:bCs/>
          <w:shd w:val="clear" w:color="auto" w:fill="FFFFFF"/>
        </w:rPr>
        <w:t xml:space="preserve">representatives, while international organizations participate as observers. Following the public </w:t>
      </w:r>
      <w:r w:rsidR="009479A3" w:rsidRPr="00A543FB">
        <w:rPr>
          <w:rFonts w:ascii="Times New Roman" w:eastAsia="Times New Roman" w:hAnsi="Times New Roman" w:cs="Times New Roman"/>
          <w:bCs/>
          <w:shd w:val="clear" w:color="auto" w:fill="FFFFFF"/>
        </w:rPr>
        <w:t>hearing</w:t>
      </w:r>
      <w:r w:rsidRPr="00A543FB">
        <w:rPr>
          <w:rFonts w:ascii="Times New Roman" w:eastAsia="Times New Roman" w:hAnsi="Times New Roman" w:cs="Times New Roman"/>
          <w:bCs/>
          <w:shd w:val="clear" w:color="auto" w:fill="FFFFFF"/>
        </w:rPr>
        <w:t>, the Draft Law on the Protector of HRF of</w:t>
      </w:r>
      <w:r w:rsidRPr="00A543FB">
        <w:rPr>
          <w:rFonts w:ascii="Times New Roman" w:eastAsia="Times New Roman" w:hAnsi="Times New Roman" w:cs="Times New Roman"/>
          <w:bCs/>
          <w:shd w:val="clear" w:color="auto" w:fill="FFFFFF"/>
        </w:rPr>
        <w:t xml:space="preserve"> Montenegro is currently in the phase of harmonization with the </w:t>
      </w:r>
      <w:r w:rsidR="009479A3" w:rsidRPr="00A543FB">
        <w:rPr>
          <w:rFonts w:ascii="Times New Roman" w:eastAsia="Times New Roman" w:hAnsi="Times New Roman" w:cs="Times New Roman"/>
          <w:bCs/>
          <w:shd w:val="clear" w:color="auto" w:fill="FFFFFF"/>
        </w:rPr>
        <w:t xml:space="preserve">institutions concerned with its </w:t>
      </w:r>
      <w:r w:rsidRPr="00A543FB">
        <w:rPr>
          <w:rFonts w:ascii="Times New Roman" w:eastAsia="Times New Roman" w:hAnsi="Times New Roman" w:cs="Times New Roman"/>
          <w:bCs/>
          <w:shd w:val="clear" w:color="auto" w:fill="FFFFFF"/>
        </w:rPr>
        <w:t xml:space="preserve">implementation. The </w:t>
      </w:r>
      <w:r w:rsidR="009479A3" w:rsidRPr="00A543FB">
        <w:rPr>
          <w:rFonts w:ascii="Times New Roman" w:eastAsia="Times New Roman" w:hAnsi="Times New Roman" w:cs="Times New Roman"/>
          <w:bCs/>
          <w:shd w:val="clear" w:color="auto" w:fill="FFFFFF"/>
        </w:rPr>
        <w:t xml:space="preserve">Government plans the </w:t>
      </w:r>
      <w:r w:rsidRPr="00A543FB">
        <w:rPr>
          <w:rFonts w:ascii="Times New Roman" w:eastAsia="Times New Roman" w:hAnsi="Times New Roman" w:cs="Times New Roman"/>
          <w:bCs/>
          <w:shd w:val="clear" w:color="auto" w:fill="FFFFFF"/>
        </w:rPr>
        <w:t xml:space="preserve">adoption of the Proposal </w:t>
      </w:r>
      <w:r w:rsidR="009479A3" w:rsidRPr="00A543FB">
        <w:rPr>
          <w:rFonts w:ascii="Times New Roman" w:eastAsia="Times New Roman" w:hAnsi="Times New Roman" w:cs="Times New Roman"/>
          <w:bCs/>
          <w:shd w:val="clear" w:color="auto" w:fill="FFFFFF"/>
        </w:rPr>
        <w:t>of</w:t>
      </w:r>
      <w:r w:rsidRPr="00A543FB">
        <w:rPr>
          <w:rFonts w:ascii="Times New Roman" w:eastAsia="Times New Roman" w:hAnsi="Times New Roman" w:cs="Times New Roman"/>
          <w:bCs/>
          <w:shd w:val="clear" w:color="auto" w:fill="FFFFFF"/>
        </w:rPr>
        <w:t xml:space="preserve"> th</w:t>
      </w:r>
      <w:r w:rsidR="009479A3" w:rsidRPr="00A543FB">
        <w:rPr>
          <w:rFonts w:ascii="Times New Roman" w:eastAsia="Times New Roman" w:hAnsi="Times New Roman" w:cs="Times New Roman"/>
          <w:bCs/>
          <w:shd w:val="clear" w:color="auto" w:fill="FFFFFF"/>
        </w:rPr>
        <w:t>is Law</w:t>
      </w:r>
      <w:r w:rsidRPr="00A543FB">
        <w:rPr>
          <w:rFonts w:ascii="Times New Roman" w:eastAsia="Times New Roman" w:hAnsi="Times New Roman" w:cs="Times New Roman"/>
          <w:bCs/>
          <w:shd w:val="clear" w:color="auto" w:fill="FFFFFF"/>
        </w:rPr>
        <w:t xml:space="preserve"> for 2026. </w:t>
      </w:r>
    </w:p>
    <w:p w:rsidR="00471196" w:rsidRPr="00A543FB" w:rsidRDefault="00DD6520" w:rsidP="00CE61B5">
      <w:pPr>
        <w:spacing w:after="0" w:line="360" w:lineRule="auto"/>
        <w:contextualSpacing/>
        <w:rPr>
          <w:rFonts w:ascii="Times New Roman" w:hAnsi="Times New Roman" w:cs="Times New Roman"/>
        </w:rPr>
      </w:pPr>
      <w:r w:rsidRPr="00A543FB">
        <w:rPr>
          <w:rFonts w:ascii="Times New Roman" w:hAnsi="Times New Roman" w:cs="Times New Roman"/>
          <w:b/>
          <w:noProof/>
        </w:rPr>
        <w:t>9.</w:t>
      </w:r>
      <w:r w:rsidR="00427064" w:rsidRPr="00A543FB">
        <w:rPr>
          <w:rFonts w:ascii="Times New Roman" w:hAnsi="Times New Roman" w:cs="Times New Roman"/>
          <w:b/>
          <w:noProof/>
        </w:rPr>
        <w:t xml:space="preserve"> </w:t>
      </w:r>
      <w:r w:rsidR="009479A3" w:rsidRPr="00A543FB">
        <w:rPr>
          <w:rFonts w:ascii="Times New Roman" w:hAnsi="Times New Roman" w:cs="Times New Roman"/>
          <w:b/>
          <w:noProof/>
        </w:rPr>
        <w:t xml:space="preserve">Corruption </w:t>
      </w:r>
    </w:p>
    <w:p w:rsidR="009479A3" w:rsidRPr="00A543FB" w:rsidRDefault="00DD6520" w:rsidP="009479A3">
      <w:pPr>
        <w:tabs>
          <w:tab w:val="left" w:pos="8265"/>
        </w:tabs>
        <w:spacing w:after="0" w:line="360" w:lineRule="auto"/>
        <w:contextualSpacing/>
        <w:jc w:val="both"/>
        <w:rPr>
          <w:rFonts w:ascii="Times New Roman" w:eastAsia="Times New Roman" w:hAnsi="Times New Roman" w:cs="Times New Roman"/>
          <w:b/>
        </w:rPr>
      </w:pPr>
      <w:r w:rsidRPr="00A543FB">
        <w:rPr>
          <w:rFonts w:ascii="Times New Roman" w:eastAsia="Times New Roman" w:hAnsi="Times New Roman" w:cs="Times New Roman"/>
          <w:b/>
        </w:rPr>
        <w:t xml:space="preserve">The Committee expresses concern about the extent of corruption, particularly in construction and spatial planning, education, health care and public procurement, and its impact on the enjoyment of economic, social and cultural rights. It is also concerned </w:t>
      </w:r>
      <w:r w:rsidRPr="00A543FB">
        <w:rPr>
          <w:rFonts w:ascii="Times New Roman" w:eastAsia="Times New Roman" w:hAnsi="Times New Roman" w:cs="Times New Roman"/>
          <w:b/>
        </w:rPr>
        <w:t xml:space="preserve">about the lack of effective investigation, prosecution and conviction in cases of high-level corruption, and reports of threats and violence against journalists investigating and reporting on organized crime (Article 2, paragraph 1). </w:t>
      </w:r>
    </w:p>
    <w:p w:rsidR="009479A3" w:rsidRPr="00A543FB" w:rsidRDefault="00DD6520" w:rsidP="009479A3">
      <w:pPr>
        <w:tabs>
          <w:tab w:val="left" w:pos="8265"/>
        </w:tabs>
        <w:spacing w:after="0" w:line="360" w:lineRule="auto"/>
        <w:contextualSpacing/>
        <w:jc w:val="both"/>
        <w:rPr>
          <w:rFonts w:ascii="Times New Roman" w:eastAsia="Times New Roman" w:hAnsi="Times New Roman" w:cs="Times New Roman"/>
          <w:b/>
        </w:rPr>
      </w:pPr>
      <w:r w:rsidRPr="00A543FB">
        <w:rPr>
          <w:rFonts w:ascii="Times New Roman" w:eastAsia="Times New Roman" w:hAnsi="Times New Roman" w:cs="Times New Roman"/>
          <w:b/>
        </w:rPr>
        <w:t>The acceding State sh</w:t>
      </w:r>
      <w:r w:rsidRPr="00A543FB">
        <w:rPr>
          <w:rFonts w:ascii="Times New Roman" w:eastAsia="Times New Roman" w:hAnsi="Times New Roman" w:cs="Times New Roman"/>
          <w:b/>
        </w:rPr>
        <w:t>ould, as a priority, address the root causes of corruption and adopt all necessary legislative and policy measures to effectively combat corruption and the related impunity, including investigation and prosecution of high-level corruption cases. The Commit</w:t>
      </w:r>
      <w:r w:rsidRPr="00A543FB">
        <w:rPr>
          <w:rFonts w:ascii="Times New Roman" w:eastAsia="Times New Roman" w:hAnsi="Times New Roman" w:cs="Times New Roman"/>
          <w:b/>
        </w:rPr>
        <w:t>tee recommends that the State regularly assess the impact of the measures taken to combat corruption and provide detailed information thereon in its next periodic report. The State party should ensure that individuals who investigate or report on organized</w:t>
      </w:r>
      <w:r w:rsidRPr="00A543FB">
        <w:rPr>
          <w:rFonts w:ascii="Times New Roman" w:eastAsia="Times New Roman" w:hAnsi="Times New Roman" w:cs="Times New Roman"/>
          <w:b/>
        </w:rPr>
        <w:t xml:space="preserve"> crime are effectively protected from any form of intimidation or violence. </w:t>
      </w:r>
    </w:p>
    <w:p w:rsidR="00710255"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In order to strengthen the fight against corruption, particularly in the above-mentioned areas, a new Law on the Prevention of Corruption was adopted in June 2024 in order to meet</w:t>
      </w:r>
      <w:r w:rsidRPr="00A543FB">
        <w:rPr>
          <w:rFonts w:ascii="Times New Roman" w:hAnsi="Times New Roman" w:cs="Times New Roman"/>
        </w:rPr>
        <w:t xml:space="preserve"> the interim benchmarks under Negotiating Chapters 23 – Judiciary and Fundamental Rights and 24 – Justice, Freedom and Security, and to obtain the IBAR. </w:t>
      </w:r>
    </w:p>
    <w:p w:rsidR="00B63A1E"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Draft Law on Whistleblower Protection was submitted to the </w:t>
      </w:r>
      <w:r w:rsidR="00AC66F9" w:rsidRPr="00A543FB">
        <w:rPr>
          <w:rFonts w:ascii="Times New Roman" w:hAnsi="Times New Roman" w:cs="Times New Roman"/>
        </w:rPr>
        <w:t>EC</w:t>
      </w:r>
      <w:r w:rsidRPr="00A543FB">
        <w:rPr>
          <w:rFonts w:ascii="Times New Roman" w:hAnsi="Times New Roman" w:cs="Times New Roman"/>
        </w:rPr>
        <w:t xml:space="preserve"> for opinion on 8 August 2025. While </w:t>
      </w:r>
      <w:r w:rsidRPr="00A543FB">
        <w:rPr>
          <w:rFonts w:ascii="Times New Roman" w:hAnsi="Times New Roman" w:cs="Times New Roman"/>
        </w:rPr>
        <w:t>the current legal framework for whistleblower protection is provided under the Law on the Prevention of Corruption, Monte</w:t>
      </w:r>
      <w:r w:rsidR="00AC66F9" w:rsidRPr="00A543FB">
        <w:rPr>
          <w:rFonts w:ascii="Times New Roman" w:hAnsi="Times New Roman" w:cs="Times New Roman"/>
        </w:rPr>
        <w:t>negro’s international partners—</w:t>
      </w:r>
      <w:r w:rsidRPr="00A543FB">
        <w:rPr>
          <w:rFonts w:ascii="Times New Roman" w:hAnsi="Times New Roman" w:cs="Times New Roman"/>
        </w:rPr>
        <w:t>GRECO</w:t>
      </w:r>
      <w:r w:rsidR="00AC66F9" w:rsidRPr="00A543FB">
        <w:rPr>
          <w:rFonts w:ascii="Times New Roman" w:hAnsi="Times New Roman" w:cs="Times New Roman"/>
        </w:rPr>
        <w:t>,</w:t>
      </w:r>
      <w:r w:rsidRPr="00A543FB">
        <w:rPr>
          <w:rFonts w:ascii="Times New Roman" w:hAnsi="Times New Roman" w:cs="Times New Roman"/>
        </w:rPr>
        <w:t xml:space="preserve"> the Veni</w:t>
      </w:r>
      <w:r w:rsidR="00AC66F9" w:rsidRPr="00A543FB">
        <w:rPr>
          <w:rFonts w:ascii="Times New Roman" w:hAnsi="Times New Roman" w:cs="Times New Roman"/>
        </w:rPr>
        <w:t>ce Commission, and the E</w:t>
      </w:r>
      <w:r w:rsidRPr="00A543FB">
        <w:rPr>
          <w:rFonts w:ascii="Times New Roman" w:hAnsi="Times New Roman" w:cs="Times New Roman"/>
        </w:rPr>
        <w:t xml:space="preserve">C—recommended adopting a separate law to establish a clearer and </w:t>
      </w:r>
      <w:r w:rsidRPr="00A543FB">
        <w:rPr>
          <w:rFonts w:ascii="Times New Roman" w:hAnsi="Times New Roman" w:cs="Times New Roman"/>
        </w:rPr>
        <w:t xml:space="preserve">more effective framework with secure </w:t>
      </w:r>
      <w:r w:rsidR="00AC66F9" w:rsidRPr="00A543FB">
        <w:rPr>
          <w:rFonts w:ascii="Times New Roman" w:hAnsi="Times New Roman" w:cs="Times New Roman"/>
        </w:rPr>
        <w:t xml:space="preserve">whistleblower </w:t>
      </w:r>
      <w:r w:rsidRPr="00A543FB">
        <w:rPr>
          <w:rFonts w:ascii="Times New Roman" w:hAnsi="Times New Roman" w:cs="Times New Roman"/>
        </w:rPr>
        <w:t>protection</w:t>
      </w:r>
      <w:r w:rsidR="00AC66F9" w:rsidRPr="00A543FB">
        <w:rPr>
          <w:rFonts w:ascii="Times New Roman" w:hAnsi="Times New Roman" w:cs="Times New Roman"/>
        </w:rPr>
        <w:t>. Adopting</w:t>
      </w:r>
      <w:r w:rsidR="007067F3" w:rsidRPr="00A543FB">
        <w:rPr>
          <w:rFonts w:ascii="Times New Roman" w:hAnsi="Times New Roman" w:cs="Times New Roman"/>
        </w:rPr>
        <w:t xml:space="preserve"> this law</w:t>
      </w:r>
      <w:r w:rsidR="00AC66F9" w:rsidRPr="00A543FB">
        <w:rPr>
          <w:rFonts w:ascii="Times New Roman" w:hAnsi="Times New Roman" w:cs="Times New Roman"/>
        </w:rPr>
        <w:t xml:space="preserve"> further aligns Montenegro’s legislation with European standards by establishing a system for reporting irregularities and providing effective protection for whistleblowers, recognizing their role as a key factor in the fight against corruption and other </w:t>
      </w:r>
      <w:r w:rsidR="00873CB8" w:rsidRPr="00A543FB">
        <w:rPr>
          <w:rFonts w:ascii="Times New Roman" w:hAnsi="Times New Roman" w:cs="Times New Roman"/>
        </w:rPr>
        <w:t>irregularities</w:t>
      </w:r>
      <w:r w:rsidR="00AC66F9" w:rsidRPr="00A543FB">
        <w:rPr>
          <w:rFonts w:ascii="Times New Roman" w:hAnsi="Times New Roman" w:cs="Times New Roman"/>
        </w:rPr>
        <w:t>.</w:t>
      </w:r>
    </w:p>
    <w:p w:rsidR="00B63A1E"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In the field of spatial planning and construction, during 2025, a set of laws was adopted that repealed the 2017 Law on Spatial Planning and Construction, as its implementation had not yielded the expected results. Considering that construct</w:t>
      </w:r>
      <w:r w:rsidRPr="00A543FB">
        <w:rPr>
          <w:rFonts w:ascii="Times New Roman" w:hAnsi="Times New Roman" w:cs="Times New Roman"/>
        </w:rPr>
        <w:t>ion is a driver of the country’s economic development, it was assessed that the spatial planning and construction policy needed significant reform and improvement. Consequently, special la</w:t>
      </w:r>
      <w:r w:rsidR="00E82C73" w:rsidRPr="00A543FB">
        <w:rPr>
          <w:rFonts w:ascii="Times New Roman" w:hAnsi="Times New Roman" w:cs="Times New Roman"/>
        </w:rPr>
        <w:t xml:space="preserve">ws in this area were introduced – the </w:t>
      </w:r>
      <w:r w:rsidRPr="00A543FB">
        <w:rPr>
          <w:rFonts w:ascii="Times New Roman" w:hAnsi="Times New Roman" w:cs="Times New Roman"/>
        </w:rPr>
        <w:t>Law on Spatial Regulation, the</w:t>
      </w:r>
      <w:r w:rsidRPr="00A543FB">
        <w:rPr>
          <w:rFonts w:ascii="Times New Roman" w:hAnsi="Times New Roman" w:cs="Times New Roman"/>
        </w:rPr>
        <w:t xml:space="preserve"> Law on Construction of Buildings, </w:t>
      </w:r>
      <w:r w:rsidRPr="00A543FB">
        <w:rPr>
          <w:rFonts w:ascii="Times New Roman" w:hAnsi="Times New Roman" w:cs="Times New Roman"/>
        </w:rPr>
        <w:lastRenderedPageBreak/>
        <w:t>and the Law on</w:t>
      </w:r>
      <w:r w:rsidR="00E82C73" w:rsidRPr="00A543FB">
        <w:rPr>
          <w:rFonts w:ascii="Times New Roman" w:hAnsi="Times New Roman" w:cs="Times New Roman"/>
        </w:rPr>
        <w:t xml:space="preserve"> the</w:t>
      </w:r>
      <w:r w:rsidRPr="00A543FB">
        <w:rPr>
          <w:rFonts w:ascii="Times New Roman" w:hAnsi="Times New Roman" w:cs="Times New Roman"/>
        </w:rPr>
        <w:t xml:space="preserve"> Legalization of Unauthorized Buildings. </w:t>
      </w:r>
      <w:r w:rsidR="00E82C73" w:rsidRPr="00A543FB">
        <w:rPr>
          <w:rFonts w:ascii="Times New Roman" w:hAnsi="Times New Roman" w:cs="Times New Roman"/>
        </w:rPr>
        <w:t xml:space="preserve">These laws ensure higher-quality and more efficient preparation of planning documentation in a transparent manner, strengthen the system for controlling the quality of building construction, curb illegal construction, and ensure inspection on the field, i.e., within local self-governments. In the spatial regulation, the reforms primarily focus on the decentralization of spatial planning tasks, the institutionalization of the preparation of planning documents and the reduction of administrative procedures in their implementation. Additionally, an urban planning inspection has been established to oversee the implementation of this law and the regulations adopted under it. </w:t>
      </w:r>
      <w:r w:rsidR="00873CB8" w:rsidRPr="00A543FB">
        <w:rPr>
          <w:rFonts w:ascii="Times New Roman" w:hAnsi="Times New Roman" w:cs="Times New Roman"/>
        </w:rPr>
        <w:t xml:space="preserve">In the field of building construction, the building permit has been reinstated for all structures as a condition for construction. It is issued by an administrative act and is subject to administrative and judicial review, and a mandatory technical inspection has also been introduced, except for family residential buildings. In the area of unauthorized buildings legalization, the conditions for legalization have been simplified, additional mechanisms have been introduced to protect Montenegro’s spatial environment, and the legalization process itself has been set with a five-year </w:t>
      </w:r>
      <w:r w:rsidR="00B82D02" w:rsidRPr="00A543FB">
        <w:rPr>
          <w:rFonts w:ascii="Times New Roman" w:hAnsi="Times New Roman" w:cs="Times New Roman"/>
        </w:rPr>
        <w:t>period</w:t>
      </w:r>
      <w:r w:rsidR="00873CB8" w:rsidRPr="00A543FB">
        <w:rPr>
          <w:rFonts w:ascii="Times New Roman" w:hAnsi="Times New Roman" w:cs="Times New Roman"/>
        </w:rPr>
        <w:t>.</w:t>
      </w:r>
      <w:r w:rsidR="00086C14" w:rsidRPr="00A543FB">
        <w:rPr>
          <w:rFonts w:ascii="Times New Roman" w:hAnsi="Times New Roman" w:cs="Times New Roman"/>
        </w:rPr>
        <w:t xml:space="preserve"> </w:t>
      </w:r>
    </w:p>
    <w:p w:rsidR="00086C14"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Regarding Montenegro’s accession to the EU, the Supreme State Prosecutor’s Office, among others, has representatives in the Working Group for Chapter 23, which focuses</w:t>
      </w:r>
      <w:r w:rsidRPr="00A543FB">
        <w:rPr>
          <w:rFonts w:ascii="Times New Roman" w:hAnsi="Times New Roman" w:cs="Times New Roman"/>
        </w:rPr>
        <w:t xml:space="preserve"> on monitoring results in prevention and repression of high-level corruption. </w:t>
      </w:r>
    </w:p>
    <w:p w:rsidR="00086C14"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To effectively combat corruption, authorities in Montenegro are, in accordance with the Law on the Prevention of Corruption, obliged to adopt integrity plans. Each authority is </w:t>
      </w:r>
      <w:r w:rsidRPr="00A543FB">
        <w:rPr>
          <w:rFonts w:ascii="Times New Roman" w:hAnsi="Times New Roman" w:cs="Times New Roman"/>
        </w:rPr>
        <w:t xml:space="preserve">required to make its integrity plan publicly available by publishing it on its website or by other appropriate means. Every two years, the authority assesses the efficiency and effectiveness of the integrity plan </w:t>
      </w:r>
      <w:r w:rsidR="00554881" w:rsidRPr="00A543FB">
        <w:rPr>
          <w:rFonts w:ascii="Times New Roman" w:hAnsi="Times New Roman" w:cs="Times New Roman"/>
        </w:rPr>
        <w:t>according to</w:t>
      </w:r>
      <w:r w:rsidRPr="00A543FB">
        <w:rPr>
          <w:rFonts w:ascii="Times New Roman" w:hAnsi="Times New Roman" w:cs="Times New Roman"/>
        </w:rPr>
        <w:t xml:space="preserve"> </w:t>
      </w:r>
      <w:r w:rsidR="00554881" w:rsidRPr="00A543FB">
        <w:rPr>
          <w:rFonts w:ascii="Times New Roman" w:hAnsi="Times New Roman" w:cs="Times New Roman"/>
        </w:rPr>
        <w:t>its</w:t>
      </w:r>
      <w:r w:rsidRPr="00A543FB">
        <w:rPr>
          <w:rFonts w:ascii="Times New Roman" w:hAnsi="Times New Roman" w:cs="Times New Roman"/>
        </w:rPr>
        <w:t xml:space="preserve"> </w:t>
      </w:r>
      <w:r w:rsidR="00554881" w:rsidRPr="00A543FB">
        <w:rPr>
          <w:rFonts w:ascii="Times New Roman" w:hAnsi="Times New Roman" w:cs="Times New Roman"/>
        </w:rPr>
        <w:t xml:space="preserve">preparation and implementation </w:t>
      </w:r>
      <w:r w:rsidRPr="00A543FB">
        <w:rPr>
          <w:rFonts w:ascii="Times New Roman" w:hAnsi="Times New Roman" w:cs="Times New Roman"/>
        </w:rPr>
        <w:t xml:space="preserve">rules. </w:t>
      </w:r>
    </w:p>
    <w:p w:rsidR="00401434" w:rsidRPr="00A543FB" w:rsidRDefault="00DD6520" w:rsidP="00554881">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To effectively combat high-level corruption, between 31 December 2022 and 31 December 2024, the Special State Prosecutor’s Office </w:t>
      </w:r>
      <w:r w:rsidR="00BF3C5A" w:rsidRPr="00A543FB">
        <w:rPr>
          <w:rFonts w:ascii="Times New Roman" w:hAnsi="Times New Roman" w:cs="Times New Roman"/>
        </w:rPr>
        <w:t xml:space="preserve">(SSP) </w:t>
      </w:r>
      <w:r w:rsidRPr="00A543FB">
        <w:rPr>
          <w:rFonts w:ascii="Times New Roman" w:hAnsi="Times New Roman" w:cs="Times New Roman"/>
        </w:rPr>
        <w:t xml:space="preserve">initiated a number of criminal proceedings against: </w:t>
      </w:r>
    </w:p>
    <w:p w:rsidR="00401434" w:rsidRPr="00A543FB" w:rsidRDefault="00DD6520" w:rsidP="00554881">
      <w:pPr>
        <w:spacing w:after="0" w:line="360" w:lineRule="auto"/>
        <w:contextualSpacing/>
        <w:jc w:val="both"/>
        <w:rPr>
          <w:rFonts w:ascii="Times New Roman" w:hAnsi="Times New Roman" w:cs="Times New Roman"/>
        </w:rPr>
      </w:pPr>
      <w:r w:rsidRPr="00A543FB">
        <w:rPr>
          <w:rFonts w:ascii="Times New Roman" w:hAnsi="Times New Roman" w:cs="Times New Roman"/>
        </w:rPr>
        <w:t>-</w:t>
      </w:r>
      <w:r w:rsidR="00554881" w:rsidRPr="00A543FB">
        <w:rPr>
          <w:rFonts w:ascii="Times New Roman" w:hAnsi="Times New Roman" w:cs="Times New Roman"/>
        </w:rPr>
        <w:t xml:space="preserve">the acting Assistant Director of the Sector for Crime Prevention of the </w:t>
      </w:r>
      <w:r w:rsidR="00E351F5">
        <w:rPr>
          <w:rFonts w:ascii="Times New Roman" w:hAnsi="Times New Roman" w:cs="Times New Roman"/>
        </w:rPr>
        <w:t>Police Directorate (PD)</w:t>
      </w:r>
      <w:r w:rsidR="00554881" w:rsidRPr="00A543FB">
        <w:rPr>
          <w:rFonts w:ascii="Times New Roman" w:hAnsi="Times New Roman" w:cs="Times New Roman"/>
        </w:rPr>
        <w:t xml:space="preserve">, </w:t>
      </w:r>
      <w:r w:rsidR="00126123">
        <w:rPr>
          <w:rFonts w:ascii="Times New Roman" w:hAnsi="Times New Roman" w:cs="Times New Roman"/>
        </w:rPr>
        <w:t xml:space="preserve">on suspicion of committing </w:t>
      </w:r>
      <w:r w:rsidR="00554881" w:rsidRPr="00A543FB">
        <w:rPr>
          <w:rFonts w:ascii="Times New Roman" w:hAnsi="Times New Roman" w:cs="Times New Roman"/>
        </w:rPr>
        <w:t xml:space="preserve">the criminal offense of forming a criminal organization </w:t>
      </w:r>
      <w:r w:rsidR="00187F30" w:rsidRPr="00187F30">
        <w:rPr>
          <w:rFonts w:ascii="Times New Roman" w:hAnsi="Times New Roman" w:cs="Times New Roman"/>
        </w:rPr>
        <w:t>(Article 401</w:t>
      </w:r>
      <w:proofErr w:type="gramStart"/>
      <w:r w:rsidR="00187F30" w:rsidRPr="00187F30">
        <w:rPr>
          <w:rFonts w:ascii="Times New Roman" w:hAnsi="Times New Roman" w:cs="Times New Roman"/>
        </w:rPr>
        <w:t>a(</w:t>
      </w:r>
      <w:proofErr w:type="gramEnd"/>
      <w:r w:rsidR="00187F30" w:rsidRPr="00187F30">
        <w:rPr>
          <w:rFonts w:ascii="Times New Roman" w:hAnsi="Times New Roman" w:cs="Times New Roman"/>
        </w:rPr>
        <w:t>2) in relation to (1) and (6) of the Criminal Code of Montenegro)</w:t>
      </w:r>
      <w:r w:rsidR="00554881" w:rsidRPr="00A543FB">
        <w:rPr>
          <w:rFonts w:ascii="Times New Roman" w:hAnsi="Times New Roman" w:cs="Times New Roman"/>
        </w:rPr>
        <w:t xml:space="preserve">, and the criminal offense of disclosure of classified information </w:t>
      </w:r>
      <w:r w:rsidR="00187F30" w:rsidRPr="00187F30">
        <w:rPr>
          <w:rFonts w:ascii="Times New Roman" w:hAnsi="Times New Roman" w:cs="Times New Roman"/>
        </w:rPr>
        <w:t>(Article 369(1) in relation to (4) of the</w:t>
      </w:r>
      <w:r w:rsidR="00187F30">
        <w:rPr>
          <w:rFonts w:ascii="Times New Roman" w:hAnsi="Times New Roman" w:cs="Times New Roman"/>
        </w:rPr>
        <w:t xml:space="preserve"> </w:t>
      </w:r>
      <w:r w:rsidR="00554881" w:rsidRPr="00A543FB">
        <w:rPr>
          <w:rFonts w:ascii="Times New Roman" w:hAnsi="Times New Roman" w:cs="Times New Roman"/>
        </w:rPr>
        <w:t>CC</w:t>
      </w:r>
      <w:r w:rsidR="00187F30">
        <w:rPr>
          <w:rFonts w:ascii="Times New Roman" w:hAnsi="Times New Roman" w:cs="Times New Roman"/>
        </w:rPr>
        <w:t>)</w:t>
      </w:r>
      <w:r w:rsidR="00554881" w:rsidRPr="00A543FB">
        <w:rPr>
          <w:rFonts w:ascii="Times New Roman" w:hAnsi="Times New Roman" w:cs="Times New Roman"/>
        </w:rPr>
        <w:t xml:space="preserve">; </w:t>
      </w:r>
    </w:p>
    <w:p w:rsidR="00554881" w:rsidRPr="00A543FB" w:rsidRDefault="00DD6520" w:rsidP="00554881">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President of the Municipality of </w:t>
      </w:r>
      <w:proofErr w:type="spellStart"/>
      <w:r w:rsidRPr="00A543FB">
        <w:rPr>
          <w:rFonts w:ascii="Times New Roman" w:hAnsi="Times New Roman" w:cs="Times New Roman"/>
        </w:rPr>
        <w:t>Budva</w:t>
      </w:r>
      <w:proofErr w:type="spellEnd"/>
      <w:r w:rsidRPr="00A543FB">
        <w:rPr>
          <w:rFonts w:ascii="Times New Roman" w:hAnsi="Times New Roman" w:cs="Times New Roman"/>
        </w:rPr>
        <w:t xml:space="preserve">, </w:t>
      </w:r>
      <w:r w:rsidR="00126123" w:rsidRPr="00126123">
        <w:rPr>
          <w:rFonts w:ascii="Times New Roman" w:hAnsi="Times New Roman" w:cs="Times New Roman"/>
        </w:rPr>
        <w:t>on suspicion of committing the</w:t>
      </w:r>
      <w:r w:rsidR="00126123">
        <w:rPr>
          <w:rFonts w:ascii="Times New Roman" w:hAnsi="Times New Roman" w:cs="Times New Roman"/>
        </w:rPr>
        <w:t xml:space="preserve"> </w:t>
      </w:r>
      <w:r w:rsidRPr="00A543FB">
        <w:rPr>
          <w:rFonts w:ascii="Times New Roman" w:hAnsi="Times New Roman" w:cs="Times New Roman"/>
        </w:rPr>
        <w:t xml:space="preserve">criminal offense of forming a criminal organization </w:t>
      </w:r>
      <w:r w:rsidR="00187F30">
        <w:rPr>
          <w:rFonts w:ascii="Times New Roman" w:hAnsi="Times New Roman" w:cs="Times New Roman"/>
        </w:rPr>
        <w:t>(Article 401</w:t>
      </w:r>
      <w:proofErr w:type="gramStart"/>
      <w:r w:rsidR="00187F30">
        <w:rPr>
          <w:rFonts w:ascii="Times New Roman" w:hAnsi="Times New Roman" w:cs="Times New Roman"/>
        </w:rPr>
        <w:t>a(</w:t>
      </w:r>
      <w:proofErr w:type="gramEnd"/>
      <w:r w:rsidRPr="00A543FB">
        <w:rPr>
          <w:rFonts w:ascii="Times New Roman" w:hAnsi="Times New Roman" w:cs="Times New Roman"/>
        </w:rPr>
        <w:t>2</w:t>
      </w:r>
      <w:r w:rsidR="00187F30">
        <w:rPr>
          <w:rFonts w:ascii="Times New Roman" w:hAnsi="Times New Roman" w:cs="Times New Roman"/>
        </w:rPr>
        <w:t>)</w:t>
      </w:r>
      <w:r w:rsidRPr="00A543FB">
        <w:rPr>
          <w:rFonts w:ascii="Times New Roman" w:hAnsi="Times New Roman" w:cs="Times New Roman"/>
        </w:rPr>
        <w:t xml:space="preserve"> in relation to </w:t>
      </w:r>
      <w:r w:rsidR="00187F30">
        <w:rPr>
          <w:rFonts w:ascii="Times New Roman" w:hAnsi="Times New Roman" w:cs="Times New Roman"/>
        </w:rPr>
        <w:t>(</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and </w:t>
      </w:r>
      <w:r w:rsidR="00187F30">
        <w:rPr>
          <w:rFonts w:ascii="Times New Roman" w:hAnsi="Times New Roman" w:cs="Times New Roman"/>
        </w:rPr>
        <w:t>(</w:t>
      </w:r>
      <w:r w:rsidRPr="00A543FB">
        <w:rPr>
          <w:rFonts w:ascii="Times New Roman" w:hAnsi="Times New Roman" w:cs="Times New Roman"/>
        </w:rPr>
        <w:t>6</w:t>
      </w:r>
      <w:r w:rsidR="00187F30">
        <w:rPr>
          <w:rFonts w:ascii="Times New Roman" w:hAnsi="Times New Roman" w:cs="Times New Roman"/>
        </w:rPr>
        <w:t>)</w:t>
      </w:r>
      <w:r w:rsidRPr="00A543FB">
        <w:rPr>
          <w:rFonts w:ascii="Times New Roman" w:hAnsi="Times New Roman" w:cs="Times New Roman"/>
        </w:rPr>
        <w:t xml:space="preserve"> of the CC</w:t>
      </w:r>
      <w:r w:rsidR="00187F30">
        <w:rPr>
          <w:rFonts w:ascii="Times New Roman" w:hAnsi="Times New Roman" w:cs="Times New Roman"/>
        </w:rPr>
        <w:t>)</w:t>
      </w:r>
      <w:r w:rsidRPr="00A543FB">
        <w:rPr>
          <w:rFonts w:ascii="Times New Roman" w:hAnsi="Times New Roman" w:cs="Times New Roman"/>
        </w:rPr>
        <w:t xml:space="preserve">, and the criminal offense of unauthorized production, possession, and trafficking of narcotic drugs </w:t>
      </w:r>
      <w:r w:rsidR="00187F30">
        <w:rPr>
          <w:rFonts w:ascii="Times New Roman" w:hAnsi="Times New Roman" w:cs="Times New Roman"/>
        </w:rPr>
        <w:t>(Article 300(</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in relation to Article 23</w:t>
      </w:r>
      <w:r w:rsidR="00187F30">
        <w:rPr>
          <w:rFonts w:ascii="Times New Roman" w:hAnsi="Times New Roman" w:cs="Times New Roman"/>
        </w:rPr>
        <w:t>(</w:t>
      </w:r>
      <w:r w:rsidRPr="00A543FB">
        <w:rPr>
          <w:rFonts w:ascii="Times New Roman" w:hAnsi="Times New Roman" w:cs="Times New Roman"/>
        </w:rPr>
        <w:t>2</w:t>
      </w:r>
      <w:r w:rsidR="00187F30">
        <w:rPr>
          <w:rFonts w:ascii="Times New Roman" w:hAnsi="Times New Roman" w:cs="Times New Roman"/>
        </w:rPr>
        <w:t>)</w:t>
      </w:r>
      <w:r w:rsidRPr="00A543FB">
        <w:rPr>
          <w:rFonts w:ascii="Times New Roman" w:hAnsi="Times New Roman" w:cs="Times New Roman"/>
        </w:rPr>
        <w:t xml:space="preserve"> of the CC</w:t>
      </w:r>
      <w:r w:rsidR="00187F30">
        <w:rPr>
          <w:rFonts w:ascii="Times New Roman" w:hAnsi="Times New Roman" w:cs="Times New Roman"/>
        </w:rPr>
        <w:t>)</w:t>
      </w:r>
      <w:r w:rsidRPr="00A543FB">
        <w:rPr>
          <w:rFonts w:ascii="Times New Roman" w:hAnsi="Times New Roman" w:cs="Times New Roman"/>
        </w:rPr>
        <w:t xml:space="preserve">. </w:t>
      </w:r>
    </w:p>
    <w:p w:rsidR="00401434" w:rsidRPr="00A543FB" w:rsidRDefault="00DD6520" w:rsidP="00401434">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Director of the </w:t>
      </w:r>
      <w:r w:rsidR="00E351F5">
        <w:rPr>
          <w:rFonts w:ascii="Times New Roman" w:hAnsi="Times New Roman" w:cs="Times New Roman"/>
        </w:rPr>
        <w:t>PD</w:t>
      </w:r>
      <w:r w:rsidRPr="00A543FB">
        <w:rPr>
          <w:rFonts w:ascii="Times New Roman" w:hAnsi="Times New Roman" w:cs="Times New Roman"/>
        </w:rPr>
        <w:t xml:space="preserve"> and Defense and Security </w:t>
      </w:r>
      <w:r w:rsidRPr="00A543FB">
        <w:rPr>
          <w:rFonts w:ascii="Times New Roman" w:hAnsi="Times New Roman" w:cs="Times New Roman"/>
        </w:rPr>
        <w:t>Advisor to the President of Montenegro</w:t>
      </w:r>
      <w:r w:rsidR="00F372AF" w:rsidRPr="00A543FB">
        <w:rPr>
          <w:rFonts w:ascii="Times New Roman" w:hAnsi="Times New Roman" w:cs="Times New Roman"/>
        </w:rPr>
        <w:t xml:space="preserve">, </w:t>
      </w:r>
      <w:r w:rsidR="00126123">
        <w:rPr>
          <w:rFonts w:ascii="Times New Roman" w:hAnsi="Times New Roman" w:cs="Times New Roman"/>
        </w:rPr>
        <w:t>on suspicion of committing the</w:t>
      </w:r>
      <w:r w:rsidRPr="00A543FB">
        <w:rPr>
          <w:rFonts w:ascii="Times New Roman" w:hAnsi="Times New Roman" w:cs="Times New Roman"/>
        </w:rPr>
        <w:t xml:space="preserve"> criminal offense of forming a criminal organization </w:t>
      </w:r>
      <w:r w:rsidR="00187F30" w:rsidRPr="00187F30">
        <w:rPr>
          <w:rFonts w:ascii="Times New Roman" w:hAnsi="Times New Roman" w:cs="Times New Roman"/>
        </w:rPr>
        <w:t>(Article 401</w:t>
      </w:r>
      <w:proofErr w:type="gramStart"/>
      <w:r w:rsidR="00187F30" w:rsidRPr="00187F30">
        <w:rPr>
          <w:rFonts w:ascii="Times New Roman" w:hAnsi="Times New Roman" w:cs="Times New Roman"/>
        </w:rPr>
        <w:t>a(</w:t>
      </w:r>
      <w:proofErr w:type="gramEnd"/>
      <w:r w:rsidR="00187F30" w:rsidRPr="00187F30">
        <w:rPr>
          <w:rFonts w:ascii="Times New Roman" w:hAnsi="Times New Roman" w:cs="Times New Roman"/>
        </w:rPr>
        <w:t>2) in rel</w:t>
      </w:r>
      <w:r w:rsidR="00187F30">
        <w:rPr>
          <w:rFonts w:ascii="Times New Roman" w:hAnsi="Times New Roman" w:cs="Times New Roman"/>
        </w:rPr>
        <w:t>ation to (1) and (6) of the CC)</w:t>
      </w:r>
      <w:r w:rsidRPr="00A543FB">
        <w:rPr>
          <w:rFonts w:ascii="Times New Roman" w:hAnsi="Times New Roman" w:cs="Times New Roman"/>
        </w:rPr>
        <w:t xml:space="preserve">, and the criminal offense of abuse of official position </w:t>
      </w:r>
      <w:r w:rsidR="00187F30">
        <w:rPr>
          <w:rFonts w:ascii="Times New Roman" w:hAnsi="Times New Roman" w:cs="Times New Roman"/>
        </w:rPr>
        <w:t>(Article 416(</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of the CC</w:t>
      </w:r>
      <w:r w:rsidR="00187F30">
        <w:rPr>
          <w:rFonts w:ascii="Times New Roman" w:hAnsi="Times New Roman" w:cs="Times New Roman"/>
        </w:rPr>
        <w:t>)</w:t>
      </w:r>
      <w:r w:rsidRPr="00A543FB">
        <w:rPr>
          <w:rFonts w:ascii="Times New Roman" w:hAnsi="Times New Roman" w:cs="Times New Roman"/>
        </w:rPr>
        <w:t xml:space="preserve">; </w:t>
      </w:r>
    </w:p>
    <w:p w:rsidR="00401434" w:rsidRPr="00A543FB" w:rsidRDefault="00DD6520" w:rsidP="00401434">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 xml:space="preserve">-the former Director of the </w:t>
      </w:r>
      <w:r w:rsidR="00E351F5">
        <w:rPr>
          <w:rFonts w:ascii="Times New Roman" w:hAnsi="Times New Roman" w:cs="Times New Roman"/>
        </w:rPr>
        <w:t>PD</w:t>
      </w:r>
      <w:r w:rsidRPr="00A543FB">
        <w:rPr>
          <w:rFonts w:ascii="Times New Roman" w:hAnsi="Times New Roman" w:cs="Times New Roman"/>
        </w:rPr>
        <w:t xml:space="preserve">, </w:t>
      </w:r>
      <w:r w:rsidR="00126123">
        <w:rPr>
          <w:rFonts w:ascii="Times New Roman" w:hAnsi="Times New Roman" w:cs="Times New Roman"/>
        </w:rPr>
        <w:t>on suspicion of committing the</w:t>
      </w:r>
      <w:r w:rsidRPr="00A543FB">
        <w:rPr>
          <w:rFonts w:ascii="Times New Roman" w:hAnsi="Times New Roman" w:cs="Times New Roman"/>
        </w:rPr>
        <w:t xml:space="preserve"> criminal offense of abuse of official position </w:t>
      </w:r>
      <w:r w:rsidR="00187F30">
        <w:rPr>
          <w:rFonts w:ascii="Times New Roman" w:hAnsi="Times New Roman" w:cs="Times New Roman"/>
        </w:rPr>
        <w:t>(</w:t>
      </w:r>
      <w:r w:rsidRPr="00A543FB">
        <w:rPr>
          <w:rFonts w:ascii="Times New Roman" w:hAnsi="Times New Roman" w:cs="Times New Roman"/>
        </w:rPr>
        <w:t>Article 416</w:t>
      </w:r>
      <w:r w:rsidR="00187F30">
        <w:rPr>
          <w:rFonts w:ascii="Times New Roman" w:hAnsi="Times New Roman" w:cs="Times New Roman"/>
        </w:rPr>
        <w:t>(</w:t>
      </w:r>
      <w:r w:rsidRPr="00A543FB">
        <w:rPr>
          <w:rFonts w:ascii="Times New Roman" w:hAnsi="Times New Roman" w:cs="Times New Roman"/>
        </w:rPr>
        <w:t>3</w:t>
      </w:r>
      <w:r w:rsidR="00187F30">
        <w:rPr>
          <w:rFonts w:ascii="Times New Roman" w:hAnsi="Times New Roman" w:cs="Times New Roman"/>
        </w:rPr>
        <w:t>)</w:t>
      </w:r>
      <w:r w:rsidRPr="00A543FB">
        <w:rPr>
          <w:rFonts w:ascii="Times New Roman" w:hAnsi="Times New Roman" w:cs="Times New Roman"/>
        </w:rPr>
        <w:t xml:space="preserve"> in relation to </w:t>
      </w:r>
      <w:r w:rsidR="00187F30">
        <w:rPr>
          <w:rFonts w:ascii="Times New Roman" w:hAnsi="Times New Roman" w:cs="Times New Roman"/>
        </w:rPr>
        <w:t>(</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of the CC</w:t>
      </w:r>
      <w:r w:rsidR="00187F30">
        <w:rPr>
          <w:rFonts w:ascii="Times New Roman" w:hAnsi="Times New Roman" w:cs="Times New Roman"/>
        </w:rPr>
        <w:t>)</w:t>
      </w:r>
      <w:r w:rsidRPr="00A543FB">
        <w:rPr>
          <w:rFonts w:ascii="Times New Roman" w:hAnsi="Times New Roman" w:cs="Times New Roman"/>
        </w:rPr>
        <w:t xml:space="preserve">. </w:t>
      </w:r>
    </w:p>
    <w:p w:rsidR="00F372AF" w:rsidRPr="00A543FB" w:rsidRDefault="00DD6520" w:rsidP="00F372AF">
      <w:pPr>
        <w:spacing w:after="0" w:line="360" w:lineRule="auto"/>
        <w:contextualSpacing/>
        <w:jc w:val="both"/>
        <w:rPr>
          <w:rFonts w:ascii="Times New Roman" w:hAnsi="Times New Roman" w:cs="Times New Roman"/>
        </w:rPr>
      </w:pPr>
      <w:r w:rsidRPr="00A543FB">
        <w:rPr>
          <w:rFonts w:ascii="Times New Roman" w:hAnsi="Times New Roman" w:cs="Times New Roman"/>
        </w:rPr>
        <w:t>-three former Ministers of Agriculture and Rural Development and one former State Se</w:t>
      </w:r>
      <w:r w:rsidRPr="00A543FB">
        <w:rPr>
          <w:rFonts w:ascii="Times New Roman" w:hAnsi="Times New Roman" w:cs="Times New Roman"/>
        </w:rPr>
        <w:t xml:space="preserve">cretary in the then MARD, on grounds of suspicion </w:t>
      </w:r>
      <w:r w:rsidR="00187F30" w:rsidRPr="00187F30">
        <w:rPr>
          <w:rFonts w:ascii="Times New Roman" w:hAnsi="Times New Roman" w:cs="Times New Roman"/>
        </w:rPr>
        <w:t xml:space="preserve">of committing </w:t>
      </w:r>
      <w:r w:rsidRPr="00A543FB">
        <w:rPr>
          <w:rFonts w:ascii="Times New Roman" w:hAnsi="Times New Roman" w:cs="Times New Roman"/>
        </w:rPr>
        <w:t xml:space="preserve">three continuous criminal offenses of abuse of official position and two separate criminal offenses of abuse of official position; </w:t>
      </w:r>
    </w:p>
    <w:p w:rsidR="00F372AF" w:rsidRPr="00A543FB" w:rsidRDefault="00DD6520" w:rsidP="00F372AF">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Director of the </w:t>
      </w:r>
      <w:r w:rsidR="00E351F5">
        <w:rPr>
          <w:rFonts w:ascii="Times New Roman" w:hAnsi="Times New Roman" w:cs="Times New Roman"/>
        </w:rPr>
        <w:t>PD</w:t>
      </w:r>
      <w:r w:rsidRPr="00A543FB">
        <w:rPr>
          <w:rFonts w:ascii="Times New Roman" w:hAnsi="Times New Roman" w:cs="Times New Roman"/>
        </w:rPr>
        <w:t xml:space="preserve"> and later Defense and Securit</w:t>
      </w:r>
      <w:r w:rsidRPr="00A543FB">
        <w:rPr>
          <w:rFonts w:ascii="Times New Roman" w:hAnsi="Times New Roman" w:cs="Times New Roman"/>
        </w:rPr>
        <w:t>y Advisor to the President of Montenegro</w:t>
      </w:r>
      <w:r w:rsidR="000748D1" w:rsidRPr="00A543FB">
        <w:rPr>
          <w:rFonts w:ascii="Times New Roman" w:hAnsi="Times New Roman" w:cs="Times New Roman"/>
        </w:rPr>
        <w:t xml:space="preserve"> –</w:t>
      </w:r>
      <w:r w:rsidRPr="00A543FB">
        <w:rPr>
          <w:rFonts w:ascii="Times New Roman" w:hAnsi="Times New Roman" w:cs="Times New Roman"/>
        </w:rPr>
        <w:t xml:space="preserve"> criminal offense </w:t>
      </w:r>
      <w:r w:rsidR="00187F30">
        <w:rPr>
          <w:rFonts w:ascii="Times New Roman" w:hAnsi="Times New Roman" w:cs="Times New Roman"/>
        </w:rPr>
        <w:t>(</w:t>
      </w:r>
      <w:r w:rsidRPr="00A543FB">
        <w:rPr>
          <w:rFonts w:ascii="Times New Roman" w:hAnsi="Times New Roman" w:cs="Times New Roman"/>
        </w:rPr>
        <w:t>Article 401a</w:t>
      </w:r>
      <w:r w:rsidR="00187F30">
        <w:rPr>
          <w:rFonts w:ascii="Times New Roman" w:hAnsi="Times New Roman" w:cs="Times New Roman"/>
        </w:rPr>
        <w:t>)</w:t>
      </w:r>
      <w:r w:rsidRPr="00A543FB">
        <w:rPr>
          <w:rFonts w:ascii="Times New Roman" w:hAnsi="Times New Roman" w:cs="Times New Roman"/>
        </w:rPr>
        <w:t xml:space="preserve">; </w:t>
      </w:r>
    </w:p>
    <w:p w:rsidR="00F372AF" w:rsidRPr="00A543FB" w:rsidRDefault="00DD6520" w:rsidP="00F372AF">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Director of the </w:t>
      </w:r>
      <w:r w:rsidR="00E351F5">
        <w:rPr>
          <w:rFonts w:ascii="Times New Roman" w:hAnsi="Times New Roman" w:cs="Times New Roman"/>
        </w:rPr>
        <w:t>PD</w:t>
      </w:r>
      <w:r w:rsidR="000748D1" w:rsidRPr="00A543FB">
        <w:rPr>
          <w:rFonts w:ascii="Times New Roman" w:hAnsi="Times New Roman" w:cs="Times New Roman"/>
        </w:rPr>
        <w:t xml:space="preserve"> –</w:t>
      </w:r>
      <w:r w:rsidRPr="00A543FB">
        <w:rPr>
          <w:rFonts w:ascii="Times New Roman" w:hAnsi="Times New Roman" w:cs="Times New Roman"/>
        </w:rPr>
        <w:t xml:space="preserve"> criminal offenses of abuse of official position and illegal possession of weapons and explosive materials. </w:t>
      </w:r>
    </w:p>
    <w:p w:rsidR="009C237A" w:rsidRPr="00A543FB" w:rsidRDefault="00DD6520" w:rsidP="009C237A">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w:t>
      </w:r>
      <w:r w:rsidR="000748D1" w:rsidRPr="00A543FB">
        <w:rPr>
          <w:rFonts w:ascii="Times New Roman" w:hAnsi="Times New Roman" w:cs="Times New Roman"/>
        </w:rPr>
        <w:t xml:space="preserve">NSA </w:t>
      </w:r>
      <w:r w:rsidRPr="00A543FB">
        <w:rPr>
          <w:rFonts w:ascii="Times New Roman" w:hAnsi="Times New Roman" w:cs="Times New Roman"/>
        </w:rPr>
        <w:t xml:space="preserve">Director, </w:t>
      </w:r>
      <w:r w:rsidR="00126123">
        <w:rPr>
          <w:rFonts w:ascii="Times New Roman" w:hAnsi="Times New Roman" w:cs="Times New Roman"/>
        </w:rPr>
        <w:t xml:space="preserve">on suspicion of committing </w:t>
      </w:r>
      <w:proofErr w:type="gramStart"/>
      <w:r w:rsidR="00126123">
        <w:rPr>
          <w:rFonts w:ascii="Times New Roman" w:hAnsi="Times New Roman" w:cs="Times New Roman"/>
        </w:rPr>
        <w:t>the</w:t>
      </w:r>
      <w:r w:rsidRPr="00A543FB">
        <w:rPr>
          <w:rFonts w:ascii="Times New Roman" w:hAnsi="Times New Roman" w:cs="Times New Roman"/>
        </w:rPr>
        <w:t xml:space="preserve"> a</w:t>
      </w:r>
      <w:proofErr w:type="gramEnd"/>
      <w:r w:rsidRPr="00A543FB">
        <w:rPr>
          <w:rFonts w:ascii="Times New Roman" w:hAnsi="Times New Roman" w:cs="Times New Roman"/>
        </w:rPr>
        <w:t xml:space="preserve"> continuous criminal offense of abuse of official position;</w:t>
      </w:r>
      <w:r w:rsidR="000748D1" w:rsidRPr="00A543FB">
        <w:rPr>
          <w:rFonts w:ascii="Times New Roman" w:hAnsi="Times New Roman" w:cs="Times New Roman"/>
        </w:rPr>
        <w:t xml:space="preserve"> </w:t>
      </w:r>
    </w:p>
    <w:p w:rsidR="009C237A" w:rsidRPr="00A543FB" w:rsidRDefault="00DD6520" w:rsidP="009C237A">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Assistant Director of the </w:t>
      </w:r>
      <w:r w:rsidR="00E351F5">
        <w:rPr>
          <w:rFonts w:ascii="Times New Roman" w:hAnsi="Times New Roman" w:cs="Times New Roman"/>
        </w:rPr>
        <w:t>PD</w:t>
      </w:r>
      <w:r w:rsidRPr="00A543FB">
        <w:rPr>
          <w:rFonts w:ascii="Times New Roman" w:hAnsi="Times New Roman" w:cs="Times New Roman"/>
        </w:rPr>
        <w:t xml:space="preserve"> </w:t>
      </w:r>
      <w:r w:rsidR="000748D1" w:rsidRPr="00A543FB">
        <w:rPr>
          <w:rFonts w:ascii="Times New Roman" w:hAnsi="Times New Roman" w:cs="Times New Roman"/>
        </w:rPr>
        <w:t xml:space="preserve">– </w:t>
      </w:r>
      <w:r w:rsidRPr="00A543FB">
        <w:rPr>
          <w:rFonts w:ascii="Times New Roman" w:hAnsi="Times New Roman" w:cs="Times New Roman"/>
        </w:rPr>
        <w:t>criminal offense of forming a criminal organization, two criminal offenses of abuse of official position, a continuous criminal offense of money laundering, and a continuous criminal offense of illegal possession and carrying of weapons and explosive mater</w:t>
      </w:r>
      <w:r w:rsidRPr="00A543FB">
        <w:rPr>
          <w:rFonts w:ascii="Times New Roman" w:hAnsi="Times New Roman" w:cs="Times New Roman"/>
        </w:rPr>
        <w:t xml:space="preserve">ials; </w:t>
      </w:r>
    </w:p>
    <w:p w:rsidR="009C237A" w:rsidRPr="00A543FB" w:rsidRDefault="00DD6520" w:rsidP="009C237A">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w:t>
      </w:r>
      <w:r w:rsidR="000748D1" w:rsidRPr="00A543FB">
        <w:rPr>
          <w:rFonts w:ascii="Times New Roman" w:hAnsi="Times New Roman" w:cs="Times New Roman"/>
        </w:rPr>
        <w:t>former Chief Special Prosecutor –</w:t>
      </w:r>
      <w:r w:rsidRPr="00A543FB">
        <w:rPr>
          <w:rFonts w:ascii="Times New Roman" w:hAnsi="Times New Roman" w:cs="Times New Roman"/>
        </w:rPr>
        <w:t xml:space="preserve"> </w:t>
      </w:r>
      <w:r w:rsidR="000748D1" w:rsidRPr="00A543FB">
        <w:rPr>
          <w:rFonts w:ascii="Times New Roman" w:hAnsi="Times New Roman" w:cs="Times New Roman"/>
        </w:rPr>
        <w:t xml:space="preserve">criminal </w:t>
      </w:r>
      <w:r w:rsidRPr="00A543FB">
        <w:rPr>
          <w:rFonts w:ascii="Times New Roman" w:hAnsi="Times New Roman" w:cs="Times New Roman"/>
        </w:rPr>
        <w:t xml:space="preserve">offense of forming a criminal organization, two criminal offenses of abuse of official position, and illegal possession and carrying of weapons and explosive materials. </w:t>
      </w:r>
    </w:p>
    <w:p w:rsidR="000748D1"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former </w:t>
      </w:r>
      <w:r w:rsidR="001A3AD7" w:rsidRPr="00A543FB">
        <w:rPr>
          <w:rFonts w:ascii="Times New Roman" w:hAnsi="Times New Roman" w:cs="Times New Roman"/>
        </w:rPr>
        <w:t xml:space="preserve">Head </w:t>
      </w:r>
      <w:r w:rsidRPr="00A543FB">
        <w:rPr>
          <w:rFonts w:ascii="Times New Roman" w:hAnsi="Times New Roman" w:cs="Times New Roman"/>
        </w:rPr>
        <w:t xml:space="preserve">of the Criminal Police Station of the Bar Security Center of the </w:t>
      </w:r>
      <w:r w:rsidR="00E351F5">
        <w:rPr>
          <w:rFonts w:ascii="Times New Roman" w:hAnsi="Times New Roman" w:cs="Times New Roman"/>
        </w:rPr>
        <w:t>PD</w:t>
      </w:r>
      <w:r w:rsidRPr="00A543FB">
        <w:rPr>
          <w:rFonts w:ascii="Times New Roman" w:hAnsi="Times New Roman" w:cs="Times New Roman"/>
        </w:rPr>
        <w:t xml:space="preserve"> </w:t>
      </w:r>
      <w:r w:rsidR="001A3AD7" w:rsidRPr="00A543FB">
        <w:rPr>
          <w:rFonts w:ascii="Times New Roman" w:hAnsi="Times New Roman" w:cs="Times New Roman"/>
        </w:rPr>
        <w:t>–</w:t>
      </w:r>
      <w:r w:rsidRPr="00A543FB">
        <w:rPr>
          <w:rFonts w:ascii="Times New Roman" w:hAnsi="Times New Roman" w:cs="Times New Roman"/>
        </w:rPr>
        <w:t xml:space="preserve">criminal offense of forming a criminal organization and a continuous criminal offense of abuse of official position; </w:t>
      </w:r>
    </w:p>
    <w:p w:rsidR="000748D1"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-a</w:t>
      </w:r>
      <w:r w:rsidR="001A3AD7" w:rsidRPr="00A543FB">
        <w:rPr>
          <w:rFonts w:ascii="Times New Roman" w:hAnsi="Times New Roman" w:cs="Times New Roman"/>
        </w:rPr>
        <w:t>n</w:t>
      </w:r>
      <w:r w:rsidRPr="00A543FB">
        <w:rPr>
          <w:rFonts w:ascii="Times New Roman" w:hAnsi="Times New Roman" w:cs="Times New Roman"/>
        </w:rPr>
        <w:t xml:space="preserve"> officer of the </w:t>
      </w:r>
      <w:r w:rsidR="00E351F5">
        <w:rPr>
          <w:rFonts w:ascii="Times New Roman" w:hAnsi="Times New Roman" w:cs="Times New Roman"/>
        </w:rPr>
        <w:t>PD</w:t>
      </w:r>
      <w:r w:rsidR="001A3AD7" w:rsidRPr="00A543FB">
        <w:rPr>
          <w:rFonts w:ascii="Times New Roman" w:hAnsi="Times New Roman" w:cs="Times New Roman"/>
        </w:rPr>
        <w:t xml:space="preserve"> –</w:t>
      </w:r>
      <w:r w:rsidRPr="00A543FB">
        <w:rPr>
          <w:rFonts w:ascii="Times New Roman" w:hAnsi="Times New Roman" w:cs="Times New Roman"/>
        </w:rPr>
        <w:t xml:space="preserve"> criminal offense of forming a criminal organi</w:t>
      </w:r>
      <w:r w:rsidRPr="00A543FB">
        <w:rPr>
          <w:rFonts w:ascii="Times New Roman" w:hAnsi="Times New Roman" w:cs="Times New Roman"/>
        </w:rPr>
        <w:t xml:space="preserve">zation and a continuous criminal offense of abuse of official position; </w:t>
      </w:r>
    </w:p>
    <w:p w:rsidR="000748D1"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w:t>
      </w:r>
      <w:r w:rsidR="001A3AD7" w:rsidRPr="00A543FB">
        <w:rPr>
          <w:rFonts w:ascii="Times New Roman" w:hAnsi="Times New Roman" w:cs="Times New Roman"/>
        </w:rPr>
        <w:t>a lawyer</w:t>
      </w:r>
      <w:r w:rsidRPr="00A543FB">
        <w:rPr>
          <w:rFonts w:ascii="Times New Roman" w:hAnsi="Times New Roman" w:cs="Times New Roman"/>
        </w:rPr>
        <w:t xml:space="preserve"> </w:t>
      </w:r>
      <w:r w:rsidR="001A3AD7" w:rsidRPr="00A543FB">
        <w:rPr>
          <w:rFonts w:ascii="Times New Roman" w:hAnsi="Times New Roman" w:cs="Times New Roman"/>
        </w:rPr>
        <w:t>–</w:t>
      </w:r>
      <w:r w:rsidRPr="00A543FB">
        <w:rPr>
          <w:rFonts w:ascii="Times New Roman" w:hAnsi="Times New Roman" w:cs="Times New Roman"/>
        </w:rPr>
        <w:t xml:space="preserve"> criminal offense of forming a criminal organization and the criminal offense of </w:t>
      </w:r>
      <w:r w:rsidR="001A3AD7" w:rsidRPr="00A543FB">
        <w:rPr>
          <w:rFonts w:ascii="Times New Roman" w:hAnsi="Times New Roman" w:cs="Times New Roman"/>
        </w:rPr>
        <w:t>money laundering</w:t>
      </w:r>
      <w:r w:rsidRPr="00A543FB">
        <w:rPr>
          <w:rFonts w:ascii="Times New Roman" w:hAnsi="Times New Roman" w:cs="Times New Roman"/>
        </w:rPr>
        <w:t xml:space="preserve"> </w:t>
      </w:r>
      <w:r w:rsidR="001A3AD7" w:rsidRPr="00A543FB">
        <w:rPr>
          <w:rFonts w:ascii="Times New Roman" w:hAnsi="Times New Roman" w:cs="Times New Roman"/>
        </w:rPr>
        <w:t>(</w:t>
      </w:r>
      <w:r w:rsidRPr="00A543FB">
        <w:rPr>
          <w:rFonts w:ascii="Times New Roman" w:hAnsi="Times New Roman" w:cs="Times New Roman"/>
        </w:rPr>
        <w:t>€2,600,000.00</w:t>
      </w:r>
      <w:r w:rsidR="001A3AD7" w:rsidRPr="00A543FB">
        <w:rPr>
          <w:rFonts w:ascii="Times New Roman" w:hAnsi="Times New Roman" w:cs="Times New Roman"/>
        </w:rPr>
        <w:t>)</w:t>
      </w:r>
      <w:r w:rsidRPr="00A543FB">
        <w:rPr>
          <w:rFonts w:ascii="Times New Roman" w:hAnsi="Times New Roman" w:cs="Times New Roman"/>
        </w:rPr>
        <w:t xml:space="preserve">. </w:t>
      </w:r>
    </w:p>
    <w:p w:rsidR="001A3AD7"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-the former Director of the APC – seven continuous crimi</w:t>
      </w:r>
      <w:r w:rsidRPr="00A543FB">
        <w:rPr>
          <w:rFonts w:ascii="Times New Roman" w:hAnsi="Times New Roman" w:cs="Times New Roman"/>
        </w:rPr>
        <w:t>nal offenses of abuse of official position, two criminal offenses of abuse of official position, and a continuous criminal offense of an official document forgery; and against the former Deputy Director of the APC – two continuous criminal offenses of abus</w:t>
      </w:r>
      <w:r w:rsidRPr="00A543FB">
        <w:rPr>
          <w:rFonts w:ascii="Times New Roman" w:hAnsi="Times New Roman" w:cs="Times New Roman"/>
        </w:rPr>
        <w:t xml:space="preserve">e of official position and one criminal offense of abuse of official position. </w:t>
      </w:r>
    </w:p>
    <w:p w:rsidR="00C80010"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-a judge of the High Court in </w:t>
      </w:r>
      <w:proofErr w:type="spellStart"/>
      <w:r w:rsidRPr="00A543FB">
        <w:rPr>
          <w:rFonts w:ascii="Times New Roman" w:hAnsi="Times New Roman" w:cs="Times New Roman"/>
        </w:rPr>
        <w:t>Bijelo</w:t>
      </w:r>
      <w:proofErr w:type="spellEnd"/>
      <w:r w:rsidRPr="00A543FB">
        <w:rPr>
          <w:rFonts w:ascii="Times New Roman" w:hAnsi="Times New Roman" w:cs="Times New Roman"/>
        </w:rPr>
        <w:t xml:space="preserve"> Polje, </w:t>
      </w:r>
      <w:r w:rsidR="00126123">
        <w:rPr>
          <w:rFonts w:ascii="Times New Roman" w:hAnsi="Times New Roman" w:cs="Times New Roman"/>
        </w:rPr>
        <w:t>on suspicion of committing the</w:t>
      </w:r>
      <w:r w:rsidRPr="00A543FB">
        <w:rPr>
          <w:rFonts w:ascii="Times New Roman" w:hAnsi="Times New Roman" w:cs="Times New Roman"/>
        </w:rPr>
        <w:t xml:space="preserve"> criminal offenses of abuse of official position and forgery of an official document through incitemen</w:t>
      </w:r>
      <w:r w:rsidRPr="00A543FB">
        <w:rPr>
          <w:rFonts w:ascii="Times New Roman" w:hAnsi="Times New Roman" w:cs="Times New Roman"/>
        </w:rPr>
        <w:t xml:space="preserve">t. </w:t>
      </w:r>
    </w:p>
    <w:p w:rsidR="00C80010" w:rsidRPr="00A543FB" w:rsidRDefault="00DD6520" w:rsidP="000748D1">
      <w:pPr>
        <w:spacing w:after="0" w:line="360" w:lineRule="auto"/>
        <w:contextualSpacing/>
        <w:jc w:val="both"/>
        <w:rPr>
          <w:rFonts w:ascii="Times New Roman" w:hAnsi="Times New Roman" w:cs="Times New Roman"/>
        </w:rPr>
      </w:pPr>
      <w:r w:rsidRPr="00A543FB">
        <w:rPr>
          <w:rFonts w:ascii="Times New Roman" w:hAnsi="Times New Roman" w:cs="Times New Roman"/>
        </w:rPr>
        <w:t>In the fight against high-level corruption, it is highlight</w:t>
      </w:r>
      <w:r w:rsidR="00BF3C5A" w:rsidRPr="00A543FB">
        <w:rPr>
          <w:rFonts w:ascii="Times New Roman" w:hAnsi="Times New Roman" w:cs="Times New Roman"/>
        </w:rPr>
        <w:t>ed</w:t>
      </w:r>
      <w:r w:rsidRPr="00A543FB">
        <w:rPr>
          <w:rFonts w:ascii="Times New Roman" w:hAnsi="Times New Roman" w:cs="Times New Roman"/>
        </w:rPr>
        <w:t xml:space="preserve"> that earlier criminal proceedings were initiated against a former state prosecutor at the Basic State Pros</w:t>
      </w:r>
      <w:r w:rsidR="00BF3C5A" w:rsidRPr="00A543FB">
        <w:rPr>
          <w:rFonts w:ascii="Times New Roman" w:hAnsi="Times New Roman" w:cs="Times New Roman"/>
        </w:rPr>
        <w:t>ecutor’s Office in Kotor (S.J.),</w:t>
      </w:r>
      <w:r w:rsidRPr="00A543FB">
        <w:rPr>
          <w:rFonts w:ascii="Times New Roman" w:hAnsi="Times New Roman" w:cs="Times New Roman"/>
        </w:rPr>
        <w:t xml:space="preserve"> </w:t>
      </w:r>
      <w:r w:rsidR="00BF3C5A" w:rsidRPr="00A543FB">
        <w:rPr>
          <w:rFonts w:ascii="Times New Roman" w:hAnsi="Times New Roman" w:cs="Times New Roman"/>
        </w:rPr>
        <w:t>by submitting an indictment to</w:t>
      </w:r>
      <w:r w:rsidRPr="00A543FB">
        <w:rPr>
          <w:rFonts w:ascii="Times New Roman" w:hAnsi="Times New Roman" w:cs="Times New Roman"/>
        </w:rPr>
        <w:t xml:space="preserve"> the High Court in Podgorica for the criminal offense of abuse of official position </w:t>
      </w:r>
      <w:r w:rsidR="00BF3C5A" w:rsidRPr="00A543FB">
        <w:rPr>
          <w:rFonts w:ascii="Times New Roman" w:hAnsi="Times New Roman" w:cs="Times New Roman"/>
        </w:rPr>
        <w:t>(</w:t>
      </w:r>
      <w:r w:rsidRPr="00A543FB">
        <w:rPr>
          <w:rFonts w:ascii="Times New Roman" w:hAnsi="Times New Roman" w:cs="Times New Roman"/>
        </w:rPr>
        <w:t>Article 416, paragraph 1 of the CC</w:t>
      </w:r>
      <w:r w:rsidR="00BF3C5A" w:rsidRPr="00A543FB">
        <w:rPr>
          <w:rFonts w:ascii="Times New Roman" w:hAnsi="Times New Roman" w:cs="Times New Roman"/>
        </w:rPr>
        <w:t>). T</w:t>
      </w:r>
      <w:r w:rsidRPr="00A543FB">
        <w:rPr>
          <w:rFonts w:ascii="Times New Roman" w:hAnsi="Times New Roman" w:cs="Times New Roman"/>
        </w:rPr>
        <w:t>he main trial is ongoing before the High Court</w:t>
      </w:r>
      <w:r w:rsidR="00BF3C5A" w:rsidRPr="00A543FB">
        <w:rPr>
          <w:rFonts w:ascii="Times New Roman" w:hAnsi="Times New Roman" w:cs="Times New Roman"/>
        </w:rPr>
        <w:t xml:space="preserve"> in Podgorica</w:t>
      </w:r>
      <w:r w:rsidRPr="00A543FB">
        <w:rPr>
          <w:rFonts w:ascii="Times New Roman" w:hAnsi="Times New Roman" w:cs="Times New Roman"/>
        </w:rPr>
        <w:t>.</w:t>
      </w:r>
      <w:r w:rsidR="00BF3C5A" w:rsidRPr="00A543FB">
        <w:rPr>
          <w:rFonts w:ascii="Times New Roman" w:hAnsi="Times New Roman" w:cs="Times New Roman"/>
        </w:rPr>
        <w:t xml:space="preserve"> </w:t>
      </w:r>
    </w:p>
    <w:p w:rsidR="00BF3C5A" w:rsidRPr="00A543FB" w:rsidRDefault="00DD6520" w:rsidP="00BF3C5A">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Criminal proceedings were initiated against the former President of the</w:t>
      </w:r>
      <w:r w:rsidRPr="00A543FB">
        <w:rPr>
          <w:rFonts w:ascii="Times New Roman" w:hAnsi="Times New Roman" w:cs="Times New Roman"/>
        </w:rPr>
        <w:t xml:space="preserve"> Supreme Court of Montenegro, V.M., for the criminal offense of unlawful influence </w:t>
      </w:r>
      <w:r w:rsidR="001A5F7B" w:rsidRPr="00A543FB">
        <w:rPr>
          <w:rFonts w:ascii="Times New Roman" w:hAnsi="Times New Roman" w:cs="Times New Roman"/>
        </w:rPr>
        <w:t>(Article 422,</w:t>
      </w:r>
      <w:r w:rsidRPr="00A543FB">
        <w:rPr>
          <w:rFonts w:ascii="Times New Roman" w:hAnsi="Times New Roman" w:cs="Times New Roman"/>
        </w:rPr>
        <w:t xml:space="preserve"> </w:t>
      </w:r>
      <w:r w:rsidR="001A5F7B" w:rsidRPr="00A543FB">
        <w:rPr>
          <w:rFonts w:ascii="Times New Roman" w:hAnsi="Times New Roman" w:cs="Times New Roman"/>
        </w:rPr>
        <w:t>CC)</w:t>
      </w:r>
      <w:r w:rsidRPr="00A543FB">
        <w:rPr>
          <w:rFonts w:ascii="Times New Roman" w:hAnsi="Times New Roman" w:cs="Times New Roman"/>
        </w:rPr>
        <w:t xml:space="preserve"> and abuse of official position through incitement </w:t>
      </w:r>
      <w:r w:rsidR="001A5F7B" w:rsidRPr="00A543FB">
        <w:rPr>
          <w:rFonts w:ascii="Times New Roman" w:hAnsi="Times New Roman" w:cs="Times New Roman"/>
        </w:rPr>
        <w:t>(</w:t>
      </w:r>
      <w:r w:rsidRPr="00A543FB">
        <w:rPr>
          <w:rFonts w:ascii="Times New Roman" w:hAnsi="Times New Roman" w:cs="Times New Roman"/>
        </w:rPr>
        <w:t>Article 416</w:t>
      </w:r>
      <w:r w:rsidR="001A5F7B" w:rsidRPr="00A543FB">
        <w:rPr>
          <w:rFonts w:ascii="Times New Roman" w:hAnsi="Times New Roman" w:cs="Times New Roman"/>
        </w:rPr>
        <w:t>,</w:t>
      </w:r>
      <w:r w:rsidRPr="00A543FB">
        <w:rPr>
          <w:rFonts w:ascii="Times New Roman" w:hAnsi="Times New Roman" w:cs="Times New Roman"/>
        </w:rPr>
        <w:t xml:space="preserve"> </w:t>
      </w:r>
      <w:r w:rsidR="001A5F7B" w:rsidRPr="00A543FB">
        <w:rPr>
          <w:rFonts w:ascii="Times New Roman" w:hAnsi="Times New Roman" w:cs="Times New Roman"/>
        </w:rPr>
        <w:t>CC)</w:t>
      </w:r>
      <w:r w:rsidRPr="00A543FB">
        <w:rPr>
          <w:rFonts w:ascii="Times New Roman" w:hAnsi="Times New Roman" w:cs="Times New Roman"/>
        </w:rPr>
        <w:t xml:space="preserve">, </w:t>
      </w:r>
      <w:r w:rsidR="001A5F7B" w:rsidRPr="00A543FB">
        <w:rPr>
          <w:rFonts w:ascii="Times New Roman" w:hAnsi="Times New Roman" w:cs="Times New Roman"/>
        </w:rPr>
        <w:t>and</w:t>
      </w:r>
      <w:r w:rsidRPr="00A543FB">
        <w:rPr>
          <w:rFonts w:ascii="Times New Roman" w:hAnsi="Times New Roman" w:cs="Times New Roman"/>
        </w:rPr>
        <w:t xml:space="preserve"> against a judge of the Commercial Court of Montenegro, M.V.M., for the criminal of</w:t>
      </w:r>
      <w:r w:rsidRPr="00A543FB">
        <w:rPr>
          <w:rFonts w:ascii="Times New Roman" w:hAnsi="Times New Roman" w:cs="Times New Roman"/>
        </w:rPr>
        <w:t xml:space="preserve">fense of abuse of official position </w:t>
      </w:r>
      <w:r w:rsidR="001A5F7B" w:rsidRPr="00A543FB">
        <w:rPr>
          <w:rFonts w:ascii="Times New Roman" w:hAnsi="Times New Roman" w:cs="Times New Roman"/>
        </w:rPr>
        <w:t>(</w:t>
      </w:r>
      <w:r w:rsidRPr="00A543FB">
        <w:rPr>
          <w:rFonts w:ascii="Times New Roman" w:hAnsi="Times New Roman" w:cs="Times New Roman"/>
        </w:rPr>
        <w:t>Article 416</w:t>
      </w:r>
      <w:r w:rsidR="001A5F7B" w:rsidRPr="00A543FB">
        <w:rPr>
          <w:rFonts w:ascii="Times New Roman" w:hAnsi="Times New Roman" w:cs="Times New Roman"/>
        </w:rPr>
        <w:t>,</w:t>
      </w:r>
      <w:r w:rsidRPr="00A543FB">
        <w:rPr>
          <w:rFonts w:ascii="Times New Roman" w:hAnsi="Times New Roman" w:cs="Times New Roman"/>
        </w:rPr>
        <w:t xml:space="preserve"> </w:t>
      </w:r>
      <w:r w:rsidR="001A5F7B" w:rsidRPr="00A543FB">
        <w:rPr>
          <w:rFonts w:ascii="Times New Roman" w:hAnsi="Times New Roman" w:cs="Times New Roman"/>
        </w:rPr>
        <w:t>CC)</w:t>
      </w:r>
      <w:r w:rsidRPr="00A543FB">
        <w:rPr>
          <w:rFonts w:ascii="Times New Roman" w:hAnsi="Times New Roman" w:cs="Times New Roman"/>
        </w:rPr>
        <w:t>. The SSP filed an indictment against the</w:t>
      </w:r>
      <w:r w:rsidR="001A5F7B" w:rsidRPr="00A543FB">
        <w:rPr>
          <w:rFonts w:ascii="Times New Roman" w:hAnsi="Times New Roman" w:cs="Times New Roman"/>
        </w:rPr>
        <w:t>se</w:t>
      </w:r>
      <w:r w:rsidRPr="00A543FB">
        <w:rPr>
          <w:rFonts w:ascii="Times New Roman" w:hAnsi="Times New Roman" w:cs="Times New Roman"/>
        </w:rPr>
        <w:t xml:space="preserve"> officials, holders of high judicial offices, and other persons, which</w:t>
      </w:r>
      <w:r w:rsidR="001A5F7B" w:rsidRPr="00A543FB">
        <w:rPr>
          <w:rFonts w:ascii="Times New Roman" w:hAnsi="Times New Roman" w:cs="Times New Roman"/>
        </w:rPr>
        <w:t>,</w:t>
      </w:r>
      <w:r w:rsidRPr="00A543FB">
        <w:rPr>
          <w:rFonts w:ascii="Times New Roman" w:hAnsi="Times New Roman" w:cs="Times New Roman"/>
        </w:rPr>
        <w:t xml:space="preserve"> </w:t>
      </w:r>
      <w:r w:rsidR="001A5F7B" w:rsidRPr="00A543FB">
        <w:rPr>
          <w:rFonts w:ascii="Times New Roman" w:hAnsi="Times New Roman" w:cs="Times New Roman"/>
        </w:rPr>
        <w:t xml:space="preserve">during the review procedure, </w:t>
      </w:r>
      <w:r w:rsidRPr="00A543FB">
        <w:rPr>
          <w:rFonts w:ascii="Times New Roman" w:hAnsi="Times New Roman" w:cs="Times New Roman"/>
        </w:rPr>
        <w:t xml:space="preserve">was confirmed by the High Court in Podgorica. </w:t>
      </w:r>
    </w:p>
    <w:p w:rsidR="001A5F7B" w:rsidRPr="00A543FB" w:rsidRDefault="00DD6520" w:rsidP="000D5F93">
      <w:pPr>
        <w:spacing w:after="0" w:line="360" w:lineRule="auto"/>
        <w:contextualSpacing/>
        <w:jc w:val="both"/>
        <w:rPr>
          <w:rFonts w:ascii="Times New Roman" w:hAnsi="Times New Roman" w:cs="Times New Roman"/>
        </w:rPr>
      </w:pPr>
      <w:r w:rsidRPr="00A543FB">
        <w:rPr>
          <w:rFonts w:ascii="Times New Roman" w:hAnsi="Times New Roman" w:cs="Times New Roman"/>
        </w:rPr>
        <w:t>Criminal pro</w:t>
      </w:r>
      <w:r w:rsidRPr="00A543FB">
        <w:rPr>
          <w:rFonts w:ascii="Times New Roman" w:hAnsi="Times New Roman" w:cs="Times New Roman"/>
        </w:rPr>
        <w:t>ceedings were initiated against the President of the Commercial Court of Montenegro, B.J., for the criminal offense of abuse of official position (Article 416, CC). The SSP filed an indictment against B.J. and four other persons, which was confirmed by the</w:t>
      </w:r>
      <w:r w:rsidRPr="00A543FB">
        <w:rPr>
          <w:rFonts w:ascii="Times New Roman" w:hAnsi="Times New Roman" w:cs="Times New Roman"/>
        </w:rPr>
        <w:t xml:space="preserve"> High Court in Podgorica during the review procedure. </w:t>
      </w:r>
    </w:p>
    <w:p w:rsidR="000D5F93" w:rsidRPr="00A543FB" w:rsidRDefault="00DD6520" w:rsidP="000D5F93">
      <w:pPr>
        <w:spacing w:after="0" w:line="360" w:lineRule="auto"/>
        <w:contextualSpacing/>
        <w:jc w:val="both"/>
        <w:rPr>
          <w:rFonts w:ascii="Times New Roman" w:hAnsi="Times New Roman" w:cs="Times New Roman"/>
        </w:rPr>
      </w:pPr>
      <w:r w:rsidRPr="00A543FB">
        <w:rPr>
          <w:rFonts w:ascii="Times New Roman" w:hAnsi="Times New Roman" w:cs="Times New Roman"/>
        </w:rPr>
        <w:t>Furthermore, following the investigation, an indictment was filed for high-level corruption against former responsible persons of the company “13. Jul–</w:t>
      </w:r>
      <w:proofErr w:type="spellStart"/>
      <w:r w:rsidRPr="00A543FB">
        <w:rPr>
          <w:rFonts w:ascii="Times New Roman" w:hAnsi="Times New Roman" w:cs="Times New Roman"/>
        </w:rPr>
        <w:t>Plantaže</w:t>
      </w:r>
      <w:proofErr w:type="spellEnd"/>
      <w:r w:rsidRPr="00A543FB">
        <w:rPr>
          <w:rFonts w:ascii="Times New Roman" w:hAnsi="Times New Roman" w:cs="Times New Roman"/>
        </w:rPr>
        <w:t>” AD, (V.V., Đ.R., S.Š., D.P., B.M., and V</w:t>
      </w:r>
      <w:r w:rsidRPr="00A543FB">
        <w:rPr>
          <w:rFonts w:ascii="Times New Roman" w:hAnsi="Times New Roman" w:cs="Times New Roman"/>
        </w:rPr>
        <w:t xml:space="preserve">.M.), on grounds of established suspicion that they committed the criminal offense of abuse of position in business operations (Article 272, CC). </w:t>
      </w:r>
    </w:p>
    <w:p w:rsidR="000D5F93" w:rsidRPr="00A543FB" w:rsidRDefault="00DD6520" w:rsidP="000D5F93">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In the fight against high-level corruption, the </w:t>
      </w:r>
      <w:r w:rsidR="00790EFA" w:rsidRPr="00A543FB">
        <w:rPr>
          <w:rFonts w:ascii="Times New Roman" w:hAnsi="Times New Roman" w:cs="Times New Roman"/>
        </w:rPr>
        <w:t>SSP</w:t>
      </w:r>
      <w:r w:rsidRPr="00A543FB">
        <w:rPr>
          <w:rFonts w:ascii="Times New Roman" w:hAnsi="Times New Roman" w:cs="Times New Roman"/>
        </w:rPr>
        <w:t xml:space="preserve">, following an investigation, filed an indictment against </w:t>
      </w:r>
      <w:r w:rsidRPr="00A543FB">
        <w:rPr>
          <w:rFonts w:ascii="Times New Roman" w:hAnsi="Times New Roman" w:cs="Times New Roman"/>
        </w:rPr>
        <w:t xml:space="preserve">the former Executive Director of the </w:t>
      </w:r>
      <w:r w:rsidR="00790EFA" w:rsidRPr="00A543FB">
        <w:rPr>
          <w:rFonts w:ascii="Times New Roman" w:hAnsi="Times New Roman" w:cs="Times New Roman"/>
        </w:rPr>
        <w:t xml:space="preserve">IRF Montenegro </w:t>
      </w:r>
      <w:r w:rsidRPr="00A543FB">
        <w:rPr>
          <w:rFonts w:ascii="Times New Roman" w:hAnsi="Times New Roman" w:cs="Times New Roman"/>
        </w:rPr>
        <w:t xml:space="preserve">AD Podgorica, Z.V.; </w:t>
      </w:r>
      <w:r w:rsidR="00C30590" w:rsidRPr="00A543FB">
        <w:rPr>
          <w:rFonts w:ascii="Times New Roman" w:hAnsi="Times New Roman" w:cs="Times New Roman"/>
        </w:rPr>
        <w:t>the</w:t>
      </w:r>
      <w:r w:rsidRPr="00A543FB">
        <w:rPr>
          <w:rFonts w:ascii="Times New Roman" w:hAnsi="Times New Roman" w:cs="Times New Roman"/>
        </w:rPr>
        <w:t xml:space="preserve"> Director of the Financial and Legal Affairs Sector, J.B.; the Director of the Loans and Guarantees Sector, Z.V.; and the Head of the Office of the Executive Director, S.R. They are</w:t>
      </w:r>
      <w:r w:rsidRPr="00A543FB">
        <w:rPr>
          <w:rFonts w:ascii="Times New Roman" w:hAnsi="Times New Roman" w:cs="Times New Roman"/>
        </w:rPr>
        <w:t xml:space="preserve"> suspected that Z.V., J.B., and Z.V. committed the criminal offense of </w:t>
      </w:r>
      <w:r w:rsidR="00C30590" w:rsidRPr="00A543FB">
        <w:rPr>
          <w:rFonts w:ascii="Times New Roman" w:hAnsi="Times New Roman" w:cs="Times New Roman"/>
        </w:rPr>
        <w:t xml:space="preserve">attempted </w:t>
      </w:r>
      <w:r w:rsidRPr="00A543FB">
        <w:rPr>
          <w:rFonts w:ascii="Times New Roman" w:hAnsi="Times New Roman" w:cs="Times New Roman"/>
        </w:rPr>
        <w:t xml:space="preserve">abuse of position in business operations </w:t>
      </w:r>
      <w:r w:rsidR="00187F30">
        <w:rPr>
          <w:rFonts w:ascii="Times New Roman" w:hAnsi="Times New Roman" w:cs="Times New Roman"/>
        </w:rPr>
        <w:t>(Article 272(</w:t>
      </w:r>
      <w:r w:rsidRPr="00A543FB">
        <w:rPr>
          <w:rFonts w:ascii="Times New Roman" w:hAnsi="Times New Roman" w:cs="Times New Roman"/>
        </w:rPr>
        <w:t>3</w:t>
      </w:r>
      <w:r w:rsidR="00187F30">
        <w:rPr>
          <w:rFonts w:ascii="Times New Roman" w:hAnsi="Times New Roman" w:cs="Times New Roman"/>
        </w:rPr>
        <w:t>)</w:t>
      </w:r>
      <w:r w:rsidRPr="00A543FB">
        <w:rPr>
          <w:rFonts w:ascii="Times New Roman" w:hAnsi="Times New Roman" w:cs="Times New Roman"/>
        </w:rPr>
        <w:t xml:space="preserve"> in relation to </w:t>
      </w:r>
      <w:r w:rsidR="00187F30">
        <w:rPr>
          <w:rFonts w:ascii="Times New Roman" w:hAnsi="Times New Roman" w:cs="Times New Roman"/>
        </w:rPr>
        <w:t>(</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and Article 20 of the </w:t>
      </w:r>
      <w:r w:rsidR="00790EFA" w:rsidRPr="00A543FB">
        <w:rPr>
          <w:rFonts w:ascii="Times New Roman" w:hAnsi="Times New Roman" w:cs="Times New Roman"/>
        </w:rPr>
        <w:t>CC</w:t>
      </w:r>
      <w:r w:rsidR="00187F30">
        <w:rPr>
          <w:rFonts w:ascii="Times New Roman" w:hAnsi="Times New Roman" w:cs="Times New Roman"/>
        </w:rPr>
        <w:t>)</w:t>
      </w:r>
      <w:r w:rsidRPr="00A543FB">
        <w:rPr>
          <w:rFonts w:ascii="Times New Roman" w:hAnsi="Times New Roman" w:cs="Times New Roman"/>
        </w:rPr>
        <w:t xml:space="preserve">, while S.R. is suspected of the same </w:t>
      </w:r>
      <w:r w:rsidR="00420156" w:rsidRPr="00A543FB">
        <w:rPr>
          <w:rFonts w:ascii="Times New Roman" w:hAnsi="Times New Roman" w:cs="Times New Roman"/>
        </w:rPr>
        <w:t xml:space="preserve">attempted </w:t>
      </w:r>
      <w:r w:rsidRPr="00A543FB">
        <w:rPr>
          <w:rFonts w:ascii="Times New Roman" w:hAnsi="Times New Roman" w:cs="Times New Roman"/>
        </w:rPr>
        <w:t xml:space="preserve">offense committed through aiding </w:t>
      </w:r>
      <w:r w:rsidR="00187F30">
        <w:rPr>
          <w:rFonts w:ascii="Times New Roman" w:hAnsi="Times New Roman" w:cs="Times New Roman"/>
        </w:rPr>
        <w:t>(Article 272(</w:t>
      </w:r>
      <w:r w:rsidRPr="00A543FB">
        <w:rPr>
          <w:rFonts w:ascii="Times New Roman" w:hAnsi="Times New Roman" w:cs="Times New Roman"/>
        </w:rPr>
        <w:t>3</w:t>
      </w:r>
      <w:r w:rsidR="00187F30">
        <w:rPr>
          <w:rFonts w:ascii="Times New Roman" w:hAnsi="Times New Roman" w:cs="Times New Roman"/>
        </w:rPr>
        <w:t>)</w:t>
      </w:r>
      <w:r w:rsidRPr="00A543FB">
        <w:rPr>
          <w:rFonts w:ascii="Times New Roman" w:hAnsi="Times New Roman" w:cs="Times New Roman"/>
        </w:rPr>
        <w:t xml:space="preserve"> in relation to </w:t>
      </w:r>
      <w:r w:rsidR="00187F30">
        <w:rPr>
          <w:rFonts w:ascii="Times New Roman" w:hAnsi="Times New Roman" w:cs="Times New Roman"/>
        </w:rPr>
        <w:t>(</w:t>
      </w:r>
      <w:r w:rsidRPr="00A543FB">
        <w:rPr>
          <w:rFonts w:ascii="Times New Roman" w:hAnsi="Times New Roman" w:cs="Times New Roman"/>
        </w:rPr>
        <w:t>1</w:t>
      </w:r>
      <w:r w:rsidR="00187F30">
        <w:rPr>
          <w:rFonts w:ascii="Times New Roman" w:hAnsi="Times New Roman" w:cs="Times New Roman"/>
        </w:rPr>
        <w:t>)</w:t>
      </w:r>
      <w:r w:rsidRPr="00A543FB">
        <w:rPr>
          <w:rFonts w:ascii="Times New Roman" w:hAnsi="Times New Roman" w:cs="Times New Roman"/>
        </w:rPr>
        <w:t xml:space="preserve"> and Articles 20 and 25 of the </w:t>
      </w:r>
      <w:r w:rsidR="00790EFA" w:rsidRPr="00A543FB">
        <w:rPr>
          <w:rFonts w:ascii="Times New Roman" w:hAnsi="Times New Roman" w:cs="Times New Roman"/>
        </w:rPr>
        <w:t>CC</w:t>
      </w:r>
      <w:r w:rsidR="00187F30">
        <w:rPr>
          <w:rFonts w:ascii="Times New Roman" w:hAnsi="Times New Roman" w:cs="Times New Roman"/>
        </w:rPr>
        <w:t>)</w:t>
      </w:r>
      <w:r w:rsidRPr="00A543FB">
        <w:rPr>
          <w:rFonts w:ascii="Times New Roman" w:hAnsi="Times New Roman" w:cs="Times New Roman"/>
        </w:rPr>
        <w:t xml:space="preserve">. </w:t>
      </w:r>
      <w:r w:rsidR="00420156" w:rsidRPr="00A543FB">
        <w:rPr>
          <w:rFonts w:ascii="Times New Roman" w:hAnsi="Times New Roman" w:cs="Times New Roman"/>
        </w:rPr>
        <w:t xml:space="preserve">The indictment filed by the SSP against senior officials of the IRF Montenegro AD Podgorica has been confirmed by the High Court in Podgorica, and the main trial is ongoing. </w:t>
      </w:r>
    </w:p>
    <w:p w:rsidR="00420156" w:rsidRPr="00A543FB" w:rsidRDefault="00DD6520" w:rsidP="00420156">
      <w:pPr>
        <w:spacing w:after="0" w:line="360" w:lineRule="auto"/>
        <w:contextualSpacing/>
        <w:jc w:val="both"/>
        <w:rPr>
          <w:rFonts w:ascii="Times New Roman" w:hAnsi="Times New Roman" w:cs="Times New Roman"/>
        </w:rPr>
      </w:pPr>
      <w:r w:rsidRPr="00A543FB">
        <w:rPr>
          <w:rFonts w:ascii="Times New Roman" w:hAnsi="Times New Roman" w:cs="Times New Roman"/>
        </w:rPr>
        <w:t>Following the conducted investigation for high-level corruption, an indictment was filed against an officer of the NSA Montenegro, P.L., on suspicion that, among other criminal offenses, he committed the criminal offense of abuse of o</w:t>
      </w:r>
      <w:r w:rsidRPr="00A543FB">
        <w:rPr>
          <w:rFonts w:ascii="Times New Roman" w:hAnsi="Times New Roman" w:cs="Times New Roman"/>
        </w:rPr>
        <w:t xml:space="preserve">fficial position (Article 416, CC). The indictment filed by the </w:t>
      </w:r>
      <w:r w:rsidR="00586EE0" w:rsidRPr="00A543FB">
        <w:rPr>
          <w:rFonts w:ascii="Times New Roman" w:hAnsi="Times New Roman" w:cs="Times New Roman"/>
        </w:rPr>
        <w:t>SSP against this</w:t>
      </w:r>
      <w:r w:rsidRPr="00A543FB">
        <w:rPr>
          <w:rFonts w:ascii="Times New Roman" w:hAnsi="Times New Roman" w:cs="Times New Roman"/>
        </w:rPr>
        <w:t xml:space="preserve"> officer was submitted to the High Court in Podgorica for further proceedings. The main trial is ongoing. </w:t>
      </w:r>
    </w:p>
    <w:p w:rsidR="00586EE0"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Regarding high-level corruption, the SSP initiated criminal proceedin</w:t>
      </w:r>
      <w:r w:rsidRPr="00A543FB">
        <w:rPr>
          <w:rFonts w:ascii="Times New Roman" w:hAnsi="Times New Roman" w:cs="Times New Roman"/>
        </w:rPr>
        <w:t>gs against the Director of the NSA Montenegro, D.P., on suspicion that he committed the continuous criminal offense of abuse of official position (Article 416, paragraph 1 in relation to Article 49 of the CC). The main trial is currently ongoing before the</w:t>
      </w:r>
      <w:r w:rsidRPr="00A543FB">
        <w:rPr>
          <w:rFonts w:ascii="Times New Roman" w:hAnsi="Times New Roman" w:cs="Times New Roman"/>
        </w:rPr>
        <w:t xml:space="preserve"> High Court in Podgorica.</w:t>
      </w:r>
      <w:r w:rsidR="00B94D44" w:rsidRPr="00A543FB">
        <w:rPr>
          <w:rFonts w:ascii="Times New Roman" w:hAnsi="Times New Roman" w:cs="Times New Roman"/>
        </w:rPr>
        <w:t xml:space="preserve"> </w:t>
      </w:r>
    </w:p>
    <w:p w:rsidR="00B94D44"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SSP initiated criminal proceedings for high-level corruption against the former Director of the Revenue and Customs Administration, R.M., and other officials of the Administration. By the order to conduct the </w:t>
      </w:r>
      <w:r w:rsidRPr="00A543FB">
        <w:rPr>
          <w:rFonts w:ascii="Times New Roman" w:hAnsi="Times New Roman" w:cs="Times New Roman"/>
        </w:rPr>
        <w:lastRenderedPageBreak/>
        <w:t>investigation, t</w:t>
      </w:r>
      <w:r w:rsidRPr="00A543FB">
        <w:rPr>
          <w:rFonts w:ascii="Times New Roman" w:hAnsi="Times New Roman" w:cs="Times New Roman"/>
        </w:rPr>
        <w:t>hey are suspected of committing the criminal offenses of abuse of official position</w:t>
      </w:r>
      <w:r w:rsidR="00187F30">
        <w:rPr>
          <w:rFonts w:ascii="Times New Roman" w:hAnsi="Times New Roman" w:cs="Times New Roman"/>
        </w:rPr>
        <w:t xml:space="preserve"> (</w:t>
      </w:r>
      <w:r w:rsidRPr="00A543FB">
        <w:rPr>
          <w:rFonts w:ascii="Times New Roman" w:hAnsi="Times New Roman" w:cs="Times New Roman"/>
        </w:rPr>
        <w:t>Article 416</w:t>
      </w:r>
      <w:r w:rsidR="00187F30">
        <w:rPr>
          <w:rFonts w:ascii="Times New Roman" w:hAnsi="Times New Roman" w:cs="Times New Roman"/>
        </w:rPr>
        <w:t>)</w:t>
      </w:r>
      <w:r w:rsidRPr="00A543FB">
        <w:rPr>
          <w:rFonts w:ascii="Times New Roman" w:hAnsi="Times New Roman" w:cs="Times New Roman"/>
        </w:rPr>
        <w:t xml:space="preserve"> and bribery </w:t>
      </w:r>
      <w:r w:rsidR="00187F30">
        <w:rPr>
          <w:rFonts w:ascii="Times New Roman" w:hAnsi="Times New Roman" w:cs="Times New Roman"/>
        </w:rPr>
        <w:t>(</w:t>
      </w:r>
      <w:r w:rsidRPr="00A543FB">
        <w:rPr>
          <w:rFonts w:ascii="Times New Roman" w:hAnsi="Times New Roman" w:cs="Times New Roman"/>
        </w:rPr>
        <w:t>Article 423 of the CC</w:t>
      </w:r>
      <w:r w:rsidR="00187F30">
        <w:rPr>
          <w:rFonts w:ascii="Times New Roman" w:hAnsi="Times New Roman" w:cs="Times New Roman"/>
        </w:rPr>
        <w:t>)</w:t>
      </w:r>
      <w:r w:rsidRPr="00A543FB">
        <w:rPr>
          <w:rFonts w:ascii="Times New Roman" w:hAnsi="Times New Roman" w:cs="Times New Roman"/>
        </w:rPr>
        <w:t xml:space="preserve">. The investigation by the SSP is ongoing. </w:t>
      </w:r>
    </w:p>
    <w:p w:rsidR="00B94D44"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In a high-level corruption case, the SSP initiated proceedings against the Spec</w:t>
      </w:r>
      <w:r w:rsidRPr="00A543FB">
        <w:rPr>
          <w:rFonts w:ascii="Times New Roman" w:hAnsi="Times New Roman" w:cs="Times New Roman"/>
        </w:rPr>
        <w:t>ial Prosecutor S.Č., on suspicion that he committed multiple offenses of a</w:t>
      </w:r>
      <w:r w:rsidR="00187F30">
        <w:rPr>
          <w:rFonts w:ascii="Times New Roman" w:hAnsi="Times New Roman" w:cs="Times New Roman"/>
        </w:rPr>
        <w:t>buse of official position (</w:t>
      </w:r>
      <w:r w:rsidRPr="00A543FB">
        <w:rPr>
          <w:rFonts w:ascii="Times New Roman" w:hAnsi="Times New Roman" w:cs="Times New Roman"/>
        </w:rPr>
        <w:t xml:space="preserve">Article 416 of the </w:t>
      </w:r>
      <w:r w:rsidR="00BF5A66" w:rsidRPr="00A543FB">
        <w:rPr>
          <w:rFonts w:ascii="Times New Roman" w:hAnsi="Times New Roman" w:cs="Times New Roman"/>
        </w:rPr>
        <w:t>CC</w:t>
      </w:r>
      <w:r w:rsidR="00187F30">
        <w:rPr>
          <w:rFonts w:ascii="Times New Roman" w:hAnsi="Times New Roman" w:cs="Times New Roman"/>
        </w:rPr>
        <w:t>)</w:t>
      </w:r>
      <w:r w:rsidRPr="00A543FB">
        <w:rPr>
          <w:rFonts w:ascii="Times New Roman" w:hAnsi="Times New Roman" w:cs="Times New Roman"/>
        </w:rPr>
        <w:t xml:space="preserve">. The investigation is ongoing. </w:t>
      </w:r>
    </w:p>
    <w:p w:rsidR="00F4043A"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SSP filed an indictment against the former acting Mayor of </w:t>
      </w:r>
      <w:proofErr w:type="spellStart"/>
      <w:r w:rsidRPr="00A543FB">
        <w:rPr>
          <w:rFonts w:ascii="Times New Roman" w:hAnsi="Times New Roman" w:cs="Times New Roman"/>
        </w:rPr>
        <w:t>Nikšić</w:t>
      </w:r>
      <w:proofErr w:type="spellEnd"/>
      <w:r w:rsidRPr="00A543FB">
        <w:rPr>
          <w:rFonts w:ascii="Times New Roman" w:hAnsi="Times New Roman" w:cs="Times New Roman"/>
        </w:rPr>
        <w:t xml:space="preserve">, D.P., on suspicion that he committed the criminal offense of abuse of official position (Article 416, paragraph 2 in relation to paragraph 1, CC). The High Court in Podgorica delivered </w:t>
      </w:r>
      <w:r w:rsidRPr="00A543FB">
        <w:rPr>
          <w:rFonts w:ascii="Times New Roman" w:hAnsi="Times New Roman" w:cs="Times New Roman"/>
        </w:rPr>
        <w:t xml:space="preserve">a first-instance judgment finding D.P. guilty and ordering him to pay the unlawful financial gain he obtained through the commission of the crime to the affected party. </w:t>
      </w:r>
    </w:p>
    <w:p w:rsidR="00F4043A"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In March 2024, the SSP issued Guidelines for the conduct of state prosecutors in cases</w:t>
      </w:r>
      <w:r w:rsidRPr="00A543FB">
        <w:rPr>
          <w:rFonts w:ascii="Times New Roman" w:hAnsi="Times New Roman" w:cs="Times New Roman"/>
        </w:rPr>
        <w:t xml:space="preserve"> of threats and violence against journalists, the killing of journalists, and attacks on media property, providing directions both for heads of state prosecutor’s offices and for prosecutors handling such cases.</w:t>
      </w:r>
      <w:r w:rsidR="00F62445" w:rsidRPr="00A543FB">
        <w:rPr>
          <w:rFonts w:ascii="Times New Roman" w:hAnsi="Times New Roman" w:cs="Times New Roman"/>
        </w:rPr>
        <w:t xml:space="preserve"> </w:t>
      </w:r>
    </w:p>
    <w:p w:rsidR="00F62445"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These guidelines have ensured that all pros</w:t>
      </w:r>
      <w:r w:rsidRPr="00A543FB">
        <w:rPr>
          <w:rFonts w:ascii="Times New Roman" w:hAnsi="Times New Roman" w:cs="Times New Roman"/>
        </w:rPr>
        <w:t>ecutor’s offices handle cases of threats and violence against journalists in</w:t>
      </w:r>
      <w:r w:rsidR="001C5230" w:rsidRPr="00A543FB">
        <w:rPr>
          <w:rFonts w:ascii="Times New Roman" w:hAnsi="Times New Roman" w:cs="Times New Roman"/>
        </w:rPr>
        <w:t xml:space="preserve"> a uniform and efficient manner,</w:t>
      </w:r>
      <w:r w:rsidRPr="00A543FB">
        <w:rPr>
          <w:rFonts w:ascii="Times New Roman" w:hAnsi="Times New Roman" w:cs="Times New Roman"/>
        </w:rPr>
        <w:t xml:space="preserve"> </w:t>
      </w:r>
      <w:r w:rsidR="001C5230" w:rsidRPr="00A543FB">
        <w:rPr>
          <w:rFonts w:ascii="Times New Roman" w:hAnsi="Times New Roman" w:cs="Times New Roman"/>
        </w:rPr>
        <w:t>with state prosecutors submitting quarterly reports to</w:t>
      </w:r>
      <w:r w:rsidRPr="00A543FB">
        <w:rPr>
          <w:rFonts w:ascii="Times New Roman" w:hAnsi="Times New Roman" w:cs="Times New Roman"/>
        </w:rPr>
        <w:t xml:space="preserve"> the Supreme State Prosecutor with updated information on all individual cases. Additionally,</w:t>
      </w:r>
      <w:r w:rsidRPr="00A543FB">
        <w:rPr>
          <w:rFonts w:ascii="Times New Roman" w:hAnsi="Times New Roman" w:cs="Times New Roman"/>
        </w:rPr>
        <w:t xml:space="preserve"> state prosecutors regularly receive </w:t>
      </w:r>
      <w:r w:rsidR="001C5230" w:rsidRPr="00A543FB">
        <w:rPr>
          <w:rFonts w:ascii="Times New Roman" w:hAnsi="Times New Roman" w:cs="Times New Roman"/>
        </w:rPr>
        <w:t xml:space="preserve">work </w:t>
      </w:r>
      <w:r w:rsidRPr="00A543FB">
        <w:rPr>
          <w:rFonts w:ascii="Times New Roman" w:hAnsi="Times New Roman" w:cs="Times New Roman"/>
        </w:rPr>
        <w:t xml:space="preserve">reports from the Commission for Monitoring the Actions of Competent Authorities in </w:t>
      </w:r>
      <w:r w:rsidR="001C5230" w:rsidRPr="00A543FB">
        <w:rPr>
          <w:rFonts w:ascii="Times New Roman" w:hAnsi="Times New Roman" w:cs="Times New Roman"/>
        </w:rPr>
        <w:t xml:space="preserve">Investigations of Threats and Violence </w:t>
      </w:r>
      <w:r w:rsidR="00B82D02" w:rsidRPr="00A543FB">
        <w:rPr>
          <w:rFonts w:ascii="Times New Roman" w:hAnsi="Times New Roman" w:cs="Times New Roman"/>
        </w:rPr>
        <w:t>against</w:t>
      </w:r>
      <w:r w:rsidR="001C5230" w:rsidRPr="00A543FB">
        <w:rPr>
          <w:rFonts w:ascii="Times New Roman" w:hAnsi="Times New Roman" w:cs="Times New Roman"/>
        </w:rPr>
        <w:t xml:space="preserve"> Journalists, Murders of Journalists, and Attacks on Media Property</w:t>
      </w:r>
      <w:r w:rsidRPr="00A543FB">
        <w:rPr>
          <w:rFonts w:ascii="Times New Roman" w:hAnsi="Times New Roman" w:cs="Times New Roman"/>
        </w:rPr>
        <w:t>, and provide thei</w:t>
      </w:r>
      <w:r w:rsidRPr="00A543FB">
        <w:rPr>
          <w:rFonts w:ascii="Times New Roman" w:hAnsi="Times New Roman" w:cs="Times New Roman"/>
        </w:rPr>
        <w:t xml:space="preserve">r observations and comments regarding the Commission’s recommendations. </w:t>
      </w:r>
    </w:p>
    <w:p w:rsidR="001C5230" w:rsidRPr="00A543FB" w:rsidRDefault="00DD6520" w:rsidP="00586EE0">
      <w:pPr>
        <w:spacing w:after="0" w:line="360" w:lineRule="auto"/>
        <w:contextualSpacing/>
        <w:jc w:val="both"/>
        <w:rPr>
          <w:rFonts w:ascii="Times New Roman" w:hAnsi="Times New Roman" w:cs="Times New Roman"/>
        </w:rPr>
      </w:pPr>
      <w:r w:rsidRPr="00A543FB">
        <w:rPr>
          <w:rFonts w:ascii="Times New Roman" w:hAnsi="Times New Roman" w:cs="Times New Roman"/>
        </w:rPr>
        <w:t>Under the Guidelines, a coordinator was appointed to monitor implementation and cooperate with the Commission, and heads of offices were instructed to designate contact persons for da</w:t>
      </w:r>
      <w:r w:rsidRPr="00A543FB">
        <w:rPr>
          <w:rFonts w:ascii="Times New Roman" w:hAnsi="Times New Roman" w:cs="Times New Roman"/>
        </w:rPr>
        <w:t xml:space="preserve">ta collection, case monitoring, and reporting to the heads. Prosecutors were, </w:t>
      </w:r>
      <w:r w:rsidR="00350FE9" w:rsidRPr="00A543FB">
        <w:rPr>
          <w:rFonts w:ascii="Times New Roman" w:hAnsi="Times New Roman" w:cs="Times New Roman"/>
        </w:rPr>
        <w:t>also</w:t>
      </w:r>
      <w:r w:rsidRPr="00A543FB">
        <w:rPr>
          <w:rFonts w:ascii="Times New Roman" w:hAnsi="Times New Roman" w:cs="Times New Roman"/>
        </w:rPr>
        <w:t>, reminded to act promptly, conduct inspections, open cases in all attack-related incidents, initiate misdemeanor proceedings if they determine that no criminal offense occur</w:t>
      </w:r>
      <w:r w:rsidRPr="00A543FB">
        <w:rPr>
          <w:rFonts w:ascii="Times New Roman" w:hAnsi="Times New Roman" w:cs="Times New Roman"/>
        </w:rPr>
        <w:t xml:space="preserve">red, and obtain information through international assistance when offenses are committed online, among other duties. </w:t>
      </w:r>
    </w:p>
    <w:p w:rsidR="00350FE9" w:rsidRPr="00A543FB" w:rsidRDefault="00DD6520" w:rsidP="00350FE9">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In 2025, 35 cases were opened concerning threats and violence against journalists. </w:t>
      </w:r>
    </w:p>
    <w:p w:rsidR="00350FE9" w:rsidRPr="00A543FB" w:rsidRDefault="00DD6520" w:rsidP="00350FE9">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From 1 January to 31 December 2024, 14 cases were opened before the Basic State Prosecutor’s Offices regarding threats and violence against journalists. </w:t>
      </w:r>
    </w:p>
    <w:p w:rsidR="00350FE9" w:rsidRPr="00A543FB" w:rsidRDefault="00DD6520" w:rsidP="00350FE9">
      <w:pPr>
        <w:spacing w:after="0" w:line="360" w:lineRule="auto"/>
        <w:contextualSpacing/>
        <w:jc w:val="both"/>
        <w:rPr>
          <w:rFonts w:ascii="Times New Roman" w:hAnsi="Times New Roman" w:cs="Times New Roman"/>
        </w:rPr>
      </w:pPr>
      <w:r w:rsidRPr="00A543FB">
        <w:rPr>
          <w:rFonts w:ascii="Times New Roman" w:hAnsi="Times New Roman" w:cs="Times New Roman"/>
        </w:rPr>
        <w:t>Six of them were concluded as follows: in two cases, indictments were filed (in one case against one p</w:t>
      </w:r>
      <w:r w:rsidRPr="00A543FB">
        <w:rPr>
          <w:rFonts w:ascii="Times New Roman" w:hAnsi="Times New Roman" w:cs="Times New Roman"/>
        </w:rPr>
        <w:t>erson for the criminal offense of endangering safety (Article 168, paragraph 4 in relation to paragraph 1, CC), and in the other case against four persons for the criminal offense of violent behavior (Article 399, CC); in three cases, requests were filed t</w:t>
      </w:r>
      <w:r w:rsidRPr="00A543FB">
        <w:rPr>
          <w:rFonts w:ascii="Times New Roman" w:hAnsi="Times New Roman" w:cs="Times New Roman"/>
        </w:rPr>
        <w:t xml:space="preserve">o initiate misdemeanor proceedings (offenses under the Law on Public Order and Peace); and in one case, a decision was issued dismissing the criminal complaint (for the criminal </w:t>
      </w:r>
      <w:r w:rsidRPr="00A543FB">
        <w:rPr>
          <w:rFonts w:ascii="Times New Roman" w:hAnsi="Times New Roman" w:cs="Times New Roman"/>
        </w:rPr>
        <w:lastRenderedPageBreak/>
        <w:t>offense of endangering safety - Article 168, paragraph 4 in relation to paragr</w:t>
      </w:r>
      <w:r w:rsidRPr="00A543FB">
        <w:rPr>
          <w:rFonts w:ascii="Times New Roman" w:hAnsi="Times New Roman" w:cs="Times New Roman"/>
        </w:rPr>
        <w:t xml:space="preserve">aph 1, CC). In the remaining eight cases, the investigation is ongoing, with active evidence-gathering measures being undertaken. </w:t>
      </w:r>
    </w:p>
    <w:p w:rsidR="00F355C6" w:rsidRPr="00A543FB" w:rsidRDefault="00DD6520" w:rsidP="00350FE9">
      <w:pPr>
        <w:spacing w:after="0" w:line="360" w:lineRule="auto"/>
        <w:contextualSpacing/>
        <w:jc w:val="both"/>
        <w:rPr>
          <w:rFonts w:ascii="Times New Roman" w:hAnsi="Times New Roman" w:cs="Times New Roman"/>
        </w:rPr>
      </w:pPr>
      <w:r w:rsidRPr="00A543FB">
        <w:rPr>
          <w:rFonts w:ascii="Times New Roman" w:hAnsi="Times New Roman" w:cs="Times New Roman"/>
        </w:rPr>
        <w:t>Regarding cases from earlier periods, by the end of 2024 there were 17 active cases, of which prosecutorial decisions were ma</w:t>
      </w:r>
      <w:r w:rsidRPr="00A543FB">
        <w:rPr>
          <w:rFonts w:ascii="Times New Roman" w:hAnsi="Times New Roman" w:cs="Times New Roman"/>
        </w:rPr>
        <w:t xml:space="preserve">de in five cases during 2024. In three cases, the criminal complaints were dismissed due to the statute of limitations; in one case, an indictment was filed against </w:t>
      </w:r>
      <w:r w:rsidR="00377F44" w:rsidRPr="00A543FB">
        <w:rPr>
          <w:rFonts w:ascii="Times New Roman" w:hAnsi="Times New Roman" w:cs="Times New Roman"/>
        </w:rPr>
        <w:t>one</w:t>
      </w:r>
      <w:r w:rsidRPr="00A543FB">
        <w:rPr>
          <w:rFonts w:ascii="Times New Roman" w:hAnsi="Times New Roman" w:cs="Times New Roman"/>
        </w:rPr>
        <w:t xml:space="preserve"> person for the criminal offenses of endangering safety </w:t>
      </w:r>
      <w:r w:rsidR="00377F44" w:rsidRPr="00A543FB">
        <w:rPr>
          <w:rFonts w:ascii="Times New Roman" w:hAnsi="Times New Roman" w:cs="Times New Roman"/>
        </w:rPr>
        <w:t>(</w:t>
      </w:r>
      <w:r w:rsidRPr="00A543FB">
        <w:rPr>
          <w:rFonts w:ascii="Times New Roman" w:hAnsi="Times New Roman" w:cs="Times New Roman"/>
        </w:rPr>
        <w:t>Article 168, paragraph 4 in rel</w:t>
      </w:r>
      <w:r w:rsidRPr="00A543FB">
        <w:rPr>
          <w:rFonts w:ascii="Times New Roman" w:hAnsi="Times New Roman" w:cs="Times New Roman"/>
        </w:rPr>
        <w:t>ation to paragraph 1</w:t>
      </w:r>
      <w:r w:rsidR="00377F44" w:rsidRPr="00A543FB">
        <w:rPr>
          <w:rFonts w:ascii="Times New Roman" w:hAnsi="Times New Roman" w:cs="Times New Roman"/>
        </w:rPr>
        <w:t>, CC)</w:t>
      </w:r>
      <w:r w:rsidRPr="00A543FB">
        <w:rPr>
          <w:rFonts w:ascii="Times New Roman" w:hAnsi="Times New Roman" w:cs="Times New Roman"/>
        </w:rPr>
        <w:t xml:space="preserve">, and illegal possession of weapons and explosive materials (Article 403, CC); and in one case, the criminal complaint was dismissed for the offense of endangering safety </w:t>
      </w:r>
      <w:r w:rsidR="00377F44" w:rsidRPr="00A543FB">
        <w:rPr>
          <w:rFonts w:ascii="Times New Roman" w:hAnsi="Times New Roman" w:cs="Times New Roman"/>
        </w:rPr>
        <w:t>(</w:t>
      </w:r>
      <w:r w:rsidRPr="00A543FB">
        <w:rPr>
          <w:rFonts w:ascii="Times New Roman" w:hAnsi="Times New Roman" w:cs="Times New Roman"/>
        </w:rPr>
        <w:t>Article 168, paragraph 4 in relation to paragraph 1,</w:t>
      </w:r>
      <w:r w:rsidR="00377F44" w:rsidRPr="00A543FB">
        <w:rPr>
          <w:rFonts w:ascii="Times New Roman" w:hAnsi="Times New Roman" w:cs="Times New Roman"/>
        </w:rPr>
        <w:t xml:space="preserve"> CC),</w:t>
      </w:r>
      <w:r w:rsidRPr="00A543FB">
        <w:rPr>
          <w:rFonts w:ascii="Times New Roman" w:hAnsi="Times New Roman" w:cs="Times New Roman"/>
        </w:rPr>
        <w:t xml:space="preserve"> with a request filed to initiate misdemeanor proceedings. </w:t>
      </w:r>
      <w:r w:rsidR="00377F44" w:rsidRPr="00A543FB">
        <w:rPr>
          <w:rFonts w:ascii="Times New Roman" w:hAnsi="Times New Roman" w:cs="Times New Roman"/>
        </w:rPr>
        <w:t xml:space="preserve">There has been some progress in the case regarding the murder of the chief and responsible editor of ND “Dan.” Over the past year, several persons have been interviewed as witnesses, a team of state prosecutors has been formed to handle the case, certain physical evidence has been collected, and multiple instructions and orders have been issued for further actions to authorized police officers. In other older cases, there has been no significant progress in the investigations. </w:t>
      </w:r>
    </w:p>
    <w:p w:rsidR="00F355C6" w:rsidRPr="00A543FB" w:rsidRDefault="00DD6520" w:rsidP="00350FE9">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Finally, a representative of the Supreme State Prosecutor’s Office, together with representatives of the Supreme Court of Montenegro, the </w:t>
      </w:r>
      <w:r w:rsidR="00E351F5">
        <w:rPr>
          <w:rFonts w:ascii="Times New Roman" w:hAnsi="Times New Roman" w:cs="Times New Roman"/>
        </w:rPr>
        <w:t>PD</w:t>
      </w:r>
      <w:r w:rsidRPr="00A543FB">
        <w:rPr>
          <w:rFonts w:ascii="Times New Roman" w:hAnsi="Times New Roman" w:cs="Times New Roman"/>
        </w:rPr>
        <w:t xml:space="preserve">, and the </w:t>
      </w:r>
      <w:r w:rsidR="00DF63F2" w:rsidRPr="00A543FB">
        <w:rPr>
          <w:rFonts w:ascii="Times New Roman" w:hAnsi="Times New Roman" w:cs="Times New Roman"/>
        </w:rPr>
        <w:t>Commission for Monitoring the Actions of Competent Authorities in Investigations of Threats and Violence Against Journalists, Murders of Journalists, and Attacks on Media Property</w:t>
      </w:r>
      <w:r w:rsidRPr="00A543FB">
        <w:rPr>
          <w:rFonts w:ascii="Times New Roman" w:hAnsi="Times New Roman" w:cs="Times New Roman"/>
        </w:rPr>
        <w:t>, actively participated in updating data on cases of attacks against journalists published on the Council of Europe Platform for the Protection of Journa</w:t>
      </w:r>
      <w:r w:rsidRPr="00A543FB">
        <w:rPr>
          <w:rFonts w:ascii="Times New Roman" w:hAnsi="Times New Roman" w:cs="Times New Roman"/>
        </w:rPr>
        <w:t>lism and Safety of Journalists. Following the Ministry of Foreign Affairs’ submission of responses to the Secretariat of the Council of Europe regarding five attack cases listed on the Platform, on 6 December 2024, four cases (Alerts) concerning Montenegro</w:t>
      </w:r>
      <w:r w:rsidRPr="00A543FB">
        <w:rPr>
          <w:rFonts w:ascii="Times New Roman" w:hAnsi="Times New Roman" w:cs="Times New Roman"/>
        </w:rPr>
        <w:t xml:space="preserve"> were closed, representing a significant step forward for the country in this area. </w:t>
      </w:r>
    </w:p>
    <w:p w:rsidR="00BE4F68" w:rsidRPr="00A543FB" w:rsidRDefault="00BE4F68" w:rsidP="00CE61B5">
      <w:pPr>
        <w:spacing w:after="0" w:line="360" w:lineRule="auto"/>
        <w:contextualSpacing/>
        <w:jc w:val="both"/>
        <w:rPr>
          <w:rFonts w:ascii="Times New Roman" w:hAnsi="Times New Roman" w:cs="Times New Roman"/>
        </w:rPr>
      </w:pPr>
    </w:p>
    <w:p w:rsidR="00B5373C" w:rsidRPr="00A543FB" w:rsidRDefault="00DD6520" w:rsidP="00CE61B5">
      <w:pPr>
        <w:spacing w:after="0" w:line="360" w:lineRule="auto"/>
        <w:contextualSpacing/>
        <w:jc w:val="both"/>
        <w:rPr>
          <w:rFonts w:ascii="Times New Roman" w:hAnsi="Times New Roman" w:cs="Times New Roman"/>
        </w:rPr>
      </w:pPr>
      <w:r w:rsidRPr="00A543FB">
        <w:rPr>
          <w:rFonts w:ascii="Times New Roman" w:eastAsia="Times New Roman" w:hAnsi="Times New Roman" w:cs="Times New Roman"/>
          <w:b/>
        </w:rPr>
        <w:t xml:space="preserve">10. </w:t>
      </w:r>
      <w:r w:rsidR="00AF56E7" w:rsidRPr="00A543FB">
        <w:rPr>
          <w:rFonts w:ascii="Times New Roman" w:eastAsia="Times New Roman" w:hAnsi="Times New Roman" w:cs="Times New Roman"/>
          <w:b/>
        </w:rPr>
        <w:t xml:space="preserve">Non-discrimination </w:t>
      </w:r>
    </w:p>
    <w:p w:rsidR="00AF56E7"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The Committee regrets the lack of comprehensive statistical data available to identify discrimination in the enjoyment of the rights under the Cov</w:t>
      </w:r>
      <w:r w:rsidRPr="00A543FB">
        <w:rPr>
          <w:rFonts w:ascii="Times New Roman" w:eastAsia="Times New Roman" w:hAnsi="Times New Roman" w:cs="Times New Roman"/>
        </w:rPr>
        <w:t>enant on the various grounds listed in Article 2, paragraph 2, of the Covenant. Furthermore, considering the amendments to the Law on Amendments to the Law on Prohibition of Discrimination adopted in March 2014, the Committee expresses concern that nationa</w:t>
      </w:r>
      <w:r w:rsidRPr="00A543FB">
        <w:rPr>
          <w:rFonts w:ascii="Times New Roman" w:eastAsia="Times New Roman" w:hAnsi="Times New Roman" w:cs="Times New Roman"/>
        </w:rPr>
        <w:t xml:space="preserve">l and ethnic minorities, refugees, displaced persons, Roma, </w:t>
      </w:r>
      <w:r w:rsidR="00543816" w:rsidRPr="00A543FB">
        <w:rPr>
          <w:rFonts w:ascii="Times New Roman" w:eastAsia="Times New Roman" w:hAnsi="Times New Roman" w:cs="Times New Roman"/>
        </w:rPr>
        <w:t>PWDs</w:t>
      </w:r>
      <w:r w:rsidRPr="00A543FB">
        <w:rPr>
          <w:rFonts w:ascii="Times New Roman" w:eastAsia="Times New Roman" w:hAnsi="Times New Roman" w:cs="Times New Roman"/>
        </w:rPr>
        <w:t xml:space="preserve">, and other marginalized groups continue to face discrimination in the enjoyment of economic, social, and cultural rights (Article 2 (2)). </w:t>
      </w:r>
    </w:p>
    <w:p w:rsidR="00F272CF" w:rsidRPr="00A543FB" w:rsidRDefault="00DD6520" w:rsidP="00CE61B5">
      <w:pPr>
        <w:spacing w:after="0" w:line="360" w:lineRule="auto"/>
        <w:contextualSpacing/>
        <w:jc w:val="both"/>
        <w:rPr>
          <w:rFonts w:ascii="Times New Roman" w:eastAsia="Times New Roman" w:hAnsi="Times New Roman" w:cs="Times New Roman"/>
          <w:b/>
        </w:rPr>
      </w:pPr>
      <w:r w:rsidRPr="00A543FB">
        <w:rPr>
          <w:rFonts w:ascii="Times New Roman" w:eastAsia="Times New Roman" w:hAnsi="Times New Roman" w:cs="Times New Roman"/>
          <w:b/>
        </w:rPr>
        <w:t>The Committee recommends that State parties strength</w:t>
      </w:r>
      <w:r w:rsidRPr="00A543FB">
        <w:rPr>
          <w:rFonts w:ascii="Times New Roman" w:eastAsia="Times New Roman" w:hAnsi="Times New Roman" w:cs="Times New Roman"/>
          <w:b/>
        </w:rPr>
        <w:t xml:space="preserve">en efforts to promote equality and combat discrimination against national and ethnic minorities, refugees and displaced persons, including </w:t>
      </w:r>
      <w:r w:rsidR="00282591" w:rsidRPr="00A543FB">
        <w:rPr>
          <w:rFonts w:ascii="Times New Roman" w:eastAsia="Times New Roman" w:hAnsi="Times New Roman" w:cs="Times New Roman"/>
          <w:b/>
        </w:rPr>
        <w:t>RE</w:t>
      </w:r>
      <w:r w:rsidRPr="00A543FB">
        <w:rPr>
          <w:rFonts w:ascii="Times New Roman" w:eastAsia="Times New Roman" w:hAnsi="Times New Roman" w:cs="Times New Roman"/>
          <w:b/>
        </w:rPr>
        <w:t xml:space="preserve">, </w:t>
      </w:r>
      <w:r w:rsidR="00282591" w:rsidRPr="00A543FB">
        <w:rPr>
          <w:rFonts w:ascii="Times New Roman" w:eastAsia="Times New Roman" w:hAnsi="Times New Roman" w:cs="Times New Roman"/>
          <w:b/>
        </w:rPr>
        <w:t>PWDs</w:t>
      </w:r>
      <w:r w:rsidRPr="00A543FB">
        <w:rPr>
          <w:rFonts w:ascii="Times New Roman" w:eastAsia="Times New Roman" w:hAnsi="Times New Roman" w:cs="Times New Roman"/>
          <w:b/>
        </w:rPr>
        <w:t xml:space="preserve">, and other marginalized groups, particularly regarding employment, social protection, housing, health care, and education. </w:t>
      </w:r>
    </w:p>
    <w:p w:rsidR="00AF56E7"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lastRenderedPageBreak/>
        <w:t xml:space="preserve">Montenegro’s Government continuously adopts strategic frameworks aimed at improving human and minority rights, </w:t>
      </w:r>
      <w:proofErr w:type="gramStart"/>
      <w:r w:rsidRPr="00A543FB">
        <w:rPr>
          <w:rFonts w:ascii="Times New Roman" w:eastAsia="Times New Roman" w:hAnsi="Times New Roman" w:cs="Times New Roman"/>
        </w:rPr>
        <w:t>taking into account</w:t>
      </w:r>
      <w:proofErr w:type="gramEnd"/>
      <w:r w:rsidRPr="00A543FB">
        <w:rPr>
          <w:rFonts w:ascii="Times New Roman" w:eastAsia="Times New Roman" w:hAnsi="Times New Roman" w:cs="Times New Roman"/>
        </w:rPr>
        <w:t xml:space="preserve"> </w:t>
      </w:r>
      <w:r w:rsidRPr="00A543FB">
        <w:rPr>
          <w:rFonts w:ascii="Times New Roman" w:eastAsia="Times New Roman" w:hAnsi="Times New Roman" w:cs="Times New Roman"/>
        </w:rPr>
        <w:t xml:space="preserve">human rights indicators, including those related to economic, social, and cultural rights. </w:t>
      </w:r>
    </w:p>
    <w:p w:rsidR="009054C1" w:rsidRPr="00A543FB" w:rsidRDefault="00DD6520" w:rsidP="004950D9">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 xml:space="preserve">The new Law on the Protection of Equality and Prohibition of Discrimination was adopted on 31 December 2025. It is a framework anti-discrimination law, providing a </w:t>
      </w:r>
      <w:r w:rsidRPr="00A543FB">
        <w:rPr>
          <w:rFonts w:ascii="Times New Roman" w:eastAsia="Times New Roman" w:hAnsi="Times New Roman" w:cs="Times New Roman"/>
        </w:rPr>
        <w:t>systemic and legal basis for effective, comprehensive, and preventive protection against discrimination in public and private life. Key novelties include an expanded list of grounds of discrimination; the introduction of intersectional, systemic, and multi</w:t>
      </w:r>
      <w:r w:rsidRPr="00A543FB">
        <w:rPr>
          <w:rFonts w:ascii="Times New Roman" w:eastAsia="Times New Roman" w:hAnsi="Times New Roman" w:cs="Times New Roman"/>
        </w:rPr>
        <w:t>ple discrimination concepts; a clearer definition and prohibition of hate speech in line with the EC recommendations against Rac</w:t>
      </w:r>
      <w:r w:rsidR="00EE0E83" w:rsidRPr="00A543FB">
        <w:rPr>
          <w:rFonts w:ascii="Times New Roman" w:eastAsia="Times New Roman" w:hAnsi="Times New Roman" w:cs="Times New Roman"/>
        </w:rPr>
        <w:t>ism and Intolerance; recognizing</w:t>
      </w:r>
      <w:r w:rsidRPr="00A543FB">
        <w:rPr>
          <w:rFonts w:ascii="Times New Roman" w:eastAsia="Times New Roman" w:hAnsi="Times New Roman" w:cs="Times New Roman"/>
        </w:rPr>
        <w:t xml:space="preserve"> failure to provide reasonable accommodation to </w:t>
      </w:r>
      <w:r w:rsidR="00543816" w:rsidRPr="00A543FB">
        <w:rPr>
          <w:rFonts w:ascii="Times New Roman" w:eastAsia="Times New Roman" w:hAnsi="Times New Roman" w:cs="Times New Roman"/>
        </w:rPr>
        <w:t xml:space="preserve">PWDs </w:t>
      </w:r>
      <w:r w:rsidRPr="00A543FB">
        <w:rPr>
          <w:rFonts w:ascii="Times New Roman" w:eastAsia="Times New Roman" w:hAnsi="Times New Roman" w:cs="Times New Roman"/>
        </w:rPr>
        <w:t>as discrimination; improvements to le</w:t>
      </w:r>
      <w:r w:rsidR="00EE0E83" w:rsidRPr="00A543FB">
        <w:rPr>
          <w:rFonts w:ascii="Times New Roman" w:eastAsia="Times New Roman" w:hAnsi="Times New Roman" w:cs="Times New Roman"/>
        </w:rPr>
        <w:t>gal protection mechanisms (</w:t>
      </w:r>
      <w:r w:rsidRPr="00A543FB">
        <w:rPr>
          <w:rFonts w:ascii="Times New Roman" w:eastAsia="Times New Roman" w:hAnsi="Times New Roman" w:cs="Times New Roman"/>
        </w:rPr>
        <w:t>collective lawsuits, the burden of proof, interim measures, prohibition of victimization); and the strengthening of Protector</w:t>
      </w:r>
      <w:r w:rsidR="00EE0E83" w:rsidRPr="00A543FB">
        <w:rPr>
          <w:rFonts w:ascii="Times New Roman" w:eastAsia="Times New Roman" w:hAnsi="Times New Roman" w:cs="Times New Roman"/>
        </w:rPr>
        <w:t>’s role</w:t>
      </w:r>
      <w:r w:rsidRPr="00A543FB">
        <w:rPr>
          <w:rFonts w:ascii="Times New Roman" w:eastAsia="Times New Roman" w:hAnsi="Times New Roman" w:cs="Times New Roman"/>
        </w:rPr>
        <w:t xml:space="preserve">, </w:t>
      </w:r>
      <w:r w:rsidR="00EE0E83" w:rsidRPr="00A543FB">
        <w:rPr>
          <w:rFonts w:ascii="Times New Roman" w:eastAsia="Times New Roman" w:hAnsi="Times New Roman" w:cs="Times New Roman"/>
        </w:rPr>
        <w:t>and</w:t>
      </w:r>
      <w:r w:rsidRPr="00A543FB">
        <w:rPr>
          <w:rFonts w:ascii="Times New Roman" w:eastAsia="Times New Roman" w:hAnsi="Times New Roman" w:cs="Times New Roman"/>
        </w:rPr>
        <w:t xml:space="preserve"> cooperation with civil society. </w:t>
      </w:r>
    </w:p>
    <w:p w:rsidR="00EE0E83" w:rsidRPr="00A543FB" w:rsidRDefault="00DD6520" w:rsidP="00EE0E83">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Amending the Law on Minority Rights and Freedoms was initiated i</w:t>
      </w:r>
      <w:r w:rsidRPr="00A543FB">
        <w:rPr>
          <w:rFonts w:ascii="Times New Roman" w:eastAsia="Times New Roman" w:hAnsi="Times New Roman" w:cs="Times New Roman"/>
        </w:rPr>
        <w:t xml:space="preserve">n September 2025. </w:t>
      </w:r>
    </w:p>
    <w:p w:rsidR="00063E77"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The Minority Policy Strategy 2024–2028 (MPS) and the Interculturalism and Social Cohesion Strategy were adopted in 2024. Through a comprehensive approach in education, employment, culture, political participation, and media representatio</w:t>
      </w:r>
      <w:r w:rsidRPr="00A543FB">
        <w:rPr>
          <w:rFonts w:ascii="Times New Roman" w:eastAsia="Times New Roman" w:hAnsi="Times New Roman" w:cs="Times New Roman"/>
        </w:rPr>
        <w:t>n, the MPS aims to strengthen the integration of minority communities and promote interethnic tolerance. The ISC Strategy, through the socio-cultural dimension of fundamental rights, addresses key issues in society such as ethnic distance, various discrimi</w:t>
      </w:r>
      <w:r w:rsidRPr="00A543FB">
        <w:rPr>
          <w:rFonts w:ascii="Times New Roman" w:eastAsia="Times New Roman" w:hAnsi="Times New Roman" w:cs="Times New Roman"/>
        </w:rPr>
        <w:t xml:space="preserve">nation forms, and the reduction of social and economic inequalities among different society groups and segments. </w:t>
      </w:r>
    </w:p>
    <w:p w:rsidR="00063E77" w:rsidRPr="00A543FB" w:rsidRDefault="00DD6520" w:rsidP="0049767E">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The Government adopted the Action Plan for the Implementation of the UN Recommendations for the CRPD 2026–2030. This document represents a key</w:t>
      </w:r>
      <w:r w:rsidRPr="00A543FB">
        <w:rPr>
          <w:rFonts w:ascii="Times New Roman" w:eastAsia="Times New Roman" w:hAnsi="Times New Roman" w:cs="Times New Roman"/>
        </w:rPr>
        <w:t xml:space="preserve"> step toward ensuring the full rights and equal opportunities of </w:t>
      </w:r>
      <w:r w:rsidR="00543816" w:rsidRPr="00A543FB">
        <w:rPr>
          <w:rFonts w:ascii="Times New Roman" w:eastAsia="Times New Roman" w:hAnsi="Times New Roman" w:cs="Times New Roman"/>
        </w:rPr>
        <w:t xml:space="preserve">PWDs </w:t>
      </w:r>
      <w:r w:rsidRPr="00A543FB">
        <w:rPr>
          <w:rFonts w:ascii="Times New Roman" w:eastAsia="Times New Roman" w:hAnsi="Times New Roman" w:cs="Times New Roman"/>
        </w:rPr>
        <w:t xml:space="preserve">in Montenegro, aligning national policies with the international standards of the UN CRPD. </w:t>
      </w:r>
      <w:r w:rsidR="00681E3F" w:rsidRPr="00A543FB">
        <w:rPr>
          <w:rFonts w:ascii="Times New Roman" w:eastAsia="Times New Roman" w:hAnsi="Times New Roman" w:cs="Times New Roman"/>
        </w:rPr>
        <w:t>This AP</w:t>
      </w:r>
      <w:r w:rsidRPr="00A543FB">
        <w:rPr>
          <w:rFonts w:ascii="Times New Roman" w:eastAsia="Times New Roman" w:hAnsi="Times New Roman" w:cs="Times New Roman"/>
        </w:rPr>
        <w:t xml:space="preserve"> reaffirmed </w:t>
      </w:r>
      <w:r w:rsidR="00681E3F" w:rsidRPr="00A543FB">
        <w:rPr>
          <w:rFonts w:ascii="Times New Roman" w:eastAsia="Times New Roman" w:hAnsi="Times New Roman" w:cs="Times New Roman"/>
        </w:rPr>
        <w:t>Montenegro’</w:t>
      </w:r>
      <w:r w:rsidRPr="00A543FB">
        <w:rPr>
          <w:rFonts w:ascii="Times New Roman" w:eastAsia="Times New Roman" w:hAnsi="Times New Roman" w:cs="Times New Roman"/>
        </w:rPr>
        <w:t xml:space="preserve">s commitment to improving the position of </w:t>
      </w:r>
      <w:r w:rsidR="00543816" w:rsidRPr="00A543FB">
        <w:rPr>
          <w:rFonts w:ascii="Times New Roman" w:eastAsia="Times New Roman" w:hAnsi="Times New Roman" w:cs="Times New Roman"/>
        </w:rPr>
        <w:t xml:space="preserve">PWDs </w:t>
      </w:r>
      <w:r w:rsidRPr="00A543FB">
        <w:rPr>
          <w:rFonts w:ascii="Times New Roman" w:eastAsia="Times New Roman" w:hAnsi="Times New Roman" w:cs="Times New Roman"/>
        </w:rPr>
        <w:t xml:space="preserve">through </w:t>
      </w:r>
      <w:r w:rsidR="00681E3F" w:rsidRPr="00A543FB">
        <w:rPr>
          <w:rFonts w:ascii="Times New Roman" w:eastAsia="Times New Roman" w:hAnsi="Times New Roman" w:cs="Times New Roman"/>
        </w:rPr>
        <w:t>specific</w:t>
      </w:r>
      <w:r w:rsidRPr="00A543FB">
        <w:rPr>
          <w:rFonts w:ascii="Times New Roman" w:eastAsia="Times New Roman" w:hAnsi="Times New Roman" w:cs="Times New Roman"/>
        </w:rPr>
        <w:t xml:space="preserve"> m</w:t>
      </w:r>
      <w:r w:rsidRPr="00A543FB">
        <w:rPr>
          <w:rFonts w:ascii="Times New Roman" w:eastAsia="Times New Roman" w:hAnsi="Times New Roman" w:cs="Times New Roman"/>
        </w:rPr>
        <w:t xml:space="preserve">easures and objectives to be implemented in the </w:t>
      </w:r>
      <w:r w:rsidR="00681E3F" w:rsidRPr="00A543FB">
        <w:rPr>
          <w:rFonts w:ascii="Times New Roman" w:eastAsia="Times New Roman" w:hAnsi="Times New Roman" w:cs="Times New Roman"/>
        </w:rPr>
        <w:t>future</w:t>
      </w:r>
      <w:r w:rsidRPr="00A543FB">
        <w:rPr>
          <w:rFonts w:ascii="Times New Roman" w:eastAsia="Times New Roman" w:hAnsi="Times New Roman" w:cs="Times New Roman"/>
        </w:rPr>
        <w:t xml:space="preserve">. </w:t>
      </w:r>
      <w:r w:rsidR="00681E3F" w:rsidRPr="00A543FB">
        <w:rPr>
          <w:rFonts w:ascii="Times New Roman" w:eastAsia="Times New Roman" w:hAnsi="Times New Roman" w:cs="Times New Roman"/>
        </w:rPr>
        <w:t>The AP</w:t>
      </w:r>
      <w:r w:rsidRPr="00A543FB">
        <w:rPr>
          <w:rFonts w:ascii="Times New Roman" w:eastAsia="Times New Roman" w:hAnsi="Times New Roman" w:cs="Times New Roman"/>
        </w:rPr>
        <w:t xml:space="preserve"> includes measures and activities in education, health care, accessibility, employment, social protection, political participation of </w:t>
      </w:r>
      <w:r w:rsidR="00543816" w:rsidRPr="00A543FB">
        <w:rPr>
          <w:rFonts w:ascii="Times New Roman" w:eastAsia="Times New Roman" w:hAnsi="Times New Roman" w:cs="Times New Roman"/>
        </w:rPr>
        <w:t>PWDs</w:t>
      </w:r>
      <w:r w:rsidRPr="00A543FB">
        <w:rPr>
          <w:rFonts w:ascii="Times New Roman" w:eastAsia="Times New Roman" w:hAnsi="Times New Roman" w:cs="Times New Roman"/>
        </w:rPr>
        <w:t xml:space="preserve">, </w:t>
      </w:r>
      <w:r w:rsidR="00681E3F" w:rsidRPr="00A543FB">
        <w:rPr>
          <w:rFonts w:ascii="Times New Roman" w:eastAsia="Times New Roman" w:hAnsi="Times New Roman" w:cs="Times New Roman"/>
        </w:rPr>
        <w:t>and</w:t>
      </w:r>
      <w:r w:rsidRPr="00A543FB">
        <w:rPr>
          <w:rFonts w:ascii="Times New Roman" w:eastAsia="Times New Roman" w:hAnsi="Times New Roman" w:cs="Times New Roman"/>
        </w:rPr>
        <w:t xml:space="preserve"> specific and measurable actions aimed at promoting equality and protection from discrimination of </w:t>
      </w:r>
      <w:r w:rsidR="00543816" w:rsidRPr="00A543FB">
        <w:rPr>
          <w:rFonts w:ascii="Times New Roman" w:eastAsia="Times New Roman" w:hAnsi="Times New Roman" w:cs="Times New Roman"/>
        </w:rPr>
        <w:t>PWDs</w:t>
      </w:r>
      <w:r w:rsidRPr="00A543FB">
        <w:rPr>
          <w:rFonts w:ascii="Times New Roman" w:eastAsia="Times New Roman" w:hAnsi="Times New Roman" w:cs="Times New Roman"/>
        </w:rPr>
        <w:t xml:space="preserve">. </w:t>
      </w:r>
    </w:p>
    <w:p w:rsidR="00681E3F" w:rsidRPr="00A543FB" w:rsidRDefault="00DD6520" w:rsidP="0049767E">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In April 2024, the Government established the CRPD. The Council’s work focuses on strengthening an intersectoral and multidisciplinary approach to the</w:t>
      </w:r>
      <w:r w:rsidRPr="00A543FB">
        <w:rPr>
          <w:rFonts w:ascii="Times New Roman" w:eastAsia="Times New Roman" w:hAnsi="Times New Roman" w:cs="Times New Roman"/>
        </w:rPr>
        <w:t xml:space="preserve"> promotion, prevention, and protection of the rights of </w:t>
      </w:r>
      <w:r w:rsidR="00543816" w:rsidRPr="00A543FB">
        <w:rPr>
          <w:rFonts w:ascii="Times New Roman" w:eastAsia="Times New Roman" w:hAnsi="Times New Roman" w:cs="Times New Roman"/>
        </w:rPr>
        <w:t>PWDs</w:t>
      </w:r>
      <w:r w:rsidRPr="00A543FB">
        <w:rPr>
          <w:rFonts w:ascii="Times New Roman" w:eastAsia="Times New Roman" w:hAnsi="Times New Roman" w:cs="Times New Roman"/>
        </w:rPr>
        <w:t xml:space="preserve">. </w:t>
      </w:r>
    </w:p>
    <w:p w:rsidR="00A15B88" w:rsidRPr="00A543FB" w:rsidRDefault="00DD6520" w:rsidP="00CE61B5">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To improve the position</w:t>
      </w:r>
      <w:r w:rsidR="00543816" w:rsidRPr="00A543FB">
        <w:rPr>
          <w:rFonts w:ascii="Times New Roman" w:eastAsia="Times New Roman" w:hAnsi="Times New Roman" w:cs="Times New Roman"/>
        </w:rPr>
        <w:t xml:space="preserve"> of the RE</w:t>
      </w:r>
      <w:r w:rsidRPr="00A543FB">
        <w:rPr>
          <w:rFonts w:ascii="Times New Roman" w:eastAsia="Times New Roman" w:hAnsi="Times New Roman" w:cs="Times New Roman"/>
        </w:rPr>
        <w:t xml:space="preserve"> communities, the Government signed the Declaration of WB Partners on Roma Integration within the EU Enlargement Process in 2019. Activities are planned to impl</w:t>
      </w:r>
      <w:r w:rsidRPr="00A543FB">
        <w:rPr>
          <w:rFonts w:ascii="Times New Roman" w:eastAsia="Times New Roman" w:hAnsi="Times New Roman" w:cs="Times New Roman"/>
        </w:rPr>
        <w:t xml:space="preserve">ement measures to improve housing, employment, education, health and social protection, non-discrimination, and ensure the legal status of the </w:t>
      </w:r>
      <w:r w:rsidR="00D5770A" w:rsidRPr="00A543FB">
        <w:rPr>
          <w:rFonts w:ascii="Times New Roman" w:eastAsia="Times New Roman" w:hAnsi="Times New Roman" w:cs="Times New Roman"/>
        </w:rPr>
        <w:t>RE</w:t>
      </w:r>
      <w:r w:rsidRPr="00A543FB">
        <w:rPr>
          <w:rFonts w:ascii="Times New Roman" w:eastAsia="Times New Roman" w:hAnsi="Times New Roman" w:cs="Times New Roman"/>
        </w:rPr>
        <w:t xml:space="preserve"> communities. A Coordination Body has been established to monitor </w:t>
      </w:r>
      <w:r w:rsidRPr="00A543FB">
        <w:rPr>
          <w:rFonts w:ascii="Times New Roman" w:eastAsia="Times New Roman" w:hAnsi="Times New Roman" w:cs="Times New Roman"/>
        </w:rPr>
        <w:lastRenderedPageBreak/>
        <w:t xml:space="preserve">the Declaration’s implementation. It submits </w:t>
      </w:r>
      <w:r w:rsidRPr="00A543FB">
        <w:rPr>
          <w:rFonts w:ascii="Times New Roman" w:eastAsia="Times New Roman" w:hAnsi="Times New Roman" w:cs="Times New Roman"/>
        </w:rPr>
        <w:t xml:space="preserve">semi-annual reports to the Government, which are publicly available. </w:t>
      </w:r>
    </w:p>
    <w:p w:rsidR="00A15B88" w:rsidRPr="00A543FB" w:rsidRDefault="00DD6520" w:rsidP="0021115C">
      <w:pPr>
        <w:spacing w:after="0"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With the support of the Council of Europe, a Feasibility Study for Social Housing for RE Communities was conducted in eight municipalities (</w:t>
      </w:r>
      <w:proofErr w:type="spellStart"/>
      <w:r w:rsidRPr="00A543FB">
        <w:rPr>
          <w:rFonts w:ascii="Times New Roman" w:eastAsia="Times New Roman" w:hAnsi="Times New Roman" w:cs="Times New Roman"/>
        </w:rPr>
        <w:t>Nikšić</w:t>
      </w:r>
      <w:proofErr w:type="spellEnd"/>
      <w:r w:rsidRPr="00A543FB">
        <w:rPr>
          <w:rFonts w:ascii="Times New Roman" w:eastAsia="Times New Roman" w:hAnsi="Times New Roman" w:cs="Times New Roman"/>
        </w:rPr>
        <w:t xml:space="preserve">, </w:t>
      </w:r>
      <w:proofErr w:type="spellStart"/>
      <w:r w:rsidRPr="00A543FB">
        <w:rPr>
          <w:rFonts w:ascii="Times New Roman" w:eastAsia="Times New Roman" w:hAnsi="Times New Roman" w:cs="Times New Roman"/>
        </w:rPr>
        <w:t>Herceg</w:t>
      </w:r>
      <w:proofErr w:type="spellEnd"/>
      <w:r w:rsidRPr="00A543FB">
        <w:rPr>
          <w:rFonts w:ascii="Times New Roman" w:eastAsia="Times New Roman" w:hAnsi="Times New Roman" w:cs="Times New Roman"/>
        </w:rPr>
        <w:t xml:space="preserve"> Novi, Kotor, </w:t>
      </w:r>
      <w:proofErr w:type="spellStart"/>
      <w:r w:rsidRPr="00A543FB">
        <w:rPr>
          <w:rFonts w:ascii="Times New Roman" w:eastAsia="Times New Roman" w:hAnsi="Times New Roman" w:cs="Times New Roman"/>
        </w:rPr>
        <w:t>Budva</w:t>
      </w:r>
      <w:proofErr w:type="spellEnd"/>
      <w:r w:rsidRPr="00A543FB">
        <w:rPr>
          <w:rFonts w:ascii="Times New Roman" w:eastAsia="Times New Roman" w:hAnsi="Times New Roman" w:cs="Times New Roman"/>
        </w:rPr>
        <w:t>, Bar, Ulcinj</w:t>
      </w:r>
      <w:r w:rsidRPr="00A543FB">
        <w:rPr>
          <w:rFonts w:ascii="Times New Roman" w:eastAsia="Times New Roman" w:hAnsi="Times New Roman" w:cs="Times New Roman"/>
        </w:rPr>
        <w:t xml:space="preserve">, </w:t>
      </w:r>
      <w:proofErr w:type="spellStart"/>
      <w:r w:rsidRPr="00A543FB">
        <w:rPr>
          <w:rFonts w:ascii="Times New Roman" w:eastAsia="Times New Roman" w:hAnsi="Times New Roman" w:cs="Times New Roman"/>
        </w:rPr>
        <w:t>Berane</w:t>
      </w:r>
      <w:proofErr w:type="spellEnd"/>
      <w:r w:rsidRPr="00A543FB">
        <w:rPr>
          <w:rFonts w:ascii="Times New Roman" w:eastAsia="Times New Roman" w:hAnsi="Times New Roman" w:cs="Times New Roman"/>
        </w:rPr>
        <w:t xml:space="preserve">, and </w:t>
      </w:r>
      <w:proofErr w:type="spellStart"/>
      <w:r w:rsidRPr="00A543FB">
        <w:rPr>
          <w:rFonts w:ascii="Times New Roman" w:eastAsia="Times New Roman" w:hAnsi="Times New Roman" w:cs="Times New Roman"/>
        </w:rPr>
        <w:t>Bijelo</w:t>
      </w:r>
      <w:proofErr w:type="spellEnd"/>
      <w:r w:rsidRPr="00A543FB">
        <w:rPr>
          <w:rFonts w:ascii="Times New Roman" w:eastAsia="Times New Roman" w:hAnsi="Times New Roman" w:cs="Times New Roman"/>
        </w:rPr>
        <w:t xml:space="preserve"> Polje), mapping the difficult housing conditions of these communities and providing a basis for targeted interventions. Housing facilities in the </w:t>
      </w:r>
      <w:proofErr w:type="spellStart"/>
      <w:r w:rsidRPr="00A543FB">
        <w:rPr>
          <w:rFonts w:ascii="Times New Roman" w:eastAsia="Times New Roman" w:hAnsi="Times New Roman" w:cs="Times New Roman"/>
        </w:rPr>
        <w:t>Trlica</w:t>
      </w:r>
      <w:proofErr w:type="spellEnd"/>
      <w:r w:rsidRPr="00A543FB">
        <w:rPr>
          <w:rFonts w:ascii="Times New Roman" w:eastAsia="Times New Roman" w:hAnsi="Times New Roman" w:cs="Times New Roman"/>
        </w:rPr>
        <w:t xml:space="preserve"> settlement, </w:t>
      </w:r>
      <w:proofErr w:type="spellStart"/>
      <w:r w:rsidRPr="00A543FB">
        <w:rPr>
          <w:rFonts w:ascii="Times New Roman" w:eastAsia="Times New Roman" w:hAnsi="Times New Roman" w:cs="Times New Roman"/>
        </w:rPr>
        <w:t>Pljevlja</w:t>
      </w:r>
      <w:proofErr w:type="spellEnd"/>
      <w:r w:rsidRPr="00A543FB">
        <w:rPr>
          <w:rFonts w:ascii="Times New Roman" w:eastAsia="Times New Roman" w:hAnsi="Times New Roman" w:cs="Times New Roman"/>
        </w:rPr>
        <w:t xml:space="preserve"> Municipality, were reconstructed, including adaptations, wate</w:t>
      </w:r>
      <w:r w:rsidRPr="00A543FB">
        <w:rPr>
          <w:rFonts w:ascii="Times New Roman" w:eastAsia="Times New Roman" w:hAnsi="Times New Roman" w:cs="Times New Roman"/>
        </w:rPr>
        <w:t xml:space="preserve">r supply, and access roads, improving living conditions for families with children. To strengthen poverty reduction measures and support vulnerable groups, a project is underway to renovate existing facilities in </w:t>
      </w:r>
      <w:proofErr w:type="spellStart"/>
      <w:r w:rsidRPr="00A543FB">
        <w:rPr>
          <w:rFonts w:ascii="Times New Roman" w:eastAsia="Times New Roman" w:hAnsi="Times New Roman" w:cs="Times New Roman"/>
        </w:rPr>
        <w:t>Vrela</w:t>
      </w:r>
      <w:proofErr w:type="spellEnd"/>
      <w:r w:rsidRPr="00A543FB">
        <w:rPr>
          <w:rFonts w:ascii="Times New Roman" w:eastAsia="Times New Roman" w:hAnsi="Times New Roman" w:cs="Times New Roman"/>
        </w:rPr>
        <w:t xml:space="preserve"> </w:t>
      </w:r>
      <w:proofErr w:type="spellStart"/>
      <w:r w:rsidRPr="00A543FB">
        <w:rPr>
          <w:rFonts w:ascii="Times New Roman" w:eastAsia="Times New Roman" w:hAnsi="Times New Roman" w:cs="Times New Roman"/>
        </w:rPr>
        <w:t>Ribnička</w:t>
      </w:r>
      <w:proofErr w:type="spellEnd"/>
      <w:r w:rsidRPr="00A543FB">
        <w:rPr>
          <w:rFonts w:ascii="Times New Roman" w:eastAsia="Times New Roman" w:hAnsi="Times New Roman" w:cs="Times New Roman"/>
        </w:rPr>
        <w:t>, Podgorica, for unaccompanie</w:t>
      </w:r>
      <w:r w:rsidRPr="00A543FB">
        <w:rPr>
          <w:rFonts w:ascii="Times New Roman" w:eastAsia="Times New Roman" w:hAnsi="Times New Roman" w:cs="Times New Roman"/>
        </w:rPr>
        <w:t xml:space="preserve">d children from Ukraine, as well as shelters for children found begging and for homeless persons. </w:t>
      </w:r>
    </w:p>
    <w:p w:rsidR="0021115C"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These activities directly support the right to housing, social inclusion, education, and access to health and other services for persons in vulnerable situat</w:t>
      </w:r>
      <w:r w:rsidRPr="00A543FB">
        <w:rPr>
          <w:rFonts w:ascii="Times New Roman" w:hAnsi="Times New Roman" w:cs="Times New Roman"/>
        </w:rPr>
        <w:t xml:space="preserve">ions. </w:t>
      </w:r>
    </w:p>
    <w:p w:rsidR="0021115C"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Experts in social inclusion for RE communities have been engaged in health and social care to facilitate access to their basic rights. Montenegro adopted a Program for the Transformation of Informal Employment of Roma into Formal Employment in Febru</w:t>
      </w:r>
      <w:r w:rsidRPr="00A543FB">
        <w:rPr>
          <w:rFonts w:ascii="Times New Roman" w:hAnsi="Times New Roman" w:cs="Times New Roman"/>
        </w:rPr>
        <w:t>ary 2025, combat</w:t>
      </w:r>
      <w:r w:rsidR="00D5770A" w:rsidRPr="00A543FB">
        <w:rPr>
          <w:rFonts w:ascii="Times New Roman" w:hAnsi="Times New Roman" w:cs="Times New Roman"/>
        </w:rPr>
        <w:t>ing the grey economy and creating</w:t>
      </w:r>
      <w:r w:rsidRPr="00A543FB">
        <w:rPr>
          <w:rFonts w:ascii="Times New Roman" w:hAnsi="Times New Roman" w:cs="Times New Roman"/>
        </w:rPr>
        <w:t xml:space="preserve"> opport</w:t>
      </w:r>
      <w:r w:rsidR="00D5770A" w:rsidRPr="00A543FB">
        <w:rPr>
          <w:rFonts w:ascii="Times New Roman" w:hAnsi="Times New Roman" w:cs="Times New Roman"/>
        </w:rPr>
        <w:t>unities for regular employment.</w:t>
      </w:r>
      <w:r w:rsidRPr="00A543FB">
        <w:rPr>
          <w:rFonts w:ascii="Times New Roman" w:hAnsi="Times New Roman" w:cs="Times New Roman"/>
        </w:rPr>
        <w:t xml:space="preserve"> </w:t>
      </w:r>
      <w:r w:rsidR="00833C13">
        <w:rPr>
          <w:rFonts w:ascii="Times New Roman" w:hAnsi="Times New Roman" w:cs="Times New Roman"/>
        </w:rPr>
        <w:t>EAM</w:t>
      </w:r>
      <w:r w:rsidRPr="00A543FB">
        <w:rPr>
          <w:rFonts w:ascii="Times New Roman" w:hAnsi="Times New Roman" w:cs="Times New Roman"/>
        </w:rPr>
        <w:t xml:space="preserve"> ha</w:t>
      </w:r>
      <w:r w:rsidR="00D5770A" w:rsidRPr="00A543FB">
        <w:rPr>
          <w:rFonts w:ascii="Times New Roman" w:hAnsi="Times New Roman" w:cs="Times New Roman"/>
        </w:rPr>
        <w:t>s</w:t>
      </w:r>
      <w:r w:rsidRPr="00A543FB">
        <w:rPr>
          <w:rFonts w:ascii="Times New Roman" w:hAnsi="Times New Roman" w:cs="Times New Roman"/>
        </w:rPr>
        <w:t xml:space="preserve"> launched </w:t>
      </w:r>
      <w:r w:rsidR="00D5770A" w:rsidRPr="00A543FB">
        <w:rPr>
          <w:rFonts w:ascii="Times New Roman" w:hAnsi="Times New Roman" w:cs="Times New Roman"/>
        </w:rPr>
        <w:t xml:space="preserve">special programs </w:t>
      </w:r>
      <w:r w:rsidRPr="00A543FB">
        <w:rPr>
          <w:rFonts w:ascii="Times New Roman" w:hAnsi="Times New Roman" w:cs="Times New Roman"/>
        </w:rPr>
        <w:t xml:space="preserve">for </w:t>
      </w:r>
      <w:r w:rsidR="00D5770A" w:rsidRPr="00A543FB">
        <w:rPr>
          <w:rFonts w:ascii="Times New Roman" w:hAnsi="Times New Roman" w:cs="Times New Roman"/>
        </w:rPr>
        <w:t>RE</w:t>
      </w:r>
      <w:r w:rsidRPr="00A543FB">
        <w:rPr>
          <w:rFonts w:ascii="Times New Roman" w:hAnsi="Times New Roman" w:cs="Times New Roman"/>
        </w:rPr>
        <w:t xml:space="preserve">, including public works and vocational training programs. </w:t>
      </w:r>
    </w:p>
    <w:p w:rsidR="00D5770A"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Social inclusion assistants have been engaged to inform parents, sup</w:t>
      </w:r>
      <w:r w:rsidRPr="00A543FB">
        <w:rPr>
          <w:rFonts w:ascii="Times New Roman" w:hAnsi="Times New Roman" w:cs="Times New Roman"/>
        </w:rPr>
        <w:t xml:space="preserve">port enrollment, ensure continuity, reduce school dropout, and improve academic and social achievements. The number of education assistants increased from 25 to 31 in the 2024/25 school year (24%). </w:t>
      </w:r>
    </w:p>
    <w:p w:rsidR="00D5770A"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Government plans to adopt a new strategic document to improve the quality of RE </w:t>
      </w:r>
      <w:r w:rsidR="00B82D02" w:rsidRPr="00A543FB">
        <w:rPr>
          <w:rFonts w:ascii="Times New Roman" w:hAnsi="Times New Roman" w:cs="Times New Roman"/>
        </w:rPr>
        <w:t>communities’</w:t>
      </w:r>
      <w:r w:rsidRPr="00A543FB">
        <w:rPr>
          <w:rFonts w:ascii="Times New Roman" w:hAnsi="Times New Roman" w:cs="Times New Roman"/>
        </w:rPr>
        <w:t xml:space="preserve"> life for 2026–2030 by the end of June 2026. </w:t>
      </w:r>
    </w:p>
    <w:p w:rsidR="00D5770A" w:rsidRPr="00A543FB" w:rsidRDefault="00DD6520" w:rsidP="004346E7">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Access to education in Montenegro has been gradually strengthened through reforms aimed at improving inclusiveness, quality and equal opportunities, harmonizing the education system with international standards, ensuring that no child is left behind. Each </w:t>
      </w:r>
      <w:r w:rsidRPr="00A543FB">
        <w:rPr>
          <w:rFonts w:ascii="Times New Roman" w:hAnsi="Times New Roman" w:cs="Times New Roman"/>
        </w:rPr>
        <w:t xml:space="preserve">March, an enrolment promotion campaign for preschool, primary and secondary education is conducted in municipalities with larger RE populations (Podgorica, </w:t>
      </w:r>
      <w:proofErr w:type="spellStart"/>
      <w:r w:rsidRPr="00A543FB">
        <w:rPr>
          <w:rFonts w:ascii="Times New Roman" w:hAnsi="Times New Roman" w:cs="Times New Roman"/>
        </w:rPr>
        <w:t>Nikšić</w:t>
      </w:r>
      <w:proofErr w:type="spellEnd"/>
      <w:r w:rsidRPr="00A543FB">
        <w:rPr>
          <w:rFonts w:ascii="Times New Roman" w:hAnsi="Times New Roman" w:cs="Times New Roman"/>
        </w:rPr>
        <w:t xml:space="preserve">, </w:t>
      </w:r>
      <w:proofErr w:type="spellStart"/>
      <w:r w:rsidRPr="00A543FB">
        <w:rPr>
          <w:rFonts w:ascii="Times New Roman" w:hAnsi="Times New Roman" w:cs="Times New Roman"/>
        </w:rPr>
        <w:t>Berane</w:t>
      </w:r>
      <w:proofErr w:type="spellEnd"/>
      <w:r w:rsidRPr="00A543FB">
        <w:rPr>
          <w:rFonts w:ascii="Times New Roman" w:hAnsi="Times New Roman" w:cs="Times New Roman"/>
        </w:rPr>
        <w:t xml:space="preserve">, </w:t>
      </w:r>
      <w:proofErr w:type="spellStart"/>
      <w:r w:rsidRPr="00A543FB">
        <w:rPr>
          <w:rFonts w:ascii="Times New Roman" w:hAnsi="Times New Roman" w:cs="Times New Roman"/>
        </w:rPr>
        <w:t>Herceg</w:t>
      </w:r>
      <w:proofErr w:type="spellEnd"/>
      <w:r w:rsidRPr="00A543FB">
        <w:rPr>
          <w:rFonts w:ascii="Times New Roman" w:hAnsi="Times New Roman" w:cs="Times New Roman"/>
        </w:rPr>
        <w:t xml:space="preserve"> Novi, Kotor, Ulcinj, </w:t>
      </w:r>
      <w:proofErr w:type="spellStart"/>
      <w:r w:rsidRPr="00A543FB">
        <w:rPr>
          <w:rFonts w:ascii="Times New Roman" w:hAnsi="Times New Roman" w:cs="Times New Roman"/>
        </w:rPr>
        <w:t>Tivat</w:t>
      </w:r>
      <w:proofErr w:type="spellEnd"/>
      <w:r w:rsidRPr="00A543FB">
        <w:rPr>
          <w:rFonts w:ascii="Times New Roman" w:hAnsi="Times New Roman" w:cs="Times New Roman"/>
        </w:rPr>
        <w:t>, Bar), in cooperation with UNICEF, the EU Delegati</w:t>
      </w:r>
      <w:r w:rsidRPr="00A543FB">
        <w:rPr>
          <w:rFonts w:ascii="Times New Roman" w:hAnsi="Times New Roman" w:cs="Times New Roman"/>
        </w:rPr>
        <w:t xml:space="preserve">on to Montenegro, relevant ministries and civil society. The initiative aims to increase participation in the education system and reduce early school dropout among RE communities. </w:t>
      </w:r>
    </w:p>
    <w:p w:rsidR="004346E7" w:rsidRPr="00A543FB" w:rsidRDefault="00DD6520" w:rsidP="004346E7">
      <w:pPr>
        <w:spacing w:after="0" w:line="360" w:lineRule="auto"/>
        <w:contextualSpacing/>
        <w:jc w:val="both"/>
        <w:rPr>
          <w:rFonts w:ascii="Times New Roman" w:hAnsi="Times New Roman" w:cs="Times New Roman"/>
        </w:rPr>
      </w:pPr>
      <w:r w:rsidRPr="00A543FB">
        <w:rPr>
          <w:rFonts w:ascii="Times New Roman" w:hAnsi="Times New Roman" w:cs="Times New Roman"/>
        </w:rPr>
        <w:t>Montenegro has made efforts to reform the legal capacity system, improve t</w:t>
      </w:r>
      <w:r w:rsidRPr="00A543FB">
        <w:rPr>
          <w:rFonts w:ascii="Times New Roman" w:hAnsi="Times New Roman" w:cs="Times New Roman"/>
        </w:rPr>
        <w:t xml:space="preserve">he employment of </w:t>
      </w:r>
      <w:r w:rsidR="00543816" w:rsidRPr="00A543FB">
        <w:rPr>
          <w:rFonts w:ascii="Times New Roman" w:hAnsi="Times New Roman" w:cs="Times New Roman"/>
        </w:rPr>
        <w:t>PWDs</w:t>
      </w:r>
      <w:r w:rsidRPr="00A543FB">
        <w:rPr>
          <w:rFonts w:ascii="Times New Roman" w:hAnsi="Times New Roman" w:cs="Times New Roman"/>
        </w:rPr>
        <w:t>, strengthen access to health services and introduce a unified disability assessment system, aimed at increasing their independence, inclusion and accessibility. The Law on Unified Disability Assessment (October 2025) defines this asse</w:t>
      </w:r>
      <w:r w:rsidRPr="00A543FB">
        <w:rPr>
          <w:rFonts w:ascii="Times New Roman" w:hAnsi="Times New Roman" w:cs="Times New Roman"/>
        </w:rPr>
        <w:t xml:space="preserve">ssment as a procedure for determining the existence of long-term physical, mental, intellectual and/or sensory impairments, in interaction with barriers, </w:t>
      </w:r>
      <w:r w:rsidR="00282591" w:rsidRPr="00A543FB">
        <w:rPr>
          <w:rFonts w:ascii="Times New Roman" w:hAnsi="Times New Roman" w:cs="Times New Roman"/>
        </w:rPr>
        <w:t>and</w:t>
      </w:r>
      <w:r w:rsidRPr="00A543FB">
        <w:rPr>
          <w:rFonts w:ascii="Times New Roman" w:hAnsi="Times New Roman" w:cs="Times New Roman"/>
        </w:rPr>
        <w:t xml:space="preserve"> establishing disability </w:t>
      </w:r>
      <w:r w:rsidRPr="00A543FB">
        <w:rPr>
          <w:rFonts w:ascii="Times New Roman" w:hAnsi="Times New Roman" w:cs="Times New Roman"/>
        </w:rPr>
        <w:lastRenderedPageBreak/>
        <w:t>status and the level of support required for equal participation in societ</w:t>
      </w:r>
      <w:r w:rsidRPr="00A543FB">
        <w:rPr>
          <w:rFonts w:ascii="Times New Roman" w:hAnsi="Times New Roman" w:cs="Times New Roman"/>
        </w:rPr>
        <w:t xml:space="preserve">y. The reform abolishes more than 40 commissions across five sectors and establishes the Institute for </w:t>
      </w:r>
      <w:r w:rsidR="00282591" w:rsidRPr="00A543FB">
        <w:rPr>
          <w:rFonts w:ascii="Times New Roman" w:hAnsi="Times New Roman" w:cs="Times New Roman"/>
        </w:rPr>
        <w:t xml:space="preserve">Unified Disability Expertise </w:t>
      </w:r>
      <w:r w:rsidRPr="00A543FB">
        <w:rPr>
          <w:rFonts w:ascii="Times New Roman" w:hAnsi="Times New Roman" w:cs="Times New Roman"/>
        </w:rPr>
        <w:t xml:space="preserve">as a specialized body responsible for determining disability status and </w:t>
      </w:r>
      <w:r w:rsidR="00282591" w:rsidRPr="00A543FB">
        <w:rPr>
          <w:rFonts w:ascii="Times New Roman" w:hAnsi="Times New Roman" w:cs="Times New Roman"/>
        </w:rPr>
        <w:t xml:space="preserve">required </w:t>
      </w:r>
      <w:r w:rsidRPr="00A543FB">
        <w:rPr>
          <w:rFonts w:ascii="Times New Roman" w:hAnsi="Times New Roman" w:cs="Times New Roman"/>
        </w:rPr>
        <w:t xml:space="preserve">support, replacing the previous fragmented </w:t>
      </w:r>
      <w:r w:rsidRPr="00A543FB">
        <w:rPr>
          <w:rFonts w:ascii="Times New Roman" w:hAnsi="Times New Roman" w:cs="Times New Roman"/>
        </w:rPr>
        <w:t xml:space="preserve">practice with a unified assessment standard. Aligned with Montenegro’s EU accession process, the reform is expected to facilitate access to rights for more than 60,000 </w:t>
      </w:r>
      <w:r w:rsidR="00543816" w:rsidRPr="00A543FB">
        <w:rPr>
          <w:rFonts w:ascii="Times New Roman" w:hAnsi="Times New Roman" w:cs="Times New Roman"/>
        </w:rPr>
        <w:t>PWDs</w:t>
      </w:r>
      <w:r w:rsidRPr="00A543FB">
        <w:rPr>
          <w:rFonts w:ascii="Times New Roman" w:hAnsi="Times New Roman" w:cs="Times New Roman"/>
        </w:rPr>
        <w:t xml:space="preserve">. </w:t>
      </w:r>
    </w:p>
    <w:p w:rsidR="00D767FF"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legal framework on the </w:t>
      </w:r>
      <w:r w:rsidR="005141DD" w:rsidRPr="00A543FB">
        <w:rPr>
          <w:rFonts w:ascii="Times New Roman" w:hAnsi="Times New Roman" w:cs="Times New Roman"/>
        </w:rPr>
        <w:t>PWDs rights</w:t>
      </w:r>
      <w:r w:rsidRPr="00A543FB">
        <w:rPr>
          <w:rFonts w:ascii="Times New Roman" w:hAnsi="Times New Roman" w:cs="Times New Roman"/>
        </w:rPr>
        <w:t xml:space="preserve"> has been harmonized across various sectors</w:t>
      </w:r>
      <w:r w:rsidRPr="00A543FB">
        <w:rPr>
          <w:rFonts w:ascii="Times New Roman" w:hAnsi="Times New Roman" w:cs="Times New Roman"/>
        </w:rPr>
        <w:t xml:space="preserve">. </w:t>
      </w:r>
      <w:r w:rsidR="005141DD" w:rsidRPr="00A543FB">
        <w:rPr>
          <w:rFonts w:ascii="Times New Roman" w:hAnsi="Times New Roman" w:cs="Times New Roman"/>
        </w:rPr>
        <w:t>A</w:t>
      </w:r>
      <w:r w:rsidRPr="00A543FB">
        <w:rPr>
          <w:rFonts w:ascii="Times New Roman" w:hAnsi="Times New Roman" w:cs="Times New Roman"/>
        </w:rPr>
        <w:t>doption of the Law on</w:t>
      </w:r>
      <w:r w:rsidR="005141DD" w:rsidRPr="00A543FB">
        <w:rPr>
          <w:rFonts w:ascii="Times New Roman" w:hAnsi="Times New Roman" w:cs="Times New Roman"/>
        </w:rPr>
        <w:t xml:space="preserve"> Unified Disability Assessment aligned </w:t>
      </w:r>
      <w:r w:rsidRPr="00A543FB">
        <w:rPr>
          <w:rFonts w:ascii="Times New Roman" w:hAnsi="Times New Roman" w:cs="Times New Roman"/>
        </w:rPr>
        <w:t xml:space="preserve">regulations in the fields of social and child protection, veterans’ and disability protection, pension and disability insurance, vocational rehabilitation and employment, </w:t>
      </w:r>
      <w:r w:rsidR="005141DD" w:rsidRPr="00A543FB">
        <w:rPr>
          <w:rFonts w:ascii="Times New Roman" w:hAnsi="Times New Roman" w:cs="Times New Roman"/>
        </w:rPr>
        <w:t>and</w:t>
      </w:r>
      <w:r w:rsidRPr="00A543FB">
        <w:rPr>
          <w:rFonts w:ascii="Times New Roman" w:hAnsi="Times New Roman" w:cs="Times New Roman"/>
        </w:rPr>
        <w:t xml:space="preserve"> education of child</w:t>
      </w:r>
      <w:r w:rsidRPr="00A543FB">
        <w:rPr>
          <w:rFonts w:ascii="Times New Roman" w:hAnsi="Times New Roman" w:cs="Times New Roman"/>
        </w:rPr>
        <w:t xml:space="preserve">ren with special educational needs, to ensure legal certainty and consistent application across all sectors. </w:t>
      </w:r>
    </w:p>
    <w:p w:rsidR="005141DD" w:rsidRPr="00A543FB" w:rsidRDefault="00DD6520" w:rsidP="005141DD">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Protector plays an important role in monitoring the </w:t>
      </w:r>
      <w:r w:rsidR="00CD2B6A" w:rsidRPr="00A543FB">
        <w:rPr>
          <w:rFonts w:ascii="Times New Roman" w:hAnsi="Times New Roman" w:cs="Times New Roman"/>
        </w:rPr>
        <w:t xml:space="preserve">exercise </w:t>
      </w:r>
      <w:r w:rsidRPr="00A543FB">
        <w:rPr>
          <w:rFonts w:ascii="Times New Roman" w:hAnsi="Times New Roman" w:cs="Times New Roman"/>
        </w:rPr>
        <w:t xml:space="preserve">of economic and social rights, </w:t>
      </w:r>
      <w:r w:rsidR="00CD2B6A" w:rsidRPr="00A543FB">
        <w:rPr>
          <w:rFonts w:ascii="Times New Roman" w:hAnsi="Times New Roman" w:cs="Times New Roman"/>
        </w:rPr>
        <w:t>and</w:t>
      </w:r>
      <w:r w:rsidRPr="00A543FB">
        <w:rPr>
          <w:rFonts w:ascii="Times New Roman" w:hAnsi="Times New Roman" w:cs="Times New Roman"/>
        </w:rPr>
        <w:t xml:space="preserve"> in combating discrimination. In discrimination</w:t>
      </w:r>
      <w:r w:rsidRPr="00A543FB">
        <w:rPr>
          <w:rFonts w:ascii="Times New Roman" w:hAnsi="Times New Roman" w:cs="Times New Roman"/>
        </w:rPr>
        <w:t xml:space="preserve"> cases, the Protector acts</w:t>
      </w:r>
      <w:r w:rsidR="0081241B" w:rsidRPr="00A543FB">
        <w:rPr>
          <w:rFonts w:ascii="Times New Roman" w:hAnsi="Times New Roman" w:cs="Times New Roman"/>
        </w:rPr>
        <w:t xml:space="preserve"> upon citizens’ complaints and </w:t>
      </w:r>
      <w:r w:rsidRPr="00A543FB">
        <w:rPr>
          <w:rFonts w:ascii="Times New Roman" w:hAnsi="Times New Roman" w:cs="Times New Roman"/>
        </w:rPr>
        <w:t>proactively through monitoring and analysis of compliance with domestic legislation and international standards. In 2022, the Sector for Protection against Discrimination, Vulnerable Groups and Gende</w:t>
      </w:r>
      <w:r w:rsidRPr="00A543FB">
        <w:rPr>
          <w:rFonts w:ascii="Times New Roman" w:hAnsi="Times New Roman" w:cs="Times New Roman"/>
        </w:rPr>
        <w:t xml:space="preserve">r Equality of the Protector’s institution conducted visits to </w:t>
      </w:r>
      <w:r w:rsidR="0081241B" w:rsidRPr="00A543FB">
        <w:rPr>
          <w:rFonts w:ascii="Times New Roman" w:hAnsi="Times New Roman" w:cs="Times New Roman"/>
        </w:rPr>
        <w:t xml:space="preserve">RE </w:t>
      </w:r>
      <w:r w:rsidRPr="00A543FB">
        <w:rPr>
          <w:rFonts w:ascii="Times New Roman" w:hAnsi="Times New Roman" w:cs="Times New Roman"/>
        </w:rPr>
        <w:t xml:space="preserve">settlements as part of proactive activities aimed at engaging with the community and identifying key challenges affecting their inclusion and equal position in society. </w:t>
      </w:r>
    </w:p>
    <w:p w:rsidR="00BA796A" w:rsidRPr="00A543FB" w:rsidRDefault="00DD6520" w:rsidP="00CE61B5">
      <w:pPr>
        <w:spacing w:after="0" w:line="360" w:lineRule="auto"/>
        <w:contextualSpacing/>
        <w:jc w:val="both"/>
        <w:rPr>
          <w:rFonts w:ascii="Times New Roman" w:hAnsi="Times New Roman" w:cs="Times New Roman"/>
        </w:rPr>
      </w:pPr>
      <w:r w:rsidRPr="00A543FB">
        <w:rPr>
          <w:b/>
        </w:rPr>
        <w:t xml:space="preserve">11. </w:t>
      </w:r>
      <w:r w:rsidR="0081241B" w:rsidRPr="00A543FB">
        <w:rPr>
          <w:rFonts w:ascii="Times New Roman" w:hAnsi="Times New Roman" w:cs="Times New Roman"/>
          <w:b/>
        </w:rPr>
        <w:t xml:space="preserve">Equality between men and women </w:t>
      </w:r>
    </w:p>
    <w:p w:rsidR="0081241B" w:rsidRPr="00A543FB" w:rsidRDefault="00DD6520" w:rsidP="00CE61B5">
      <w:pPr>
        <w:spacing w:after="0" w:line="360" w:lineRule="auto"/>
        <w:contextualSpacing/>
        <w:jc w:val="both"/>
        <w:rPr>
          <w:rFonts w:ascii="Times New Roman" w:hAnsi="Times New Roman" w:cs="Times New Roman"/>
          <w:bCs/>
        </w:rPr>
      </w:pPr>
      <w:r w:rsidRPr="00A543FB">
        <w:rPr>
          <w:rFonts w:ascii="Times New Roman" w:hAnsi="Times New Roman" w:cs="Times New Roman"/>
          <w:bCs/>
        </w:rPr>
        <w:t>Noting the adoption of the Gender Equality Action Plan 2013–2017, the Committee is concerned about the lack of adequate financial and human resources for the effective implementation of gender equality policies, the underrep</w:t>
      </w:r>
      <w:r w:rsidRPr="00A543FB">
        <w:rPr>
          <w:rFonts w:ascii="Times New Roman" w:hAnsi="Times New Roman" w:cs="Times New Roman"/>
          <w:bCs/>
        </w:rPr>
        <w:t xml:space="preserve">resentation of women in senior and decision-making positions, and the persistence of gender role stereotypes (Article 3). </w:t>
      </w:r>
    </w:p>
    <w:p w:rsidR="0081241B" w:rsidRPr="00A543FB" w:rsidRDefault="00DD6520" w:rsidP="0081241B">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Ensure the allocation of adequate financial and human resources for the effective implementation of gender e</w:t>
      </w:r>
      <w:r w:rsidR="00B82D02">
        <w:rPr>
          <w:rFonts w:ascii="Times New Roman" w:hAnsi="Times New Roman" w:cs="Times New Roman"/>
          <w:b/>
          <w:bCs/>
        </w:rPr>
        <w:t>quality policies and strategies.</w:t>
      </w:r>
      <w:r w:rsidRPr="00A543FB">
        <w:rPr>
          <w:rFonts w:ascii="Times New Roman" w:hAnsi="Times New Roman" w:cs="Times New Roman"/>
          <w:b/>
          <w:bCs/>
        </w:rPr>
        <w:t xml:space="preserve"> </w:t>
      </w:r>
    </w:p>
    <w:p w:rsidR="0081241B" w:rsidRPr="00A543FB" w:rsidRDefault="00DD6520" w:rsidP="0081241B">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 xml:space="preserve">Establish effective monitoring and evaluation mechanisms to ensure that gender equality policies and strategies are assessed </w:t>
      </w:r>
      <w:r w:rsidR="00E77BE6" w:rsidRPr="00A543FB">
        <w:rPr>
          <w:rFonts w:ascii="Times New Roman" w:hAnsi="Times New Roman" w:cs="Times New Roman"/>
          <w:b/>
          <w:bCs/>
        </w:rPr>
        <w:t>based on</w:t>
      </w:r>
      <w:r w:rsidRPr="00A543FB">
        <w:rPr>
          <w:rFonts w:ascii="Times New Roman" w:hAnsi="Times New Roman" w:cs="Times New Roman"/>
          <w:b/>
          <w:bCs/>
        </w:rPr>
        <w:t xml:space="preserve"> clear indicators and produce the intended results. </w:t>
      </w:r>
    </w:p>
    <w:p w:rsidR="00E77BE6" w:rsidRPr="00A543FB" w:rsidRDefault="00DD6520" w:rsidP="0081241B">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Analyze the root causes of the underrepresentation of women i</w:t>
      </w:r>
      <w:r w:rsidRPr="00A543FB">
        <w:rPr>
          <w:rFonts w:ascii="Times New Roman" w:hAnsi="Times New Roman" w:cs="Times New Roman"/>
          <w:b/>
          <w:bCs/>
        </w:rPr>
        <w:t>n senior and decision-making positions and take appropriate measures to eliminate societal perceptions of traditional gender roles and stereotypes, including those related to employment, while raising awareness among both men and women about balancing work</w:t>
      </w:r>
      <w:r w:rsidRPr="00A543FB">
        <w:rPr>
          <w:rFonts w:ascii="Times New Roman" w:hAnsi="Times New Roman" w:cs="Times New Roman"/>
          <w:b/>
          <w:bCs/>
        </w:rPr>
        <w:t xml:space="preserve"> and family responsibilities. </w:t>
      </w:r>
    </w:p>
    <w:p w:rsidR="001767DA"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Within the MHMR, which serves as the institutional mechanism for gender equality, the Department for Gender Equality operates with five systematized positions, of which four are currently filled. </w:t>
      </w:r>
    </w:p>
    <w:p w:rsidR="001767DA"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 xml:space="preserve">Montenegro has continued to </w:t>
      </w:r>
      <w:r w:rsidRPr="00A543FB">
        <w:rPr>
          <w:rFonts w:ascii="Times New Roman" w:hAnsi="Times New Roman" w:cs="Times New Roman"/>
        </w:rPr>
        <w:t xml:space="preserve">develop its normative and strategic framework for gender equality and the protection of women against discrimination, focusing on alignment with CEDAW standards, SDG 5, women’s economic empowerment, and improved institutional coordination. </w:t>
      </w:r>
    </w:p>
    <w:p w:rsidR="001767DA"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The National Ge</w:t>
      </w:r>
      <w:r w:rsidRPr="00A543FB">
        <w:rPr>
          <w:rFonts w:ascii="Times New Roman" w:hAnsi="Times New Roman" w:cs="Times New Roman"/>
        </w:rPr>
        <w:t xml:space="preserve">nder Equality Strategy 2025–2029 was adopted, </w:t>
      </w:r>
      <w:r w:rsidR="00017B82" w:rsidRPr="00A543FB">
        <w:rPr>
          <w:rFonts w:ascii="Times New Roman" w:hAnsi="Times New Roman" w:cs="Times New Roman"/>
        </w:rPr>
        <w:t>determining</w:t>
      </w:r>
      <w:r w:rsidRPr="00A543FB">
        <w:rPr>
          <w:rFonts w:ascii="Times New Roman" w:hAnsi="Times New Roman" w:cs="Times New Roman"/>
        </w:rPr>
        <w:t xml:space="preserve"> seven key objectives: improving the legal and institutional framework, women’s economic empowerment, eliminating gender stereotypes in education and science, increasing women’s political participati</w:t>
      </w:r>
      <w:r w:rsidRPr="00A543FB">
        <w:rPr>
          <w:rFonts w:ascii="Times New Roman" w:hAnsi="Times New Roman" w:cs="Times New Roman"/>
        </w:rPr>
        <w:t xml:space="preserve">on, developing gender-sensitive social and health services, preventing and combating gender-based violence, and promoting equality in culture and the media. </w:t>
      </w:r>
    </w:p>
    <w:p w:rsidR="00017B82"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The Strategy foresees new Gender Equality Law</w:t>
      </w:r>
      <w:r w:rsidR="009106C6" w:rsidRPr="00A543FB">
        <w:t xml:space="preserve"> </w:t>
      </w:r>
      <w:r w:rsidR="009106C6" w:rsidRPr="00A543FB">
        <w:rPr>
          <w:rFonts w:ascii="Times New Roman" w:hAnsi="Times New Roman" w:cs="Times New Roman"/>
        </w:rPr>
        <w:t>(GEL)</w:t>
      </w:r>
      <w:r w:rsidRPr="00A543FB">
        <w:rPr>
          <w:rFonts w:ascii="Times New Roman" w:hAnsi="Times New Roman" w:cs="Times New Roman"/>
        </w:rPr>
        <w:t xml:space="preserve"> by the end of 2026, harmonizing at least 40% of new legal provisions on gender equality with CEDAW recommendations by the end of 2027, and increasing this share to at least 80% by 2029. </w:t>
      </w:r>
    </w:p>
    <w:p w:rsidR="00017B82"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A public debate is underway on the Draft Law, containing key reforms</w:t>
      </w:r>
      <w:r w:rsidRPr="00A543FB">
        <w:rPr>
          <w:rFonts w:ascii="Times New Roman" w:hAnsi="Times New Roman" w:cs="Times New Roman"/>
        </w:rPr>
        <w:t>: introducing binding sanctions for non-compliance with legal provisions, strengthening institutional gender equality mechanisms, appointing gender experts within institutions, mandating the integration of gender equality principles into laws and public po</w:t>
      </w:r>
      <w:r w:rsidRPr="00A543FB">
        <w:rPr>
          <w:rFonts w:ascii="Times New Roman" w:hAnsi="Times New Roman" w:cs="Times New Roman"/>
        </w:rPr>
        <w:t xml:space="preserve">licies, implementing systematic gender budgeting, and continuous training for civil servants. The new GEL will be aligned with the Law on Protection of Equality and Prohibition of Discrimination. </w:t>
      </w:r>
    </w:p>
    <w:p w:rsidR="0057009E" w:rsidRPr="00A543FB" w:rsidRDefault="00DD6520" w:rsidP="00FE1FF4">
      <w:pPr>
        <w:spacing w:after="0" w:line="360" w:lineRule="auto"/>
        <w:contextualSpacing/>
        <w:jc w:val="both"/>
        <w:rPr>
          <w:rFonts w:ascii="Times New Roman" w:hAnsi="Times New Roman" w:cs="Times New Roman"/>
        </w:rPr>
      </w:pPr>
      <w:r w:rsidRPr="00A543FB">
        <w:rPr>
          <w:rFonts w:ascii="Times New Roman" w:hAnsi="Times New Roman" w:cs="Times New Roman"/>
        </w:rPr>
        <w:t>Regarding institutional strengthening and gender mainstre</w:t>
      </w:r>
      <w:r w:rsidR="005F1757" w:rsidRPr="00A543FB">
        <w:rPr>
          <w:rFonts w:ascii="Times New Roman" w:hAnsi="Times New Roman" w:cs="Times New Roman"/>
        </w:rPr>
        <w:t>aming, the Strategy foresees</w:t>
      </w:r>
      <w:r w:rsidRPr="00A543FB">
        <w:rPr>
          <w:rFonts w:ascii="Times New Roman" w:hAnsi="Times New Roman" w:cs="Times New Roman"/>
        </w:rPr>
        <w:t xml:space="preserve"> a National Gender Equality Agency with a clear mandate, autonomy, and capacities for coordinating and monitoring the Strategy’s implementation. The National Council for Gender Equality will be further empowered as an inter-minist</w:t>
      </w:r>
      <w:r w:rsidRPr="00A543FB">
        <w:rPr>
          <w:rFonts w:ascii="Times New Roman" w:hAnsi="Times New Roman" w:cs="Times New Roman"/>
        </w:rPr>
        <w:t xml:space="preserve">erial advisory body to enhance coordination between institutions and sectors. The methodology for drafting and monitoring strategic documents has been revised, and a </w:t>
      </w:r>
      <w:r w:rsidR="00FE1FF4" w:rsidRPr="00A543FB">
        <w:rPr>
          <w:rFonts w:ascii="Times New Roman" w:hAnsi="Times New Roman" w:cs="Times New Roman"/>
        </w:rPr>
        <w:t>Decree on the modalities and procedure of drafting, alignment and monitoring of strategic documents</w:t>
      </w:r>
      <w:r w:rsidRPr="00A543FB">
        <w:rPr>
          <w:rFonts w:ascii="Times New Roman" w:hAnsi="Times New Roman" w:cs="Times New Roman"/>
        </w:rPr>
        <w:t xml:space="preserve"> has been adopted, introducing the mandatory gender mainstreaming of public policies. </w:t>
      </w:r>
    </w:p>
    <w:p w:rsidR="00FE1FF4" w:rsidRPr="00A543FB" w:rsidRDefault="00DD6520" w:rsidP="00FE1FF4">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The system for collecting and using gender-disaggregated data is being improved, which is necessary for developing effective and evidence-based policies. </w:t>
      </w:r>
    </w:p>
    <w:p w:rsidR="000668A3" w:rsidRPr="00A543FB" w:rsidRDefault="00DD6520" w:rsidP="000668A3">
      <w:pPr>
        <w:spacing w:after="0" w:line="360" w:lineRule="auto"/>
        <w:contextualSpacing/>
        <w:jc w:val="both"/>
        <w:rPr>
          <w:rFonts w:ascii="Times New Roman" w:hAnsi="Times New Roman" w:cs="Times New Roman"/>
        </w:rPr>
      </w:pPr>
      <w:r w:rsidRPr="00A543FB">
        <w:rPr>
          <w:rFonts w:ascii="Times New Roman" w:hAnsi="Times New Roman" w:cs="Times New Roman"/>
        </w:rPr>
        <w:t>Monte</w:t>
      </w:r>
      <w:r w:rsidRPr="00A543FB">
        <w:rPr>
          <w:rFonts w:ascii="Times New Roman" w:hAnsi="Times New Roman" w:cs="Times New Roman"/>
        </w:rPr>
        <w:t>negro’s Government strives to achieve gender equality, resulting in greater participation of women in the labor market and a more balanced distribution of responsibilities. In this context, amendments to labor legislation aim to improve the work–life balan</w:t>
      </w:r>
      <w:r w:rsidRPr="00A543FB">
        <w:rPr>
          <w:rFonts w:ascii="Times New Roman" w:hAnsi="Times New Roman" w:cs="Times New Roman"/>
        </w:rPr>
        <w:t>ce of parents and caregivers. Amendments to the Labor Law</w:t>
      </w:r>
      <w:r w:rsidR="0015317E" w:rsidRPr="00A543FB">
        <w:rPr>
          <w:rFonts w:ascii="Times New Roman" w:hAnsi="Times New Roman" w:cs="Times New Roman"/>
        </w:rPr>
        <w:t xml:space="preserve"> (LL)</w:t>
      </w:r>
      <w:r w:rsidRPr="00A543FB">
        <w:rPr>
          <w:rFonts w:ascii="Times New Roman" w:hAnsi="Times New Roman" w:cs="Times New Roman"/>
        </w:rPr>
        <w:t xml:space="preserve"> are aligning its provisions with EU Directive 2019/1158 on work–life balance for parents and </w:t>
      </w:r>
      <w:proofErr w:type="spellStart"/>
      <w:r w:rsidRPr="00A543FB">
        <w:rPr>
          <w:rFonts w:ascii="Times New Roman" w:hAnsi="Times New Roman" w:cs="Times New Roman"/>
        </w:rPr>
        <w:t>carers</w:t>
      </w:r>
      <w:proofErr w:type="spellEnd"/>
      <w:r w:rsidRPr="00A543FB">
        <w:rPr>
          <w:rFonts w:ascii="Times New Roman" w:hAnsi="Times New Roman" w:cs="Times New Roman"/>
        </w:rPr>
        <w:t xml:space="preserve"> and EU Directive 2019/1152 on transparent and predictable working conditions. Provisions regu</w:t>
      </w:r>
      <w:r w:rsidRPr="00A543FB">
        <w:rPr>
          <w:rFonts w:ascii="Times New Roman" w:hAnsi="Times New Roman" w:cs="Times New Roman"/>
        </w:rPr>
        <w:t xml:space="preserve">lating remote work are also being defined in line with the European Framework Agreement on Telework. The Law on the Ratification of the ILO Convention on Eliminating Violence and Harassment </w:t>
      </w:r>
      <w:r w:rsidRPr="00A543FB">
        <w:rPr>
          <w:rFonts w:ascii="Times New Roman" w:hAnsi="Times New Roman" w:cs="Times New Roman"/>
        </w:rPr>
        <w:lastRenderedPageBreak/>
        <w:t>(No. 190) has been adopted</w:t>
      </w:r>
      <w:r>
        <w:rPr>
          <w:rStyle w:val="FootnoteReference"/>
          <w:rFonts w:cs="Times New Roman"/>
          <w:sz w:val="22"/>
        </w:rPr>
        <w:footnoteReference w:id="2"/>
      </w:r>
      <w:r w:rsidRPr="00A543FB">
        <w:rPr>
          <w:rFonts w:ascii="Times New Roman" w:hAnsi="Times New Roman" w:cs="Times New Roman"/>
        </w:rPr>
        <w:t xml:space="preserve">. For Montenegro, this Convention will </w:t>
      </w:r>
      <w:r w:rsidRPr="00A543FB">
        <w:rPr>
          <w:rFonts w:ascii="Times New Roman" w:hAnsi="Times New Roman" w:cs="Times New Roman"/>
        </w:rPr>
        <w:t>enter into force on 27 February 2026</w:t>
      </w:r>
      <w:r w:rsidR="00B82D02" w:rsidRPr="00A543FB">
        <w:rPr>
          <w:rFonts w:ascii="Times New Roman" w:hAnsi="Times New Roman" w:cs="Times New Roman"/>
        </w:rPr>
        <w:t>, and</w:t>
      </w:r>
      <w:r w:rsidRPr="00A543FB">
        <w:rPr>
          <w:rFonts w:ascii="Times New Roman" w:hAnsi="Times New Roman" w:cs="Times New Roman"/>
        </w:rPr>
        <w:t xml:space="preserve"> amendments to the Law on the Prohibition of Workplace Harassment are planned for next year. These amendments aim to align the law with the standards defined in t</w:t>
      </w:r>
      <w:r w:rsidR="00B82D02">
        <w:rPr>
          <w:rFonts w:ascii="Times New Roman" w:hAnsi="Times New Roman" w:cs="Times New Roman"/>
        </w:rPr>
        <w:t>he Convention to strengthen employee</w:t>
      </w:r>
      <w:r w:rsidRPr="00A543FB">
        <w:rPr>
          <w:rFonts w:ascii="Times New Roman" w:hAnsi="Times New Roman" w:cs="Times New Roman"/>
        </w:rPr>
        <w:t xml:space="preserve"> protection. The </w:t>
      </w:r>
      <w:r w:rsidRPr="00A543FB">
        <w:rPr>
          <w:rFonts w:ascii="Times New Roman" w:hAnsi="Times New Roman" w:cs="Times New Roman"/>
        </w:rPr>
        <w:t xml:space="preserve">NSGE 2025–2029, through its AP, foresees the organization and implementation of training on the prohibition of workplace harassment and violence for officials and labor inspectors. </w:t>
      </w:r>
    </w:p>
    <w:p w:rsidR="000668A3" w:rsidRPr="00A543FB" w:rsidRDefault="00DD6520" w:rsidP="000668A3">
      <w:pPr>
        <w:spacing w:after="0" w:line="360" w:lineRule="auto"/>
        <w:contextualSpacing/>
        <w:jc w:val="both"/>
        <w:rPr>
          <w:rFonts w:ascii="Times New Roman" w:hAnsi="Times New Roman" w:cs="Times New Roman"/>
        </w:rPr>
      </w:pPr>
      <w:r w:rsidRPr="00A543FB">
        <w:rPr>
          <w:rFonts w:ascii="Times New Roman" w:hAnsi="Times New Roman" w:cs="Times New Roman"/>
        </w:rPr>
        <w:t>To encourage a more equal sharing of childcare responsibilities, amendment</w:t>
      </w:r>
      <w:r w:rsidRPr="00A543FB">
        <w:rPr>
          <w:rFonts w:ascii="Times New Roman" w:hAnsi="Times New Roman" w:cs="Times New Roman"/>
        </w:rPr>
        <w:t xml:space="preserve">s to the Labor Law introduce 10 working days of leave for fathers following the birth of a child. Given that most fathers do not use parental leave—only 331 fathers used this right in 2023—further amendments to the </w:t>
      </w:r>
      <w:r w:rsidR="0015317E" w:rsidRPr="00A543FB">
        <w:rPr>
          <w:rFonts w:ascii="Times New Roman" w:hAnsi="Times New Roman" w:cs="Times New Roman"/>
        </w:rPr>
        <w:t xml:space="preserve">LL </w:t>
      </w:r>
      <w:r w:rsidRPr="00A543FB">
        <w:rPr>
          <w:rFonts w:ascii="Times New Roman" w:hAnsi="Times New Roman" w:cs="Times New Roman"/>
        </w:rPr>
        <w:t>are being prepared to introduce a mini</w:t>
      </w:r>
      <w:r w:rsidRPr="00A543FB">
        <w:rPr>
          <w:rFonts w:ascii="Times New Roman" w:hAnsi="Times New Roman" w:cs="Times New Roman"/>
        </w:rPr>
        <w:t>mum period of two months of parental leave that cannot be transferred to another parent. This measure aims to encourage fathers to take at least two months of parental leave, as it cannot be transferred to the mother. Simultaneously, this measure facilitat</w:t>
      </w:r>
      <w:r w:rsidRPr="00A543FB">
        <w:rPr>
          <w:rFonts w:ascii="Times New Roman" w:hAnsi="Times New Roman" w:cs="Times New Roman"/>
        </w:rPr>
        <w:t xml:space="preserve">es mothers’ reintegration into the labor market after maternity and parental leave. The Draft Law on Amendments to the </w:t>
      </w:r>
      <w:r w:rsidR="0015317E" w:rsidRPr="00A543FB">
        <w:rPr>
          <w:rFonts w:ascii="Times New Roman" w:hAnsi="Times New Roman" w:cs="Times New Roman"/>
        </w:rPr>
        <w:t xml:space="preserve">LL </w:t>
      </w:r>
      <w:r w:rsidRPr="00A543FB">
        <w:rPr>
          <w:rFonts w:ascii="Times New Roman" w:hAnsi="Times New Roman" w:cs="Times New Roman"/>
        </w:rPr>
        <w:t xml:space="preserve">has been submitted to the EC for its opinion. </w:t>
      </w:r>
    </w:p>
    <w:p w:rsidR="00235DF4" w:rsidRPr="00A543FB" w:rsidRDefault="00235DF4" w:rsidP="00CE61B5">
      <w:pPr>
        <w:spacing w:after="0" w:line="360" w:lineRule="auto"/>
        <w:contextualSpacing/>
        <w:jc w:val="both"/>
        <w:rPr>
          <w:rFonts w:ascii="Times New Roman" w:hAnsi="Times New Roman" w:cs="Times New Roman"/>
        </w:rPr>
      </w:pPr>
    </w:p>
    <w:p w:rsidR="00537409" w:rsidRPr="00A543FB" w:rsidRDefault="00DD6520" w:rsidP="00CE61B5">
      <w:pPr>
        <w:spacing w:after="0" w:line="360" w:lineRule="auto"/>
        <w:contextualSpacing/>
        <w:jc w:val="both"/>
        <w:rPr>
          <w:rFonts w:ascii="Times New Roman" w:hAnsi="Times New Roman" w:cs="Times New Roman"/>
          <w:b/>
        </w:rPr>
      </w:pPr>
      <w:r w:rsidRPr="00A543FB">
        <w:rPr>
          <w:rFonts w:ascii="Times New Roman" w:hAnsi="Times New Roman" w:cs="Times New Roman"/>
          <w:b/>
        </w:rPr>
        <w:t xml:space="preserve">12. </w:t>
      </w:r>
      <w:r w:rsidR="000668A3" w:rsidRPr="00A543FB">
        <w:rPr>
          <w:rFonts w:ascii="Times New Roman" w:hAnsi="Times New Roman" w:cs="Times New Roman"/>
          <w:b/>
        </w:rPr>
        <w:t xml:space="preserve">Unemployment </w:t>
      </w:r>
    </w:p>
    <w:p w:rsidR="000668A3" w:rsidRPr="00A543FB" w:rsidRDefault="00DD6520" w:rsidP="00CE61B5">
      <w:pPr>
        <w:spacing w:after="0" w:line="360" w:lineRule="auto"/>
        <w:contextualSpacing/>
        <w:jc w:val="both"/>
        <w:rPr>
          <w:rFonts w:ascii="Times New Roman" w:hAnsi="Times New Roman" w:cs="Times New Roman"/>
          <w:bCs/>
        </w:rPr>
      </w:pPr>
      <w:r w:rsidRPr="00A543FB">
        <w:rPr>
          <w:rFonts w:ascii="Times New Roman" w:hAnsi="Times New Roman" w:cs="Times New Roman"/>
          <w:bCs/>
        </w:rPr>
        <w:t>While noting the measures taken by the States Parties to combat unemployment, such as professional employment programs for graduates, the Committee remains concerned about the high unemployment rate, particularly among young people, those in the northern r</w:t>
      </w:r>
      <w:r w:rsidRPr="00A543FB">
        <w:rPr>
          <w:rFonts w:ascii="Times New Roman" w:hAnsi="Times New Roman" w:cs="Times New Roman"/>
          <w:bCs/>
        </w:rPr>
        <w:t xml:space="preserve">egion, and the long-term unemployed. </w:t>
      </w:r>
    </w:p>
    <w:p w:rsidR="000668A3" w:rsidRPr="00A543FB" w:rsidRDefault="00DD6520" w:rsidP="000668A3">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The Committee recommends that States Parties intensify efforts to reduce unemployment through effective active labor market measures, including retraining, local employment initiatives, loans to promote entrepreneurshi</w:t>
      </w:r>
      <w:r w:rsidRPr="00A543FB">
        <w:rPr>
          <w:rFonts w:ascii="Times New Roman" w:hAnsi="Times New Roman" w:cs="Times New Roman"/>
          <w:b/>
          <w:bCs/>
        </w:rPr>
        <w:t>p, and similar initiatives. It also recommends that States Parties take measures, such as tax incentives for employers, to promote the employment of persons from marginalized groups, particularly in rural areas. Furthermore, it calls on States Parties to s</w:t>
      </w:r>
      <w:r w:rsidRPr="00A543FB">
        <w:rPr>
          <w:rFonts w:ascii="Times New Roman" w:hAnsi="Times New Roman" w:cs="Times New Roman"/>
          <w:b/>
          <w:bCs/>
        </w:rPr>
        <w:t xml:space="preserve">et annual targets for the employment of PWDs and to collect reliable data on the extent of their unemployment. </w:t>
      </w:r>
    </w:p>
    <w:p w:rsidR="000668A3" w:rsidRPr="00A543FB" w:rsidRDefault="00DD6520" w:rsidP="000668A3">
      <w:pPr>
        <w:spacing w:after="0" w:line="360" w:lineRule="auto"/>
        <w:contextualSpacing/>
        <w:jc w:val="both"/>
        <w:rPr>
          <w:rFonts w:ascii="Times New Roman" w:hAnsi="Times New Roman" w:cs="Times New Roman"/>
          <w:bCs/>
        </w:rPr>
      </w:pPr>
      <w:r w:rsidRPr="00A543FB">
        <w:rPr>
          <w:rFonts w:ascii="Times New Roman" w:hAnsi="Times New Roman" w:cs="Times New Roman"/>
          <w:bCs/>
        </w:rPr>
        <w:t>The National Employment Strategy 2021–2025 defines the strategic framework for employment, which aims to improve the position of unemployed pers</w:t>
      </w:r>
      <w:r w:rsidRPr="00A543FB">
        <w:rPr>
          <w:rFonts w:ascii="Times New Roman" w:hAnsi="Times New Roman" w:cs="Times New Roman"/>
          <w:bCs/>
        </w:rPr>
        <w:t xml:space="preserve">ons in the labor market through more efficient labor market services and active </w:t>
      </w:r>
      <w:r w:rsidR="00B82D02" w:rsidRPr="00A543FB">
        <w:rPr>
          <w:rFonts w:ascii="Times New Roman" w:hAnsi="Times New Roman" w:cs="Times New Roman"/>
          <w:bCs/>
        </w:rPr>
        <w:t xml:space="preserve">policy measures </w:t>
      </w:r>
      <w:r w:rsidR="00B82D02">
        <w:rPr>
          <w:rFonts w:ascii="Times New Roman" w:hAnsi="Times New Roman" w:cs="Times New Roman"/>
          <w:bCs/>
        </w:rPr>
        <w:t xml:space="preserve">for </w:t>
      </w:r>
      <w:r w:rsidRPr="00A543FB">
        <w:rPr>
          <w:rFonts w:ascii="Times New Roman" w:hAnsi="Times New Roman" w:cs="Times New Roman"/>
          <w:bCs/>
        </w:rPr>
        <w:t>labor market, and strengthening social inclusion and reducing poverty. Active employment policy represents a set of measures aimed at improving access to em</w:t>
      </w:r>
      <w:r w:rsidRPr="00A543FB">
        <w:rPr>
          <w:rFonts w:ascii="Times New Roman" w:hAnsi="Times New Roman" w:cs="Times New Roman"/>
          <w:bCs/>
        </w:rPr>
        <w:t>ployment, particularly for vulnerable groups. This objective is implemented through annual Employment Action Plans. The Law defines employment policy measures implemented through active labor market programs, including adult education and training, employm</w:t>
      </w:r>
      <w:r w:rsidRPr="00A543FB">
        <w:rPr>
          <w:rFonts w:ascii="Times New Roman" w:hAnsi="Times New Roman" w:cs="Times New Roman"/>
          <w:bCs/>
        </w:rPr>
        <w:t xml:space="preserve">ent incentives, direct job creation, and incentives for entrepreneurship. </w:t>
      </w:r>
    </w:p>
    <w:p w:rsidR="000668A3" w:rsidRPr="00A543FB" w:rsidRDefault="00DD6520" w:rsidP="000668A3">
      <w:pPr>
        <w:spacing w:after="0" w:line="360" w:lineRule="auto"/>
        <w:contextualSpacing/>
        <w:jc w:val="both"/>
        <w:rPr>
          <w:rFonts w:ascii="Times New Roman" w:hAnsi="Times New Roman" w:cs="Times New Roman"/>
          <w:bCs/>
        </w:rPr>
      </w:pPr>
      <w:r w:rsidRPr="00A543FB">
        <w:rPr>
          <w:rFonts w:ascii="Times New Roman" w:hAnsi="Times New Roman" w:cs="Times New Roman"/>
          <w:bCs/>
        </w:rPr>
        <w:lastRenderedPageBreak/>
        <w:t>In July 2024, Montenegro’s Government adopted the first Implementation Plan for the “Youth Guarantee” program 2024–2026, which began implementation in January 2025 in three pilot mu</w:t>
      </w:r>
      <w:r w:rsidRPr="00A543FB">
        <w:rPr>
          <w:rFonts w:ascii="Times New Roman" w:hAnsi="Times New Roman" w:cs="Times New Roman"/>
          <w:bCs/>
        </w:rPr>
        <w:t xml:space="preserve">nicipalities: </w:t>
      </w:r>
      <w:proofErr w:type="spellStart"/>
      <w:r w:rsidRPr="00A543FB">
        <w:rPr>
          <w:rFonts w:ascii="Times New Roman" w:hAnsi="Times New Roman" w:cs="Times New Roman"/>
          <w:bCs/>
        </w:rPr>
        <w:t>Bijelo</w:t>
      </w:r>
      <w:proofErr w:type="spellEnd"/>
      <w:r w:rsidRPr="00A543FB">
        <w:rPr>
          <w:rFonts w:ascii="Times New Roman" w:hAnsi="Times New Roman" w:cs="Times New Roman"/>
          <w:bCs/>
        </w:rPr>
        <w:t xml:space="preserve"> Polje, </w:t>
      </w:r>
      <w:proofErr w:type="spellStart"/>
      <w:r w:rsidRPr="00A543FB">
        <w:rPr>
          <w:rFonts w:ascii="Times New Roman" w:hAnsi="Times New Roman" w:cs="Times New Roman"/>
          <w:bCs/>
        </w:rPr>
        <w:t>Nikšić</w:t>
      </w:r>
      <w:proofErr w:type="spellEnd"/>
      <w:r w:rsidRPr="00A543FB">
        <w:rPr>
          <w:rFonts w:ascii="Times New Roman" w:hAnsi="Times New Roman" w:cs="Times New Roman"/>
          <w:bCs/>
        </w:rPr>
        <w:t xml:space="preserve">, and Ulcinj. Implementing these activities has contributed to a declining trend in unemployment over the past five years. </w:t>
      </w:r>
    </w:p>
    <w:p w:rsidR="000668A3" w:rsidRPr="00A543FB" w:rsidRDefault="00DD6520" w:rsidP="000668A3">
      <w:pPr>
        <w:spacing w:after="0" w:line="360" w:lineRule="auto"/>
        <w:contextualSpacing/>
        <w:jc w:val="both"/>
        <w:rPr>
          <w:rFonts w:ascii="Times New Roman" w:hAnsi="Times New Roman" w:cs="Times New Roman"/>
          <w:bCs/>
        </w:rPr>
      </w:pPr>
      <w:r w:rsidRPr="00A543FB">
        <w:rPr>
          <w:rFonts w:ascii="Times New Roman" w:hAnsi="Times New Roman" w:cs="Times New Roman"/>
          <w:bCs/>
        </w:rPr>
        <w:t>At the end of 2024, the EAM registered 33,037 unemployed persons (19,694 women, 59.61%); at the en</w:t>
      </w:r>
      <w:r w:rsidRPr="00A543FB">
        <w:rPr>
          <w:rFonts w:ascii="Times New Roman" w:hAnsi="Times New Roman" w:cs="Times New Roman"/>
          <w:bCs/>
        </w:rPr>
        <w:t xml:space="preserve">d of 2021, 57,386 unemployed persons (34,522 women, 60.16%); at the end of 2022, 46,596 (26,860 women, 57.64%); and at the end of 2023, 39,942 (23,263 women, 58.24%). </w:t>
      </w:r>
    </w:p>
    <w:p w:rsidR="000668A3" w:rsidRPr="00A543FB" w:rsidRDefault="00DD6520" w:rsidP="000668A3">
      <w:pPr>
        <w:spacing w:after="0" w:line="360" w:lineRule="auto"/>
        <w:contextualSpacing/>
        <w:jc w:val="both"/>
        <w:rPr>
          <w:rFonts w:ascii="Times New Roman" w:hAnsi="Times New Roman" w:cs="Times New Roman"/>
          <w:bCs/>
        </w:rPr>
      </w:pPr>
      <w:r w:rsidRPr="00A543FB">
        <w:rPr>
          <w:rFonts w:ascii="Times New Roman" w:hAnsi="Times New Roman" w:cs="Times New Roman"/>
          <w:bCs/>
        </w:rPr>
        <w:t>The average registered unemployment rate in 2024 was 11.90%. High unemployment rates wer</w:t>
      </w:r>
      <w:r w:rsidRPr="00A543FB">
        <w:rPr>
          <w:rFonts w:ascii="Times New Roman" w:hAnsi="Times New Roman" w:cs="Times New Roman"/>
          <w:bCs/>
        </w:rPr>
        <w:t>e observed in Northern municipalities (36.92%), while municipalities in the Central (7.62%) and Coastal regions (4.02%) were below the national average. A declining trend in the registered unemployment rate has been recorded over the past few years. Compar</w:t>
      </w:r>
      <w:r w:rsidRPr="00A543FB">
        <w:rPr>
          <w:rFonts w:ascii="Times New Roman" w:hAnsi="Times New Roman" w:cs="Times New Roman"/>
          <w:bCs/>
        </w:rPr>
        <w:t>ed to the average unemployment rate in 2022 (17.79%), it decreased by 5.89 percent, and compared to 2023 (14.35%), it decreased by 2.45 percent. On average, approximately 3.8% of all unemployed persons are included annually in active labor market measures.</w:t>
      </w:r>
      <w:r w:rsidRPr="00A543FB">
        <w:rPr>
          <w:rFonts w:ascii="Times New Roman" w:hAnsi="Times New Roman" w:cs="Times New Roman"/>
          <w:bCs/>
        </w:rPr>
        <w:t xml:space="preserve"> </w:t>
      </w:r>
    </w:p>
    <w:p w:rsidR="004B1688" w:rsidRPr="00A543FB" w:rsidRDefault="004B1688" w:rsidP="00CE61B5">
      <w:pPr>
        <w:spacing w:after="0" w:line="360" w:lineRule="auto"/>
        <w:contextualSpacing/>
        <w:jc w:val="both"/>
        <w:rPr>
          <w:rFonts w:ascii="Times New Roman" w:hAnsi="Times New Roman" w:cs="Times New Roman"/>
        </w:rPr>
      </w:pPr>
    </w:p>
    <w:tbl>
      <w:tblPr>
        <w:tblpPr w:leftFromText="180" w:rightFromText="180" w:bottomFromText="115" w:vertAnchor="text"/>
        <w:tblW w:w="9281" w:type="dxa"/>
        <w:tblCellMar>
          <w:left w:w="0" w:type="dxa"/>
          <w:right w:w="0" w:type="dxa"/>
        </w:tblCellMar>
        <w:tblLook w:val="04A0" w:firstRow="1" w:lastRow="0" w:firstColumn="1" w:lastColumn="0" w:noHBand="0" w:noVBand="1"/>
      </w:tblPr>
      <w:tblGrid>
        <w:gridCol w:w="1594"/>
        <w:gridCol w:w="1155"/>
        <w:gridCol w:w="1276"/>
        <w:gridCol w:w="1404"/>
        <w:gridCol w:w="1276"/>
        <w:gridCol w:w="1277"/>
        <w:gridCol w:w="1299"/>
      </w:tblGrid>
      <w:tr w:rsidR="00193F9C" w:rsidTr="00954B11">
        <w:trPr>
          <w:trHeight w:val="681"/>
        </w:trPr>
        <w:tc>
          <w:tcPr>
            <w:tcW w:w="1610" w:type="dxa"/>
            <w:tcBorders>
              <w:top w:val="single" w:sz="8" w:space="0" w:color="auto"/>
              <w:left w:val="single" w:sz="8" w:space="0" w:color="auto"/>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rPr>
                <w:b/>
                <w:bCs/>
                <w:sz w:val="18"/>
                <w:szCs w:val="18"/>
              </w:rPr>
            </w:pPr>
            <w:r w:rsidRPr="00A543FB">
              <w:rPr>
                <w:b/>
                <w:bCs/>
                <w:sz w:val="18"/>
                <w:szCs w:val="18"/>
              </w:rPr>
              <w:t xml:space="preserve">Year </w:t>
            </w:r>
          </w:p>
        </w:tc>
        <w:tc>
          <w:tcPr>
            <w:tcW w:w="1096"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sz w:val="18"/>
                <w:szCs w:val="18"/>
              </w:rPr>
            </w:pPr>
            <w:r w:rsidRPr="00A543FB">
              <w:rPr>
                <w:b/>
                <w:bCs/>
                <w:sz w:val="18"/>
                <w:szCs w:val="18"/>
              </w:rPr>
              <w:t>2020</w:t>
            </w:r>
            <w:r w:rsidRPr="00A543FB">
              <w:rPr>
                <w:sz w:val="18"/>
                <w:szCs w:val="18"/>
              </w:rPr>
              <w:t xml:space="preserve"> </w:t>
            </w:r>
          </w:p>
          <w:p w:rsidR="00617DD5" w:rsidRPr="00A543FB" w:rsidRDefault="00DD6520" w:rsidP="00CE61B5">
            <w:pPr>
              <w:spacing w:after="0" w:line="360" w:lineRule="auto"/>
              <w:contextualSpacing/>
              <w:jc w:val="center"/>
              <w:rPr>
                <w:b/>
                <w:bCs/>
                <w:sz w:val="18"/>
                <w:szCs w:val="18"/>
              </w:rPr>
            </w:pPr>
            <w:r w:rsidRPr="00A543FB">
              <w:rPr>
                <w:b/>
                <w:bCs/>
                <w:sz w:val="18"/>
                <w:szCs w:val="18"/>
              </w:rPr>
              <w:t>(31.12.2020)</w:t>
            </w:r>
          </w:p>
        </w:tc>
        <w:tc>
          <w:tcPr>
            <w:tcW w:w="1284"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b/>
                <w:bCs/>
                <w:sz w:val="18"/>
                <w:szCs w:val="18"/>
              </w:rPr>
            </w:pPr>
            <w:r w:rsidRPr="00A543FB">
              <w:rPr>
                <w:b/>
                <w:bCs/>
                <w:sz w:val="18"/>
                <w:szCs w:val="18"/>
              </w:rPr>
              <w:t>2021</w:t>
            </w:r>
          </w:p>
          <w:p w:rsidR="00617DD5" w:rsidRPr="00A543FB" w:rsidRDefault="00DD6520" w:rsidP="00CE61B5">
            <w:pPr>
              <w:spacing w:after="0" w:line="360" w:lineRule="auto"/>
              <w:contextualSpacing/>
              <w:jc w:val="center"/>
              <w:rPr>
                <w:b/>
                <w:bCs/>
                <w:sz w:val="18"/>
                <w:szCs w:val="18"/>
              </w:rPr>
            </w:pPr>
            <w:r w:rsidRPr="00A543FB">
              <w:rPr>
                <w:b/>
                <w:bCs/>
                <w:sz w:val="18"/>
                <w:szCs w:val="18"/>
              </w:rPr>
              <w:t>(31.12.2021)</w:t>
            </w:r>
          </w:p>
        </w:tc>
        <w:tc>
          <w:tcPr>
            <w:tcW w:w="1413"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b/>
                <w:bCs/>
                <w:sz w:val="18"/>
                <w:szCs w:val="18"/>
              </w:rPr>
            </w:pPr>
            <w:r w:rsidRPr="00A543FB">
              <w:rPr>
                <w:b/>
                <w:bCs/>
                <w:sz w:val="18"/>
                <w:szCs w:val="18"/>
              </w:rPr>
              <w:t>2022</w:t>
            </w:r>
          </w:p>
          <w:p w:rsidR="00617DD5" w:rsidRPr="00A543FB" w:rsidRDefault="00DD6520" w:rsidP="00CE61B5">
            <w:pPr>
              <w:spacing w:after="0" w:line="360" w:lineRule="auto"/>
              <w:contextualSpacing/>
              <w:rPr>
                <w:b/>
                <w:bCs/>
                <w:sz w:val="18"/>
                <w:szCs w:val="18"/>
              </w:rPr>
            </w:pPr>
            <w:r w:rsidRPr="00A543FB">
              <w:rPr>
                <w:b/>
                <w:bCs/>
                <w:sz w:val="18"/>
                <w:szCs w:val="18"/>
              </w:rPr>
              <w:t>   (31.12.2022)</w:t>
            </w:r>
          </w:p>
        </w:tc>
        <w:tc>
          <w:tcPr>
            <w:tcW w:w="1284"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b/>
                <w:bCs/>
                <w:sz w:val="18"/>
                <w:szCs w:val="18"/>
              </w:rPr>
            </w:pPr>
            <w:r w:rsidRPr="00A543FB">
              <w:rPr>
                <w:b/>
                <w:bCs/>
                <w:sz w:val="18"/>
                <w:szCs w:val="18"/>
              </w:rPr>
              <w:t>2023</w:t>
            </w:r>
          </w:p>
          <w:p w:rsidR="00617DD5" w:rsidRPr="00A543FB" w:rsidRDefault="00DD6520" w:rsidP="00CE61B5">
            <w:pPr>
              <w:spacing w:after="0" w:line="360" w:lineRule="auto"/>
              <w:contextualSpacing/>
              <w:jc w:val="center"/>
              <w:rPr>
                <w:b/>
                <w:bCs/>
                <w:sz w:val="18"/>
                <w:szCs w:val="18"/>
              </w:rPr>
            </w:pPr>
            <w:r w:rsidRPr="00A543FB">
              <w:rPr>
                <w:b/>
                <w:bCs/>
                <w:sz w:val="18"/>
                <w:szCs w:val="18"/>
              </w:rPr>
              <w:t>(31.12.2023)</w:t>
            </w:r>
          </w:p>
        </w:tc>
        <w:tc>
          <w:tcPr>
            <w:tcW w:w="1285"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b/>
                <w:bCs/>
                <w:sz w:val="18"/>
                <w:szCs w:val="18"/>
              </w:rPr>
            </w:pPr>
            <w:r w:rsidRPr="00A543FB">
              <w:rPr>
                <w:b/>
                <w:bCs/>
                <w:sz w:val="18"/>
                <w:szCs w:val="18"/>
              </w:rPr>
              <w:t>2024</w:t>
            </w:r>
          </w:p>
          <w:p w:rsidR="00617DD5" w:rsidRPr="00A543FB" w:rsidRDefault="00DD6520" w:rsidP="00CE61B5">
            <w:pPr>
              <w:spacing w:after="0" w:line="360" w:lineRule="auto"/>
              <w:contextualSpacing/>
              <w:jc w:val="center"/>
              <w:rPr>
                <w:b/>
                <w:bCs/>
                <w:sz w:val="18"/>
                <w:szCs w:val="18"/>
              </w:rPr>
            </w:pPr>
            <w:r w:rsidRPr="00A543FB">
              <w:rPr>
                <w:b/>
                <w:bCs/>
                <w:sz w:val="18"/>
                <w:szCs w:val="18"/>
              </w:rPr>
              <w:t>(31.12.2024)</w:t>
            </w:r>
          </w:p>
        </w:tc>
        <w:tc>
          <w:tcPr>
            <w:tcW w:w="1309" w:type="dxa"/>
            <w:tcBorders>
              <w:top w:val="single" w:sz="8" w:space="0" w:color="auto"/>
              <w:left w:val="nil"/>
              <w:bottom w:val="single" w:sz="8" w:space="0" w:color="auto"/>
              <w:right w:val="single" w:sz="8" w:space="0" w:color="auto"/>
            </w:tcBorders>
            <w:shd w:val="clear" w:color="auto" w:fill="8DB3E2" w:themeFill="text2" w:themeFillTint="66"/>
            <w:tcMar>
              <w:top w:w="0" w:type="dxa"/>
              <w:left w:w="108" w:type="dxa"/>
              <w:bottom w:w="0" w:type="dxa"/>
              <w:right w:w="108" w:type="dxa"/>
            </w:tcMar>
            <w:hideMark/>
          </w:tcPr>
          <w:p w:rsidR="00617DD5" w:rsidRPr="00A543FB" w:rsidRDefault="00DD6520" w:rsidP="00CE61B5">
            <w:pPr>
              <w:spacing w:after="0" w:line="360" w:lineRule="auto"/>
              <w:contextualSpacing/>
              <w:jc w:val="center"/>
              <w:rPr>
                <w:b/>
                <w:bCs/>
                <w:sz w:val="18"/>
                <w:szCs w:val="18"/>
              </w:rPr>
            </w:pPr>
            <w:r w:rsidRPr="00A543FB">
              <w:rPr>
                <w:b/>
                <w:bCs/>
                <w:sz w:val="18"/>
                <w:szCs w:val="18"/>
              </w:rPr>
              <w:t>2025</w:t>
            </w:r>
          </w:p>
          <w:p w:rsidR="00617DD5" w:rsidRPr="00A543FB" w:rsidRDefault="00DD6520" w:rsidP="00CE61B5">
            <w:pPr>
              <w:spacing w:after="0" w:line="360" w:lineRule="auto"/>
              <w:contextualSpacing/>
              <w:jc w:val="center"/>
              <w:rPr>
                <w:b/>
                <w:bCs/>
                <w:sz w:val="18"/>
                <w:szCs w:val="18"/>
              </w:rPr>
            </w:pPr>
            <w:r w:rsidRPr="00A543FB">
              <w:rPr>
                <w:b/>
                <w:bCs/>
                <w:sz w:val="18"/>
                <w:szCs w:val="18"/>
              </w:rPr>
              <w:t>(31.10.2025)</w:t>
            </w:r>
          </w:p>
        </w:tc>
      </w:tr>
      <w:tr w:rsidR="00193F9C" w:rsidTr="00954B11">
        <w:trPr>
          <w:trHeight w:val="262"/>
        </w:trPr>
        <w:tc>
          <w:tcPr>
            <w:tcW w:w="1610" w:type="dxa"/>
            <w:tcBorders>
              <w:top w:val="nil"/>
              <w:left w:val="single" w:sz="8" w:space="0" w:color="auto"/>
              <w:bottom w:val="single" w:sz="8" w:space="0" w:color="auto"/>
              <w:right w:val="single" w:sz="8" w:space="0" w:color="auto"/>
            </w:tcBorders>
            <w:shd w:val="clear" w:color="auto" w:fill="8DB3E2" w:themeFill="text2" w:themeFillTint="66"/>
            <w:tcMar>
              <w:top w:w="0" w:type="dxa"/>
              <w:left w:w="108" w:type="dxa"/>
              <w:bottom w:w="0" w:type="dxa"/>
              <w:right w:w="108" w:type="dxa"/>
            </w:tcMar>
          </w:tcPr>
          <w:p w:rsidR="00617DD5" w:rsidRPr="00A543FB" w:rsidRDefault="00DD6520" w:rsidP="00954B11">
            <w:pPr>
              <w:spacing w:after="0" w:line="360" w:lineRule="auto"/>
              <w:contextualSpacing/>
              <w:rPr>
                <w:b/>
                <w:bCs/>
                <w:sz w:val="18"/>
                <w:szCs w:val="18"/>
              </w:rPr>
            </w:pPr>
            <w:r w:rsidRPr="00A543FB">
              <w:rPr>
                <w:b/>
                <w:bCs/>
                <w:sz w:val="18"/>
                <w:szCs w:val="18"/>
              </w:rPr>
              <w:t xml:space="preserve">Number of unemployed </w:t>
            </w:r>
          </w:p>
        </w:tc>
        <w:tc>
          <w:tcPr>
            <w:tcW w:w="1096"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47,509</w:t>
            </w:r>
            <w:r w:rsidR="000668A3" w:rsidRPr="00A543FB">
              <w:rPr>
                <w:sz w:val="18"/>
                <w:szCs w:val="18"/>
              </w:rPr>
              <w:t xml:space="preserve"> </w:t>
            </w: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57,386</w:t>
            </w:r>
            <w:r w:rsidR="000668A3" w:rsidRPr="00A543FB">
              <w:rPr>
                <w:sz w:val="18"/>
                <w:szCs w:val="18"/>
              </w:rPr>
              <w:t xml:space="preserve"> </w:t>
            </w:r>
          </w:p>
        </w:tc>
        <w:tc>
          <w:tcPr>
            <w:tcW w:w="1413"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46,596</w:t>
            </w:r>
            <w:r w:rsidR="000668A3" w:rsidRPr="00A543FB">
              <w:rPr>
                <w:sz w:val="18"/>
                <w:szCs w:val="18"/>
              </w:rPr>
              <w:t xml:space="preserve"> </w:t>
            </w: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39,942</w:t>
            </w:r>
            <w:r w:rsidR="000668A3" w:rsidRPr="00A543FB">
              <w:rPr>
                <w:sz w:val="18"/>
                <w:szCs w:val="18"/>
              </w:rPr>
              <w:t xml:space="preserve"> </w:t>
            </w:r>
          </w:p>
        </w:tc>
        <w:tc>
          <w:tcPr>
            <w:tcW w:w="1285"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33,037</w:t>
            </w:r>
            <w:r w:rsidR="000668A3" w:rsidRPr="00A543FB">
              <w:rPr>
                <w:sz w:val="18"/>
                <w:szCs w:val="18"/>
              </w:rPr>
              <w:t xml:space="preserve"> </w:t>
            </w:r>
          </w:p>
        </w:tc>
        <w:tc>
          <w:tcPr>
            <w:tcW w:w="1309"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954B11">
            <w:pPr>
              <w:spacing w:after="0" w:line="360" w:lineRule="auto"/>
              <w:contextualSpacing/>
              <w:jc w:val="center"/>
              <w:rPr>
                <w:sz w:val="18"/>
                <w:szCs w:val="18"/>
              </w:rPr>
            </w:pPr>
            <w:r w:rsidRPr="00A543FB">
              <w:rPr>
                <w:sz w:val="18"/>
                <w:szCs w:val="18"/>
              </w:rPr>
              <w:t>27.914</w:t>
            </w:r>
            <w:r w:rsidR="000668A3" w:rsidRPr="00A543FB">
              <w:rPr>
                <w:sz w:val="18"/>
                <w:szCs w:val="18"/>
              </w:rPr>
              <w:t xml:space="preserve"> </w:t>
            </w:r>
          </w:p>
        </w:tc>
      </w:tr>
      <w:tr w:rsidR="00193F9C" w:rsidTr="00954B11">
        <w:trPr>
          <w:trHeight w:val="550"/>
        </w:trPr>
        <w:tc>
          <w:tcPr>
            <w:tcW w:w="1610" w:type="dxa"/>
            <w:tcBorders>
              <w:top w:val="nil"/>
              <w:left w:val="single" w:sz="8" w:space="0" w:color="auto"/>
              <w:bottom w:val="single" w:sz="8" w:space="0" w:color="auto"/>
              <w:right w:val="single" w:sz="8" w:space="0" w:color="auto"/>
            </w:tcBorders>
            <w:shd w:val="clear" w:color="auto" w:fill="8DB3E2" w:themeFill="text2" w:themeFillTint="66"/>
            <w:tcMar>
              <w:top w:w="0" w:type="dxa"/>
              <w:left w:w="108" w:type="dxa"/>
              <w:bottom w:w="0" w:type="dxa"/>
              <w:right w:w="108" w:type="dxa"/>
            </w:tcMar>
          </w:tcPr>
          <w:p w:rsidR="00617DD5" w:rsidRPr="00A543FB" w:rsidRDefault="00DD6520" w:rsidP="00954B11">
            <w:pPr>
              <w:spacing w:after="0" w:line="360" w:lineRule="auto"/>
              <w:contextualSpacing/>
              <w:rPr>
                <w:b/>
                <w:bCs/>
                <w:sz w:val="18"/>
                <w:szCs w:val="18"/>
              </w:rPr>
            </w:pPr>
            <w:r w:rsidRPr="00A543FB">
              <w:rPr>
                <w:b/>
                <w:bCs/>
                <w:sz w:val="18"/>
                <w:szCs w:val="18"/>
              </w:rPr>
              <w:t xml:space="preserve">Registered unemployment rate. % </w:t>
            </w:r>
          </w:p>
        </w:tc>
        <w:tc>
          <w:tcPr>
            <w:tcW w:w="1096"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20.48</w:t>
            </w:r>
            <w:r w:rsidR="000668A3" w:rsidRPr="00A543FB">
              <w:rPr>
                <w:sz w:val="18"/>
                <w:szCs w:val="18"/>
              </w:rPr>
              <w:t xml:space="preserve"> </w:t>
            </w: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24.73</w:t>
            </w:r>
            <w:r w:rsidR="000668A3" w:rsidRPr="00A543FB">
              <w:rPr>
                <w:sz w:val="18"/>
                <w:szCs w:val="18"/>
              </w:rPr>
              <w:t xml:space="preserve"> </w:t>
            </w:r>
          </w:p>
        </w:tc>
        <w:tc>
          <w:tcPr>
            <w:tcW w:w="1413"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20.08</w:t>
            </w:r>
            <w:r w:rsidR="000668A3" w:rsidRPr="00A543FB">
              <w:rPr>
                <w:sz w:val="18"/>
                <w:szCs w:val="18"/>
              </w:rPr>
              <w:t xml:space="preserve"> </w:t>
            </w: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14</w:t>
            </w:r>
            <w:r w:rsidR="00954B11" w:rsidRPr="00A543FB">
              <w:rPr>
                <w:sz w:val="18"/>
                <w:szCs w:val="18"/>
              </w:rPr>
              <w:t>.</w:t>
            </w:r>
            <w:r w:rsidRPr="00A543FB">
              <w:rPr>
                <w:sz w:val="18"/>
                <w:szCs w:val="18"/>
              </w:rPr>
              <w:t>05</w:t>
            </w:r>
            <w:r w:rsidR="000668A3" w:rsidRPr="00A543FB">
              <w:rPr>
                <w:sz w:val="18"/>
                <w:szCs w:val="18"/>
              </w:rPr>
              <w:t xml:space="preserve"> </w:t>
            </w:r>
          </w:p>
        </w:tc>
        <w:tc>
          <w:tcPr>
            <w:tcW w:w="1285"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11.36</w:t>
            </w:r>
            <w:r w:rsidR="000668A3" w:rsidRPr="00A543FB">
              <w:rPr>
                <w:sz w:val="18"/>
                <w:szCs w:val="18"/>
              </w:rPr>
              <w:t xml:space="preserve"> </w:t>
            </w:r>
          </w:p>
        </w:tc>
        <w:tc>
          <w:tcPr>
            <w:tcW w:w="1309" w:type="dxa"/>
            <w:tcBorders>
              <w:top w:val="nil"/>
              <w:left w:val="nil"/>
              <w:bottom w:val="single" w:sz="8" w:space="0" w:color="auto"/>
              <w:right w:val="single" w:sz="8" w:space="0" w:color="auto"/>
            </w:tcBorders>
            <w:tcMar>
              <w:top w:w="0" w:type="dxa"/>
              <w:left w:w="108" w:type="dxa"/>
              <w:bottom w:w="0" w:type="dxa"/>
              <w:right w:w="108" w:type="dxa"/>
            </w:tcMar>
          </w:tcPr>
          <w:p w:rsidR="00617DD5" w:rsidRPr="00A543FB" w:rsidRDefault="00DD6520" w:rsidP="00CE61B5">
            <w:pPr>
              <w:spacing w:after="0" w:line="360" w:lineRule="auto"/>
              <w:contextualSpacing/>
              <w:jc w:val="center"/>
              <w:rPr>
                <w:sz w:val="18"/>
                <w:szCs w:val="18"/>
              </w:rPr>
            </w:pPr>
            <w:r w:rsidRPr="00A543FB">
              <w:rPr>
                <w:sz w:val="18"/>
                <w:szCs w:val="18"/>
              </w:rPr>
              <w:t>9</w:t>
            </w:r>
            <w:r w:rsidR="00954B11" w:rsidRPr="00A543FB">
              <w:rPr>
                <w:sz w:val="18"/>
                <w:szCs w:val="18"/>
              </w:rPr>
              <w:t>.</w:t>
            </w:r>
            <w:r w:rsidRPr="00A543FB">
              <w:rPr>
                <w:sz w:val="18"/>
                <w:szCs w:val="18"/>
              </w:rPr>
              <w:t>04</w:t>
            </w:r>
            <w:r w:rsidR="000668A3" w:rsidRPr="00A543FB">
              <w:rPr>
                <w:sz w:val="18"/>
                <w:szCs w:val="18"/>
              </w:rPr>
              <w:t xml:space="preserve"> </w:t>
            </w:r>
          </w:p>
        </w:tc>
      </w:tr>
    </w:tbl>
    <w:p w:rsidR="00617DD5" w:rsidRPr="00A543FB" w:rsidRDefault="00DD6520" w:rsidP="00CE61B5">
      <w:pPr>
        <w:spacing w:after="0" w:line="360" w:lineRule="auto"/>
        <w:contextualSpacing/>
        <w:rPr>
          <w:rFonts w:ascii="Calibri" w:eastAsiaTheme="minorHAnsi" w:hAnsi="Calibri" w:cs="Calibri"/>
          <w:sz w:val="16"/>
          <w:szCs w:val="16"/>
          <w14:ligatures w14:val="standardContextual"/>
        </w:rPr>
      </w:pPr>
      <w:r w:rsidRPr="00A543FB">
        <w:rPr>
          <w:rFonts w:ascii="Times New Roman" w:hAnsi="Times New Roman" w:cs="Times New Roman"/>
          <w:sz w:val="16"/>
          <w:szCs w:val="16"/>
        </w:rPr>
        <w:t xml:space="preserve">Data source: EAM </w:t>
      </w:r>
    </w:p>
    <w:p w:rsidR="00617DD5" w:rsidRPr="00A543FB" w:rsidRDefault="00617DD5" w:rsidP="00CE61B5">
      <w:pPr>
        <w:spacing w:after="0" w:line="360" w:lineRule="auto"/>
        <w:contextualSpacing/>
        <w:jc w:val="both"/>
        <w:rPr>
          <w:rFonts w:ascii="Times New Roman" w:hAnsi="Times New Roman" w:cs="Times New Roman"/>
        </w:rPr>
      </w:pPr>
    </w:p>
    <w:tbl>
      <w:tblPr>
        <w:tblW w:w="9450" w:type="dxa"/>
        <w:tblInd w:w="-10" w:type="dxa"/>
        <w:tblLayout w:type="fixed"/>
        <w:tblCellMar>
          <w:left w:w="0" w:type="dxa"/>
          <w:right w:w="0" w:type="dxa"/>
        </w:tblCellMar>
        <w:tblLook w:val="04A0" w:firstRow="1" w:lastRow="0" w:firstColumn="1" w:lastColumn="0" w:noHBand="0" w:noVBand="1"/>
      </w:tblPr>
      <w:tblGrid>
        <w:gridCol w:w="1800"/>
        <w:gridCol w:w="990"/>
        <w:gridCol w:w="630"/>
        <w:gridCol w:w="720"/>
        <w:gridCol w:w="2250"/>
        <w:gridCol w:w="1800"/>
        <w:gridCol w:w="1260"/>
      </w:tblGrid>
      <w:tr w:rsidR="00193F9C" w:rsidTr="006E712F">
        <w:trPr>
          <w:trHeight w:val="385"/>
        </w:trPr>
        <w:tc>
          <w:tcPr>
            <w:tcW w:w="9450" w:type="dxa"/>
            <w:gridSpan w:val="7"/>
            <w:tcBorders>
              <w:top w:val="single" w:sz="8" w:space="0" w:color="auto"/>
              <w:left w:val="single" w:sz="8" w:space="0" w:color="auto"/>
              <w:bottom w:val="single" w:sz="8" w:space="0" w:color="auto"/>
              <w:right w:val="single" w:sz="8" w:space="0" w:color="auto"/>
            </w:tcBorders>
            <w:shd w:val="clear" w:color="auto" w:fill="8DB3E2" w:themeFill="text2" w:themeFillTint="66"/>
            <w:tcMar>
              <w:top w:w="0" w:type="dxa"/>
              <w:left w:w="108" w:type="dxa"/>
              <w:bottom w:w="0" w:type="dxa"/>
              <w:right w:w="108" w:type="dxa"/>
            </w:tcMar>
            <w:vAlign w:val="center"/>
            <w:hideMark/>
          </w:tcPr>
          <w:p w:rsidR="00617DD5" w:rsidRPr="00A543FB" w:rsidRDefault="00DD6520" w:rsidP="00CE61B5">
            <w:pPr>
              <w:spacing w:after="0" w:line="360" w:lineRule="auto"/>
              <w:contextualSpacing/>
              <w:rPr>
                <w:b/>
                <w:bCs/>
                <w:sz w:val="18"/>
                <w:szCs w:val="18"/>
              </w:rPr>
            </w:pPr>
            <w:r w:rsidRPr="00A543FB">
              <w:rPr>
                <w:b/>
                <w:bCs/>
                <w:sz w:val="18"/>
                <w:szCs w:val="18"/>
              </w:rPr>
              <w:t xml:space="preserve">Economic activity rate of the population aged 15–64 by gender (2015–2025) </w:t>
            </w:r>
          </w:p>
        </w:tc>
      </w:tr>
      <w:tr w:rsidR="00193F9C" w:rsidTr="006E712F">
        <w:trPr>
          <w:trHeight w:val="790"/>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hideMark/>
          </w:tcPr>
          <w:p w:rsidR="00617DD5" w:rsidRPr="00A543FB" w:rsidRDefault="00DD6520" w:rsidP="00CE61B5">
            <w:pPr>
              <w:spacing w:after="0" w:line="360" w:lineRule="auto"/>
              <w:contextualSpacing/>
              <w:rPr>
                <w:b/>
                <w:bCs/>
                <w:sz w:val="18"/>
                <w:szCs w:val="18"/>
              </w:rPr>
            </w:pPr>
            <w:r w:rsidRPr="00A543FB">
              <w:rPr>
                <w:b/>
                <w:bCs/>
                <w:sz w:val="18"/>
                <w:szCs w:val="18"/>
              </w:rPr>
              <w:t xml:space="preserve">Year/Period </w:t>
            </w:r>
          </w:p>
        </w:tc>
        <w:tc>
          <w:tcPr>
            <w:tcW w:w="990" w:type="dxa"/>
            <w:tcBorders>
              <w:top w:val="nil"/>
              <w:left w:val="nil"/>
              <w:bottom w:val="single" w:sz="4" w:space="0" w:color="auto"/>
              <w:right w:val="single" w:sz="4" w:space="0" w:color="auto"/>
            </w:tcBorders>
            <w:shd w:val="clear" w:color="auto" w:fill="8DB3E2" w:themeFill="text2" w:themeFillTint="66"/>
            <w:tcMar>
              <w:top w:w="0" w:type="dxa"/>
              <w:left w:w="108" w:type="dxa"/>
              <w:bottom w:w="0" w:type="dxa"/>
              <w:right w:w="108" w:type="dxa"/>
            </w:tcMar>
            <w:vAlign w:val="center"/>
            <w:hideMark/>
          </w:tcPr>
          <w:p w:rsidR="00617DD5" w:rsidRPr="00A543FB" w:rsidRDefault="00DD6520" w:rsidP="000668A3">
            <w:pPr>
              <w:spacing w:after="0" w:line="360" w:lineRule="auto"/>
              <w:contextualSpacing/>
              <w:rPr>
                <w:b/>
                <w:bCs/>
                <w:sz w:val="18"/>
                <w:szCs w:val="18"/>
              </w:rPr>
            </w:pPr>
            <w:r w:rsidRPr="00A543FB">
              <w:rPr>
                <w:b/>
                <w:bCs/>
                <w:sz w:val="18"/>
                <w:szCs w:val="18"/>
              </w:rPr>
              <w:t>M</w:t>
            </w:r>
            <w:r w:rsidR="000668A3" w:rsidRPr="00A543FB">
              <w:rPr>
                <w:b/>
                <w:bCs/>
                <w:sz w:val="18"/>
                <w:szCs w:val="18"/>
              </w:rPr>
              <w:t xml:space="preserve">en </w:t>
            </w:r>
          </w:p>
        </w:tc>
        <w:tc>
          <w:tcPr>
            <w:tcW w:w="630" w:type="dxa"/>
            <w:tcBorders>
              <w:top w:val="nil"/>
              <w:left w:val="single" w:sz="4" w:space="0" w:color="auto"/>
              <w:bottom w:val="single" w:sz="4" w:space="0" w:color="auto"/>
              <w:right w:val="single" w:sz="4" w:space="0" w:color="auto"/>
            </w:tcBorders>
            <w:shd w:val="clear" w:color="auto" w:fill="8DB3E2" w:themeFill="text2" w:themeFillTint="66"/>
            <w:vAlign w:val="center"/>
          </w:tcPr>
          <w:p w:rsidR="00617DD5" w:rsidRPr="00A543FB" w:rsidRDefault="00DD6520" w:rsidP="000668A3">
            <w:pPr>
              <w:spacing w:after="0" w:line="360" w:lineRule="auto"/>
              <w:contextualSpacing/>
              <w:rPr>
                <w:b/>
                <w:bCs/>
                <w:sz w:val="18"/>
                <w:szCs w:val="18"/>
              </w:rPr>
            </w:pPr>
            <w:r w:rsidRPr="00A543FB">
              <w:rPr>
                <w:b/>
                <w:bCs/>
                <w:sz w:val="18"/>
                <w:szCs w:val="18"/>
              </w:rPr>
              <w:t xml:space="preserve">Women </w:t>
            </w:r>
          </w:p>
        </w:tc>
        <w:tc>
          <w:tcPr>
            <w:tcW w:w="720" w:type="dxa"/>
            <w:tcBorders>
              <w:top w:val="nil"/>
              <w:left w:val="single" w:sz="4" w:space="0" w:color="auto"/>
              <w:bottom w:val="single" w:sz="4" w:space="0" w:color="auto"/>
              <w:right w:val="single" w:sz="8" w:space="0" w:color="auto"/>
            </w:tcBorders>
            <w:shd w:val="clear" w:color="auto" w:fill="8DB3E2" w:themeFill="text2" w:themeFillTint="66"/>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Total </w:t>
            </w:r>
          </w:p>
        </w:tc>
        <w:tc>
          <w:tcPr>
            <w:tcW w:w="2250" w:type="dxa"/>
            <w:tcBorders>
              <w:top w:val="nil"/>
              <w:left w:val="nil"/>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center"/>
            <w:hideMark/>
          </w:tcPr>
          <w:p w:rsidR="00617DD5" w:rsidRPr="00A543FB" w:rsidRDefault="00DD6520" w:rsidP="00CE61B5">
            <w:pPr>
              <w:spacing w:after="0" w:line="360" w:lineRule="auto"/>
              <w:contextualSpacing/>
              <w:rPr>
                <w:b/>
                <w:bCs/>
                <w:sz w:val="18"/>
                <w:szCs w:val="18"/>
              </w:rPr>
            </w:pPr>
            <w:r w:rsidRPr="00A543FB">
              <w:rPr>
                <w:b/>
                <w:bCs/>
                <w:sz w:val="18"/>
                <w:szCs w:val="18"/>
              </w:rPr>
              <w:t>Unemployment rate - Men</w:t>
            </w:r>
          </w:p>
        </w:tc>
        <w:tc>
          <w:tcPr>
            <w:tcW w:w="1800" w:type="dxa"/>
            <w:tcBorders>
              <w:top w:val="nil"/>
              <w:left w:val="nil"/>
              <w:bottom w:val="single" w:sz="4" w:space="0" w:color="auto"/>
              <w:right w:val="single" w:sz="4" w:space="0" w:color="auto"/>
            </w:tcBorders>
            <w:shd w:val="clear" w:color="auto" w:fill="8DB3E2" w:themeFill="text2" w:themeFillTint="66"/>
            <w:noWrap/>
            <w:tcMar>
              <w:top w:w="0" w:type="dxa"/>
              <w:left w:w="108" w:type="dxa"/>
              <w:bottom w:w="0" w:type="dxa"/>
              <w:right w:w="108" w:type="dxa"/>
            </w:tcMar>
            <w:vAlign w:val="center"/>
            <w:hideMark/>
          </w:tcPr>
          <w:p w:rsidR="00617DD5" w:rsidRPr="00A543FB" w:rsidRDefault="00DD6520" w:rsidP="00CE61B5">
            <w:pPr>
              <w:spacing w:after="0" w:line="360" w:lineRule="auto"/>
              <w:contextualSpacing/>
              <w:rPr>
                <w:b/>
                <w:bCs/>
                <w:sz w:val="18"/>
                <w:szCs w:val="18"/>
              </w:rPr>
            </w:pPr>
            <w:r w:rsidRPr="00A543FB">
              <w:rPr>
                <w:b/>
                <w:bCs/>
                <w:sz w:val="18"/>
                <w:szCs w:val="18"/>
              </w:rPr>
              <w:t xml:space="preserve">Unemployment rate – Women </w:t>
            </w:r>
          </w:p>
        </w:tc>
        <w:tc>
          <w:tcPr>
            <w:tcW w:w="1260" w:type="dxa"/>
            <w:tcBorders>
              <w:top w:val="nil"/>
              <w:left w:val="single" w:sz="4" w:space="0" w:color="auto"/>
              <w:bottom w:val="single" w:sz="4" w:space="0" w:color="auto"/>
              <w:right w:val="single" w:sz="8" w:space="0" w:color="auto"/>
            </w:tcBorders>
            <w:shd w:val="clear" w:color="auto" w:fill="8DB3E2" w:themeFill="text2" w:themeFillTint="66"/>
            <w:vAlign w:val="center"/>
          </w:tcPr>
          <w:p w:rsidR="00617DD5" w:rsidRPr="00A543FB" w:rsidRDefault="00DD6520" w:rsidP="000668A3">
            <w:pPr>
              <w:spacing w:after="0" w:line="360" w:lineRule="auto"/>
              <w:contextualSpacing/>
              <w:rPr>
                <w:b/>
                <w:bCs/>
                <w:sz w:val="18"/>
                <w:szCs w:val="18"/>
              </w:rPr>
            </w:pPr>
            <w:r w:rsidRPr="00A543FB">
              <w:rPr>
                <w:b/>
                <w:bCs/>
                <w:sz w:val="18"/>
                <w:szCs w:val="18"/>
              </w:rPr>
              <w:t xml:space="preserve">Unemployment rate – total </w:t>
            </w:r>
          </w:p>
        </w:tc>
      </w:tr>
      <w:tr w:rsidR="00193F9C" w:rsidTr="006E712F">
        <w:trPr>
          <w:trHeight w:val="512"/>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0668A3">
            <w:pPr>
              <w:spacing w:after="0" w:line="360" w:lineRule="auto"/>
              <w:contextualSpacing/>
              <w:rPr>
                <w:b/>
                <w:bCs/>
                <w:sz w:val="18"/>
                <w:szCs w:val="18"/>
              </w:rPr>
            </w:pPr>
            <w:r w:rsidRPr="00A543FB">
              <w:rPr>
                <w:b/>
                <w:bCs/>
                <w:sz w:val="18"/>
                <w:szCs w:val="18"/>
              </w:rPr>
              <w:t>2015-2020</w:t>
            </w:r>
            <w:r w:rsidR="006E712F" w:rsidRPr="00A543FB">
              <w:rPr>
                <w:b/>
                <w:bCs/>
                <w:sz w:val="18"/>
                <w:szCs w:val="18"/>
              </w:rPr>
              <w:t xml:space="preserve"> </w:t>
            </w:r>
            <w:r w:rsidR="000668A3" w:rsidRPr="00A543FB">
              <w:rPr>
                <w:b/>
                <w:bCs/>
                <w:sz w:val="18"/>
                <w:szCs w:val="18"/>
              </w:rPr>
              <w:t xml:space="preserve">average </w:t>
            </w:r>
          </w:p>
        </w:tc>
        <w:tc>
          <w:tcPr>
            <w:tcW w:w="990" w:type="dxa"/>
            <w:tcBorders>
              <w:top w:val="nil"/>
              <w:left w:val="nil"/>
              <w:bottom w:val="single" w:sz="4"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70.4% </w:t>
            </w:r>
          </w:p>
        </w:tc>
        <w:tc>
          <w:tcPr>
            <w:tcW w:w="630" w:type="dxa"/>
            <w:tcBorders>
              <w:top w:val="nil"/>
              <w:left w:val="single" w:sz="4" w:space="0" w:color="auto"/>
              <w:bottom w:val="single" w:sz="4"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56.8% </w:t>
            </w:r>
          </w:p>
        </w:tc>
        <w:tc>
          <w:tcPr>
            <w:tcW w:w="720" w:type="dxa"/>
            <w:tcBorders>
              <w:top w:val="nil"/>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63.7% </w:t>
            </w:r>
          </w:p>
        </w:tc>
        <w:tc>
          <w:tcPr>
            <w:tcW w:w="2250" w:type="dxa"/>
            <w:tcBorders>
              <w:top w:val="nil"/>
              <w:left w:val="nil"/>
              <w:bottom w:val="single" w:sz="4"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16.7% </w:t>
            </w:r>
          </w:p>
        </w:tc>
        <w:tc>
          <w:tcPr>
            <w:tcW w:w="1800" w:type="dxa"/>
            <w:tcBorders>
              <w:top w:val="nil"/>
              <w:left w:val="nil"/>
              <w:bottom w:val="single" w:sz="4"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17.3% </w:t>
            </w:r>
          </w:p>
        </w:tc>
        <w:tc>
          <w:tcPr>
            <w:tcW w:w="1260" w:type="dxa"/>
            <w:tcBorders>
              <w:top w:val="nil"/>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16.9% </w:t>
            </w:r>
          </w:p>
        </w:tc>
      </w:tr>
      <w:tr w:rsidR="00193F9C" w:rsidTr="006E712F">
        <w:trPr>
          <w:trHeight w:val="387"/>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CE61B5">
            <w:pPr>
              <w:spacing w:after="0" w:line="360" w:lineRule="auto"/>
              <w:contextualSpacing/>
              <w:rPr>
                <w:b/>
                <w:bCs/>
                <w:sz w:val="18"/>
                <w:szCs w:val="18"/>
              </w:rPr>
            </w:pPr>
            <w:r w:rsidRPr="00A543FB">
              <w:rPr>
                <w:b/>
                <w:bCs/>
                <w:sz w:val="18"/>
                <w:szCs w:val="18"/>
              </w:rPr>
              <w:t>2021</w:t>
            </w:r>
          </w:p>
        </w:tc>
        <w:tc>
          <w:tcPr>
            <w:tcW w:w="99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65.5% </w:t>
            </w:r>
          </w:p>
        </w:tc>
        <w:tc>
          <w:tcPr>
            <w:tcW w:w="630" w:type="dxa"/>
            <w:tcBorders>
              <w:top w:val="single" w:sz="4" w:space="0" w:color="auto"/>
              <w:left w:val="single" w:sz="4" w:space="0" w:color="auto"/>
              <w:bottom w:val="single" w:sz="4"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52.9% </w:t>
            </w:r>
          </w:p>
        </w:tc>
        <w:tc>
          <w:tcPr>
            <w:tcW w:w="72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59.2% </w:t>
            </w:r>
          </w:p>
        </w:tc>
        <w:tc>
          <w:tcPr>
            <w:tcW w:w="225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17.3% </w:t>
            </w:r>
          </w:p>
        </w:tc>
        <w:tc>
          <w:tcPr>
            <w:tcW w:w="1800" w:type="dxa"/>
            <w:tcBorders>
              <w:top w:val="single" w:sz="4" w:space="0" w:color="auto"/>
              <w:left w:val="nil"/>
              <w:bottom w:val="single" w:sz="4"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16.1% </w:t>
            </w:r>
          </w:p>
        </w:tc>
        <w:tc>
          <w:tcPr>
            <w:tcW w:w="126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16.8% </w:t>
            </w:r>
          </w:p>
        </w:tc>
      </w:tr>
      <w:tr w:rsidR="00193F9C" w:rsidTr="006E712F">
        <w:trPr>
          <w:trHeight w:val="387"/>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CE61B5">
            <w:pPr>
              <w:spacing w:after="0" w:line="360" w:lineRule="auto"/>
              <w:contextualSpacing/>
              <w:rPr>
                <w:b/>
                <w:bCs/>
                <w:sz w:val="18"/>
                <w:szCs w:val="18"/>
              </w:rPr>
            </w:pPr>
            <w:r w:rsidRPr="00A543FB">
              <w:rPr>
                <w:b/>
                <w:bCs/>
                <w:sz w:val="18"/>
                <w:szCs w:val="18"/>
              </w:rPr>
              <w:t>2022</w:t>
            </w:r>
          </w:p>
        </w:tc>
        <w:tc>
          <w:tcPr>
            <w:tcW w:w="99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73.9% </w:t>
            </w:r>
          </w:p>
        </w:tc>
        <w:tc>
          <w:tcPr>
            <w:tcW w:w="630" w:type="dxa"/>
            <w:tcBorders>
              <w:top w:val="single" w:sz="4" w:space="0" w:color="auto"/>
              <w:left w:val="single" w:sz="4" w:space="0" w:color="auto"/>
              <w:bottom w:val="single" w:sz="4"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61.4% </w:t>
            </w:r>
          </w:p>
        </w:tc>
        <w:tc>
          <w:tcPr>
            <w:tcW w:w="72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67.7% </w:t>
            </w:r>
          </w:p>
        </w:tc>
        <w:tc>
          <w:tcPr>
            <w:tcW w:w="225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16.6% </w:t>
            </w:r>
          </w:p>
        </w:tc>
        <w:tc>
          <w:tcPr>
            <w:tcW w:w="1800" w:type="dxa"/>
            <w:tcBorders>
              <w:top w:val="single" w:sz="4" w:space="0" w:color="auto"/>
              <w:left w:val="nil"/>
              <w:bottom w:val="single" w:sz="4"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13.1% </w:t>
            </w:r>
          </w:p>
        </w:tc>
        <w:tc>
          <w:tcPr>
            <w:tcW w:w="126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15.0% </w:t>
            </w:r>
          </w:p>
        </w:tc>
      </w:tr>
      <w:tr w:rsidR="00193F9C" w:rsidTr="006E712F">
        <w:trPr>
          <w:trHeight w:val="387"/>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CE61B5">
            <w:pPr>
              <w:spacing w:after="0" w:line="360" w:lineRule="auto"/>
              <w:contextualSpacing/>
              <w:rPr>
                <w:b/>
                <w:bCs/>
                <w:sz w:val="18"/>
                <w:szCs w:val="18"/>
              </w:rPr>
            </w:pPr>
            <w:r w:rsidRPr="00A543FB">
              <w:rPr>
                <w:b/>
                <w:bCs/>
                <w:sz w:val="18"/>
                <w:szCs w:val="18"/>
              </w:rPr>
              <w:t>2023</w:t>
            </w:r>
          </w:p>
        </w:tc>
        <w:tc>
          <w:tcPr>
            <w:tcW w:w="99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77.0% </w:t>
            </w:r>
          </w:p>
        </w:tc>
        <w:tc>
          <w:tcPr>
            <w:tcW w:w="630" w:type="dxa"/>
            <w:tcBorders>
              <w:top w:val="single" w:sz="4" w:space="0" w:color="auto"/>
              <w:left w:val="single" w:sz="4" w:space="0" w:color="auto"/>
              <w:bottom w:val="single" w:sz="4"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66.3% </w:t>
            </w:r>
          </w:p>
        </w:tc>
        <w:tc>
          <w:tcPr>
            <w:tcW w:w="72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71.7% </w:t>
            </w:r>
          </w:p>
        </w:tc>
        <w:tc>
          <w:tcPr>
            <w:tcW w:w="225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13.4% </w:t>
            </w:r>
          </w:p>
        </w:tc>
        <w:tc>
          <w:tcPr>
            <w:tcW w:w="1800" w:type="dxa"/>
            <w:tcBorders>
              <w:top w:val="single" w:sz="4" w:space="0" w:color="auto"/>
              <w:left w:val="nil"/>
              <w:bottom w:val="single" w:sz="4"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14.3% </w:t>
            </w:r>
          </w:p>
        </w:tc>
        <w:tc>
          <w:tcPr>
            <w:tcW w:w="126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12.6% </w:t>
            </w:r>
          </w:p>
        </w:tc>
      </w:tr>
      <w:tr w:rsidR="00193F9C" w:rsidTr="006E712F">
        <w:trPr>
          <w:trHeight w:val="387"/>
        </w:trPr>
        <w:tc>
          <w:tcPr>
            <w:tcW w:w="1800" w:type="dxa"/>
            <w:tcBorders>
              <w:top w:val="single" w:sz="4" w:space="0" w:color="auto"/>
              <w:left w:val="single" w:sz="4" w:space="0" w:color="auto"/>
              <w:bottom w:val="single" w:sz="4"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CE61B5">
            <w:pPr>
              <w:spacing w:after="0" w:line="360" w:lineRule="auto"/>
              <w:contextualSpacing/>
              <w:rPr>
                <w:b/>
                <w:bCs/>
                <w:sz w:val="18"/>
                <w:szCs w:val="18"/>
              </w:rPr>
            </w:pPr>
            <w:r w:rsidRPr="00A543FB">
              <w:rPr>
                <w:b/>
                <w:bCs/>
                <w:sz w:val="18"/>
                <w:szCs w:val="18"/>
              </w:rPr>
              <w:t>2024</w:t>
            </w:r>
            <w:r w:rsidR="000668A3" w:rsidRPr="00A543FB">
              <w:rPr>
                <w:b/>
                <w:bCs/>
                <w:sz w:val="18"/>
                <w:szCs w:val="18"/>
              </w:rPr>
              <w:t xml:space="preserve"> </w:t>
            </w:r>
          </w:p>
        </w:tc>
        <w:tc>
          <w:tcPr>
            <w:tcW w:w="99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78.6%</w:t>
            </w:r>
          </w:p>
        </w:tc>
        <w:tc>
          <w:tcPr>
            <w:tcW w:w="630" w:type="dxa"/>
            <w:tcBorders>
              <w:top w:val="single" w:sz="4" w:space="0" w:color="auto"/>
              <w:left w:val="single" w:sz="4" w:space="0" w:color="auto"/>
              <w:bottom w:val="single" w:sz="4"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66.4% </w:t>
            </w:r>
          </w:p>
        </w:tc>
        <w:tc>
          <w:tcPr>
            <w:tcW w:w="72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72.6% </w:t>
            </w:r>
          </w:p>
        </w:tc>
        <w:tc>
          <w:tcPr>
            <w:tcW w:w="225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1</w:t>
            </w:r>
            <w:r w:rsidR="000668A3" w:rsidRPr="00A543FB">
              <w:rPr>
                <w:b/>
                <w:bCs/>
                <w:sz w:val="18"/>
                <w:szCs w:val="18"/>
              </w:rPr>
              <w:t>1.0</w:t>
            </w:r>
            <w:r w:rsidRPr="00A543FB">
              <w:rPr>
                <w:b/>
                <w:bCs/>
                <w:sz w:val="18"/>
                <w:szCs w:val="18"/>
              </w:rPr>
              <w:t>%</w:t>
            </w:r>
            <w:r w:rsidR="000668A3" w:rsidRPr="00A543FB">
              <w:rPr>
                <w:b/>
                <w:bCs/>
                <w:sz w:val="18"/>
                <w:szCs w:val="18"/>
              </w:rPr>
              <w:t xml:space="preserve"> </w:t>
            </w:r>
          </w:p>
        </w:tc>
        <w:tc>
          <w:tcPr>
            <w:tcW w:w="1800" w:type="dxa"/>
            <w:tcBorders>
              <w:top w:val="single" w:sz="4" w:space="0" w:color="auto"/>
              <w:left w:val="nil"/>
              <w:bottom w:val="single" w:sz="4"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12.4% </w:t>
            </w:r>
          </w:p>
        </w:tc>
        <w:tc>
          <w:tcPr>
            <w:tcW w:w="1260" w:type="dxa"/>
            <w:tcBorders>
              <w:top w:val="single" w:sz="4" w:space="0" w:color="auto"/>
              <w:left w:val="single" w:sz="4" w:space="0" w:color="auto"/>
              <w:bottom w:val="single" w:sz="4"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 11.6% </w:t>
            </w:r>
          </w:p>
        </w:tc>
      </w:tr>
      <w:tr w:rsidR="00193F9C" w:rsidTr="006E712F">
        <w:trPr>
          <w:trHeight w:val="387"/>
        </w:trPr>
        <w:tc>
          <w:tcPr>
            <w:tcW w:w="1800" w:type="dxa"/>
            <w:tcBorders>
              <w:top w:val="single" w:sz="4" w:space="0" w:color="auto"/>
              <w:left w:val="single" w:sz="4" w:space="0" w:color="auto"/>
              <w:bottom w:val="single" w:sz="8" w:space="0" w:color="auto"/>
              <w:right w:val="single" w:sz="8" w:space="0" w:color="auto"/>
            </w:tcBorders>
            <w:shd w:val="clear" w:color="auto" w:fill="8DB3E2" w:themeFill="text2" w:themeFillTint="66"/>
            <w:noWrap/>
            <w:tcMar>
              <w:top w:w="0" w:type="dxa"/>
              <w:left w:w="108" w:type="dxa"/>
              <w:bottom w:w="0" w:type="dxa"/>
              <w:right w:w="108" w:type="dxa"/>
            </w:tcMar>
            <w:vAlign w:val="bottom"/>
          </w:tcPr>
          <w:p w:rsidR="00617DD5" w:rsidRPr="00A543FB" w:rsidRDefault="00DD6520" w:rsidP="00CE61B5">
            <w:pPr>
              <w:spacing w:after="0" w:line="360" w:lineRule="auto"/>
              <w:contextualSpacing/>
              <w:rPr>
                <w:b/>
                <w:bCs/>
                <w:sz w:val="18"/>
                <w:szCs w:val="18"/>
              </w:rPr>
            </w:pPr>
            <w:r w:rsidRPr="00A543FB">
              <w:rPr>
                <w:b/>
                <w:bCs/>
                <w:sz w:val="18"/>
                <w:szCs w:val="18"/>
              </w:rPr>
              <w:t xml:space="preserve">2025(II quarter) </w:t>
            </w:r>
          </w:p>
        </w:tc>
        <w:tc>
          <w:tcPr>
            <w:tcW w:w="990"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78.7% </w:t>
            </w:r>
          </w:p>
        </w:tc>
        <w:tc>
          <w:tcPr>
            <w:tcW w:w="630" w:type="dxa"/>
            <w:tcBorders>
              <w:top w:val="single" w:sz="4" w:space="0" w:color="auto"/>
              <w:left w:val="single" w:sz="4" w:space="0" w:color="auto"/>
              <w:bottom w:val="single" w:sz="8" w:space="0" w:color="auto"/>
              <w:right w:val="single" w:sz="4"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68.4% </w:t>
            </w:r>
          </w:p>
        </w:tc>
        <w:tc>
          <w:tcPr>
            <w:tcW w:w="720" w:type="dxa"/>
            <w:tcBorders>
              <w:top w:val="single" w:sz="4" w:space="0" w:color="auto"/>
              <w:left w:val="single" w:sz="4" w:space="0" w:color="auto"/>
              <w:bottom w:val="single" w:sz="8"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73.6% </w:t>
            </w:r>
          </w:p>
        </w:tc>
        <w:tc>
          <w:tcPr>
            <w:tcW w:w="225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11.5% </w:t>
            </w:r>
          </w:p>
        </w:tc>
        <w:tc>
          <w:tcPr>
            <w:tcW w:w="1800" w:type="dxa"/>
            <w:tcBorders>
              <w:top w:val="single" w:sz="4" w:space="0" w:color="auto"/>
              <w:left w:val="nil"/>
              <w:bottom w:val="single" w:sz="8" w:space="0" w:color="auto"/>
              <w:right w:val="single" w:sz="4" w:space="0" w:color="auto"/>
            </w:tcBorders>
            <w:noWrap/>
            <w:tcMar>
              <w:top w:w="0" w:type="dxa"/>
              <w:left w:w="108" w:type="dxa"/>
              <w:bottom w:w="0" w:type="dxa"/>
              <w:right w:w="108" w:type="dxa"/>
            </w:tcMar>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9.8% </w:t>
            </w:r>
          </w:p>
        </w:tc>
        <w:tc>
          <w:tcPr>
            <w:tcW w:w="1260" w:type="dxa"/>
            <w:tcBorders>
              <w:top w:val="single" w:sz="4" w:space="0" w:color="auto"/>
              <w:left w:val="single" w:sz="4" w:space="0" w:color="auto"/>
              <w:bottom w:val="single" w:sz="8" w:space="0" w:color="auto"/>
              <w:right w:val="single" w:sz="8" w:space="0" w:color="auto"/>
            </w:tcBorders>
            <w:vAlign w:val="center"/>
          </w:tcPr>
          <w:p w:rsidR="00617DD5" w:rsidRPr="00A543FB" w:rsidRDefault="00DD6520" w:rsidP="00CE61B5">
            <w:pPr>
              <w:spacing w:after="0" w:line="360" w:lineRule="auto"/>
              <w:contextualSpacing/>
              <w:rPr>
                <w:b/>
                <w:bCs/>
                <w:sz w:val="18"/>
                <w:szCs w:val="18"/>
              </w:rPr>
            </w:pPr>
            <w:r w:rsidRPr="00A543FB">
              <w:rPr>
                <w:b/>
                <w:bCs/>
                <w:sz w:val="18"/>
                <w:szCs w:val="18"/>
              </w:rPr>
              <w:t xml:space="preserve">10.7% </w:t>
            </w:r>
          </w:p>
        </w:tc>
      </w:tr>
    </w:tbl>
    <w:p w:rsidR="00617DD5" w:rsidRPr="00A543FB" w:rsidRDefault="00DD6520" w:rsidP="00CE61B5">
      <w:pPr>
        <w:spacing w:after="0" w:line="360" w:lineRule="auto"/>
        <w:contextualSpacing/>
        <w:jc w:val="both"/>
      </w:pPr>
      <w:r w:rsidRPr="00A543FB">
        <w:rPr>
          <w:rFonts w:ascii="Times New Roman" w:hAnsi="Times New Roman" w:cs="Times New Roman"/>
          <w:sz w:val="16"/>
          <w:szCs w:val="16"/>
        </w:rPr>
        <w:t xml:space="preserve">Data source </w:t>
      </w:r>
      <w:r w:rsidR="000C559C" w:rsidRPr="00A543FB">
        <w:rPr>
          <w:rFonts w:ascii="Times New Roman" w:hAnsi="Times New Roman" w:cs="Times New Roman"/>
          <w:sz w:val="16"/>
          <w:szCs w:val="16"/>
        </w:rPr>
        <w:t>-</w:t>
      </w:r>
      <w:r w:rsidRPr="00A543FB">
        <w:rPr>
          <w:rFonts w:ascii="Times New Roman" w:hAnsi="Times New Roman" w:cs="Times New Roman"/>
          <w:sz w:val="16"/>
          <w:szCs w:val="16"/>
        </w:rPr>
        <w:t xml:space="preserve"> </w:t>
      </w:r>
      <w:proofErr w:type="spellStart"/>
      <w:r w:rsidRPr="00A543FB">
        <w:rPr>
          <w:rFonts w:ascii="Times New Roman" w:hAnsi="Times New Roman" w:cs="Times New Roman"/>
          <w:sz w:val="16"/>
          <w:szCs w:val="16"/>
        </w:rPr>
        <w:t>Monstat</w:t>
      </w:r>
      <w:proofErr w:type="spellEnd"/>
      <w:r w:rsidRPr="00A543FB">
        <w:rPr>
          <w:rFonts w:ascii="Times New Roman" w:hAnsi="Times New Roman" w:cs="Times New Roman"/>
          <w:sz w:val="16"/>
          <w:szCs w:val="16"/>
        </w:rPr>
        <w:t xml:space="preserve">, </w:t>
      </w:r>
      <w:r w:rsidR="007F5577" w:rsidRPr="00A543FB">
        <w:rPr>
          <w:rFonts w:ascii="Times New Roman" w:hAnsi="Times New Roman" w:cs="Times New Roman"/>
          <w:sz w:val="16"/>
          <w:szCs w:val="16"/>
        </w:rPr>
        <w:t>Labor</w:t>
      </w:r>
      <w:r w:rsidRPr="00A543FB">
        <w:rPr>
          <w:rFonts w:ascii="Times New Roman" w:hAnsi="Times New Roman" w:cs="Times New Roman"/>
          <w:sz w:val="16"/>
          <w:szCs w:val="16"/>
        </w:rPr>
        <w:t xml:space="preserve"> Force Survey </w:t>
      </w:r>
    </w:p>
    <w:p w:rsidR="007F5577" w:rsidRPr="00A543FB" w:rsidRDefault="00DD6520" w:rsidP="007F5577">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Regarding PWDs, the Law on Professional Rehabilitation and Employment of PWDs is in force, providing a strong framework to improve their position in the labor market. This law supports the employment of PWDs through subsidies and financial assistance to em</w:t>
      </w:r>
      <w:r w:rsidRPr="00A543FB">
        <w:rPr>
          <w:rFonts w:ascii="Times New Roman" w:hAnsi="Times New Roman" w:cs="Times New Roman"/>
        </w:rPr>
        <w:t>ployers, the implementation of professional rehabilitation programs that empower PWDs and prepare them for the labor market, and social inclusion programs aimed at creating equal opportunities and preventing discrimination. At the end of 2024, 2,919 employ</w:t>
      </w:r>
      <w:r w:rsidRPr="00A543FB">
        <w:rPr>
          <w:rFonts w:ascii="Times New Roman" w:hAnsi="Times New Roman" w:cs="Times New Roman"/>
        </w:rPr>
        <w:t xml:space="preserve">ers were eligible for wage subsidies for 4,550 PWDs, of whom 2,310 were women and 2,240 were men. Among them, 4,158 persons were employed on a permanent basis, and 392 PWDs were employed on a fixed-term basis. </w:t>
      </w:r>
    </w:p>
    <w:p w:rsidR="00537409" w:rsidRPr="00A543FB" w:rsidRDefault="00DD6520" w:rsidP="00CE61B5">
      <w:pPr>
        <w:pStyle w:val="1tekst"/>
        <w:shd w:val="clear" w:color="auto" w:fill="FFFFFF"/>
        <w:spacing w:before="0" w:beforeAutospacing="0" w:after="0" w:afterAutospacing="0" w:line="360" w:lineRule="auto"/>
        <w:contextualSpacing/>
        <w:rPr>
          <w:sz w:val="22"/>
          <w:szCs w:val="22"/>
        </w:rPr>
      </w:pPr>
      <w:r w:rsidRPr="00A543FB">
        <w:rPr>
          <w:sz w:val="22"/>
          <w:szCs w:val="22"/>
        </w:rPr>
        <w:tab/>
        <w:t xml:space="preserve"> </w:t>
      </w:r>
    </w:p>
    <w:p w:rsidR="00A2271A" w:rsidRPr="00A543FB" w:rsidRDefault="00DD6520" w:rsidP="00A2271A">
      <w:pPr>
        <w:pStyle w:val="BodyText3"/>
        <w:spacing w:line="360" w:lineRule="auto"/>
        <w:contextualSpacing/>
        <w:rPr>
          <w:b/>
          <w:sz w:val="22"/>
          <w:szCs w:val="22"/>
        </w:rPr>
      </w:pPr>
      <w:r w:rsidRPr="00A543FB">
        <w:rPr>
          <w:b/>
          <w:bCs w:val="0"/>
        </w:rPr>
        <w:t xml:space="preserve">13. </w:t>
      </w:r>
      <w:r w:rsidR="007F5577" w:rsidRPr="00A543FB">
        <w:rPr>
          <w:b/>
          <w:sz w:val="22"/>
          <w:szCs w:val="22"/>
        </w:rPr>
        <w:t xml:space="preserve">Minimum Wage </w:t>
      </w:r>
    </w:p>
    <w:p w:rsidR="007F5577" w:rsidRPr="00A543FB" w:rsidRDefault="00DD6520" w:rsidP="007F5577">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The Committee is concern</w:t>
      </w:r>
      <w:r w:rsidRPr="00A543FB">
        <w:rPr>
          <w:rFonts w:ascii="Times New Roman" w:hAnsi="Times New Roman" w:cs="Times New Roman"/>
          <w:b/>
          <w:bCs/>
        </w:rPr>
        <w:t xml:space="preserve">ed about the low minimum wage, which is clearly insufficient to ensure a decent living (Article 7). </w:t>
      </w:r>
    </w:p>
    <w:p w:rsidR="007F5577" w:rsidRPr="00A543FB" w:rsidRDefault="00DD6520" w:rsidP="007F5577">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The Committee recommends that States Parties increase the nationally determined minimum wage and periodically review and set it at a level sufficient to en</w:t>
      </w:r>
      <w:r w:rsidRPr="00A543FB">
        <w:rPr>
          <w:rFonts w:ascii="Times New Roman" w:hAnsi="Times New Roman" w:cs="Times New Roman"/>
          <w:b/>
          <w:bCs/>
        </w:rPr>
        <w:t xml:space="preserve">sure a decent standard of living for all workers and their families. </w:t>
      </w:r>
    </w:p>
    <w:p w:rsidR="007F5577" w:rsidRPr="00A543FB" w:rsidRDefault="00DD6520" w:rsidP="007F5577">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In 2014, the minimum wage in Montenegro, before taxes </w:t>
      </w:r>
      <w:r w:rsidR="00667B0B" w:rsidRPr="00A543FB">
        <w:rPr>
          <w:rFonts w:ascii="Times New Roman" w:hAnsi="Times New Roman" w:cs="Times New Roman"/>
        </w:rPr>
        <w:t>and contributions, was €193, according</w:t>
      </w:r>
      <w:r w:rsidRPr="00A543FB">
        <w:rPr>
          <w:rFonts w:ascii="Times New Roman" w:hAnsi="Times New Roman" w:cs="Times New Roman"/>
        </w:rPr>
        <w:t xml:space="preserve"> </w:t>
      </w:r>
      <w:r w:rsidR="00667B0B" w:rsidRPr="00A543FB">
        <w:rPr>
          <w:rFonts w:ascii="Times New Roman" w:hAnsi="Times New Roman" w:cs="Times New Roman"/>
        </w:rPr>
        <w:t xml:space="preserve">to </w:t>
      </w:r>
      <w:r w:rsidRPr="00A543FB">
        <w:rPr>
          <w:rFonts w:ascii="Times New Roman" w:hAnsi="Times New Roman" w:cs="Times New Roman"/>
        </w:rPr>
        <w:t>the Government’s decision on establishing the minimum wage, adopted on the proposal of the</w:t>
      </w:r>
      <w:r w:rsidRPr="00A543FB">
        <w:rPr>
          <w:rFonts w:ascii="Times New Roman" w:hAnsi="Times New Roman" w:cs="Times New Roman"/>
        </w:rPr>
        <w:t xml:space="preserve"> Social Council. In 2019, it </w:t>
      </w:r>
      <w:r w:rsidR="00667B0B" w:rsidRPr="00A543FB">
        <w:rPr>
          <w:rFonts w:ascii="Times New Roman" w:hAnsi="Times New Roman" w:cs="Times New Roman"/>
        </w:rPr>
        <w:t>was €222, and in 2021,</w:t>
      </w:r>
      <w:r w:rsidRPr="00A543FB">
        <w:rPr>
          <w:rFonts w:ascii="Times New Roman" w:hAnsi="Times New Roman" w:cs="Times New Roman"/>
        </w:rPr>
        <w:t xml:space="preserve"> €250. From January 2022, </w:t>
      </w:r>
      <w:r w:rsidR="00667B0B" w:rsidRPr="00A543FB">
        <w:rPr>
          <w:rFonts w:ascii="Times New Roman" w:hAnsi="Times New Roman" w:cs="Times New Roman"/>
        </w:rPr>
        <w:t>pursuant to</w:t>
      </w:r>
      <w:r w:rsidRPr="00A543FB">
        <w:rPr>
          <w:rFonts w:ascii="Times New Roman" w:hAnsi="Times New Roman" w:cs="Times New Roman"/>
        </w:rPr>
        <w:t xml:space="preserve"> the </w:t>
      </w:r>
      <w:r w:rsidR="0015317E" w:rsidRPr="00A543FB">
        <w:rPr>
          <w:rFonts w:ascii="Times New Roman" w:hAnsi="Times New Roman" w:cs="Times New Roman"/>
        </w:rPr>
        <w:t xml:space="preserve">LL </w:t>
      </w:r>
      <w:r w:rsidRPr="00A543FB">
        <w:rPr>
          <w:rFonts w:ascii="Times New Roman" w:hAnsi="Times New Roman" w:cs="Times New Roman"/>
        </w:rPr>
        <w:t>and its amendments, the minimum wage in Montenegro was increased to €450. On 1 October 2024, it was further increased to €600 or €800, depending on the level of</w:t>
      </w:r>
      <w:r w:rsidRPr="00A543FB">
        <w:rPr>
          <w:rFonts w:ascii="Times New Roman" w:hAnsi="Times New Roman" w:cs="Times New Roman"/>
        </w:rPr>
        <w:t xml:space="preserve"> qualification, education of employees, and job description. The average net wage in September 2025 in Montenegro was €1,016, representing a 15.8% increase compared to September of the previous year. </w:t>
      </w:r>
    </w:p>
    <w:p w:rsidR="00667B0B" w:rsidRPr="00A543FB" w:rsidRDefault="00667B0B" w:rsidP="007F5577">
      <w:pPr>
        <w:spacing w:after="0" w:line="360" w:lineRule="auto"/>
        <w:contextualSpacing/>
        <w:jc w:val="both"/>
        <w:rPr>
          <w:rFonts w:ascii="Times New Roman" w:hAnsi="Times New Roman" w:cs="Times New Roman"/>
        </w:rPr>
      </w:pPr>
    </w:p>
    <w:p w:rsidR="00810F1D" w:rsidRPr="00A543FB" w:rsidRDefault="00DD6520" w:rsidP="00810F1D">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 xml:space="preserve">14. </w:t>
      </w:r>
      <w:r w:rsidR="00667B0B" w:rsidRPr="00A543FB">
        <w:rPr>
          <w:rFonts w:ascii="Times New Roman" w:hAnsi="Times New Roman" w:cs="Times New Roman"/>
          <w:b/>
          <w:bCs/>
        </w:rPr>
        <w:t xml:space="preserve">Fair and Adequate Working Conditions </w:t>
      </w:r>
    </w:p>
    <w:p w:rsidR="00667B0B" w:rsidRPr="00A543FB" w:rsidRDefault="00DD6520" w:rsidP="00667B0B">
      <w:pPr>
        <w:spacing w:after="0" w:line="360" w:lineRule="auto"/>
        <w:contextualSpacing/>
        <w:jc w:val="both"/>
        <w:rPr>
          <w:rFonts w:ascii="Times New Roman" w:hAnsi="Times New Roman" w:cs="Times New Roman"/>
          <w:b/>
        </w:rPr>
      </w:pPr>
      <w:r w:rsidRPr="00A543FB">
        <w:rPr>
          <w:rFonts w:ascii="Times New Roman" w:hAnsi="Times New Roman" w:cs="Times New Roman"/>
          <w:b/>
        </w:rPr>
        <w:t>The Committee is concerned about reports of violations of workers’ rights to remuneration and the regular payment of social and health insurance contributions in the private sector, and the practice of not converting fixed-term contracts into permanent con</w:t>
      </w:r>
      <w:r w:rsidRPr="00A543FB">
        <w:rPr>
          <w:rFonts w:ascii="Times New Roman" w:hAnsi="Times New Roman" w:cs="Times New Roman"/>
          <w:b/>
        </w:rPr>
        <w:t xml:space="preserve">tracts, as required by the </w:t>
      </w:r>
      <w:r w:rsidR="0015317E" w:rsidRPr="00A543FB">
        <w:rPr>
          <w:rFonts w:ascii="Times New Roman" w:hAnsi="Times New Roman" w:cs="Times New Roman"/>
          <w:b/>
        </w:rPr>
        <w:t>LL</w:t>
      </w:r>
      <w:r w:rsidRPr="00A543FB">
        <w:rPr>
          <w:rFonts w:ascii="Times New Roman" w:hAnsi="Times New Roman" w:cs="Times New Roman"/>
          <w:b/>
        </w:rPr>
        <w:t xml:space="preserve">. It expresses concern about the insufficient capacity of the Administration for Inspection Affairs, including </w:t>
      </w:r>
      <w:r w:rsidR="00532B13" w:rsidRPr="00A543FB">
        <w:rPr>
          <w:rFonts w:ascii="Times New Roman" w:hAnsi="Times New Roman" w:cs="Times New Roman"/>
          <w:b/>
        </w:rPr>
        <w:t>labor</w:t>
      </w:r>
      <w:r w:rsidRPr="00A543FB">
        <w:rPr>
          <w:rFonts w:ascii="Times New Roman" w:hAnsi="Times New Roman" w:cs="Times New Roman"/>
          <w:b/>
        </w:rPr>
        <w:t xml:space="preserve"> inspection, to regulate the informal economy, sanction employers who violate the provisions of the </w:t>
      </w:r>
      <w:r w:rsidR="0015317E" w:rsidRPr="00A543FB">
        <w:rPr>
          <w:rFonts w:ascii="Times New Roman" w:hAnsi="Times New Roman" w:cs="Times New Roman"/>
          <w:b/>
        </w:rPr>
        <w:t>LL</w:t>
      </w:r>
      <w:r w:rsidRPr="00A543FB">
        <w:rPr>
          <w:rFonts w:ascii="Times New Roman" w:hAnsi="Times New Roman" w:cs="Times New Roman"/>
          <w:b/>
        </w:rPr>
        <w:t>, and pre</w:t>
      </w:r>
      <w:r w:rsidRPr="00A543FB">
        <w:rPr>
          <w:rFonts w:ascii="Times New Roman" w:hAnsi="Times New Roman" w:cs="Times New Roman"/>
          <w:b/>
        </w:rPr>
        <w:t xml:space="preserve">vent workplace injuries and occupational diseases (Articles 6 and 7). </w:t>
      </w:r>
    </w:p>
    <w:p w:rsidR="00532B13" w:rsidRPr="00A543FB" w:rsidRDefault="00DD6520" w:rsidP="00667B0B">
      <w:pPr>
        <w:spacing w:after="0" w:line="360" w:lineRule="auto"/>
        <w:contextualSpacing/>
        <w:jc w:val="both"/>
        <w:rPr>
          <w:rFonts w:ascii="Times New Roman" w:hAnsi="Times New Roman" w:cs="Times New Roman"/>
          <w:b/>
        </w:rPr>
      </w:pPr>
      <w:r w:rsidRPr="00A543FB">
        <w:rPr>
          <w:rFonts w:ascii="Times New Roman" w:hAnsi="Times New Roman" w:cs="Times New Roman"/>
          <w:b/>
        </w:rPr>
        <w:t>The Committee calls on States Parties to take effective measures to ensure that private companies respect their obligations regarding workers’ rights to remuneration and the regular pay</w:t>
      </w:r>
      <w:r w:rsidRPr="00A543FB">
        <w:rPr>
          <w:rFonts w:ascii="Times New Roman" w:hAnsi="Times New Roman" w:cs="Times New Roman"/>
          <w:b/>
        </w:rPr>
        <w:t xml:space="preserve">ment of social and health insurance contributions, and the right to a permanent employment contract, as established by the Law. </w:t>
      </w:r>
    </w:p>
    <w:p w:rsidR="00532B13" w:rsidRPr="00A543FB" w:rsidRDefault="00DD6520" w:rsidP="00532B13">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 xml:space="preserve">The </w:t>
      </w:r>
      <w:r w:rsidR="0015317E" w:rsidRPr="00A543FB">
        <w:rPr>
          <w:rFonts w:ascii="Times New Roman" w:hAnsi="Times New Roman" w:cs="Times New Roman"/>
        </w:rPr>
        <w:t xml:space="preserve">LL </w:t>
      </w:r>
      <w:r w:rsidRPr="00A543FB">
        <w:rPr>
          <w:rFonts w:ascii="Times New Roman" w:hAnsi="Times New Roman" w:cs="Times New Roman"/>
        </w:rPr>
        <w:t>applies to employees working on Montenegro’s territory for domestic or foreign legal or natural persons, and to employee</w:t>
      </w:r>
      <w:r w:rsidRPr="00A543FB">
        <w:rPr>
          <w:rFonts w:ascii="Times New Roman" w:hAnsi="Times New Roman" w:cs="Times New Roman"/>
        </w:rPr>
        <w:t>s sent abroad by an employer based in Montenegro, unless otherwise specified by a special law. This law also applies to employees in state bodies, state administration authorities, local self-government units, and public services, unless otherwise provided</w:t>
      </w:r>
      <w:r w:rsidRPr="00A543FB">
        <w:rPr>
          <w:rFonts w:ascii="Times New Roman" w:hAnsi="Times New Roman" w:cs="Times New Roman"/>
        </w:rPr>
        <w:t xml:space="preserve"> by a special law. The law further applies to foreign employees working for an employer on the territory of Montenegro, unless otherwise specified by a special law. It applies to natural persons engaged in economic activities for profit, provided they do n</w:t>
      </w:r>
      <w:r w:rsidRPr="00A543FB">
        <w:rPr>
          <w:rFonts w:ascii="Times New Roman" w:hAnsi="Times New Roman" w:cs="Times New Roman"/>
        </w:rPr>
        <w:t xml:space="preserve">ot perform these activities on behalf of another person. The </w:t>
      </w:r>
      <w:r w:rsidR="0015317E" w:rsidRPr="00A543FB">
        <w:rPr>
          <w:rFonts w:ascii="Times New Roman" w:hAnsi="Times New Roman" w:cs="Times New Roman"/>
        </w:rPr>
        <w:t xml:space="preserve">LL </w:t>
      </w:r>
      <w:r w:rsidRPr="00A543FB">
        <w:rPr>
          <w:rFonts w:ascii="Times New Roman" w:hAnsi="Times New Roman" w:cs="Times New Roman"/>
        </w:rPr>
        <w:t>establishes that employees have the right to</w:t>
      </w:r>
      <w:r w:rsidR="00C305E5" w:rsidRPr="00A543FB">
        <w:rPr>
          <w:rFonts w:ascii="Times New Roman" w:hAnsi="Times New Roman" w:cs="Times New Roman"/>
        </w:rPr>
        <w:t xml:space="preserve"> a</w:t>
      </w:r>
      <w:r w:rsidRPr="00A543FB">
        <w:rPr>
          <w:rFonts w:ascii="Times New Roman" w:hAnsi="Times New Roman" w:cs="Times New Roman"/>
        </w:rPr>
        <w:t xml:space="preserve"> </w:t>
      </w:r>
      <w:r w:rsidR="00C305E5" w:rsidRPr="00A543FB">
        <w:rPr>
          <w:rFonts w:ascii="Times New Roman" w:hAnsi="Times New Roman" w:cs="Times New Roman"/>
        </w:rPr>
        <w:t>salary</w:t>
      </w:r>
      <w:r w:rsidRPr="00A543FB">
        <w:rPr>
          <w:rFonts w:ascii="Times New Roman" w:hAnsi="Times New Roman" w:cs="Times New Roman"/>
        </w:rPr>
        <w:t xml:space="preserve">, determined in accordance with the law, collective agreements, and employment contracts. </w:t>
      </w:r>
    </w:p>
    <w:p w:rsidR="00C305E5" w:rsidRPr="00A543FB" w:rsidRDefault="00DD6520" w:rsidP="0015317E">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Wages are paid into the employee’s current account within the deadlines established by the collective and employment agreement, at least once a month. When paying wages, the employer has to provide the employee with a payroll statement. If the employer is </w:t>
      </w:r>
      <w:r w:rsidRPr="00A543FB">
        <w:rPr>
          <w:rFonts w:ascii="Times New Roman" w:hAnsi="Times New Roman" w:cs="Times New Roman"/>
        </w:rPr>
        <w:t xml:space="preserve">unable to pay wages on the due date, or does not pay them in full, they </w:t>
      </w:r>
      <w:r w:rsidR="00993076" w:rsidRPr="00A543FB">
        <w:rPr>
          <w:rFonts w:ascii="Times New Roman" w:hAnsi="Times New Roman" w:cs="Times New Roman"/>
        </w:rPr>
        <w:t>have</w:t>
      </w:r>
      <w:r w:rsidRPr="00A543FB">
        <w:rPr>
          <w:rFonts w:ascii="Times New Roman" w:hAnsi="Times New Roman" w:cs="Times New Roman"/>
        </w:rPr>
        <w:t xml:space="preserve"> to provide the employee, by the end of the month in which the payment is due, with a payroll statement for the wages they were required to pay, which </w:t>
      </w:r>
      <w:r w:rsidR="00993076" w:rsidRPr="00A543FB">
        <w:rPr>
          <w:rFonts w:ascii="Times New Roman" w:hAnsi="Times New Roman" w:cs="Times New Roman"/>
        </w:rPr>
        <w:t>is</w:t>
      </w:r>
      <w:r w:rsidRPr="00A543FB">
        <w:rPr>
          <w:rFonts w:ascii="Times New Roman" w:hAnsi="Times New Roman" w:cs="Times New Roman"/>
        </w:rPr>
        <w:t xml:space="preserve"> an enforceable document. A</w:t>
      </w:r>
      <w:r w:rsidRPr="00A543FB">
        <w:rPr>
          <w:rFonts w:ascii="Times New Roman" w:hAnsi="Times New Roman" w:cs="Times New Roman"/>
        </w:rPr>
        <w:t xml:space="preserve"> legal entity will be fined between €2,000 and €20,000 if it does not pay wages to the employee at least once a month, </w:t>
      </w:r>
      <w:r w:rsidR="00993076" w:rsidRPr="00A543FB">
        <w:rPr>
          <w:rFonts w:ascii="Times New Roman" w:hAnsi="Times New Roman" w:cs="Times New Roman"/>
        </w:rPr>
        <w:t>or if, in cases where it could not pay wages in full, it does not provide the employee with a payroll statement for the wages it has paid or was obliged to pay</w:t>
      </w:r>
      <w:r w:rsidRPr="00A543FB">
        <w:rPr>
          <w:rFonts w:ascii="Times New Roman" w:hAnsi="Times New Roman" w:cs="Times New Roman"/>
        </w:rPr>
        <w:t xml:space="preserve">. </w:t>
      </w:r>
      <w:r w:rsidR="00E900FB" w:rsidRPr="00A543FB">
        <w:rPr>
          <w:rFonts w:ascii="Times New Roman" w:hAnsi="Times New Roman" w:cs="Times New Roman"/>
        </w:rPr>
        <w:t xml:space="preserve">Regarding the establishment of permanent employment, the </w:t>
      </w:r>
      <w:r w:rsidR="0015317E" w:rsidRPr="00A543FB">
        <w:rPr>
          <w:rFonts w:ascii="Times New Roman" w:hAnsi="Times New Roman" w:cs="Times New Roman"/>
        </w:rPr>
        <w:t xml:space="preserve">LL </w:t>
      </w:r>
      <w:r w:rsidR="00E900FB" w:rsidRPr="00A543FB">
        <w:rPr>
          <w:rFonts w:ascii="Times New Roman" w:hAnsi="Times New Roman" w:cs="Times New Roman"/>
        </w:rPr>
        <w:t xml:space="preserve">provides that an employment contract is concluded for an indefinite period and binds the parties until one of them terminates it or it ends in another manner as provided by this Law. If the contract does not specify a fixed term, it is considered to be concluded for an indefinite period. An employment contract may exceptionally be concluded for a fixed term, where its end is predetermined by a specific period, the completion of a particular task, or the occurrence of a specific event. An employer cannot conclude one or more fixed-term contracts with the same employee if their total duration, whether continuous or intermittent, exceeds 24 months. </w:t>
      </w:r>
      <w:r w:rsidR="0015317E" w:rsidRPr="00A543FB">
        <w:rPr>
          <w:rFonts w:ascii="Times New Roman" w:hAnsi="Times New Roman" w:cs="Times New Roman"/>
        </w:rPr>
        <w:t xml:space="preserve">If an employee continues to work for an employer after the expiry of a fixed-term contract, it is considered that a permanent employment relationship has been established. Additionally, Article 31 of the LL provides that an employment contract must specify the type of contract (permanent or fixed-term), the duration of a fixed-term contract, and the grounds for concluding a fixed-term contract. A legal entity will be fined between €2,000 and €20,000 if it fails to conclude an employment contract in accordance with Article 31 of this Law. Article 33 of the LL requires employers to register employees for compulsory social insurance (health, pension, disability, and unemployment insurance) in accordance with the law on the first day of work and to submit the registration to the competent authority within eight days from the start of employment. </w:t>
      </w:r>
      <w:r w:rsidR="00E15823" w:rsidRPr="00A543FB">
        <w:rPr>
          <w:rFonts w:ascii="Times New Roman" w:hAnsi="Times New Roman" w:cs="Times New Roman"/>
        </w:rPr>
        <w:t>A legal entity will be fined between €2,000 and €20,000 if it fails to comply with</w:t>
      </w:r>
      <w:r w:rsidR="0015317E" w:rsidRPr="00A543FB">
        <w:rPr>
          <w:rFonts w:ascii="Times New Roman" w:hAnsi="Times New Roman" w:cs="Times New Roman"/>
        </w:rPr>
        <w:t xml:space="preserve"> provision. The employer is obliged to provide the employee with a copy of the compulsory social insurance registration no later than five days after </w:t>
      </w:r>
      <w:r w:rsidR="00B82D02" w:rsidRPr="00A543FB">
        <w:rPr>
          <w:rFonts w:ascii="Times New Roman" w:hAnsi="Times New Roman" w:cs="Times New Roman"/>
        </w:rPr>
        <w:t>the competent authority issues it</w:t>
      </w:r>
      <w:r w:rsidR="0015317E" w:rsidRPr="00A543FB">
        <w:rPr>
          <w:rFonts w:ascii="Times New Roman" w:hAnsi="Times New Roman" w:cs="Times New Roman"/>
        </w:rPr>
        <w:t xml:space="preserve">. </w:t>
      </w:r>
    </w:p>
    <w:p w:rsidR="00E15823" w:rsidRPr="00A543FB" w:rsidRDefault="00DD6520" w:rsidP="00E15823">
      <w:pPr>
        <w:spacing w:after="0" w:line="360" w:lineRule="auto"/>
        <w:contextualSpacing/>
        <w:jc w:val="both"/>
        <w:rPr>
          <w:rFonts w:ascii="Times New Roman" w:hAnsi="Times New Roman" w:cs="Times New Roman"/>
        </w:rPr>
      </w:pPr>
      <w:r w:rsidRPr="00A543FB">
        <w:rPr>
          <w:rFonts w:ascii="Times New Roman" w:hAnsi="Times New Roman" w:cs="Times New Roman"/>
        </w:rPr>
        <w:lastRenderedPageBreak/>
        <w:t>Regarding social security contributions, amendments to the Law on Contributions for Compulsory Social Security abolished health insurance contributions for both employees and employers. Am</w:t>
      </w:r>
      <w:r w:rsidRPr="00A543FB">
        <w:rPr>
          <w:rFonts w:ascii="Times New Roman" w:hAnsi="Times New Roman" w:cs="Times New Roman"/>
        </w:rPr>
        <w:t xml:space="preserve">endments to the Law on Contributions for Mandatory Social Insurance changed contribution rates, resulting in a reduction of pension and disability insurance contributions. </w:t>
      </w:r>
      <w:r w:rsidR="00001F60" w:rsidRPr="00A543FB">
        <w:rPr>
          <w:rFonts w:ascii="Times New Roman" w:hAnsi="Times New Roman" w:cs="Times New Roman"/>
        </w:rPr>
        <w:t xml:space="preserve">The </w:t>
      </w:r>
      <w:r w:rsidRPr="00A543FB">
        <w:rPr>
          <w:rFonts w:ascii="Times New Roman" w:hAnsi="Times New Roman" w:cs="Times New Roman"/>
        </w:rPr>
        <w:t xml:space="preserve">employee’s pension insurance contribution was reduced from 15% to 10%, and the </w:t>
      </w:r>
      <w:proofErr w:type="gramStart"/>
      <w:r w:rsidRPr="00A543FB">
        <w:rPr>
          <w:rFonts w:ascii="Times New Roman" w:hAnsi="Times New Roman" w:cs="Times New Roman"/>
        </w:rPr>
        <w:t>e</w:t>
      </w:r>
      <w:r w:rsidRPr="00A543FB">
        <w:rPr>
          <w:rFonts w:ascii="Times New Roman" w:hAnsi="Times New Roman" w:cs="Times New Roman"/>
        </w:rPr>
        <w:t>mployer’s</w:t>
      </w:r>
      <w:proofErr w:type="gramEnd"/>
      <w:r w:rsidRPr="00A543FB">
        <w:rPr>
          <w:rFonts w:ascii="Times New Roman" w:hAnsi="Times New Roman" w:cs="Times New Roman"/>
        </w:rPr>
        <w:t xml:space="preserve"> from 5.5% to 0%. </w:t>
      </w:r>
      <w:r w:rsidR="00001F60" w:rsidRPr="00A543FB">
        <w:rPr>
          <w:rFonts w:ascii="Times New Roman" w:hAnsi="Times New Roman" w:cs="Times New Roman"/>
        </w:rPr>
        <w:t xml:space="preserve">The planned reform reduced the tax burden by lowering pension and disability insurance contributions for both employees and employers from 20.5% to 10%. One expected result of this reform is a reduction in informal employment, i.e., informal “under-the-table” wage payments. It is estimated that lower taxes and payroll costs will lead some employers to formalize previously informal employees and convert the portion of wages that was in the “grey zone” into formal employment. </w:t>
      </w:r>
    </w:p>
    <w:p w:rsidR="00001F60" w:rsidRPr="00A543FB" w:rsidRDefault="00DD6520" w:rsidP="00E15823">
      <w:pPr>
        <w:spacing w:after="0" w:line="360" w:lineRule="auto"/>
        <w:contextualSpacing/>
        <w:jc w:val="both"/>
        <w:rPr>
          <w:rFonts w:ascii="Times New Roman" w:hAnsi="Times New Roman" w:cs="Times New Roman"/>
          <w:b/>
        </w:rPr>
      </w:pPr>
      <w:r w:rsidRPr="00A543FB">
        <w:rPr>
          <w:rFonts w:ascii="Times New Roman" w:hAnsi="Times New Roman" w:cs="Times New Roman"/>
          <w:b/>
        </w:rPr>
        <w:t>The State Party should increase the resources and capacities of the Administration for Inspection Affairs, including the Labor Inspectorate, to regulate the informal economy and ensure fair and satisfactory working conditions through preventive and punitiv</w:t>
      </w:r>
      <w:r w:rsidRPr="00A543FB">
        <w:rPr>
          <w:rFonts w:ascii="Times New Roman" w:hAnsi="Times New Roman" w:cs="Times New Roman"/>
          <w:b/>
        </w:rPr>
        <w:t xml:space="preserve">e measures. </w:t>
      </w:r>
    </w:p>
    <w:p w:rsidR="00D740A8" w:rsidRPr="00A543FB" w:rsidRDefault="00DD6520" w:rsidP="00D740A8">
      <w:pPr>
        <w:spacing w:after="0" w:line="360" w:lineRule="auto"/>
        <w:contextualSpacing/>
        <w:jc w:val="both"/>
        <w:rPr>
          <w:rFonts w:ascii="Times New Roman" w:hAnsi="Times New Roman" w:cs="Times New Roman"/>
        </w:rPr>
      </w:pPr>
      <w:r w:rsidRPr="00A543FB">
        <w:rPr>
          <w:rFonts w:ascii="Times New Roman" w:hAnsi="Times New Roman" w:cs="Times New Roman"/>
        </w:rPr>
        <w:t>Montenegro’s Government reformed the inspection system by dissolving the Administration for Inspection Affairs (which included the Labor Inspectorate) and placing inspections under the relevant ministries as of 1 October 2024. The Labor Inspec</w:t>
      </w:r>
      <w:r w:rsidRPr="00A543FB">
        <w:rPr>
          <w:rFonts w:ascii="Times New Roman" w:hAnsi="Times New Roman" w:cs="Times New Roman"/>
        </w:rPr>
        <w:t>torate is now part of the MLESD. Currently, 26 labor inspectors are employed. Activities are underway to strengthen the administrative capacities of both the Labor Inspectorate and the Occupational Safety and Health Inspectorate. In December 2025, an Actio</w:t>
      </w:r>
      <w:r w:rsidRPr="00A543FB">
        <w:rPr>
          <w:rFonts w:ascii="Times New Roman" w:hAnsi="Times New Roman" w:cs="Times New Roman"/>
        </w:rPr>
        <w:t xml:space="preserve">n Plan for Strengthening the Capacity of the Labor Inspectorate 2025–2027 was adopted. </w:t>
      </w:r>
    </w:p>
    <w:p w:rsidR="00FC5A1B" w:rsidRPr="00A543FB" w:rsidRDefault="00DD6520" w:rsidP="00FC5A1B">
      <w:pPr>
        <w:spacing w:after="0" w:line="360" w:lineRule="auto"/>
        <w:contextualSpacing/>
        <w:jc w:val="both"/>
        <w:rPr>
          <w:rFonts w:ascii="Times New Roman" w:hAnsi="Times New Roman" w:cs="Times New Roman"/>
          <w:b/>
        </w:rPr>
      </w:pPr>
      <w:r w:rsidRPr="00A543FB">
        <w:rPr>
          <w:rFonts w:ascii="Times New Roman" w:hAnsi="Times New Roman" w:cs="Times New Roman"/>
          <w:b/>
          <w:bCs/>
        </w:rPr>
        <w:t>15.</w:t>
      </w:r>
      <w:r w:rsidRPr="00A543FB">
        <w:rPr>
          <w:rFonts w:ascii="Times New Roman" w:hAnsi="Times New Roman" w:cs="Times New Roman"/>
          <w:b/>
        </w:rPr>
        <w:t xml:space="preserve"> </w:t>
      </w:r>
      <w:r w:rsidR="00C53E1C" w:rsidRPr="00A543FB">
        <w:rPr>
          <w:rFonts w:ascii="Times New Roman" w:hAnsi="Times New Roman" w:cs="Times New Roman"/>
          <w:b/>
        </w:rPr>
        <w:t xml:space="preserve">Trade Union Rights </w:t>
      </w:r>
    </w:p>
    <w:p w:rsidR="00C53E1C" w:rsidRPr="00A543FB" w:rsidRDefault="00DD6520" w:rsidP="00FC5A1B">
      <w:pPr>
        <w:spacing w:after="0" w:line="360" w:lineRule="auto"/>
        <w:contextualSpacing/>
        <w:jc w:val="both"/>
        <w:rPr>
          <w:rFonts w:ascii="Times New Roman" w:hAnsi="Times New Roman" w:cs="Times New Roman"/>
          <w:b/>
        </w:rPr>
      </w:pPr>
      <w:r w:rsidRPr="00A543FB">
        <w:rPr>
          <w:rFonts w:ascii="Times New Roman" w:hAnsi="Times New Roman" w:cs="Times New Roman"/>
          <w:b/>
        </w:rPr>
        <w:t>The Committee expresses concern about reports of discriminatory acts by anti-union representatives, and restrictions on the right to strike for public sector employees who do not provide “essential services” or services that would endanger the life, person</w:t>
      </w:r>
      <w:r w:rsidRPr="00A543FB">
        <w:rPr>
          <w:rFonts w:ascii="Times New Roman" w:hAnsi="Times New Roman" w:cs="Times New Roman"/>
          <w:b/>
        </w:rPr>
        <w:t xml:space="preserve">al safety, or health of the population (Article 8). </w:t>
      </w:r>
    </w:p>
    <w:p w:rsidR="00C53E1C" w:rsidRPr="00A543FB" w:rsidRDefault="00DD6520" w:rsidP="00FC5A1B">
      <w:pPr>
        <w:spacing w:after="0" w:line="360" w:lineRule="auto"/>
        <w:contextualSpacing/>
        <w:jc w:val="both"/>
        <w:rPr>
          <w:rFonts w:ascii="Times New Roman" w:hAnsi="Times New Roman" w:cs="Times New Roman"/>
          <w:b/>
        </w:rPr>
      </w:pPr>
      <w:r w:rsidRPr="00A543FB">
        <w:rPr>
          <w:rFonts w:ascii="Times New Roman" w:hAnsi="Times New Roman" w:cs="Times New Roman"/>
          <w:b/>
        </w:rPr>
        <w:t>The Committee calls on States Parties to ensure that workers enjoy the right to freely form and join trade unions. Considering the 2013 Draft Law on Strike, the Committee recommends that public sector em</w:t>
      </w:r>
      <w:r w:rsidRPr="00A543FB">
        <w:rPr>
          <w:rFonts w:ascii="Times New Roman" w:hAnsi="Times New Roman" w:cs="Times New Roman"/>
          <w:b/>
        </w:rPr>
        <w:t xml:space="preserve">ployees who do not provide essential services be granted the right to strike pursuant to Article 8 of the Covenant and ILO Convention No. 87 on Freedom of Association and Protection of the Right to Organize (1948). </w:t>
      </w:r>
    </w:p>
    <w:p w:rsidR="00C53E1C" w:rsidRPr="00A543FB" w:rsidRDefault="00DD6520" w:rsidP="00C53E1C">
      <w:pPr>
        <w:spacing w:after="0" w:line="360" w:lineRule="auto"/>
        <w:contextualSpacing/>
        <w:jc w:val="both"/>
        <w:rPr>
          <w:rFonts w:ascii="Times New Roman" w:hAnsi="Times New Roman" w:cs="Times New Roman"/>
        </w:rPr>
      </w:pPr>
      <w:r w:rsidRPr="00A543FB">
        <w:rPr>
          <w:rFonts w:ascii="Times New Roman" w:hAnsi="Times New Roman" w:cs="Times New Roman"/>
        </w:rPr>
        <w:t>According to strategic priorities and th</w:t>
      </w:r>
      <w:r w:rsidRPr="00A543FB">
        <w:rPr>
          <w:rFonts w:ascii="Times New Roman" w:hAnsi="Times New Roman" w:cs="Times New Roman"/>
        </w:rPr>
        <w:t>e need to further improve the legislative framework for labor and trade union rights, the Directorate for Social Dialogue and Collective Bargaining was established to strengthen social dialogue, complying with the tripartite negotiations principle and deci</w:t>
      </w:r>
      <w:r w:rsidRPr="00A543FB">
        <w:rPr>
          <w:rFonts w:ascii="Times New Roman" w:hAnsi="Times New Roman" w:cs="Times New Roman"/>
        </w:rPr>
        <w:t xml:space="preserve">sion-making based on constructive dialogue. In close cooperation with social partners and international organizations, aiming to ensure the best solutions to advance trade union rights and collective bargaining, a draft of the new Law </w:t>
      </w:r>
      <w:r w:rsidRPr="00A543FB">
        <w:rPr>
          <w:rFonts w:ascii="Times New Roman" w:hAnsi="Times New Roman" w:cs="Times New Roman"/>
        </w:rPr>
        <w:lastRenderedPageBreak/>
        <w:t>on Strike has been pr</w:t>
      </w:r>
      <w:r w:rsidRPr="00A543FB">
        <w:rPr>
          <w:rFonts w:ascii="Times New Roman" w:hAnsi="Times New Roman" w:cs="Times New Roman"/>
        </w:rPr>
        <w:t xml:space="preserve">epared to ensure a balance between every employee’s right to strike and the protection of the fundamental interests of society. </w:t>
      </w:r>
      <w:r w:rsidR="00D27532" w:rsidRPr="00A543FB">
        <w:rPr>
          <w:rFonts w:ascii="Times New Roman" w:hAnsi="Times New Roman" w:cs="Times New Roman"/>
        </w:rPr>
        <w:t xml:space="preserve">Unlike the current restrictive law, the draft distinguishes between activities of public interest and those of vital importance. Existing legal provisions have in practice limited the right to strike. By clearly defining these categories, the draft ensures employees’ rights to protect their economic and social interests while guaranteeing that key societal functions and public safety are not compromised. </w:t>
      </w:r>
      <w:r w:rsidR="00F0263D" w:rsidRPr="00A543FB">
        <w:rPr>
          <w:rFonts w:ascii="Times New Roman" w:hAnsi="Times New Roman" w:cs="Times New Roman"/>
        </w:rPr>
        <w:t xml:space="preserve">The draft Law on Strike aims to address past practical issues, including the restrictive exclusion of certain categories from exercising the right to strike and limitations on the conditions for organizing a strike. The draft has been prepared with the support of the ILO. </w:t>
      </w:r>
    </w:p>
    <w:p w:rsidR="00150D15" w:rsidRPr="00A543FB" w:rsidRDefault="00DD6520" w:rsidP="005D29AB">
      <w:pPr>
        <w:spacing w:line="360" w:lineRule="auto"/>
        <w:contextualSpacing/>
        <w:jc w:val="both"/>
        <w:rPr>
          <w:rFonts w:ascii="Times New Roman" w:eastAsia="Times New Roman" w:hAnsi="Times New Roman" w:cs="Times New Roman"/>
        </w:rPr>
      </w:pPr>
      <w:r w:rsidRPr="00A543FB">
        <w:rPr>
          <w:rFonts w:ascii="Times New Roman" w:eastAsia="Times New Roman" w:hAnsi="Times New Roman" w:cs="Times New Roman"/>
        </w:rPr>
        <w:t xml:space="preserve">Regarding trade union organization, it should be noted that a new draft Law on the Representativeness of Trade Unions and Employers’ Associations is currently under preparation. The draft aims to address </w:t>
      </w:r>
      <w:r w:rsidR="005D29AB" w:rsidRPr="00A543FB">
        <w:rPr>
          <w:rFonts w:ascii="Times New Roman" w:eastAsia="Times New Roman" w:hAnsi="Times New Roman" w:cs="Times New Roman"/>
        </w:rPr>
        <w:t>practical issues in applying this</w:t>
      </w:r>
      <w:r w:rsidRPr="00A543FB">
        <w:rPr>
          <w:rFonts w:ascii="Times New Roman" w:eastAsia="Times New Roman" w:hAnsi="Times New Roman" w:cs="Times New Roman"/>
        </w:rPr>
        <w:t xml:space="preserve"> law, particularly in cases </w:t>
      </w:r>
      <w:r w:rsidR="005D29AB" w:rsidRPr="00A543FB">
        <w:rPr>
          <w:rFonts w:ascii="Times New Roman" w:eastAsia="Times New Roman" w:hAnsi="Times New Roman" w:cs="Times New Roman"/>
        </w:rPr>
        <w:t xml:space="preserve">related to the procedure for determining representativeness at the employer level, or </w:t>
      </w:r>
      <w:r w:rsidRPr="00A543FB">
        <w:rPr>
          <w:rFonts w:ascii="Times New Roman" w:eastAsia="Times New Roman" w:hAnsi="Times New Roman" w:cs="Times New Roman"/>
        </w:rPr>
        <w:t>where employers refused to issue a decision on representativeness at the workplace level. The new draft provides mechan</w:t>
      </w:r>
      <w:r w:rsidRPr="00A543FB">
        <w:rPr>
          <w:rFonts w:ascii="Times New Roman" w:eastAsia="Times New Roman" w:hAnsi="Times New Roman" w:cs="Times New Roman"/>
        </w:rPr>
        <w:t>isms</w:t>
      </w:r>
      <w:r w:rsidR="005D29AB" w:rsidRPr="00A543FB">
        <w:rPr>
          <w:rFonts w:ascii="Times New Roman" w:eastAsia="Times New Roman" w:hAnsi="Times New Roman" w:cs="Times New Roman"/>
        </w:rPr>
        <w:t xml:space="preserve"> for overcoming these situations by ensuring</w:t>
      </w:r>
      <w:r w:rsidRPr="00A543FB">
        <w:rPr>
          <w:rFonts w:ascii="Times New Roman" w:eastAsia="Times New Roman" w:hAnsi="Times New Roman" w:cs="Times New Roman"/>
        </w:rPr>
        <w:t xml:space="preserve"> that trade unions can acquire representative status through the prescribed procedure even in such cases. In Montenegro, 1,986 trade union organizations are registered, of which 619 have attained representati</w:t>
      </w:r>
      <w:r w:rsidRPr="00A543FB">
        <w:rPr>
          <w:rFonts w:ascii="Times New Roman" w:eastAsia="Times New Roman" w:hAnsi="Times New Roman" w:cs="Times New Roman"/>
        </w:rPr>
        <w:t xml:space="preserve">ve status. </w:t>
      </w:r>
    </w:p>
    <w:p w:rsidR="005D29AB" w:rsidRPr="00A543FB" w:rsidRDefault="00DD6520" w:rsidP="005D29AB">
      <w:pPr>
        <w:spacing w:after="0" w:line="360" w:lineRule="auto"/>
        <w:contextualSpacing/>
        <w:rPr>
          <w:rFonts w:ascii="Segoe UI" w:eastAsia="Times New Roman" w:hAnsi="Segoe UI" w:cs="Segoe UI"/>
        </w:rPr>
      </w:pPr>
      <w:r w:rsidRPr="00A543FB">
        <w:rPr>
          <w:rFonts w:ascii="Times New Roman" w:hAnsi="Times New Roman" w:cs="Times New Roman"/>
          <w:b/>
          <w:bCs/>
        </w:rPr>
        <w:t>16.</w:t>
      </w:r>
      <w:r w:rsidRPr="00A543FB">
        <w:rPr>
          <w:rFonts w:ascii="Times New Roman" w:hAnsi="Times New Roman" w:cs="Times New Roman"/>
          <w:bCs/>
        </w:rPr>
        <w:t xml:space="preserve"> </w:t>
      </w:r>
      <w:r w:rsidRPr="00A543FB">
        <w:rPr>
          <w:rFonts w:ascii="Times New Roman" w:hAnsi="Times New Roman" w:cs="Times New Roman"/>
          <w:b/>
          <w:bCs/>
        </w:rPr>
        <w:t>Social Security</w:t>
      </w:r>
      <w:r w:rsidRPr="00A543FB">
        <w:rPr>
          <w:rFonts w:ascii="Times New Roman" w:hAnsi="Times New Roman" w:cs="Times New Roman"/>
          <w:bCs/>
        </w:rPr>
        <w:t xml:space="preserve"> </w:t>
      </w:r>
    </w:p>
    <w:p w:rsidR="005D29AB" w:rsidRPr="00517E74" w:rsidRDefault="00DD6520" w:rsidP="005D29AB">
      <w:pPr>
        <w:spacing w:after="0" w:line="360" w:lineRule="auto"/>
        <w:contextualSpacing/>
        <w:jc w:val="both"/>
        <w:rPr>
          <w:rFonts w:ascii="Times New Roman" w:hAnsi="Times New Roman" w:cs="Times New Roman"/>
          <w:bCs/>
        </w:rPr>
      </w:pPr>
      <w:r w:rsidRPr="00517E74">
        <w:rPr>
          <w:rFonts w:ascii="Times New Roman" w:hAnsi="Times New Roman" w:cs="Times New Roman"/>
          <w:bCs/>
        </w:rPr>
        <w:t>While welcoming the adoption of the Law on Social and Child Protection in May 2013, the Committee is concerned about the lack of state institutions capacity to effectively implement the law</w:t>
      </w:r>
      <w:r w:rsidR="00252850" w:rsidRPr="00517E74">
        <w:rPr>
          <w:rFonts w:ascii="Times New Roman" w:hAnsi="Times New Roman" w:cs="Times New Roman"/>
          <w:bCs/>
        </w:rPr>
        <w:t xml:space="preserve">, and </w:t>
      </w:r>
      <w:r w:rsidRPr="00517E74">
        <w:rPr>
          <w:rFonts w:ascii="Times New Roman" w:hAnsi="Times New Roman" w:cs="Times New Roman"/>
          <w:bCs/>
        </w:rPr>
        <w:t xml:space="preserve">that social benefits, including those for the unemployed, older persons, and </w:t>
      </w:r>
      <w:r w:rsidR="00252850" w:rsidRPr="00517E74">
        <w:rPr>
          <w:rFonts w:ascii="Times New Roman" w:hAnsi="Times New Roman" w:cs="Times New Roman"/>
          <w:bCs/>
        </w:rPr>
        <w:t>PWDs</w:t>
      </w:r>
      <w:r w:rsidRPr="00517E74">
        <w:rPr>
          <w:rFonts w:ascii="Times New Roman" w:hAnsi="Times New Roman" w:cs="Times New Roman"/>
          <w:bCs/>
        </w:rPr>
        <w:t>, are inadequate to ensure an adequate standard of living for the individuals concerned and their families (Article 9).</w:t>
      </w:r>
      <w:r w:rsidR="00252850" w:rsidRPr="00517E74">
        <w:rPr>
          <w:rFonts w:ascii="Times New Roman" w:hAnsi="Times New Roman" w:cs="Times New Roman"/>
          <w:bCs/>
        </w:rPr>
        <w:t xml:space="preserve"> </w:t>
      </w:r>
    </w:p>
    <w:p w:rsidR="00252850" w:rsidRPr="00A543FB" w:rsidRDefault="00DD6520" w:rsidP="00252850">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 xml:space="preserve">The Committee calls on States Parties to: </w:t>
      </w:r>
    </w:p>
    <w:p w:rsidR="00252850" w:rsidRPr="00A543FB" w:rsidRDefault="00DD6520" w:rsidP="00252850">
      <w:pPr>
        <w:spacing w:after="0" w:line="360" w:lineRule="auto"/>
        <w:contextualSpacing/>
        <w:jc w:val="both"/>
        <w:rPr>
          <w:rFonts w:ascii="Times New Roman" w:hAnsi="Times New Roman" w:cs="Times New Roman"/>
          <w:b/>
          <w:bCs/>
        </w:rPr>
      </w:pPr>
      <w:r w:rsidRPr="00A543FB">
        <w:rPr>
          <w:rFonts w:ascii="Times New Roman" w:hAnsi="Times New Roman" w:cs="Times New Roman"/>
          <w:b/>
          <w:bCs/>
        </w:rPr>
        <w:t>(a)Ensure t</w:t>
      </w:r>
      <w:r w:rsidRPr="00A543FB">
        <w:rPr>
          <w:rFonts w:ascii="Times New Roman" w:hAnsi="Times New Roman" w:cs="Times New Roman"/>
          <w:b/>
          <w:bCs/>
        </w:rPr>
        <w:t xml:space="preserve">he effective implementation of the Law on Social and Child Protection in practice, including strengthening capacities and improving coordination among state institutions; </w:t>
      </w:r>
    </w:p>
    <w:p w:rsidR="00252850" w:rsidRPr="00A543FB" w:rsidRDefault="00DD6520" w:rsidP="00252850">
      <w:pPr>
        <w:spacing w:after="0" w:line="360" w:lineRule="auto"/>
        <w:contextualSpacing/>
        <w:jc w:val="both"/>
        <w:rPr>
          <w:rFonts w:ascii="Times New Roman" w:hAnsi="Times New Roman" w:cs="Times New Roman"/>
          <w:bCs/>
        </w:rPr>
      </w:pPr>
      <w:r w:rsidRPr="00A543FB">
        <w:rPr>
          <w:rFonts w:ascii="Times New Roman" w:hAnsi="Times New Roman" w:cs="Times New Roman"/>
          <w:bCs/>
        </w:rPr>
        <w:t>Social and child protection, in terms of material benefits, is applied through the L</w:t>
      </w:r>
      <w:r w:rsidRPr="00A543FB">
        <w:rPr>
          <w:rFonts w:ascii="Times New Roman" w:hAnsi="Times New Roman" w:cs="Times New Roman"/>
          <w:bCs/>
        </w:rPr>
        <w:t xml:space="preserve">aw on Social and Child Protection and the Law on Administrative Procedure in an efficient and timely manner. This </w:t>
      </w:r>
      <w:r w:rsidR="00A233E2" w:rsidRPr="00A543FB">
        <w:rPr>
          <w:rFonts w:ascii="Times New Roman" w:hAnsi="Times New Roman" w:cs="Times New Roman"/>
          <w:bCs/>
        </w:rPr>
        <w:t>was made possible</w:t>
      </w:r>
      <w:r w:rsidRPr="00A543FB">
        <w:rPr>
          <w:rFonts w:ascii="Times New Roman" w:hAnsi="Times New Roman" w:cs="Times New Roman"/>
          <w:bCs/>
        </w:rPr>
        <w:t xml:space="preserve"> by the Social Protection Information System </w:t>
      </w:r>
      <w:r w:rsidR="00A233E2" w:rsidRPr="00A543FB">
        <w:rPr>
          <w:rFonts w:ascii="Times New Roman" w:hAnsi="Times New Roman" w:cs="Times New Roman"/>
          <w:bCs/>
        </w:rPr>
        <w:t xml:space="preserve">implementation </w:t>
      </w:r>
      <w:r w:rsidRPr="00A543FB">
        <w:rPr>
          <w:rFonts w:ascii="Times New Roman" w:hAnsi="Times New Roman" w:cs="Times New Roman"/>
          <w:bCs/>
        </w:rPr>
        <w:t xml:space="preserve">in 2015, which significantly </w:t>
      </w:r>
      <w:r w:rsidR="00A233E2" w:rsidRPr="00A543FB">
        <w:rPr>
          <w:rFonts w:ascii="Times New Roman" w:hAnsi="Times New Roman" w:cs="Times New Roman"/>
          <w:bCs/>
        </w:rPr>
        <w:t xml:space="preserve">facilitated </w:t>
      </w:r>
      <w:r w:rsidRPr="00A543FB">
        <w:rPr>
          <w:rFonts w:ascii="Times New Roman" w:hAnsi="Times New Roman" w:cs="Times New Roman"/>
          <w:bCs/>
        </w:rPr>
        <w:t>the process of exercisin</w:t>
      </w:r>
      <w:r w:rsidRPr="00A543FB">
        <w:rPr>
          <w:rFonts w:ascii="Times New Roman" w:hAnsi="Times New Roman" w:cs="Times New Roman"/>
          <w:bCs/>
        </w:rPr>
        <w:t xml:space="preserve">g rights. The system is connected to nine information systems of other institutions, allowing for the official collection of data on income, property, and other statuses affecting </w:t>
      </w:r>
      <w:r w:rsidR="00A233E2" w:rsidRPr="00A543FB">
        <w:rPr>
          <w:rFonts w:ascii="Times New Roman" w:hAnsi="Times New Roman" w:cs="Times New Roman"/>
          <w:bCs/>
        </w:rPr>
        <w:t>rights entitlement</w:t>
      </w:r>
      <w:r w:rsidRPr="00A543FB">
        <w:rPr>
          <w:rFonts w:ascii="Times New Roman" w:hAnsi="Times New Roman" w:cs="Times New Roman"/>
          <w:bCs/>
        </w:rPr>
        <w:t xml:space="preserve">. </w:t>
      </w:r>
    </w:p>
    <w:p w:rsidR="00A233E2" w:rsidRPr="00A543FB" w:rsidRDefault="00DD6520" w:rsidP="00252850">
      <w:pPr>
        <w:spacing w:after="0" w:line="360" w:lineRule="auto"/>
        <w:contextualSpacing/>
        <w:jc w:val="both"/>
        <w:rPr>
          <w:rFonts w:ascii="Times New Roman" w:hAnsi="Times New Roman" w:cs="Times New Roman"/>
          <w:bCs/>
        </w:rPr>
      </w:pPr>
      <w:r w:rsidRPr="00A543FB">
        <w:rPr>
          <w:rFonts w:ascii="Times New Roman" w:hAnsi="Times New Roman" w:cs="Times New Roman"/>
          <w:b/>
          <w:bCs/>
        </w:rPr>
        <w:t>(b)Increase social assistance benefits, considering the</w:t>
      </w:r>
      <w:r w:rsidRPr="00A543FB">
        <w:rPr>
          <w:rFonts w:ascii="Times New Roman" w:hAnsi="Times New Roman" w:cs="Times New Roman"/>
          <w:b/>
          <w:bCs/>
        </w:rPr>
        <w:t xml:space="preserve"> Committee’s General Comment No. 19 (2007) on the right to social security, to ensure that all individuals and families in States Parties, including the unemployed, older persons, and PWDs, enjoy an adequate standard of living;</w:t>
      </w:r>
      <w:r w:rsidRPr="00A543FB">
        <w:rPr>
          <w:rFonts w:ascii="Times New Roman" w:hAnsi="Times New Roman" w:cs="Times New Roman"/>
          <w:bCs/>
        </w:rPr>
        <w:t xml:space="preserve"> </w:t>
      </w:r>
    </w:p>
    <w:p w:rsidR="00A233E2" w:rsidRPr="00A543FB" w:rsidRDefault="00DD6520" w:rsidP="00252850">
      <w:pPr>
        <w:spacing w:after="0" w:line="360" w:lineRule="auto"/>
        <w:contextualSpacing/>
        <w:jc w:val="both"/>
        <w:rPr>
          <w:rFonts w:ascii="Times New Roman" w:hAnsi="Times New Roman" w:cs="Times New Roman"/>
          <w:bCs/>
        </w:rPr>
      </w:pPr>
      <w:r w:rsidRPr="00A543FB">
        <w:rPr>
          <w:rFonts w:ascii="Times New Roman" w:hAnsi="Times New Roman" w:cs="Times New Roman"/>
          <w:bCs/>
        </w:rPr>
        <w:lastRenderedPageBreak/>
        <w:t>Pursuant to the Law on Soci</w:t>
      </w:r>
      <w:r w:rsidRPr="00A543FB">
        <w:rPr>
          <w:rFonts w:ascii="Times New Roman" w:hAnsi="Times New Roman" w:cs="Times New Roman"/>
          <w:bCs/>
        </w:rPr>
        <w:t xml:space="preserve">al and Child Protection, the amount of material support and personal disability allowances is adjusted based on changes in the cost of living and the average wages in Montenegro, using statistical data from the previous six months. </w:t>
      </w:r>
      <w:r w:rsidR="007B34E9" w:rsidRPr="00A543FB">
        <w:rPr>
          <w:rFonts w:ascii="Times New Roman" w:hAnsi="Times New Roman" w:cs="Times New Roman"/>
          <w:bCs/>
        </w:rPr>
        <w:t>The adjustment is calculated as the sum of half the percentage increase or decrease in the cost of living and half the percentage increase or decrease in wages, based on data from the previous six months, effective on 1 January and 1 July of the current year</w:t>
      </w:r>
      <w:r w:rsidRPr="00A543FB">
        <w:rPr>
          <w:rFonts w:ascii="Times New Roman" w:hAnsi="Times New Roman" w:cs="Times New Roman"/>
          <w:bCs/>
        </w:rPr>
        <w:t>. The most recent adju</w:t>
      </w:r>
      <w:r w:rsidRPr="00A543FB">
        <w:rPr>
          <w:rFonts w:ascii="Times New Roman" w:hAnsi="Times New Roman" w:cs="Times New Roman"/>
          <w:bCs/>
        </w:rPr>
        <w:t xml:space="preserve">stment was made in line with the Decision on Adjusting the Basis for Material Support and the Amount of Social and Child Protection Benefits (“Official Gazette of Montenegro,” No. 080/24 of 16 August 2024). </w:t>
      </w:r>
    </w:p>
    <w:p w:rsidR="007B34E9" w:rsidRPr="00A543FB" w:rsidRDefault="00DD6520" w:rsidP="00252850">
      <w:pPr>
        <w:spacing w:after="0" w:line="360" w:lineRule="auto"/>
        <w:contextualSpacing/>
        <w:jc w:val="both"/>
        <w:rPr>
          <w:rFonts w:ascii="Times New Roman" w:hAnsi="Times New Roman" w:cs="Times New Roman"/>
          <w:bCs/>
          <w:i/>
          <w:u w:val="single"/>
        </w:rPr>
      </w:pPr>
      <w:r w:rsidRPr="00A543FB">
        <w:rPr>
          <w:rFonts w:ascii="Times New Roman" w:hAnsi="Times New Roman" w:cs="Times New Roman"/>
          <w:bCs/>
          <w:i/>
          <w:u w:val="single"/>
        </w:rPr>
        <w:t xml:space="preserve">Social Protection Material Benefits: </w:t>
      </w:r>
    </w:p>
    <w:p w:rsidR="007B34E9" w:rsidRPr="00A543FB" w:rsidRDefault="00DD6520" w:rsidP="007B34E9">
      <w:pPr>
        <w:pStyle w:val="T30X"/>
        <w:numPr>
          <w:ilvl w:val="0"/>
          <w:numId w:val="35"/>
        </w:numPr>
        <w:spacing w:after="0" w:line="360" w:lineRule="auto"/>
        <w:contextualSpacing/>
        <w:rPr>
          <w:color w:val="auto"/>
        </w:rPr>
      </w:pPr>
      <w:r w:rsidRPr="00A543FB">
        <w:rPr>
          <w:color w:val="auto"/>
        </w:rPr>
        <w:t>The amount</w:t>
      </w:r>
      <w:r w:rsidRPr="00A543FB">
        <w:rPr>
          <w:color w:val="auto"/>
        </w:rPr>
        <w:t xml:space="preserve"> of material support for an individual or a family without income is as follows monthly: individual €89</w:t>
      </w:r>
      <w:r w:rsidR="00B82D02">
        <w:rPr>
          <w:color w:val="auto"/>
        </w:rPr>
        <w:t>.</w:t>
      </w:r>
      <w:r w:rsidR="00B82D02" w:rsidRPr="00A543FB">
        <w:rPr>
          <w:color w:val="auto"/>
        </w:rPr>
        <w:t>84</w:t>
      </w:r>
      <w:r w:rsidR="00B82D02">
        <w:rPr>
          <w:color w:val="auto"/>
        </w:rPr>
        <w:t>, family with 1 member €89.</w:t>
      </w:r>
      <w:r w:rsidRPr="00A543FB">
        <w:rPr>
          <w:color w:val="auto"/>
        </w:rPr>
        <w:t>84, family with 2 members €107</w:t>
      </w:r>
      <w:r w:rsidR="00B82D02">
        <w:rPr>
          <w:color w:val="auto"/>
        </w:rPr>
        <w:t>.89, family with 3 members €129.52, family with 4 members €152.</w:t>
      </w:r>
      <w:r w:rsidRPr="00A543FB">
        <w:rPr>
          <w:color w:val="auto"/>
        </w:rPr>
        <w:t>88, fam</w:t>
      </w:r>
      <w:r w:rsidR="00B82D02">
        <w:rPr>
          <w:color w:val="auto"/>
        </w:rPr>
        <w:t>ily with 5 or more members €170.</w:t>
      </w:r>
      <w:r w:rsidRPr="00A543FB">
        <w:rPr>
          <w:color w:val="auto"/>
        </w:rPr>
        <w:t>82, persons who were chil</w:t>
      </w:r>
      <w:r w:rsidR="00B82D02">
        <w:rPr>
          <w:color w:val="auto"/>
        </w:rPr>
        <w:t>dren without parental care €170.</w:t>
      </w:r>
      <w:r w:rsidRPr="00A543FB">
        <w:rPr>
          <w:color w:val="auto"/>
        </w:rPr>
        <w:t xml:space="preserve">82. </w:t>
      </w:r>
    </w:p>
    <w:p w:rsidR="007B34E9" w:rsidRPr="00A543FB" w:rsidRDefault="00DD6520" w:rsidP="00AF6167">
      <w:pPr>
        <w:pStyle w:val="T30X"/>
        <w:numPr>
          <w:ilvl w:val="0"/>
          <w:numId w:val="35"/>
        </w:numPr>
        <w:spacing w:after="0" w:line="360" w:lineRule="auto"/>
        <w:contextualSpacing/>
        <w:rPr>
          <w:color w:val="auto"/>
        </w:rPr>
      </w:pPr>
      <w:r w:rsidRPr="00A543FB">
        <w:rPr>
          <w:color w:val="auto"/>
        </w:rPr>
        <w:t xml:space="preserve">The number of material support beneficiaries is approximately 5,190 families, with around 17,500 individuals, with a monthly expenditure of about €685,000. </w:t>
      </w:r>
    </w:p>
    <w:p w:rsidR="00CB3261" w:rsidRPr="00A543FB" w:rsidRDefault="00DD6520" w:rsidP="00C05516">
      <w:pPr>
        <w:pStyle w:val="T30X"/>
        <w:spacing w:after="0" w:line="360" w:lineRule="auto"/>
        <w:ind w:firstLine="0"/>
        <w:contextualSpacing/>
        <w:rPr>
          <w:color w:val="auto"/>
        </w:rPr>
      </w:pPr>
      <w:r w:rsidRPr="00A543FB">
        <w:rPr>
          <w:color w:val="auto"/>
        </w:rPr>
        <w:t>Material security is the onl</w:t>
      </w:r>
      <w:r w:rsidRPr="00A543FB">
        <w:rPr>
          <w:color w:val="auto"/>
        </w:rPr>
        <w:t>y social protection benefit determined based on the income and assets of an individual or their family members. It also serves as a basis for accessing other rights at both the national and local levels, such as increased child allowances, summer and winte</w:t>
      </w:r>
      <w:r w:rsidRPr="00A543FB">
        <w:rPr>
          <w:color w:val="auto"/>
        </w:rPr>
        <w:t xml:space="preserve">r holidays for children, attendance in preschool institutions, one-time cash assistance, subsidies for monthly electricity bills, subsidies for certain utility services, housing support, and more. </w:t>
      </w:r>
    </w:p>
    <w:p w:rsidR="00C05516" w:rsidRPr="00A543FB" w:rsidRDefault="00DD6520" w:rsidP="00C05516">
      <w:pPr>
        <w:pStyle w:val="T30X"/>
        <w:numPr>
          <w:ilvl w:val="0"/>
          <w:numId w:val="36"/>
        </w:numPr>
        <w:spacing w:after="0" w:line="360" w:lineRule="auto"/>
        <w:contextualSpacing/>
        <w:rPr>
          <w:color w:val="auto"/>
        </w:rPr>
      </w:pPr>
      <w:r w:rsidRPr="00A543FB">
        <w:rPr>
          <w:color w:val="auto"/>
        </w:rPr>
        <w:t xml:space="preserve">The personal disability allowance is €303.90 per month; </w:t>
      </w:r>
    </w:p>
    <w:p w:rsidR="00C05516" w:rsidRPr="00A543FB" w:rsidRDefault="00DD6520" w:rsidP="00C05516">
      <w:pPr>
        <w:pStyle w:val="T30X"/>
        <w:numPr>
          <w:ilvl w:val="0"/>
          <w:numId w:val="36"/>
        </w:numPr>
        <w:spacing w:after="0" w:line="360" w:lineRule="auto"/>
        <w:contextualSpacing/>
        <w:rPr>
          <w:color w:val="auto"/>
        </w:rPr>
      </w:pPr>
      <w:r w:rsidRPr="00A543FB">
        <w:rPr>
          <w:color w:val="auto"/>
        </w:rPr>
        <w:t>T</w:t>
      </w:r>
      <w:r w:rsidRPr="00A543FB">
        <w:rPr>
          <w:color w:val="auto"/>
        </w:rPr>
        <w:t xml:space="preserve">he personal disability allowance for a person not entitled to the care and assistance allowance under the Law on Social and Child Protection is €192.44 per month; </w:t>
      </w:r>
    </w:p>
    <w:p w:rsidR="00C05516" w:rsidRPr="00A543FB" w:rsidRDefault="00DD6520" w:rsidP="00C05516">
      <w:pPr>
        <w:pStyle w:val="T30X"/>
        <w:numPr>
          <w:ilvl w:val="0"/>
          <w:numId w:val="36"/>
        </w:numPr>
        <w:spacing w:after="0" w:line="360" w:lineRule="auto"/>
        <w:contextualSpacing/>
        <w:rPr>
          <w:color w:val="auto"/>
        </w:rPr>
      </w:pPr>
      <w:r w:rsidRPr="00A543FB">
        <w:rPr>
          <w:color w:val="auto"/>
        </w:rPr>
        <w:t xml:space="preserve">The care and assistance allowance </w:t>
      </w:r>
      <w:proofErr w:type="gramStart"/>
      <w:r w:rsidRPr="00A543FB">
        <w:rPr>
          <w:color w:val="auto"/>
        </w:rPr>
        <w:t>is</w:t>
      </w:r>
      <w:proofErr w:type="gramEnd"/>
      <w:r w:rsidRPr="00A543FB">
        <w:rPr>
          <w:color w:val="auto"/>
        </w:rPr>
        <w:t xml:space="preserve"> €89.16 per month; </w:t>
      </w:r>
    </w:p>
    <w:p w:rsidR="00C05516" w:rsidRPr="00A543FB" w:rsidRDefault="00DD6520" w:rsidP="00C05516">
      <w:pPr>
        <w:pStyle w:val="T30X"/>
        <w:numPr>
          <w:ilvl w:val="0"/>
          <w:numId w:val="36"/>
        </w:numPr>
        <w:spacing w:after="0" w:line="360" w:lineRule="auto"/>
        <w:contextualSpacing/>
        <w:rPr>
          <w:color w:val="auto"/>
        </w:rPr>
      </w:pPr>
      <w:r w:rsidRPr="00A543FB">
        <w:rPr>
          <w:color w:val="auto"/>
        </w:rPr>
        <w:t xml:space="preserve">Funeral expenses amount to €445.90; </w:t>
      </w:r>
    </w:p>
    <w:p w:rsidR="00CB3261" w:rsidRPr="00A543FB" w:rsidRDefault="00DD6520" w:rsidP="00C05516">
      <w:pPr>
        <w:pStyle w:val="T30X"/>
        <w:numPr>
          <w:ilvl w:val="0"/>
          <w:numId w:val="36"/>
        </w:numPr>
        <w:spacing w:after="0" w:line="360" w:lineRule="auto"/>
        <w:contextualSpacing/>
        <w:rPr>
          <w:color w:val="auto"/>
        </w:rPr>
      </w:pPr>
      <w:r w:rsidRPr="00A543FB">
        <w:rPr>
          <w:color w:val="auto"/>
        </w:rPr>
        <w:t xml:space="preserve">The allowance for a parent or guardian of a personal disability allowance beneficiary is €263.31 per month. </w:t>
      </w:r>
    </w:p>
    <w:p w:rsidR="00C05516" w:rsidRPr="00A543FB" w:rsidRDefault="00DD6520" w:rsidP="00C05516">
      <w:pPr>
        <w:pStyle w:val="T30X"/>
        <w:spacing w:after="0" w:line="360" w:lineRule="auto"/>
        <w:contextualSpacing/>
        <w:rPr>
          <w:color w:val="auto"/>
        </w:rPr>
      </w:pPr>
      <w:r w:rsidRPr="00A543FB">
        <w:rPr>
          <w:color w:val="auto"/>
        </w:rPr>
        <w:t xml:space="preserve">Material Benefits from Child Protection </w:t>
      </w:r>
    </w:p>
    <w:p w:rsidR="00C05516" w:rsidRPr="00A543FB" w:rsidRDefault="00DD6520" w:rsidP="00C05516">
      <w:pPr>
        <w:pStyle w:val="T30X"/>
        <w:numPr>
          <w:ilvl w:val="0"/>
          <w:numId w:val="37"/>
        </w:numPr>
        <w:spacing w:after="0" w:line="360" w:lineRule="auto"/>
        <w:contextualSpacing/>
        <w:rPr>
          <w:color w:val="auto"/>
        </w:rPr>
      </w:pPr>
      <w:r w:rsidRPr="00A543FB">
        <w:rPr>
          <w:color w:val="auto"/>
        </w:rPr>
        <w:t>The birth grant for a newborn child – first child €1,000, second child €1,500, third child €2,000, fourth</w:t>
      </w:r>
      <w:r w:rsidRPr="00A543FB">
        <w:rPr>
          <w:color w:val="auto"/>
        </w:rPr>
        <w:t xml:space="preserve"> and each subsequent child €2,500; </w:t>
      </w:r>
    </w:p>
    <w:p w:rsidR="00C05516" w:rsidRPr="00A543FB" w:rsidRDefault="00DD6520" w:rsidP="00C05516">
      <w:pPr>
        <w:pStyle w:val="T30X"/>
        <w:numPr>
          <w:ilvl w:val="0"/>
          <w:numId w:val="37"/>
        </w:numPr>
        <w:spacing w:after="0" w:line="360" w:lineRule="auto"/>
        <w:contextualSpacing/>
        <w:rPr>
          <w:color w:val="auto"/>
        </w:rPr>
      </w:pPr>
      <w:r w:rsidRPr="00A543FB">
        <w:rPr>
          <w:color w:val="auto"/>
        </w:rPr>
        <w:t xml:space="preserve">The birth grant for a newborn child for beneficiaries of material support is: first child €1,100, second child €1,600, third child €2,100, fourth and each subsequent child €2,600; </w:t>
      </w:r>
    </w:p>
    <w:p w:rsidR="0002027A" w:rsidRPr="00A543FB" w:rsidRDefault="00DD6520" w:rsidP="0002027A">
      <w:pPr>
        <w:pStyle w:val="T30X"/>
        <w:numPr>
          <w:ilvl w:val="0"/>
          <w:numId w:val="37"/>
        </w:numPr>
        <w:spacing w:after="0" w:line="360" w:lineRule="auto"/>
        <w:contextualSpacing/>
        <w:rPr>
          <w:color w:val="auto"/>
        </w:rPr>
      </w:pPr>
      <w:r w:rsidRPr="00A543FB">
        <w:rPr>
          <w:color w:val="auto"/>
        </w:rPr>
        <w:t xml:space="preserve">The monthly child allowance </w:t>
      </w:r>
      <w:r w:rsidR="005021D3" w:rsidRPr="00A543FB">
        <w:rPr>
          <w:color w:val="auto"/>
        </w:rPr>
        <w:t>–</w:t>
      </w:r>
      <w:r w:rsidRPr="00A543FB">
        <w:rPr>
          <w:color w:val="auto"/>
        </w:rPr>
        <w:t xml:space="preserve"> for a chi</w:t>
      </w:r>
      <w:r w:rsidRPr="00A543FB">
        <w:rPr>
          <w:color w:val="auto"/>
        </w:rPr>
        <w:t xml:space="preserve">ld under 18 years €30.00, for a beneficiary of material support €56.98, for a child whose parent, adoptive parent, guardian, or foster parent—who is a beneficiary of material support—has employment based on an agreement for active </w:t>
      </w:r>
      <w:r w:rsidRPr="00A543FB">
        <w:rPr>
          <w:color w:val="auto"/>
        </w:rPr>
        <w:lastRenderedPageBreak/>
        <w:t>overcoming of adverse soc</w:t>
      </w:r>
      <w:r w:rsidRPr="00A543FB">
        <w:rPr>
          <w:color w:val="auto"/>
        </w:rPr>
        <w:t xml:space="preserve">ial circumstances €56.98, for a beneficiary of the care and assistance allowance €67.33, for a beneficiary of personal disability allowance €77.70, and for a child without parental care €77.70; </w:t>
      </w:r>
    </w:p>
    <w:p w:rsidR="0002027A" w:rsidRPr="00A543FB" w:rsidRDefault="00DD6520" w:rsidP="0002027A">
      <w:pPr>
        <w:pStyle w:val="T30X"/>
        <w:numPr>
          <w:ilvl w:val="0"/>
          <w:numId w:val="37"/>
        </w:numPr>
        <w:spacing w:after="0" w:line="360" w:lineRule="auto"/>
        <w:contextualSpacing/>
        <w:rPr>
          <w:color w:val="auto"/>
        </w:rPr>
      </w:pPr>
      <w:r w:rsidRPr="00A543FB">
        <w:rPr>
          <w:color w:val="auto"/>
        </w:rPr>
        <w:t xml:space="preserve">The birth grant for a person registered with the </w:t>
      </w:r>
      <w:r w:rsidR="00833C13">
        <w:rPr>
          <w:color w:val="auto"/>
        </w:rPr>
        <w:t>EAM</w:t>
      </w:r>
      <w:r w:rsidRPr="00A543FB">
        <w:rPr>
          <w:color w:val="auto"/>
        </w:rPr>
        <w:t xml:space="preserve"> and a re</w:t>
      </w:r>
      <w:r w:rsidRPr="00A543FB">
        <w:rPr>
          <w:color w:val="auto"/>
        </w:rPr>
        <w:t xml:space="preserve">gular student is €107.82 per month. </w:t>
      </w:r>
    </w:p>
    <w:p w:rsidR="005021D3" w:rsidRPr="00A543FB" w:rsidRDefault="00DD6520" w:rsidP="00CE61B5">
      <w:pPr>
        <w:spacing w:after="0" w:line="360" w:lineRule="auto"/>
        <w:contextualSpacing/>
        <w:jc w:val="both"/>
        <w:rPr>
          <w:rFonts w:ascii="Times New Roman" w:hAnsi="Times New Roman" w:cs="Times New Roman"/>
          <w:b/>
        </w:rPr>
      </w:pPr>
      <w:r w:rsidRPr="00A543FB">
        <w:rPr>
          <w:rFonts w:ascii="Times New Roman" w:hAnsi="Times New Roman" w:cs="Times New Roman"/>
          <w:b/>
        </w:rPr>
        <w:t xml:space="preserve">(c)In the next periodic report, provide information on the scope of social security, disaggregated by sex, urban/rural population, residency status, and national or ethnic origin. </w:t>
      </w:r>
    </w:p>
    <w:p w:rsidR="005021D3"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The Pension and Disability Insurance</w:t>
      </w:r>
      <w:r w:rsidR="00094E8C" w:rsidRPr="00A543FB">
        <w:rPr>
          <w:rFonts w:ascii="Times New Roman" w:hAnsi="Times New Roman" w:cs="Times New Roman"/>
        </w:rPr>
        <w:t xml:space="preserve"> (PIO)</w:t>
      </w:r>
      <w:r w:rsidRPr="00A543FB">
        <w:rPr>
          <w:rFonts w:ascii="Times New Roman" w:hAnsi="Times New Roman" w:cs="Times New Roman"/>
        </w:rPr>
        <w:t xml:space="preserve"> Fund is responsible for statistical research related to the annual report on beneficiaries of </w:t>
      </w:r>
      <w:r w:rsidR="00DB2EC3" w:rsidRPr="00A543FB">
        <w:rPr>
          <w:rFonts w:ascii="Times New Roman" w:hAnsi="Times New Roman" w:cs="Times New Roman"/>
        </w:rPr>
        <w:t>PIO rights</w:t>
      </w:r>
      <w:r w:rsidRPr="00A543FB">
        <w:rPr>
          <w:rFonts w:ascii="Times New Roman" w:hAnsi="Times New Roman" w:cs="Times New Roman"/>
        </w:rPr>
        <w:t xml:space="preserve"> and the Report on Beneficiaries of Pension and Disability Insurance Rights. Using these reports, the Fund monitors changes in the number of bene</w:t>
      </w:r>
      <w:r w:rsidRPr="00A543FB">
        <w:rPr>
          <w:rFonts w:ascii="Times New Roman" w:hAnsi="Times New Roman" w:cs="Times New Roman"/>
        </w:rPr>
        <w:t xml:space="preserve">ficiaries according to parameters such as </w:t>
      </w:r>
      <w:r w:rsidRPr="00A543FB">
        <w:rPr>
          <w:rFonts w:ascii="Times New Roman" w:hAnsi="Times New Roman" w:cs="Times New Roman"/>
          <w:i/>
        </w:rPr>
        <w:t>type of</w:t>
      </w:r>
      <w:r w:rsidRPr="00A543FB">
        <w:rPr>
          <w:rFonts w:ascii="Times New Roman" w:hAnsi="Times New Roman" w:cs="Times New Roman"/>
        </w:rPr>
        <w:t xml:space="preserve"> </w:t>
      </w:r>
      <w:r w:rsidRPr="00A543FB">
        <w:rPr>
          <w:rFonts w:ascii="Times New Roman" w:hAnsi="Times New Roman" w:cs="Times New Roman"/>
          <w:i/>
        </w:rPr>
        <w:t xml:space="preserve">right, state, municipality, sex, length of service, age group, income level, </w:t>
      </w:r>
      <w:r w:rsidRPr="00A543FB">
        <w:rPr>
          <w:rFonts w:ascii="Times New Roman" w:hAnsi="Times New Roman" w:cs="Times New Roman"/>
        </w:rPr>
        <w:t xml:space="preserve">and more. </w:t>
      </w:r>
    </w:p>
    <w:p w:rsidR="0073763B" w:rsidRPr="00A543FB" w:rsidRDefault="00DD6520" w:rsidP="00CE61B5">
      <w:pPr>
        <w:spacing w:after="0" w:line="360" w:lineRule="auto"/>
        <w:contextualSpacing/>
        <w:jc w:val="both"/>
        <w:rPr>
          <w:rFonts w:ascii="Times New Roman" w:hAnsi="Times New Roman" w:cs="Times New Roman"/>
        </w:rPr>
      </w:pPr>
      <w:r w:rsidRPr="00A543FB">
        <w:rPr>
          <w:rFonts w:ascii="Times New Roman" w:hAnsi="Times New Roman" w:cs="Times New Roman"/>
        </w:rPr>
        <w:t>In cooperation with the Statistical Office and other official statistics producers, the PIO Fund actively participates</w:t>
      </w:r>
      <w:r w:rsidRPr="00A543FB">
        <w:rPr>
          <w:rFonts w:ascii="Times New Roman" w:hAnsi="Times New Roman" w:cs="Times New Roman"/>
        </w:rPr>
        <w:t xml:space="preserve"> in improving the overall quality of official statistics within Montenegro’s statistical system, and ensuring compliance with the official statistics principles and the European Statistics Code of Practice. In this regard, a Technical Team of the Statistic</w:t>
      </w:r>
      <w:r w:rsidRPr="00A543FB">
        <w:rPr>
          <w:rFonts w:ascii="Times New Roman" w:hAnsi="Times New Roman" w:cs="Times New Roman"/>
        </w:rPr>
        <w:t xml:space="preserve">al System of Montenegro has been established, in which the Fund has a representative. </w:t>
      </w:r>
    </w:p>
    <w:p w:rsidR="000668A3" w:rsidRPr="00A543FB" w:rsidRDefault="00DD6520">
      <w:pPr>
        <w:spacing w:after="0" w:line="360" w:lineRule="auto"/>
        <w:contextualSpacing/>
        <w:jc w:val="both"/>
        <w:rPr>
          <w:rFonts w:ascii="Times New Roman" w:hAnsi="Times New Roman" w:cs="Times New Roman"/>
        </w:rPr>
      </w:pPr>
      <w:r w:rsidRPr="00A543FB">
        <w:rPr>
          <w:rFonts w:ascii="Times New Roman" w:hAnsi="Times New Roman" w:cs="Times New Roman"/>
        </w:rPr>
        <w:t xml:space="preserve">A tabular overview of the number of pensioners by age group and sex in December 2024 is provided in Annex 2. In 2024, the highest number of PIO beneficiaries, for both </w:t>
      </w:r>
      <w:r w:rsidRPr="00A543FB">
        <w:rPr>
          <w:rFonts w:ascii="Times New Roman" w:hAnsi="Times New Roman" w:cs="Times New Roman"/>
        </w:rPr>
        <w:t>men and women, was recorded in the 65–69 age group (15,218 men and 11,452 women). A slight decrease was o</w:t>
      </w:r>
      <w:r w:rsidR="00A543FB" w:rsidRPr="00A543FB">
        <w:rPr>
          <w:rFonts w:ascii="Times New Roman" w:hAnsi="Times New Roman" w:cs="Times New Roman"/>
        </w:rPr>
        <w:t>bserved in the 70–74 age group (</w:t>
      </w:r>
      <w:r w:rsidRPr="00A543FB">
        <w:rPr>
          <w:rFonts w:ascii="Times New Roman" w:hAnsi="Times New Roman" w:cs="Times New Roman"/>
        </w:rPr>
        <w:t>14,306 men and 10,222 women</w:t>
      </w:r>
      <w:r w:rsidR="00A543FB" w:rsidRPr="00A543FB">
        <w:rPr>
          <w:rFonts w:ascii="Times New Roman" w:hAnsi="Times New Roman" w:cs="Times New Roman"/>
        </w:rPr>
        <w:t>)</w:t>
      </w:r>
      <w:r w:rsidRPr="00A543FB">
        <w:rPr>
          <w:rFonts w:ascii="Times New Roman" w:hAnsi="Times New Roman" w:cs="Times New Roman"/>
        </w:rPr>
        <w:t>. In the under-24 age group, t</w:t>
      </w:r>
      <w:r w:rsidR="00A543FB" w:rsidRPr="00A543FB">
        <w:rPr>
          <w:rFonts w:ascii="Times New Roman" w:hAnsi="Times New Roman" w:cs="Times New Roman"/>
        </w:rPr>
        <w:t>here were only 11 beneficiaries</w:t>
      </w:r>
      <w:r w:rsidRPr="00A543FB">
        <w:rPr>
          <w:rFonts w:ascii="Times New Roman" w:hAnsi="Times New Roman" w:cs="Times New Roman"/>
        </w:rPr>
        <w:t xml:space="preserve"> </w:t>
      </w:r>
      <w:r w:rsidR="00A543FB" w:rsidRPr="00A543FB">
        <w:rPr>
          <w:rFonts w:ascii="Times New Roman" w:hAnsi="Times New Roman" w:cs="Times New Roman"/>
        </w:rPr>
        <w:t xml:space="preserve">(8 </w:t>
      </w:r>
      <w:r w:rsidRPr="00A543FB">
        <w:rPr>
          <w:rFonts w:ascii="Times New Roman" w:hAnsi="Times New Roman" w:cs="Times New Roman"/>
        </w:rPr>
        <w:t>men and 3 women</w:t>
      </w:r>
      <w:r w:rsidR="00A543FB" w:rsidRPr="00A543FB">
        <w:rPr>
          <w:rFonts w:ascii="Times New Roman" w:hAnsi="Times New Roman" w:cs="Times New Roman"/>
        </w:rPr>
        <w:t>)</w:t>
      </w:r>
      <w:r w:rsidRPr="00A543FB">
        <w:rPr>
          <w:rFonts w:ascii="Times New Roman" w:hAnsi="Times New Roman" w:cs="Times New Roman"/>
        </w:rPr>
        <w:t xml:space="preserve">. </w:t>
      </w:r>
      <w:r w:rsidR="00A543FB" w:rsidRPr="00A543FB">
        <w:rPr>
          <w:rFonts w:ascii="Times New Roman" w:hAnsi="Times New Roman" w:cs="Times New Roman"/>
        </w:rPr>
        <w:t>In December 2024, there were 57,495 male beneficiaries and 38,703 female beneficiaries</w:t>
      </w:r>
      <w:r w:rsidRPr="00A543FB">
        <w:rPr>
          <w:rFonts w:ascii="Times New Roman" w:hAnsi="Times New Roman" w:cs="Times New Roman"/>
        </w:rPr>
        <w:t>. Thus, the share of male beneficiaries in the total number of pension recipients (old-age and disability pensions) in the last month of the previous year was 59.77%, while the s</w:t>
      </w:r>
      <w:r w:rsidRPr="00A543FB">
        <w:rPr>
          <w:rFonts w:ascii="Times New Roman" w:hAnsi="Times New Roman" w:cs="Times New Roman"/>
        </w:rPr>
        <w:t xml:space="preserve">hare of female beneficiaries was 40.23%. </w:t>
      </w:r>
      <w:bookmarkEnd w:id="0"/>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movement in the number of beneficiaries of PIO rights in Montenegro, by place of residence or municipality in which they live, during 2024 is presented in Annex 2. The total number of beneficiaries in Montenegr</w:t>
      </w:r>
      <w:r w:rsidRPr="00397A77">
        <w:rPr>
          <w:rFonts w:ascii="Times New Roman" w:hAnsi="Times New Roman" w:cs="Times New Roman"/>
        </w:rPr>
        <w:t>o, regardless of age, gender, and/or municipality, amounted to 120,134 in 2024 - 4,549 fewer beneficiaries compared to the previous year. According to the data, the largest number of beneficiaries receive old-age pensions, followed by family and disability</w:t>
      </w:r>
      <w:r w:rsidRPr="00397A77">
        <w:rPr>
          <w:rFonts w:ascii="Times New Roman" w:hAnsi="Times New Roman" w:cs="Times New Roman"/>
        </w:rPr>
        <w:t xml:space="preserve"> pensions. Regarding other rights, the largest number of </w:t>
      </w:r>
      <w:proofErr w:type="gramStart"/>
      <w:r w:rsidRPr="00397A77">
        <w:rPr>
          <w:rFonts w:ascii="Times New Roman" w:hAnsi="Times New Roman" w:cs="Times New Roman"/>
        </w:rPr>
        <w:t>beneficiaries</w:t>
      </w:r>
      <w:proofErr w:type="gramEnd"/>
      <w:r w:rsidRPr="00397A77">
        <w:rPr>
          <w:rFonts w:ascii="Times New Roman" w:hAnsi="Times New Roman" w:cs="Times New Roman"/>
        </w:rPr>
        <w:t xml:space="preserve"> exercise rights on the basis of bodily impairment, while the smallest number receive the memorial allowance supplement. The highest number of beneficiaries, regardless of the type of pe</w:t>
      </w:r>
      <w:r w:rsidRPr="00397A77">
        <w:rPr>
          <w:rFonts w:ascii="Times New Roman" w:hAnsi="Times New Roman" w:cs="Times New Roman"/>
        </w:rPr>
        <w:t>nsion or other rights, was recorded in Podgorica, where the total number of beneficiaries in 2024 amounted to 32,312. In the southern region, the highest number of beneficiaries in the previous year was recorded in Bar, amounting to 8,091, while in the nor</w:t>
      </w:r>
      <w:r w:rsidRPr="00397A77">
        <w:rPr>
          <w:rFonts w:ascii="Times New Roman" w:hAnsi="Times New Roman" w:cs="Times New Roman"/>
        </w:rPr>
        <w:t xml:space="preserve">thern region the highest number was recorded in </w:t>
      </w:r>
      <w:proofErr w:type="spellStart"/>
      <w:r w:rsidRPr="00397A77">
        <w:rPr>
          <w:rFonts w:ascii="Times New Roman" w:hAnsi="Times New Roman" w:cs="Times New Roman"/>
        </w:rPr>
        <w:t>Bijelo</w:t>
      </w:r>
      <w:proofErr w:type="spellEnd"/>
      <w:r w:rsidRPr="00397A77">
        <w:rPr>
          <w:rFonts w:ascii="Times New Roman" w:hAnsi="Times New Roman" w:cs="Times New Roman"/>
        </w:rPr>
        <w:t xml:space="preserve"> Polje-</w:t>
      </w:r>
      <w:r w:rsidRPr="00397A77">
        <w:rPr>
          <w:rFonts w:ascii="Times New Roman" w:hAnsi="Times New Roman" w:cs="Times New Roman"/>
        </w:rPr>
        <w:lastRenderedPageBreak/>
        <w:t>7,785 beneficiaries. Note: The PIO Fund does not use the urban/rural population as a criterion, but only the municipality.</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right during unemployment is regulated by the Law on Employment Medi</w:t>
      </w:r>
      <w:r w:rsidRPr="00397A77">
        <w:rPr>
          <w:rFonts w:ascii="Times New Roman" w:hAnsi="Times New Roman" w:cs="Times New Roman"/>
        </w:rPr>
        <w:t xml:space="preserve">ation and Rights </w:t>
      </w:r>
      <w:r w:rsidR="00B82D02" w:rsidRPr="00397A77">
        <w:rPr>
          <w:rFonts w:ascii="Times New Roman" w:hAnsi="Times New Roman" w:cs="Times New Roman"/>
        </w:rPr>
        <w:t>during</w:t>
      </w:r>
      <w:r w:rsidRPr="00397A77">
        <w:rPr>
          <w:rFonts w:ascii="Times New Roman" w:hAnsi="Times New Roman" w:cs="Times New Roman"/>
        </w:rPr>
        <w:t xml:space="preserve"> Unemployment. Unemployment insurance provides an unemployed person with the right to financial compensation. It amounts to 120% of the calculated coefficient value, as determined by law and other regulations. Contributions for pensi</w:t>
      </w:r>
      <w:r w:rsidRPr="00397A77">
        <w:rPr>
          <w:rFonts w:ascii="Times New Roman" w:hAnsi="Times New Roman" w:cs="Times New Roman"/>
        </w:rPr>
        <w:t xml:space="preserve">on and disability insurance are calculated on the amount of the financial compensation under a separate law. A tabular overview is provided in Annex 2. </w:t>
      </w:r>
    </w:p>
    <w:p w:rsidR="00517E74" w:rsidRPr="00397A77" w:rsidRDefault="00517E74" w:rsidP="00517E74">
      <w:pPr>
        <w:spacing w:after="0" w:line="360" w:lineRule="auto"/>
        <w:contextualSpacing/>
        <w:rPr>
          <w:rFonts w:ascii="Times New Roman" w:hAnsi="Times New Roman" w:cs="Times New Roman"/>
          <w:b/>
        </w:rPr>
      </w:pPr>
    </w:p>
    <w:p w:rsidR="00517E74" w:rsidRPr="00397A77" w:rsidRDefault="00DD6520" w:rsidP="00517E74">
      <w:pPr>
        <w:spacing w:after="0" w:line="360" w:lineRule="auto"/>
        <w:contextualSpacing/>
        <w:rPr>
          <w:rFonts w:ascii="Times New Roman" w:hAnsi="Times New Roman" w:cs="Times New Roman"/>
          <w:b/>
        </w:rPr>
      </w:pPr>
      <w:r w:rsidRPr="00397A77">
        <w:rPr>
          <w:rFonts w:ascii="Times New Roman" w:hAnsi="Times New Roman" w:cs="Times New Roman"/>
          <w:b/>
        </w:rPr>
        <w:t xml:space="preserve">17. Domestic Violence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While welcoming the adoption of the Law on Domestic Violence Protection (LDVP) </w:t>
      </w:r>
      <w:r w:rsidRPr="00397A77">
        <w:rPr>
          <w:rFonts w:ascii="Times New Roman" w:hAnsi="Times New Roman" w:cs="Times New Roman"/>
        </w:rPr>
        <w:t>and the amendments to the CC aimed at improving measures for the protection of victims of domestic violence, the Committee remains concerned about the lack of effective implementation in practice and the lack of access to justice for victims. It also regre</w:t>
      </w:r>
      <w:r w:rsidRPr="00397A77">
        <w:rPr>
          <w:rFonts w:ascii="Times New Roman" w:hAnsi="Times New Roman" w:cs="Times New Roman"/>
        </w:rPr>
        <w:t>ts the absence of data collection mechanisms for analyzing trends and monitoring progress (Article 10).</w:t>
      </w:r>
    </w:p>
    <w:p w:rsidR="00517E74" w:rsidRPr="00397A77" w:rsidRDefault="00DD6520" w:rsidP="00517E74">
      <w:pPr>
        <w:spacing w:after="0" w:line="360" w:lineRule="auto"/>
        <w:contextualSpacing/>
        <w:rPr>
          <w:rFonts w:ascii="Times New Roman" w:hAnsi="Times New Roman" w:cs="Times New Roman"/>
        </w:rPr>
      </w:pPr>
      <w:r w:rsidRPr="00397A77">
        <w:rPr>
          <w:rFonts w:ascii="Times New Roman" w:hAnsi="Times New Roman" w:cs="Times New Roman"/>
        </w:rPr>
        <w:t xml:space="preserve">The Committee calls on States parties to: </w:t>
      </w: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t>(a)Take effective measures to combat violence and ensure that relevant laws prohibiting domestic violence and</w:t>
      </w:r>
      <w:r w:rsidRPr="00397A77">
        <w:rPr>
          <w:rFonts w:ascii="Times New Roman" w:hAnsi="Times New Roman" w:cs="Times New Roman"/>
          <w:b/>
        </w:rPr>
        <w:t xml:space="preserve"> guaranteeing protective measures for victims are effectively implemented in practice.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strategic framework defining objectives in this area includes the Social and Child Protection Development Strategy, the Deinstitutionalization Strategy, and the Str</w:t>
      </w:r>
      <w:r w:rsidRPr="00397A77">
        <w:rPr>
          <w:rFonts w:ascii="Times New Roman" w:hAnsi="Times New Roman" w:cs="Times New Roman"/>
        </w:rPr>
        <w:t>ategy for the Prevention and Protection of Children from Violence. These strategies pay special attention to victims of gender-based violence, PWDs, older persons, and the most vulnerable population groups. Accordingly, we have committed to adapting all Ce</w:t>
      </w:r>
      <w:r w:rsidRPr="00397A77">
        <w:rPr>
          <w:rFonts w:ascii="Times New Roman" w:hAnsi="Times New Roman" w:cs="Times New Roman"/>
        </w:rPr>
        <w:t>nters for Social Work (CSWs) to PWDs, not only physically but also in the provision of necessary information; procuring vehicles for shelters adapted to PWDs; increasing financial resources for social and child protection services; establishing an addition</w:t>
      </w:r>
      <w:r w:rsidRPr="00397A77">
        <w:rPr>
          <w:rFonts w:ascii="Times New Roman" w:hAnsi="Times New Roman" w:cs="Times New Roman"/>
        </w:rPr>
        <w:t>al shelter in the north; a shelter for LBTIQ victims of violence; developing integrated services; employing 20 new case managers in CSWs in 2025 alone, and developing services for victims of gender-based violence and HT after leaving shelters. We will init</w:t>
      </w:r>
      <w:r w:rsidRPr="00397A77">
        <w:rPr>
          <w:rFonts w:ascii="Times New Roman" w:hAnsi="Times New Roman" w:cs="Times New Roman"/>
        </w:rPr>
        <w:t xml:space="preserve">iate support in job placement and develop specific employment programs for women victims of violence. </w:t>
      </w:r>
      <w:r w:rsidR="00B82D02" w:rsidRPr="00397A77">
        <w:rPr>
          <w:rFonts w:ascii="Times New Roman" w:hAnsi="Times New Roman" w:cs="Times New Roman"/>
        </w:rPr>
        <w:t>In addition</w:t>
      </w:r>
      <w:r w:rsidRPr="00397A77">
        <w:rPr>
          <w:rFonts w:ascii="Times New Roman" w:hAnsi="Times New Roman" w:cs="Times New Roman"/>
        </w:rPr>
        <w:t xml:space="preserve">, victims will be able to exercise their right to psychological counselling, therapy, home assistance, etc.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There are currently seven faciliti</w:t>
      </w:r>
      <w:r w:rsidRPr="00397A77">
        <w:rPr>
          <w:rFonts w:ascii="Times New Roman" w:hAnsi="Times New Roman" w:cs="Times New Roman"/>
        </w:rPr>
        <w:t xml:space="preserve">es-shelters for victims of domestic violence in Montenegro. The total accommodation capacity is 83 units, 21 more than the standard required under the Istanbul Convention.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b/>
        </w:rPr>
        <w:t xml:space="preserve"> (b)Promptly investigate, prosecute, and punish all acts of domestic violence and p</w:t>
      </w:r>
      <w:r w:rsidRPr="00397A77">
        <w:rPr>
          <w:rFonts w:ascii="Times New Roman" w:hAnsi="Times New Roman" w:cs="Times New Roman"/>
          <w:b/>
        </w:rPr>
        <w:t xml:space="preserve">rovide effective treatment to victims; </w:t>
      </w:r>
    </w:p>
    <w:p w:rsidR="00517E74" w:rsidRPr="00397A77" w:rsidRDefault="00DD6520" w:rsidP="00517E74">
      <w:pPr>
        <w:pStyle w:val="CommentText"/>
        <w:spacing w:after="0" w:line="360" w:lineRule="auto"/>
        <w:contextualSpacing/>
        <w:jc w:val="both"/>
        <w:rPr>
          <w:rFonts w:ascii="Times New Roman" w:eastAsia="Times New Roman" w:hAnsi="Times New Roman" w:cs="Times New Roman"/>
          <w:sz w:val="22"/>
          <w:szCs w:val="22"/>
        </w:rPr>
      </w:pPr>
      <w:r w:rsidRPr="00397A77">
        <w:rPr>
          <w:rFonts w:ascii="Times New Roman" w:eastAsia="Times New Roman" w:hAnsi="Times New Roman" w:cs="Times New Roman"/>
          <w:sz w:val="22"/>
          <w:szCs w:val="22"/>
        </w:rPr>
        <w:lastRenderedPageBreak/>
        <w:t>Combating domestic violence requires effective measures and consistent enforcement of the law to ensure the protection of victims and the sanctioning of perpetrators. This includes police action under the Criminal Pr</w:t>
      </w:r>
      <w:r w:rsidRPr="00397A77">
        <w:rPr>
          <w:rFonts w:ascii="Times New Roman" w:eastAsia="Times New Roman" w:hAnsi="Times New Roman" w:cs="Times New Roman"/>
          <w:sz w:val="22"/>
          <w:szCs w:val="22"/>
        </w:rPr>
        <w:t>ocedure Code, the CC, the LDVP, and the Protocol on Conduct, Prevention and Protection from Violence. PD’s practice is to respond to reports of violence without delay and within the shortest time possible, as permitted by its human and technical capacities</w:t>
      </w:r>
      <w:r w:rsidRPr="00397A77">
        <w:rPr>
          <w:rFonts w:ascii="Times New Roman" w:eastAsia="Times New Roman" w:hAnsi="Times New Roman" w:cs="Times New Roman"/>
          <w:sz w:val="22"/>
          <w:szCs w:val="22"/>
        </w:rPr>
        <w:t>, thereby respecting the principle of urgency in domestic violence cases. It is important to emphasize that the number of complaints regarding the conduct of police officers in domestic violence cases has been reduced to the level of isolated incidents. Up</w:t>
      </w:r>
      <w:r w:rsidRPr="00397A77">
        <w:rPr>
          <w:rFonts w:ascii="Times New Roman" w:eastAsia="Times New Roman" w:hAnsi="Times New Roman" w:cs="Times New Roman"/>
          <w:sz w:val="22"/>
          <w:szCs w:val="22"/>
        </w:rPr>
        <w:t xml:space="preserve">on receiving a report of violence, the police act immediately and, to adequately protect the victim at first contact, inform the victim of her rights (to a trusted person, medical examination, accommodation in a safe location, free legal aid, the right to </w:t>
      </w:r>
      <w:r w:rsidRPr="00397A77">
        <w:rPr>
          <w:rFonts w:ascii="Times New Roman" w:eastAsia="Times New Roman" w:hAnsi="Times New Roman" w:cs="Times New Roman"/>
          <w:sz w:val="22"/>
          <w:szCs w:val="22"/>
        </w:rPr>
        <w:t>be informed about all stages of the proceedings), and conduct a risk assessment in each individual case, on the basis of which they undertake further actions</w:t>
      </w:r>
      <w:r w:rsidRPr="00397A77">
        <w:rPr>
          <w:rFonts w:ascii="Times New Roman" w:eastAsia="SimSun" w:hAnsi="Times New Roman" w:cs="Times New Roman"/>
          <w:sz w:val="22"/>
          <w:szCs w:val="22"/>
          <w:lang w:eastAsia="zh-CN"/>
        </w:rPr>
        <w:t>.</w:t>
      </w:r>
    </w:p>
    <w:p w:rsidR="00517E74" w:rsidRPr="00397A77" w:rsidRDefault="00DD6520" w:rsidP="00517E74">
      <w:pPr>
        <w:spacing w:after="0" w:line="360" w:lineRule="auto"/>
        <w:contextualSpacing/>
        <w:jc w:val="both"/>
        <w:rPr>
          <w:rFonts w:ascii="Times New Roman" w:eastAsia="SimSun" w:hAnsi="Times New Roman" w:cs="Times New Roman"/>
          <w:lang w:eastAsia="zh-CN"/>
        </w:rPr>
      </w:pPr>
      <w:r w:rsidRPr="00397A77">
        <w:rPr>
          <w:rFonts w:ascii="Times New Roman" w:eastAsia="SimSun" w:hAnsi="Times New Roman" w:cs="Times New Roman"/>
          <w:lang w:eastAsia="zh-CN"/>
        </w:rPr>
        <w:t>One of the preventive mechanisms to stop the continuation or recurrence of violence is the possib</w:t>
      </w:r>
      <w:r w:rsidRPr="00397A77">
        <w:rPr>
          <w:rFonts w:ascii="Times New Roman" w:eastAsia="SimSun" w:hAnsi="Times New Roman" w:cs="Times New Roman"/>
          <w:lang w:eastAsia="zh-CN"/>
        </w:rPr>
        <w:t>ility for the police, in misdemeanor proceedings, to propose the imposition of protective measures and to ensure their proper monitoring through the development and consistent implementation of a Protective Measures Monitoring Plan. The Plan provides for c</w:t>
      </w:r>
      <w:r w:rsidRPr="00397A77">
        <w:rPr>
          <w:rFonts w:ascii="Times New Roman" w:eastAsia="SimSun" w:hAnsi="Times New Roman" w:cs="Times New Roman"/>
          <w:lang w:eastAsia="zh-CN"/>
        </w:rPr>
        <w:t>ontact with a police officer continuously available to the victim of domestic violence, and regular visits to the residence of the victim and the perpetrator.</w:t>
      </w:r>
    </w:p>
    <w:p w:rsidR="00517E74" w:rsidRPr="00397A77" w:rsidRDefault="00DD6520" w:rsidP="00517E74">
      <w:pPr>
        <w:pStyle w:val="CommentText"/>
        <w:spacing w:after="0" w:line="360" w:lineRule="auto"/>
        <w:contextualSpacing/>
        <w:jc w:val="both"/>
        <w:rPr>
          <w:rFonts w:ascii="Times New Roman" w:eastAsia="SimSun" w:hAnsi="Times New Roman" w:cs="Times New Roman"/>
          <w:sz w:val="22"/>
          <w:szCs w:val="22"/>
          <w:lang w:eastAsia="zh-CN"/>
        </w:rPr>
      </w:pPr>
      <w:r w:rsidRPr="00397A77">
        <w:rPr>
          <w:rFonts w:ascii="Times New Roman" w:eastAsia="SimSun" w:hAnsi="Times New Roman" w:cs="Times New Roman"/>
          <w:sz w:val="22"/>
          <w:szCs w:val="22"/>
          <w:lang w:eastAsia="zh-CN"/>
        </w:rPr>
        <w:t>In this regard, in 2024 the PD proposed the imposition of a total of 444 protective measures to m</w:t>
      </w:r>
      <w:r w:rsidRPr="00397A77">
        <w:rPr>
          <w:rFonts w:ascii="Times New Roman" w:eastAsia="SimSun" w:hAnsi="Times New Roman" w:cs="Times New Roman"/>
          <w:sz w:val="22"/>
          <w:szCs w:val="22"/>
          <w:lang w:eastAsia="zh-CN"/>
        </w:rPr>
        <w:t>isdemeanor courts and monitored 369 measures imposed by court decisions, under the LDVP. In cooperation with international organizations and civil sector representatives, the PD conducts regular training and capacity-building for police officers on gender-</w:t>
      </w:r>
      <w:r w:rsidRPr="00397A77">
        <w:rPr>
          <w:rFonts w:ascii="Times New Roman" w:eastAsia="SimSun" w:hAnsi="Times New Roman" w:cs="Times New Roman"/>
          <w:sz w:val="22"/>
          <w:szCs w:val="22"/>
          <w:lang w:eastAsia="zh-CN"/>
        </w:rPr>
        <w:t>based violence, its causes and consequences, the trauma experienced by victims and their close environment, and the need for a sensitive approach when interviewing victims. Due to staff shortages and turnover, the PD continuously and strategically strength</w:t>
      </w:r>
      <w:r w:rsidRPr="00397A77">
        <w:rPr>
          <w:rFonts w:ascii="Times New Roman" w:eastAsia="SimSun" w:hAnsi="Times New Roman" w:cs="Times New Roman"/>
          <w:sz w:val="22"/>
          <w:szCs w:val="22"/>
          <w:lang w:eastAsia="zh-CN"/>
        </w:rPr>
        <w:t>ens its capacities through training and professionalization of officers working on combating gender-based and domestic violence</w:t>
      </w:r>
      <w:r w:rsidRPr="00397A77">
        <w:rPr>
          <w:rFonts w:ascii="Times New Roman" w:eastAsia="Calibri" w:hAnsi="Times New Roman" w:cs="Times New Roman"/>
          <w:sz w:val="22"/>
          <w:szCs w:val="22"/>
          <w:lang w:eastAsia="zh-CN"/>
        </w:rPr>
        <w:t>.</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 xml:space="preserve">The Instruction for proceeding of State Prosecutor’s Offices in Domestic Violence cases introduced a completely new, direct </w:t>
      </w:r>
      <w:r w:rsidRPr="00397A77">
        <w:rPr>
          <w:rFonts w:ascii="Times New Roman" w:hAnsi="Times New Roman" w:cs="Times New Roman"/>
          <w:sz w:val="22"/>
          <w:szCs w:val="22"/>
        </w:rPr>
        <w:t>model of prosecutorial action.</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Instead of the previous practice of indirect action through the police, state prosecutors are now directly involved from the outset-they meet with the victim, witnesses, and review the evidence, personally conduct on-site ins</w:t>
      </w:r>
      <w:r w:rsidRPr="00397A77">
        <w:rPr>
          <w:rFonts w:ascii="Times New Roman" w:hAnsi="Times New Roman" w:cs="Times New Roman"/>
          <w:sz w:val="22"/>
          <w:szCs w:val="22"/>
        </w:rPr>
        <w:t>pections, assess the risk of repeated violence, and also act before misdemeanor courts, ensuring a comprehensive institutional response. As a result of this approach, appeals against misdemeanor court decisions have been filed for the first time.</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During 20</w:t>
      </w:r>
      <w:r w:rsidRPr="00397A77">
        <w:rPr>
          <w:rFonts w:ascii="Times New Roman" w:hAnsi="Times New Roman" w:cs="Times New Roman"/>
          <w:sz w:val="22"/>
          <w:szCs w:val="22"/>
        </w:rPr>
        <w:t>25, a total of 1,877 cases were initiated for the criminal offence of domestic or family violence.</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During 2024, a total of 977 persons were reported for this criminal offence, while in the period from the adoption of the Instruction (11 October 2024) to 31</w:t>
      </w:r>
      <w:r w:rsidRPr="00397A77">
        <w:rPr>
          <w:rFonts w:ascii="Times New Roman" w:hAnsi="Times New Roman" w:cs="Times New Roman"/>
          <w:sz w:val="22"/>
          <w:szCs w:val="22"/>
        </w:rPr>
        <w:t xml:space="preserve"> December 2024, a total of 420 cases were formed.</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lastRenderedPageBreak/>
        <w:t>In 2023, reports were received against a total of 466 persons for the criminal offence under Article 220 of the CCM (domestic or family violence).</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These data clearly indicate a significant increase in the n</w:t>
      </w:r>
      <w:r w:rsidRPr="00397A77">
        <w:rPr>
          <w:rFonts w:ascii="Times New Roman" w:hAnsi="Times New Roman" w:cs="Times New Roman"/>
          <w:sz w:val="22"/>
          <w:szCs w:val="22"/>
        </w:rPr>
        <w:t xml:space="preserve">umber of cases handled by the prosecution. </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b/>
          <w:sz w:val="22"/>
          <w:szCs w:val="22"/>
        </w:rPr>
        <w:t>(c)Establish a comprehensive mechanism for collecting data on violence against women, including domestic violence, disaggregated by sex, age, victim-perpetrator relationship, and conduct a detailed analysis of su</w:t>
      </w:r>
      <w:r w:rsidRPr="00397A77">
        <w:rPr>
          <w:rFonts w:ascii="Times New Roman" w:hAnsi="Times New Roman" w:cs="Times New Roman"/>
          <w:b/>
          <w:sz w:val="22"/>
          <w:szCs w:val="22"/>
        </w:rPr>
        <w:t xml:space="preserve">ch data, using it to develop targeted policies and strategies to combat all forms of violence against women.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Pursuant to Article 64 of the Law on Internal Affairs, the police maintain records of criminal offences and perpetrators, filed criminal complaint</w:t>
      </w:r>
      <w:r w:rsidRPr="00397A77">
        <w:rPr>
          <w:rFonts w:ascii="Times New Roman" w:hAnsi="Times New Roman" w:cs="Times New Roman"/>
        </w:rPr>
        <w:t>s, victims of criminal offences, witnesses and injured parties, and requests to initiate misdemeanor proceedings and perpetrators of misdemeanors, where data on domestic violence and criminal offences against sexual freedom are available. Additionally, for</w:t>
      </w:r>
      <w:r w:rsidRPr="00397A77">
        <w:rPr>
          <w:rFonts w:ascii="Times New Roman" w:hAnsi="Times New Roman" w:cs="Times New Roman"/>
        </w:rPr>
        <w:t xml:space="preserve"> the purpose of assessing and analyzing the state of crime, the police prepare monthly and annual reports covering all areas of competence, which include data on the number and sex of victims. The police do not keep records based on the phenomenon of gende</w:t>
      </w:r>
      <w:r w:rsidRPr="00397A77">
        <w:rPr>
          <w:rFonts w:ascii="Times New Roman" w:hAnsi="Times New Roman" w:cs="Times New Roman"/>
        </w:rPr>
        <w:t xml:space="preserve">r-based violence as such, but according to the type of criminal offence committed.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The Council of Europe Convention on Preventing and Combating Violence </w:t>
      </w:r>
      <w:r w:rsidR="000F6EB7" w:rsidRPr="00397A77">
        <w:rPr>
          <w:rFonts w:ascii="Times New Roman" w:hAnsi="Times New Roman" w:cs="Times New Roman"/>
        </w:rPr>
        <w:t>against</w:t>
      </w:r>
      <w:r w:rsidRPr="00397A77">
        <w:rPr>
          <w:rFonts w:ascii="Times New Roman" w:hAnsi="Times New Roman" w:cs="Times New Roman"/>
        </w:rPr>
        <w:t xml:space="preserve"> Women and Domestic Violence was ratified in 2013 and entered into force on 1 August 2014. The </w:t>
      </w:r>
      <w:r w:rsidRPr="00397A77">
        <w:rPr>
          <w:rFonts w:ascii="Times New Roman" w:hAnsi="Times New Roman" w:cs="Times New Roman"/>
        </w:rPr>
        <w:t>Ministry responsible for social protection, and CSWs, have used the Social Welfare Information System (ISSS) E-</w:t>
      </w:r>
      <w:proofErr w:type="spellStart"/>
      <w:r w:rsidRPr="00397A77">
        <w:rPr>
          <w:rFonts w:ascii="Times New Roman" w:hAnsi="Times New Roman" w:cs="Times New Roman"/>
        </w:rPr>
        <w:t>Socijala</w:t>
      </w:r>
      <w:proofErr w:type="spellEnd"/>
      <w:r w:rsidRPr="00397A77">
        <w:rPr>
          <w:rFonts w:ascii="Times New Roman" w:hAnsi="Times New Roman" w:cs="Times New Roman"/>
        </w:rPr>
        <w:t xml:space="preserve"> for several years. Within the services provided by the centers, a special module for domestic violence has been developed, through which</w:t>
      </w:r>
      <w:r w:rsidRPr="00397A77">
        <w:rPr>
          <w:rFonts w:ascii="Times New Roman" w:hAnsi="Times New Roman" w:cs="Times New Roman"/>
        </w:rPr>
        <w:t xml:space="preserve"> all domestic violence reports are processed, whether reported to a CSW or the PD. This has established a unified database of violence reports. However, analysis of the database shows gaps, primarily regarding sex, and statistical data on women from rural </w:t>
      </w:r>
      <w:r w:rsidRPr="00397A77">
        <w:rPr>
          <w:rFonts w:ascii="Times New Roman" w:hAnsi="Times New Roman" w:cs="Times New Roman"/>
        </w:rPr>
        <w:t>areas, Roma, and Egyptian communities. To provide adequate services to victims, the database must also identify licensed service providers of shelters, SOS lines, and counselling. An upgrade of the entire E-</w:t>
      </w:r>
      <w:proofErr w:type="spellStart"/>
      <w:r w:rsidRPr="00397A77">
        <w:rPr>
          <w:rFonts w:ascii="Times New Roman" w:hAnsi="Times New Roman" w:cs="Times New Roman"/>
        </w:rPr>
        <w:t>Socijala</w:t>
      </w:r>
      <w:proofErr w:type="spellEnd"/>
      <w:r w:rsidRPr="00397A77">
        <w:rPr>
          <w:rFonts w:ascii="Times New Roman" w:hAnsi="Times New Roman" w:cs="Times New Roman"/>
        </w:rPr>
        <w:t xml:space="preserve"> system, including this database, is unde</w:t>
      </w:r>
      <w:r w:rsidRPr="00397A77">
        <w:rPr>
          <w:rFonts w:ascii="Times New Roman" w:hAnsi="Times New Roman" w:cs="Times New Roman"/>
        </w:rPr>
        <w:t>rway. From 1 October 2025, a directive requires all PSs and CSWs to report violence through the Unified Database.</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b/>
        </w:rPr>
        <w:t>18</w:t>
      </w:r>
      <w:r w:rsidR="000F6EB7" w:rsidRPr="00397A77">
        <w:rPr>
          <w:rFonts w:ascii="Times New Roman" w:hAnsi="Times New Roman" w:cs="Times New Roman"/>
        </w:rPr>
        <w:t>.</w:t>
      </w:r>
      <w:r w:rsidR="000F6EB7" w:rsidRPr="00397A77">
        <w:rPr>
          <w:rFonts w:ascii="Times New Roman" w:hAnsi="Times New Roman" w:cs="Times New Roman"/>
          <w:b/>
          <w:bCs/>
        </w:rPr>
        <w:t xml:space="preserve"> Human</w:t>
      </w:r>
      <w:r w:rsidRPr="00397A77">
        <w:rPr>
          <w:rFonts w:ascii="Times New Roman" w:hAnsi="Times New Roman" w:cs="Times New Roman"/>
          <w:b/>
          <w:bCs/>
        </w:rPr>
        <w:t xml:space="preserve"> Trafficking (HT)</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Noting the measures taken to combat HT, including the appointment of a new National Anti-Trafficking Coordinator in September 2013, the Committee remains concerned about the low number of prosecutions and the light penalties imposed on traffickers, the lim</w:t>
      </w:r>
      <w:r w:rsidRPr="00397A77">
        <w:rPr>
          <w:rFonts w:ascii="Times New Roman" w:hAnsi="Times New Roman" w:cs="Times New Roman"/>
        </w:rPr>
        <w:t xml:space="preserve">ited capacity of law enforcement agencies to identify victims, and the lack of protection and compensation available to victims (Article 10). </w:t>
      </w:r>
    </w:p>
    <w:p w:rsidR="00517E74" w:rsidRPr="00397A77" w:rsidRDefault="00DD6520" w:rsidP="00517E74">
      <w:pPr>
        <w:spacing w:after="0" w:line="360" w:lineRule="auto"/>
        <w:contextualSpacing/>
        <w:rPr>
          <w:rFonts w:ascii="Times New Roman" w:hAnsi="Times New Roman" w:cs="Times New Roman"/>
          <w:b/>
        </w:rPr>
      </w:pPr>
      <w:r w:rsidRPr="00397A77">
        <w:rPr>
          <w:rFonts w:ascii="Times New Roman" w:hAnsi="Times New Roman" w:cs="Times New Roman"/>
        </w:rPr>
        <w:t>The Committee recommends that State parties:</w:t>
      </w: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lastRenderedPageBreak/>
        <w:t>(a)Take further measures to ensure the victim protection and the eff</w:t>
      </w:r>
      <w:r w:rsidRPr="00397A77">
        <w:rPr>
          <w:rFonts w:ascii="Times New Roman" w:hAnsi="Times New Roman" w:cs="Times New Roman"/>
          <w:b/>
        </w:rPr>
        <w:t xml:space="preserve">ective investigation and prosecution of traffickers, including adequate training for law enforcement officers and members of the judiciary;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Montenegro has established a system covering all stages, from victim identification to reintegration into society,</w:t>
      </w:r>
      <w:r w:rsidRPr="00397A77">
        <w:rPr>
          <w:rFonts w:ascii="Times New Roman" w:hAnsi="Times New Roman" w:cs="Times New Roman"/>
        </w:rPr>
        <w:t xml:space="preserve"> with effective cooperation between state authorities and CSOs.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Regarding the legislative framework, Article 444 of the CC criminalizes HT. Recently, amendments have been adopted to align the law with international standards, with emphasis on human rights and victim protection. The latest amendments of December 2023 in</w:t>
      </w:r>
      <w:r w:rsidRPr="00397A77">
        <w:rPr>
          <w:rFonts w:ascii="Times New Roman" w:hAnsi="Times New Roman" w:cs="Times New Roman"/>
        </w:rPr>
        <w:t>clude: harmonizing the concept of “child” with the UN Convention on the Rights of the Child (a person under 18); adding abduction as a means of committing the offence; introducing a stricter penalty where the offence results in serious bodily injury to a c</w:t>
      </w:r>
      <w:r w:rsidRPr="00397A77">
        <w:rPr>
          <w:rFonts w:ascii="Times New Roman" w:hAnsi="Times New Roman" w:cs="Times New Roman"/>
        </w:rPr>
        <w:t xml:space="preserve">hild; and introducing impunity for victims forced to participate in criminal acts.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Regarding the strategic framework, the umbrella document for combating HT in Montenegro is the Strategy for Combating Trafficking in Human Beings 2019-2024, adopted by the </w:t>
      </w:r>
      <w:r w:rsidRPr="00397A77">
        <w:rPr>
          <w:rFonts w:ascii="Times New Roman" w:hAnsi="Times New Roman" w:cs="Times New Roman"/>
        </w:rPr>
        <w:t xml:space="preserve">Government. The Strategy sets guidelines in the areas of prevention, victim protection, prosecution, and international cooperation, focusing on victims, particularly women and children as the most vulnerable groups. It is gender-specific, ensures adequate </w:t>
      </w:r>
      <w:r w:rsidRPr="00397A77">
        <w:rPr>
          <w:rFonts w:ascii="Times New Roman" w:hAnsi="Times New Roman" w:cs="Times New Roman"/>
        </w:rPr>
        <w:t xml:space="preserve">victim protection and reintegration, while providing for the effective prosecution of perpetrators.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Since the adoption of the Strategy, six action plans have been adopted for the period 2019-2024. As the Strategy expired at the end of 2024, an evaluation </w:t>
      </w:r>
      <w:r w:rsidRPr="00397A77">
        <w:rPr>
          <w:rFonts w:ascii="Times New Roman" w:hAnsi="Times New Roman" w:cs="Times New Roman"/>
        </w:rPr>
        <w:t xml:space="preserve">of its implementation in the areas of prevention, victim protection, prosecution, and international cooperation was carried out to identify challenges and lay the groundwork for future activities. Based on this evaluation, work has begun on a new Strategy </w:t>
      </w:r>
      <w:r w:rsidRPr="00397A77">
        <w:rPr>
          <w:rFonts w:ascii="Times New Roman" w:hAnsi="Times New Roman" w:cs="Times New Roman"/>
        </w:rPr>
        <w:t xml:space="preserve">2025-2028, with the Action Plan for 2025. </w:t>
      </w:r>
      <w:r w:rsidRPr="00397A77">
        <w:rPr>
          <w:rFonts w:ascii="Times New Roman" w:hAnsi="Times New Roman" w:cs="Times New Roman"/>
        </w:rPr>
        <w:tab/>
      </w:r>
      <w:r w:rsidRPr="00397A77">
        <w:rPr>
          <w:rFonts w:ascii="Times New Roman" w:hAnsi="Times New Roman" w:cs="Times New Roman"/>
        </w:rPr>
        <w:br/>
        <w:t>In this regard, at its session held on 18 December 2025, the Government adopted the new Strategy 2025-2028, with the Action Plan for 2025. The Strategy defines the objectives, principles, and directions in combat</w:t>
      </w:r>
      <w:r w:rsidRPr="00397A77">
        <w:rPr>
          <w:rFonts w:ascii="Times New Roman" w:hAnsi="Times New Roman" w:cs="Times New Roman"/>
        </w:rPr>
        <w:t>ing HT and establishes measures to improve the effectiveness of the established system for combating trafficking in human beings/children in public, private, and civil sectors. It focuses on four key strategic areas: prevention of HT; victim protection; pr</w:t>
      </w:r>
      <w:r w:rsidRPr="00397A77">
        <w:rPr>
          <w:rFonts w:ascii="Times New Roman" w:hAnsi="Times New Roman" w:cs="Times New Roman"/>
        </w:rPr>
        <w:t xml:space="preserve">osecution and criminal justice response; and partnership, coordination, and international cooperation.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2025-2028 Strategy introduces a number of innovations aimed at strengthening the overall national response to HT. The Strategy also recognizes the i</w:t>
      </w:r>
      <w:r w:rsidRPr="00397A77">
        <w:rPr>
          <w:rFonts w:ascii="Times New Roman" w:hAnsi="Times New Roman" w:cs="Times New Roman"/>
        </w:rPr>
        <w:t>mportance of gender equality and the link between gender-based violence and HT in shaping its interventions. Furthermore, alignment with all relevant international standards in this field has been ensured, including international conventions and the EU acq</w:t>
      </w:r>
      <w:r w:rsidRPr="00397A77">
        <w:rPr>
          <w:rFonts w:ascii="Times New Roman" w:hAnsi="Times New Roman" w:cs="Times New Roman"/>
        </w:rPr>
        <w:t>uis. In particular, new challenges and trends have been identified, on the basis of which activities will be developed, especially in light of the use of technology for committing the criminal offence of HT, strengthening cooperation with the private secto</w:t>
      </w:r>
      <w:r w:rsidRPr="00397A77">
        <w:rPr>
          <w:rFonts w:ascii="Times New Roman" w:hAnsi="Times New Roman" w:cs="Times New Roman"/>
        </w:rPr>
        <w:t xml:space="preserve">r to combat labor exploitation in high-risk sectors, </w:t>
      </w:r>
      <w:r w:rsidRPr="00397A77">
        <w:rPr>
          <w:rFonts w:ascii="Times New Roman" w:hAnsi="Times New Roman" w:cs="Times New Roman"/>
        </w:rPr>
        <w:lastRenderedPageBreak/>
        <w:t>enhancing mechanisms for the formal identification of victims through improved local-level response, reinforcing coordination mechanisms in the area of combating HT, strengthening the capacity of the vic</w:t>
      </w:r>
      <w:r w:rsidRPr="00397A77">
        <w:rPr>
          <w:rFonts w:ascii="Times New Roman" w:hAnsi="Times New Roman" w:cs="Times New Roman"/>
        </w:rPr>
        <w:t xml:space="preserve">tim protection system, and continuing harmonization with the EU acquis in this field.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In the operational segment, to improve results in the investigation and prosecution of HT cases, the Supreme State Prosecutor and the Director of the PD established an O</w:t>
      </w:r>
      <w:r w:rsidRPr="00397A77">
        <w:rPr>
          <w:rFonts w:ascii="Times New Roman" w:hAnsi="Times New Roman" w:cs="Times New Roman"/>
        </w:rPr>
        <w:t>perational Team for Combating Trafficking in Human Beings on 17 April 2024. By decision of the Supreme State Prosecutor and the Minister of the Interior, the Team’s competences were extended to include combating illegal border crossing and smuggling of mig</w:t>
      </w:r>
      <w:r w:rsidRPr="00397A77">
        <w:rPr>
          <w:rFonts w:ascii="Times New Roman" w:hAnsi="Times New Roman" w:cs="Times New Roman"/>
        </w:rPr>
        <w:t xml:space="preserve">rants. The Team consists of representatives of the State Prosecutor’s Office, the </w:t>
      </w:r>
      <w:proofErr w:type="spellStart"/>
      <w:r w:rsidRPr="00397A77">
        <w:rPr>
          <w:rFonts w:ascii="Times New Roman" w:hAnsi="Times New Roman" w:cs="Times New Roman"/>
        </w:rPr>
        <w:t>MoI</w:t>
      </w:r>
      <w:proofErr w:type="spellEnd"/>
      <w:r w:rsidRPr="00397A77">
        <w:rPr>
          <w:rFonts w:ascii="Times New Roman" w:hAnsi="Times New Roman" w:cs="Times New Roman"/>
        </w:rPr>
        <w:t xml:space="preserve">, and the PD. </w:t>
      </w:r>
      <w:r w:rsidRPr="00397A77">
        <w:rPr>
          <w:rFonts w:ascii="Times New Roman" w:hAnsi="Times New Roman" w:cs="Times New Roman"/>
        </w:rPr>
        <w:tab/>
      </w:r>
      <w:r w:rsidRPr="00397A77">
        <w:rPr>
          <w:rFonts w:ascii="Times New Roman" w:hAnsi="Times New Roman" w:cs="Times New Roman"/>
        </w:rPr>
        <w:br/>
        <w:t>The system for identifying HT victims was further improved in 2019 through the establishment of the Team for Formal Identification of HT victims, which ope</w:t>
      </w:r>
      <w:r w:rsidRPr="00397A77">
        <w:rPr>
          <w:rFonts w:ascii="Times New Roman" w:hAnsi="Times New Roman" w:cs="Times New Roman"/>
        </w:rPr>
        <w:t>rates following specific operational procedures under the National Plan for Formal Identification of HT victims adopted by the Government. The proposed model provides that victim status may be granted on the basis of a violation of human rights, and not so</w:t>
      </w:r>
      <w:r w:rsidRPr="00397A77">
        <w:rPr>
          <w:rFonts w:ascii="Times New Roman" w:hAnsi="Times New Roman" w:cs="Times New Roman"/>
        </w:rPr>
        <w:t xml:space="preserve">lely where a person is recognized as a victim of the criminal offence of HT.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Regarding regional cooperation, Montenegro has strengthened bilateral collaboration with countries in the region in the areas of prevention, victim identification, and prosecutio</w:t>
      </w:r>
      <w:r w:rsidRPr="00397A77">
        <w:rPr>
          <w:rFonts w:ascii="Times New Roman" w:hAnsi="Times New Roman" w:cs="Times New Roman"/>
        </w:rPr>
        <w:t xml:space="preserve">n of offenders by signing protocols with </w:t>
      </w:r>
      <w:r w:rsidR="000F6EB7" w:rsidRPr="00397A77">
        <w:rPr>
          <w:rFonts w:ascii="Times New Roman" w:hAnsi="Times New Roman" w:cs="Times New Roman"/>
        </w:rPr>
        <w:t>Albania (</w:t>
      </w:r>
      <w:r w:rsidRPr="00397A77">
        <w:rPr>
          <w:rFonts w:ascii="Times New Roman" w:hAnsi="Times New Roman" w:cs="Times New Roman"/>
        </w:rPr>
        <w:t xml:space="preserve">2017), </w:t>
      </w:r>
      <w:proofErr w:type="gramStart"/>
      <w:r w:rsidRPr="00397A77">
        <w:rPr>
          <w:rFonts w:ascii="Times New Roman" w:hAnsi="Times New Roman" w:cs="Times New Roman"/>
        </w:rPr>
        <w:t>Kosovo(</w:t>
      </w:r>
      <w:proofErr w:type="gramEnd"/>
      <w:r w:rsidRPr="00397A77">
        <w:rPr>
          <w:rFonts w:ascii="Times New Roman" w:hAnsi="Times New Roman" w:cs="Times New Roman"/>
        </w:rPr>
        <w:t>2017), North Macedonia(2018), and Slovenia(2021).</w:t>
      </w:r>
    </w:p>
    <w:p w:rsidR="00517E74" w:rsidRPr="00397A77" w:rsidRDefault="00DD6520" w:rsidP="00517E74">
      <w:pPr>
        <w:spacing w:after="0" w:line="360" w:lineRule="auto"/>
        <w:contextualSpacing/>
        <w:jc w:val="both"/>
        <w:rPr>
          <w:rFonts w:ascii="Times New Roman" w:hAnsi="Times New Roman" w:cs="Times New Roman"/>
          <w:b/>
          <w:i/>
          <w:u w:val="single"/>
        </w:rPr>
      </w:pPr>
      <w:r w:rsidRPr="00397A77">
        <w:rPr>
          <w:rFonts w:ascii="Times New Roman" w:hAnsi="Times New Roman" w:cs="Times New Roman"/>
        </w:rPr>
        <w:t>The protocols regulate issues of victim identification, particularly during the construction and tourist seasons, cooperation in criminal proc</w:t>
      </w:r>
      <w:r w:rsidRPr="00397A77">
        <w:rPr>
          <w:rFonts w:ascii="Times New Roman" w:hAnsi="Times New Roman" w:cs="Times New Roman"/>
        </w:rPr>
        <w:t>eedings, and the voluntary return of victims, with special emphasis on child victims.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Regarding training, continuous programs are conducted to strengthen the capacities of relevant professionals on various aspects of HT, focusing on protection and proper i</w:t>
      </w:r>
      <w:r w:rsidRPr="00397A77">
        <w:rPr>
          <w:rFonts w:ascii="Times New Roman" w:hAnsi="Times New Roman" w:cs="Times New Roman"/>
        </w:rPr>
        <w:t>dentification of victims, especially vulnerable groups.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CTJSP has consistently delivered training on combating HT for judicial office holders-judges and state prosecutors. With the support of international partners - IOM, the OSCE Mission to Montenegro</w:t>
      </w:r>
      <w:r w:rsidRPr="00397A77">
        <w:rPr>
          <w:rFonts w:ascii="Times New Roman" w:hAnsi="Times New Roman" w:cs="Times New Roman"/>
        </w:rPr>
        <w:t>, and the UNODC, a series of trainings has been organized for different categories of professionals to enhance capacities in identifying potential and actual HT victims, reintegration, and protection of vulnerable groups, with special emphasis on children,</w:t>
      </w:r>
      <w:r w:rsidRPr="00397A77">
        <w:rPr>
          <w:rFonts w:ascii="Times New Roman" w:hAnsi="Times New Roman" w:cs="Times New Roman"/>
        </w:rPr>
        <w:t xml:space="preserve"> and to strengthen the capacities of judicial representatives.</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In 2025, the State Prosecutor’s Office conducted a comprehensive assessment of training needs for the first time, to identify key professional, technical, and interpersonal competencies require</w:t>
      </w:r>
      <w:r w:rsidRPr="00397A77">
        <w:rPr>
          <w:rFonts w:ascii="Times New Roman" w:eastAsia="Times New Roman" w:hAnsi="Times New Roman" w:cs="Times New Roman"/>
        </w:rPr>
        <w:t>d for effective and high-quality work. The analysis covered all topics relevant to prosecutorial work, including specialized training on handling HT cases, to strengthen professional capacities and improve operational efficiency.</w:t>
      </w: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t>(b)Collection of data on v</w:t>
      </w:r>
      <w:r w:rsidRPr="00397A77">
        <w:rPr>
          <w:rFonts w:ascii="Times New Roman" w:hAnsi="Times New Roman" w:cs="Times New Roman"/>
          <w:b/>
        </w:rPr>
        <w:t>ictims, perpetrators, investigations, and sanctions related to HT, including sanctions concerning police officers involved in trafficking;</w:t>
      </w:r>
      <w:bookmarkStart w:id="2" w:name="_Hlk191628931"/>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rPr>
        <w:lastRenderedPageBreak/>
        <w:t>To ensure a quality assessment of crime in the field of HT, the Department for Combating Human Trafficking within the</w:t>
      </w:r>
      <w:r w:rsidRPr="00397A77">
        <w:rPr>
          <w:rFonts w:ascii="Times New Roman" w:hAnsi="Times New Roman" w:cs="Times New Roman"/>
        </w:rPr>
        <w:t xml:space="preserve"> </w:t>
      </w:r>
      <w:proofErr w:type="spellStart"/>
      <w:r w:rsidRPr="00397A77">
        <w:rPr>
          <w:rFonts w:ascii="Times New Roman" w:hAnsi="Times New Roman" w:cs="Times New Roman"/>
        </w:rPr>
        <w:t>MoI</w:t>
      </w:r>
      <w:proofErr w:type="spellEnd"/>
      <w:r w:rsidRPr="00397A77">
        <w:rPr>
          <w:rFonts w:ascii="Times New Roman" w:hAnsi="Times New Roman" w:cs="Times New Roman"/>
        </w:rPr>
        <w:t xml:space="preserve"> receives quarterly reports from authorized personnel of the PD, the Supreme State Prosecutor’s Office, and the Supreme Court, which monitor HT statistics within their respective institutions. The data are consolidated to create unified statistics on H</w:t>
      </w:r>
      <w:r w:rsidRPr="00397A77">
        <w:rPr>
          <w:rFonts w:ascii="Times New Roman" w:hAnsi="Times New Roman" w:cs="Times New Roman"/>
        </w:rPr>
        <w:t>T in Montenegro, including information on perpetrators and victims throughout the criminal justice process.</w:t>
      </w:r>
    </w:p>
    <w:tbl>
      <w:tblPr>
        <w:tblpPr w:leftFromText="180" w:rightFromText="180" w:vertAnchor="text" w:horzAnchor="margin" w:tblpY="-14"/>
        <w:tblOverlap w:val="never"/>
        <w:tblW w:w="9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1"/>
        <w:gridCol w:w="1135"/>
        <w:gridCol w:w="1135"/>
        <w:gridCol w:w="1135"/>
        <w:gridCol w:w="1135"/>
        <w:gridCol w:w="1135"/>
        <w:gridCol w:w="1240"/>
        <w:gridCol w:w="1215"/>
      </w:tblGrid>
      <w:tr w:rsidR="00193F9C" w:rsidTr="00517E74">
        <w:trPr>
          <w:trHeight w:hRule="exact" w:val="1987"/>
        </w:trPr>
        <w:tc>
          <w:tcPr>
            <w:tcW w:w="1057" w:type="dxa"/>
            <w:shd w:val="clear" w:color="auto" w:fill="8DB3E2" w:themeFill="text2" w:themeFillTint="66"/>
          </w:tcPr>
          <w:p w:rsidR="00517E74" w:rsidRPr="00397A77" w:rsidRDefault="00DD6520" w:rsidP="00517E74">
            <w:pPr>
              <w:spacing w:after="0" w:line="240" w:lineRule="auto"/>
              <w:contextualSpacing/>
              <w:rPr>
                <w:rFonts w:ascii="Times New Roman" w:hAnsi="Times New Roman" w:cs="Times New Roman"/>
                <w:sz w:val="20"/>
                <w:szCs w:val="20"/>
              </w:rPr>
            </w:pPr>
            <w:r w:rsidRPr="00397A77">
              <w:rPr>
                <w:rFonts w:ascii="Times New Roman" w:hAnsi="Times New Roman" w:cs="Times New Roman"/>
                <w:sz w:val="20"/>
                <w:szCs w:val="20"/>
              </w:rPr>
              <w:t>Statistics-Prosecution and Sentencing</w:t>
            </w:r>
          </w:p>
          <w:p w:rsidR="00517E74" w:rsidRPr="00397A77" w:rsidRDefault="00DD6520" w:rsidP="00517E74">
            <w:pPr>
              <w:spacing w:after="0" w:line="240" w:lineRule="auto"/>
              <w:ind w:left="-15"/>
              <w:contextualSpacing/>
              <w:jc w:val="both"/>
              <w:rPr>
                <w:rFonts w:ascii="Times New Roman" w:hAnsi="Times New Roman" w:cs="Times New Roman"/>
              </w:rPr>
            </w:pPr>
            <w:r w:rsidRPr="00397A77">
              <w:rPr>
                <w:rFonts w:ascii="Times New Roman" w:hAnsi="Times New Roman" w:cs="Times New Roman"/>
                <w:sz w:val="20"/>
                <w:szCs w:val="20"/>
              </w:rPr>
              <w:t>Criminal Offence: Human Trafficking</w:t>
            </w:r>
          </w:p>
        </w:tc>
        <w:tc>
          <w:tcPr>
            <w:tcW w:w="1072"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2019</w:t>
            </w:r>
          </w:p>
        </w:tc>
        <w:tc>
          <w:tcPr>
            <w:tcW w:w="1072"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2020</w:t>
            </w:r>
          </w:p>
        </w:tc>
        <w:tc>
          <w:tcPr>
            <w:tcW w:w="1072"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2021</w:t>
            </w:r>
          </w:p>
        </w:tc>
        <w:tc>
          <w:tcPr>
            <w:tcW w:w="1072"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2022</w:t>
            </w:r>
          </w:p>
        </w:tc>
        <w:tc>
          <w:tcPr>
            <w:tcW w:w="1057"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 xml:space="preserve">2023     </w:t>
            </w:r>
          </w:p>
        </w:tc>
        <w:tc>
          <w:tcPr>
            <w:tcW w:w="1515" w:type="dxa"/>
            <w:shd w:val="clear" w:color="auto" w:fill="8DB3E2" w:themeFill="text2" w:themeFillTint="66"/>
          </w:tcPr>
          <w:p w:rsidR="00517E74" w:rsidRPr="00397A77" w:rsidRDefault="00517E74" w:rsidP="00517E74">
            <w:pPr>
              <w:spacing w:after="0" w:line="240" w:lineRule="auto"/>
              <w:contextualSpacing/>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2024</w:t>
            </w:r>
          </w:p>
        </w:tc>
        <w:tc>
          <w:tcPr>
            <w:tcW w:w="1414" w:type="dxa"/>
            <w:shd w:val="clear" w:color="auto" w:fill="8DB3E2" w:themeFill="text2" w:themeFillTint="66"/>
          </w:tcPr>
          <w:p w:rsidR="00517E74" w:rsidRPr="00397A77" w:rsidRDefault="00517E74" w:rsidP="00517E74">
            <w:pPr>
              <w:spacing w:after="0" w:line="240" w:lineRule="auto"/>
              <w:ind w:left="-15"/>
              <w:contextualSpacing/>
              <w:jc w:val="both"/>
              <w:rPr>
                <w:rFonts w:ascii="Times New Roman" w:hAnsi="Times New Roman" w:cs="Times New Roman"/>
                <w:sz w:val="20"/>
                <w:szCs w:val="20"/>
              </w:rPr>
            </w:pP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 xml:space="preserve">2025 </w:t>
            </w:r>
          </w:p>
        </w:tc>
      </w:tr>
      <w:tr w:rsidR="00193F9C" w:rsidTr="00517E74">
        <w:trPr>
          <w:trHeight w:hRule="exact" w:val="1447"/>
        </w:trPr>
        <w:tc>
          <w:tcPr>
            <w:tcW w:w="1057" w:type="dxa"/>
            <w:shd w:val="clear" w:color="auto" w:fill="8DB3E2" w:themeFill="text2" w:themeFillTint="66"/>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Police Directorate</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bCs/>
                <w:sz w:val="20"/>
                <w:szCs w:val="20"/>
              </w:rPr>
              <w:t xml:space="preserve">2 </w:t>
            </w:r>
            <w:r w:rsidRPr="00397A77">
              <w:rPr>
                <w:rFonts w:ascii="Times New Roman" w:hAnsi="Times New Roman" w:cs="Times New Roman"/>
                <w:bCs/>
                <w:sz w:val="20"/>
                <w:szCs w:val="20"/>
              </w:rPr>
              <w:t>criminal reports against 3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bCs/>
                <w:sz w:val="20"/>
                <w:szCs w:val="20"/>
              </w:rPr>
              <w:t>8 criminal reports against 10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5 criminal reports against 6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9 criminal reports against 13 persons</w:t>
            </w:r>
          </w:p>
        </w:tc>
        <w:tc>
          <w:tcPr>
            <w:tcW w:w="1057"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16 criminal reports against 28 persons</w:t>
            </w:r>
          </w:p>
        </w:tc>
        <w:tc>
          <w:tcPr>
            <w:tcW w:w="1515"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16 criminal reports against 18 persons</w:t>
            </w:r>
          </w:p>
        </w:tc>
        <w:tc>
          <w:tcPr>
            <w:tcW w:w="1414" w:type="dxa"/>
          </w:tcPr>
          <w:p w:rsidR="00517E74" w:rsidRPr="00397A77" w:rsidRDefault="00DD6520" w:rsidP="00517E74">
            <w:pPr>
              <w:spacing w:after="0" w:line="240" w:lineRule="auto"/>
              <w:contextualSpacing/>
              <w:jc w:val="both"/>
              <w:rPr>
                <w:rFonts w:ascii="Times New Roman" w:hAnsi="Times New Roman" w:cs="Times New Roman"/>
                <w:sz w:val="20"/>
                <w:szCs w:val="20"/>
              </w:rPr>
            </w:pPr>
            <w:r w:rsidRPr="00397A77">
              <w:rPr>
                <w:rFonts w:ascii="Times New Roman" w:hAnsi="Times New Roman" w:cs="Times New Roman"/>
                <w:sz w:val="20"/>
                <w:szCs w:val="20"/>
              </w:rPr>
              <w:t>25 criminal reports against 28</w:t>
            </w:r>
            <w:r w:rsidRPr="00397A77">
              <w:rPr>
                <w:rFonts w:ascii="Times New Roman" w:hAnsi="Times New Roman" w:cs="Times New Roman"/>
                <w:sz w:val="20"/>
                <w:szCs w:val="20"/>
              </w:rPr>
              <w:t xml:space="preserve"> persons</w:t>
            </w:r>
          </w:p>
        </w:tc>
      </w:tr>
      <w:tr w:rsidR="00193F9C" w:rsidTr="00517E74">
        <w:trPr>
          <w:trHeight w:hRule="exact" w:val="1078"/>
        </w:trPr>
        <w:tc>
          <w:tcPr>
            <w:tcW w:w="1057" w:type="dxa"/>
            <w:shd w:val="clear" w:color="auto" w:fill="8DB3E2" w:themeFill="text2" w:themeFillTint="66"/>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State Prosecutor’s Office</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 indictments against 3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bCs/>
                <w:sz w:val="20"/>
                <w:szCs w:val="20"/>
              </w:rPr>
              <w:t>4 indictments against 4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4 indictments against 6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5 indictments against 12 persons</w:t>
            </w:r>
          </w:p>
        </w:tc>
        <w:tc>
          <w:tcPr>
            <w:tcW w:w="1057"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7 indictments against 12 persons</w:t>
            </w:r>
          </w:p>
        </w:tc>
        <w:tc>
          <w:tcPr>
            <w:tcW w:w="1515" w:type="dxa"/>
          </w:tcPr>
          <w:p w:rsidR="00517E74" w:rsidRPr="00397A77" w:rsidRDefault="00DD6520" w:rsidP="00517E74">
            <w:pPr>
              <w:spacing w:after="0" w:line="240" w:lineRule="auto"/>
              <w:contextualSpacing/>
              <w:jc w:val="both"/>
              <w:rPr>
                <w:rFonts w:ascii="Times New Roman" w:hAnsi="Times New Roman" w:cs="Times New Roman"/>
                <w:sz w:val="20"/>
                <w:szCs w:val="20"/>
              </w:rPr>
            </w:pPr>
            <w:r w:rsidRPr="00397A77">
              <w:rPr>
                <w:rFonts w:ascii="Times New Roman" w:hAnsi="Times New Roman" w:cs="Times New Roman"/>
                <w:sz w:val="20"/>
                <w:szCs w:val="20"/>
              </w:rPr>
              <w:t>14 indictments against 25 persons</w:t>
            </w:r>
          </w:p>
        </w:tc>
        <w:tc>
          <w:tcPr>
            <w:tcW w:w="1414" w:type="dxa"/>
          </w:tcPr>
          <w:p w:rsidR="00517E74" w:rsidRPr="00397A77" w:rsidRDefault="00DD6520" w:rsidP="00517E74">
            <w:pPr>
              <w:spacing w:after="0" w:line="240" w:lineRule="auto"/>
              <w:contextualSpacing/>
              <w:jc w:val="both"/>
              <w:rPr>
                <w:rFonts w:ascii="Times New Roman" w:hAnsi="Times New Roman" w:cs="Times New Roman"/>
                <w:sz w:val="20"/>
                <w:szCs w:val="20"/>
              </w:rPr>
            </w:pPr>
            <w:r w:rsidRPr="00397A77">
              <w:rPr>
                <w:rFonts w:ascii="Times New Roman" w:hAnsi="Times New Roman" w:cs="Times New Roman"/>
                <w:sz w:val="20"/>
                <w:szCs w:val="20"/>
              </w:rPr>
              <w:t>21 indictments</w:t>
            </w:r>
          </w:p>
        </w:tc>
      </w:tr>
      <w:tr w:rsidR="00193F9C" w:rsidTr="00517E74">
        <w:trPr>
          <w:trHeight w:hRule="exact" w:val="898"/>
        </w:trPr>
        <w:tc>
          <w:tcPr>
            <w:tcW w:w="1057" w:type="dxa"/>
            <w:shd w:val="clear" w:color="auto" w:fill="8DB3E2" w:themeFill="text2" w:themeFillTint="66"/>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Court</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0</w:t>
            </w: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0</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bCs/>
                <w:sz w:val="20"/>
                <w:szCs w:val="20"/>
              </w:rPr>
              <w:t>3 convictions against 4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 convictions against 2 persons</w:t>
            </w:r>
          </w:p>
        </w:tc>
        <w:tc>
          <w:tcPr>
            <w:tcW w:w="1072"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0</w:t>
            </w:r>
          </w:p>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0</w:t>
            </w:r>
          </w:p>
        </w:tc>
        <w:tc>
          <w:tcPr>
            <w:tcW w:w="1057"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 convictions against 2 persons</w:t>
            </w:r>
          </w:p>
        </w:tc>
        <w:tc>
          <w:tcPr>
            <w:tcW w:w="1515"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2 convictions against 3 persons</w:t>
            </w:r>
          </w:p>
        </w:tc>
        <w:tc>
          <w:tcPr>
            <w:tcW w:w="1414" w:type="dxa"/>
          </w:tcPr>
          <w:p w:rsidR="00517E74" w:rsidRPr="00397A77" w:rsidRDefault="00DD6520" w:rsidP="00517E74">
            <w:pPr>
              <w:spacing w:after="0" w:line="240" w:lineRule="auto"/>
              <w:ind w:left="-15"/>
              <w:contextualSpacing/>
              <w:jc w:val="both"/>
              <w:rPr>
                <w:rFonts w:ascii="Times New Roman" w:hAnsi="Times New Roman" w:cs="Times New Roman"/>
                <w:sz w:val="20"/>
                <w:szCs w:val="20"/>
              </w:rPr>
            </w:pPr>
            <w:r w:rsidRPr="00397A77">
              <w:rPr>
                <w:rFonts w:ascii="Times New Roman" w:hAnsi="Times New Roman" w:cs="Times New Roman"/>
                <w:sz w:val="20"/>
                <w:szCs w:val="20"/>
              </w:rPr>
              <w:t>1 conviction</w:t>
            </w:r>
          </w:p>
        </w:tc>
      </w:tr>
      <w:bookmarkEnd w:id="2"/>
    </w:tbl>
    <w:p w:rsidR="00517E74" w:rsidRPr="00397A77" w:rsidRDefault="00517E74" w:rsidP="00517E74">
      <w:pPr>
        <w:pStyle w:val="NormalWeb"/>
        <w:spacing w:before="0" w:beforeAutospacing="0" w:after="0" w:afterAutospacing="0" w:line="360" w:lineRule="auto"/>
        <w:contextualSpacing/>
        <w:jc w:val="both"/>
        <w:rPr>
          <w:bCs/>
          <w:sz w:val="22"/>
          <w:szCs w:val="22"/>
        </w:rPr>
      </w:pPr>
    </w:p>
    <w:p w:rsidR="00517E74" w:rsidRPr="00397A77" w:rsidRDefault="00DD6520" w:rsidP="00517E74">
      <w:pPr>
        <w:autoSpaceDE w:val="0"/>
        <w:autoSpaceDN w:val="0"/>
        <w:adjustRightInd w:val="0"/>
        <w:spacing w:after="0" w:line="360" w:lineRule="auto"/>
        <w:contextualSpacing/>
        <w:jc w:val="both"/>
        <w:rPr>
          <w:rFonts w:cstheme="minorHAnsi"/>
          <w:b/>
          <w:bCs/>
          <w:i/>
          <w:iCs/>
        </w:rPr>
      </w:pPr>
      <w:r w:rsidRPr="00397A77">
        <w:rPr>
          <w:rFonts w:cstheme="minorHAnsi"/>
          <w:b/>
          <w:bCs/>
          <w:i/>
          <w:iCs/>
        </w:rPr>
        <w:t>Number of Criminal Reports, Investigations, Indictments, and Convictions by Year (2019-2024)</w:t>
      </w:r>
    </w:p>
    <w:tbl>
      <w:tblPr>
        <w:tblStyle w:val="ListTable1Light1"/>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1199"/>
        <w:gridCol w:w="1403"/>
        <w:gridCol w:w="2305"/>
        <w:gridCol w:w="2205"/>
        <w:gridCol w:w="3007"/>
      </w:tblGrid>
      <w:tr w:rsidR="00193F9C" w:rsidTr="00193F9C">
        <w:trPr>
          <w:cnfStyle w:val="100000000000" w:firstRow="1" w:lastRow="0" w:firstColumn="0" w:lastColumn="0" w:oddVBand="0" w:evenVBand="0" w:oddHBand="0"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199" w:type="dxa"/>
            <w:tcBorders>
              <w:bottom w:val="none" w:sz="0" w:space="0" w:color="auto"/>
            </w:tcBorders>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Year</w:t>
            </w:r>
          </w:p>
        </w:tc>
        <w:tc>
          <w:tcPr>
            <w:tcW w:w="1403" w:type="dxa"/>
            <w:tcBorders>
              <w:bottom w:val="none" w:sz="0" w:space="0" w:color="auto"/>
            </w:tcBorders>
            <w:hideMark/>
          </w:tcPr>
          <w:p w:rsidR="00517E74" w:rsidRPr="00397A77" w:rsidRDefault="00DD6520" w:rsidP="00517E7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 xml:space="preserve">Criminal </w:t>
            </w:r>
            <w:r w:rsidRPr="00397A77">
              <w:rPr>
                <w:rFonts w:cstheme="minorHAnsi"/>
                <w:sz w:val="22"/>
                <w:szCs w:val="22"/>
              </w:rPr>
              <w:t>Reports</w:t>
            </w:r>
          </w:p>
        </w:tc>
        <w:tc>
          <w:tcPr>
            <w:tcW w:w="2305" w:type="dxa"/>
            <w:tcBorders>
              <w:bottom w:val="none" w:sz="0" w:space="0" w:color="auto"/>
            </w:tcBorders>
            <w:hideMark/>
          </w:tcPr>
          <w:p w:rsidR="00517E74" w:rsidRPr="00397A77" w:rsidRDefault="00DD6520" w:rsidP="00517E7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Investigations</w:t>
            </w:r>
          </w:p>
        </w:tc>
        <w:tc>
          <w:tcPr>
            <w:tcW w:w="2205" w:type="dxa"/>
            <w:tcBorders>
              <w:bottom w:val="none" w:sz="0" w:space="0" w:color="auto"/>
            </w:tcBorders>
            <w:hideMark/>
          </w:tcPr>
          <w:p w:rsidR="00517E74" w:rsidRPr="00397A77" w:rsidRDefault="00DD6520" w:rsidP="00517E7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Indictments</w:t>
            </w:r>
          </w:p>
        </w:tc>
        <w:tc>
          <w:tcPr>
            <w:cnfStyle w:val="000100000000" w:firstRow="0" w:lastRow="0" w:firstColumn="0" w:lastColumn="1" w:oddVBand="0" w:evenVBand="0" w:oddHBand="0" w:evenHBand="0" w:firstRowFirstColumn="0" w:firstRowLastColumn="0" w:lastRowFirstColumn="0" w:lastRowLastColumn="0"/>
            <w:tcW w:w="3007" w:type="dxa"/>
            <w:tcBorders>
              <w:bottom w:val="none" w:sz="0" w:space="0" w:color="auto"/>
            </w:tcBorders>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Convictions</w:t>
            </w:r>
          </w:p>
        </w:tc>
      </w:tr>
      <w:tr w:rsidR="00193F9C" w:rsidTr="00193F9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2019</w:t>
            </w:r>
          </w:p>
        </w:tc>
        <w:tc>
          <w:tcPr>
            <w:tcW w:w="1403"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2</w:t>
            </w:r>
          </w:p>
        </w:tc>
        <w:tc>
          <w:tcPr>
            <w:tcW w:w="23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0</w:t>
            </w:r>
          </w:p>
        </w:tc>
        <w:tc>
          <w:tcPr>
            <w:tcW w:w="22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2</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0</w:t>
            </w:r>
          </w:p>
        </w:tc>
      </w:tr>
      <w:tr w:rsidR="00193F9C" w:rsidTr="00193F9C">
        <w:trPr>
          <w:trHeight w:val="259"/>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2020</w:t>
            </w:r>
          </w:p>
        </w:tc>
        <w:tc>
          <w:tcPr>
            <w:tcW w:w="1403"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8</w:t>
            </w:r>
          </w:p>
        </w:tc>
        <w:tc>
          <w:tcPr>
            <w:tcW w:w="23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7</w:t>
            </w:r>
          </w:p>
        </w:tc>
        <w:tc>
          <w:tcPr>
            <w:tcW w:w="22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4</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3</w:t>
            </w:r>
          </w:p>
        </w:tc>
      </w:tr>
      <w:tr w:rsidR="00193F9C" w:rsidTr="00193F9C">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2021</w:t>
            </w:r>
          </w:p>
        </w:tc>
        <w:tc>
          <w:tcPr>
            <w:tcW w:w="1403"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5</w:t>
            </w:r>
          </w:p>
        </w:tc>
        <w:tc>
          <w:tcPr>
            <w:tcW w:w="23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4</w:t>
            </w:r>
          </w:p>
        </w:tc>
        <w:tc>
          <w:tcPr>
            <w:tcW w:w="22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4</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w:t>
            </w:r>
          </w:p>
        </w:tc>
      </w:tr>
      <w:tr w:rsidR="00193F9C" w:rsidTr="00193F9C">
        <w:trPr>
          <w:trHeight w:val="271"/>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2022</w:t>
            </w:r>
          </w:p>
        </w:tc>
        <w:tc>
          <w:tcPr>
            <w:tcW w:w="1403"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9</w:t>
            </w:r>
          </w:p>
        </w:tc>
        <w:tc>
          <w:tcPr>
            <w:tcW w:w="23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6</w:t>
            </w:r>
          </w:p>
        </w:tc>
        <w:tc>
          <w:tcPr>
            <w:tcW w:w="22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5</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0</w:t>
            </w:r>
          </w:p>
        </w:tc>
      </w:tr>
      <w:tr w:rsidR="00193F9C" w:rsidTr="00193F9C">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2023</w:t>
            </w:r>
          </w:p>
        </w:tc>
        <w:tc>
          <w:tcPr>
            <w:tcW w:w="1403"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16</w:t>
            </w:r>
          </w:p>
        </w:tc>
        <w:tc>
          <w:tcPr>
            <w:tcW w:w="23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11</w:t>
            </w:r>
          </w:p>
        </w:tc>
        <w:tc>
          <w:tcPr>
            <w:tcW w:w="22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7</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w:t>
            </w:r>
          </w:p>
        </w:tc>
      </w:tr>
      <w:tr w:rsidR="00193F9C" w:rsidTr="00193F9C">
        <w:trPr>
          <w:trHeight w:val="259"/>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2024</w:t>
            </w:r>
          </w:p>
        </w:tc>
        <w:tc>
          <w:tcPr>
            <w:tcW w:w="1403"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16</w:t>
            </w:r>
          </w:p>
        </w:tc>
        <w:tc>
          <w:tcPr>
            <w:tcW w:w="23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11</w:t>
            </w:r>
          </w:p>
        </w:tc>
        <w:tc>
          <w:tcPr>
            <w:tcW w:w="2205" w:type="dxa"/>
            <w:hideMark/>
          </w:tcPr>
          <w:p w:rsidR="00517E74" w:rsidRPr="00397A77" w:rsidRDefault="00DD6520" w:rsidP="00517E7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97A77">
              <w:rPr>
                <w:rFonts w:cstheme="minorHAnsi"/>
                <w:sz w:val="22"/>
                <w:szCs w:val="22"/>
              </w:rPr>
              <w:t>14</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2</w:t>
            </w:r>
          </w:p>
        </w:tc>
      </w:tr>
      <w:tr w:rsidR="00193F9C" w:rsidTr="00193F9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199"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Total</w:t>
            </w:r>
          </w:p>
        </w:tc>
        <w:tc>
          <w:tcPr>
            <w:tcW w:w="1403"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56</w:t>
            </w:r>
          </w:p>
        </w:tc>
        <w:tc>
          <w:tcPr>
            <w:tcW w:w="23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39</w:t>
            </w:r>
          </w:p>
        </w:tc>
        <w:tc>
          <w:tcPr>
            <w:tcW w:w="2205" w:type="dxa"/>
            <w:hideMark/>
          </w:tcPr>
          <w:p w:rsidR="00517E74" w:rsidRPr="00397A77" w:rsidRDefault="00DD6520" w:rsidP="00517E7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97A77">
              <w:rPr>
                <w:rFonts w:cstheme="minorHAnsi"/>
                <w:sz w:val="22"/>
                <w:szCs w:val="22"/>
              </w:rPr>
              <w:t>36</w:t>
            </w:r>
          </w:p>
        </w:tc>
        <w:tc>
          <w:tcPr>
            <w:cnfStyle w:val="000100000000" w:firstRow="0" w:lastRow="0" w:firstColumn="0" w:lastColumn="1" w:oddVBand="0" w:evenVBand="0" w:oddHBand="0" w:evenHBand="0" w:firstRowFirstColumn="0" w:firstRowLastColumn="0" w:lastRowFirstColumn="0" w:lastRowLastColumn="0"/>
            <w:tcW w:w="3007" w:type="dxa"/>
            <w:hideMark/>
          </w:tcPr>
          <w:p w:rsidR="00517E74" w:rsidRPr="00397A77" w:rsidRDefault="00DD6520" w:rsidP="00517E74">
            <w:pPr>
              <w:spacing w:line="360" w:lineRule="auto"/>
              <w:contextualSpacing/>
              <w:jc w:val="center"/>
              <w:rPr>
                <w:rFonts w:cstheme="minorHAnsi"/>
                <w:sz w:val="22"/>
                <w:szCs w:val="22"/>
              </w:rPr>
            </w:pPr>
            <w:r w:rsidRPr="00397A77">
              <w:rPr>
                <w:rFonts w:cstheme="minorHAnsi"/>
                <w:sz w:val="22"/>
                <w:szCs w:val="22"/>
              </w:rPr>
              <w:t>9</w:t>
            </w:r>
          </w:p>
        </w:tc>
      </w:tr>
    </w:tbl>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lastRenderedPageBreak/>
        <w:t xml:space="preserve">In 2025, a total of 50 HT victims were recorded by the prosecutor’s offices, including 26 men (18 </w:t>
      </w:r>
      <w:r w:rsidRPr="00397A77">
        <w:rPr>
          <w:rFonts w:ascii="Times New Roman" w:hAnsi="Times New Roman" w:cs="Times New Roman"/>
        </w:rPr>
        <w:t xml:space="preserve">minors) and 24 women (18 minors). 27 cases were initiated against 32 natural persons and 3 legal entities. Twenty investigation orders were issued against 23 individuals, and 21 indictments were filed against 25 persons. Two orders were issued to initiate </w:t>
      </w:r>
      <w:r w:rsidRPr="00397A77">
        <w:rPr>
          <w:rFonts w:ascii="Times New Roman" w:hAnsi="Times New Roman" w:cs="Times New Roman"/>
        </w:rPr>
        <w:t>financial investigations against 2 individuals.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From 2019 through 2024, the PD filed 56 criminal reports for the offence of HT, representing a significant increase compared to 2012-2018, when only 5 reports were filed. According to prosecutor’s office data</w:t>
      </w:r>
      <w:r w:rsidRPr="00397A77">
        <w:rPr>
          <w:rFonts w:ascii="Times New Roman" w:hAnsi="Times New Roman" w:cs="Times New Roman"/>
        </w:rPr>
        <w:t>, a total of 39 investigations were conducted and 36 indictments filed for HT during this period, also marking a substantial rise compared to 15 investigations and 3 indictments in 2012-2018. Financial investigations were conducted in parallel with crimina</w:t>
      </w:r>
      <w:r w:rsidRPr="00397A77">
        <w:rPr>
          <w:rFonts w:ascii="Times New Roman" w:hAnsi="Times New Roman" w:cs="Times New Roman"/>
        </w:rPr>
        <w:t>l investigations. The High State Prosecutor’s Office in Podgorica initiated financial investigations in 5 cases against 11 persons, while the Special State Prosecutor’s Office initiated one financial investigation against 6 persons. Improvements in judicia</w:t>
      </w:r>
      <w:r w:rsidRPr="00397A77">
        <w:rPr>
          <w:rFonts w:ascii="Times New Roman" w:hAnsi="Times New Roman" w:cs="Times New Roman"/>
        </w:rPr>
        <w:t>l performance are evident, with 9 final convictions issued compared to 5 convictions in 2012-2018; court sentencing has also become stricter, including two convictions of two years’ imprisonment, one sentencing two persons to 15 and 17 years, and one sente</w:t>
      </w:r>
      <w:r w:rsidRPr="00397A77">
        <w:rPr>
          <w:rFonts w:ascii="Times New Roman" w:hAnsi="Times New Roman" w:cs="Times New Roman"/>
        </w:rPr>
        <w:t>nce of 8 years’ imprisonment, compared to the maximum sentence of 6 years and 6 months in 2012-2018 (two convictions in 2019-2024 were issued for the HT offence of forced marriage, the first such case since this form of incrimination was introduced into th</w:t>
      </w:r>
      <w:r w:rsidRPr="00397A77">
        <w:rPr>
          <w:rFonts w:ascii="Times New Roman" w:hAnsi="Times New Roman" w:cs="Times New Roman"/>
        </w:rPr>
        <w:t>e CC in 2013).</w:t>
      </w:r>
    </w:p>
    <w:p w:rsidR="00517E74" w:rsidRPr="00397A77" w:rsidRDefault="00DD6520" w:rsidP="00517E74">
      <w:pPr>
        <w:spacing w:after="0" w:line="360" w:lineRule="auto"/>
        <w:contextualSpacing/>
        <w:jc w:val="both"/>
        <w:rPr>
          <w:rFonts w:ascii="Times New Roman" w:eastAsia="Times New Roman" w:hAnsi="Times New Roman" w:cs="Times New Roman"/>
          <w:bCs/>
        </w:rPr>
      </w:pPr>
      <w:r w:rsidRPr="00397A77">
        <w:rPr>
          <w:rFonts w:ascii="Times New Roman" w:eastAsia="Times New Roman" w:hAnsi="Times New Roman" w:cs="Times New Roman"/>
          <w:bCs/>
        </w:rPr>
        <w:t>The Team for Formal Identification of HT Victims conducts the formal identification procedure and maintains separate statistics on formally identified victims. Data by year are provided in Annex 1. In 2025, the Team reviewed a total of 34 ca</w:t>
      </w:r>
      <w:r w:rsidRPr="00397A77">
        <w:rPr>
          <w:rFonts w:ascii="Times New Roman" w:eastAsia="Times New Roman" w:hAnsi="Times New Roman" w:cs="Times New Roman"/>
          <w:bCs/>
        </w:rPr>
        <w:t>ses involving 50 potential victims, of whom 43 were formally identified as victims (21 females, 22 males). The most prevalent form of exploitation was forced begging (28 identified victims), followed by labor exploitation (10), sexual exploitation (4), and</w:t>
      </w:r>
      <w:r w:rsidRPr="00397A77">
        <w:rPr>
          <w:rFonts w:ascii="Times New Roman" w:eastAsia="Times New Roman" w:hAnsi="Times New Roman" w:cs="Times New Roman"/>
          <w:bCs/>
        </w:rPr>
        <w:t xml:space="preserve"> forced marriage (1). Of the total number of identified victims, 32 were minors and 11 were adults.</w:t>
      </w:r>
    </w:p>
    <w:p w:rsidR="00517E74" w:rsidRPr="00397A77" w:rsidRDefault="00517E74" w:rsidP="00517E74">
      <w:pPr>
        <w:spacing w:after="0" w:line="360" w:lineRule="auto"/>
        <w:contextualSpacing/>
        <w:jc w:val="both"/>
        <w:rPr>
          <w:rFonts w:ascii="Times New Roman" w:hAnsi="Times New Roman" w:cs="Times New Roman"/>
          <w:b/>
        </w:rPr>
      </w:pP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t xml:space="preserve">(c)Provide appropriate medical, legal, and social assistance to victims of HT and ensure access to remedies, including compensation. </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bCs/>
        </w:rPr>
        <w:t>Cooperation in victim</w:t>
      </w:r>
      <w:r w:rsidRPr="00397A77">
        <w:rPr>
          <w:rFonts w:ascii="Times New Roman" w:hAnsi="Times New Roman" w:cs="Times New Roman"/>
          <w:bCs/>
        </w:rPr>
        <w:t xml:space="preserve"> protection is based on the Agreement on Mutual Cooperation in Combating Human Trafficking, signed in 2007. The Agreement has been revised several times to reflect the current context and institutional competences, most recently on 27 May 2024, by the Supr</w:t>
      </w:r>
      <w:r w:rsidRPr="00397A77">
        <w:rPr>
          <w:rFonts w:ascii="Times New Roman" w:hAnsi="Times New Roman" w:cs="Times New Roman"/>
          <w:bCs/>
        </w:rPr>
        <w:t>eme Court, the Supreme State Prosecutor’s Office, the ministries responsible for internal affairs, education, science and innovation, health, labor and social welfare, public institutions in the field of social protection, and NGOs. The purpose of the Agre</w:t>
      </w:r>
      <w:r w:rsidRPr="00397A77">
        <w:rPr>
          <w:rFonts w:ascii="Times New Roman" w:hAnsi="Times New Roman" w:cs="Times New Roman"/>
          <w:bCs/>
        </w:rPr>
        <w:t>ement is to strengthen cooperation in prevention, education, detection and prosecution of perpetrators, as well as identification, protection, integration, reintegration, and rehabilitation of potential HT victims, particularly women and children, with ful</w:t>
      </w:r>
      <w:r w:rsidRPr="00397A77">
        <w:rPr>
          <w:rFonts w:ascii="Times New Roman" w:hAnsi="Times New Roman" w:cs="Times New Roman"/>
          <w:bCs/>
        </w:rPr>
        <w:t xml:space="preserve">l respect for their human rights. </w:t>
      </w:r>
      <w:r w:rsidRPr="00397A77">
        <w:tab/>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lastRenderedPageBreak/>
        <w:t>Health care and medical services are provided to HT victims in a timely manner at all health institutions and levels of health care. Training on the treatment of HT victims is continuously conducted for health profession</w:t>
      </w:r>
      <w:r w:rsidRPr="00397A77">
        <w:rPr>
          <w:rFonts w:ascii="Times New Roman" w:hAnsi="Times New Roman" w:cs="Times New Roman"/>
        </w:rPr>
        <w:t xml:space="preserve">als across Montenegro, from all health institutions and levels of health care, organized in cooperation with the Human Resources Administration and the </w:t>
      </w:r>
      <w:proofErr w:type="spellStart"/>
      <w:r w:rsidRPr="00397A77">
        <w:rPr>
          <w:rFonts w:ascii="Times New Roman" w:hAnsi="Times New Roman" w:cs="Times New Roman"/>
        </w:rPr>
        <w:t>MoI</w:t>
      </w:r>
      <w:proofErr w:type="spellEnd"/>
      <w:r w:rsidRPr="00397A77">
        <w:rPr>
          <w:rFonts w:ascii="Times New Roman" w:hAnsi="Times New Roman" w:cs="Times New Roman"/>
        </w:rPr>
        <w:t xml:space="preserve">.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Measures have been taken to promote the rights of </w:t>
      </w:r>
      <w:proofErr w:type="spellStart"/>
      <w:r w:rsidRPr="00397A77">
        <w:rPr>
          <w:rFonts w:ascii="Times New Roman" w:hAnsi="Times New Roman" w:cs="Times New Roman"/>
        </w:rPr>
        <w:t>HTvictims</w:t>
      </w:r>
      <w:proofErr w:type="spellEnd"/>
      <w:r w:rsidRPr="00397A77">
        <w:rPr>
          <w:rFonts w:ascii="Times New Roman" w:hAnsi="Times New Roman" w:cs="Times New Roman"/>
        </w:rPr>
        <w:t xml:space="preserve"> through the systematic provision of in</w:t>
      </w:r>
      <w:r w:rsidRPr="00397A77">
        <w:rPr>
          <w:rFonts w:ascii="Times New Roman" w:hAnsi="Times New Roman" w:cs="Times New Roman"/>
        </w:rPr>
        <w:t>formation to persons considered potential victims and formally identified victims. In line with the objectives of the national strategic document, the capacities of lawyers to provide legal assistance to victims have been strengthened. Steps have also been</w:t>
      </w:r>
      <w:r w:rsidRPr="00397A77">
        <w:rPr>
          <w:rFonts w:ascii="Times New Roman" w:hAnsi="Times New Roman" w:cs="Times New Roman"/>
        </w:rPr>
        <w:t xml:space="preserve"> taken to implement a campaign to raise awareness of free legal aid for victims of gender-based violence and HT. At the initiative of the Supreme Court and the </w:t>
      </w:r>
      <w:proofErr w:type="spellStart"/>
      <w:r w:rsidRPr="00397A77">
        <w:rPr>
          <w:rFonts w:ascii="Times New Roman" w:hAnsi="Times New Roman" w:cs="Times New Roman"/>
        </w:rPr>
        <w:t>MoI</w:t>
      </w:r>
      <w:proofErr w:type="spellEnd"/>
      <w:r w:rsidRPr="00397A77">
        <w:rPr>
          <w:rFonts w:ascii="Times New Roman" w:hAnsi="Times New Roman" w:cs="Times New Roman"/>
        </w:rPr>
        <w:t>, with the support of international organizations, informational material has been prepared i</w:t>
      </w:r>
      <w:r w:rsidRPr="00397A77">
        <w:rPr>
          <w:rFonts w:ascii="Times New Roman" w:hAnsi="Times New Roman" w:cs="Times New Roman"/>
        </w:rPr>
        <w:t xml:space="preserve">n Montenegrin, English, Albanian, Farsi, and Ukrainian. The material provides information on the scope of free legal aid and phone numbers of services at the basic courts.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system for the protection of victims in Montenegro, under the competence of the</w:t>
      </w:r>
      <w:r w:rsidRPr="00397A77">
        <w:rPr>
          <w:rFonts w:ascii="Times New Roman" w:hAnsi="Times New Roman" w:cs="Times New Roman"/>
        </w:rPr>
        <w:t xml:space="preserve"> ministry responsible for social protection, was strengthened with the establishment of a state shelter for victims of child trafficking in April 2024. In 2024, the Ministry licensed a shelter for adult women victims of sexual exploitation as a form of HT,</w:t>
      </w:r>
      <w:r w:rsidRPr="00397A77">
        <w:rPr>
          <w:rFonts w:ascii="Times New Roman" w:hAnsi="Times New Roman" w:cs="Times New Roman"/>
        </w:rPr>
        <w:t xml:space="preserve"> operated by </w:t>
      </w:r>
      <w:proofErr w:type="gramStart"/>
      <w:r w:rsidRPr="00397A77">
        <w:rPr>
          <w:rFonts w:ascii="Times New Roman" w:hAnsi="Times New Roman" w:cs="Times New Roman"/>
        </w:rPr>
        <w:t>a</w:t>
      </w:r>
      <w:proofErr w:type="gramEnd"/>
      <w:r w:rsidRPr="00397A77">
        <w:rPr>
          <w:rFonts w:ascii="Times New Roman" w:hAnsi="Times New Roman" w:cs="Times New Roman"/>
        </w:rPr>
        <w:t xml:space="preserve"> NGO.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Under the obligations set out in the Action Plan for the implementation of the Strategy on Combatting Trafficking in Human Beings 2025-2028, for 2025, the HRMA, in cooperation with the </w:t>
      </w:r>
      <w:proofErr w:type="spellStart"/>
      <w:r w:rsidRPr="00397A77">
        <w:rPr>
          <w:rFonts w:ascii="Times New Roman" w:hAnsi="Times New Roman" w:cs="Times New Roman"/>
        </w:rPr>
        <w:t>MoI</w:t>
      </w:r>
      <w:proofErr w:type="spellEnd"/>
      <w:r w:rsidRPr="00397A77">
        <w:rPr>
          <w:rFonts w:ascii="Times New Roman" w:hAnsi="Times New Roman" w:cs="Times New Roman"/>
        </w:rPr>
        <w:t xml:space="preserve"> and the MSWFCD, and with financial support fro</w:t>
      </w:r>
      <w:r w:rsidRPr="00397A77">
        <w:rPr>
          <w:rFonts w:ascii="Times New Roman" w:hAnsi="Times New Roman" w:cs="Times New Roman"/>
        </w:rPr>
        <w:t xml:space="preserve">m GIZ, developed and accredited a training program for acquiring knowledge and skills for professionals of the CSWs to support HT victims. The program is intended for employees of the CSWs in Montenegro responsible for </w:t>
      </w:r>
      <w:proofErr w:type="gramStart"/>
      <w:r w:rsidRPr="00397A77">
        <w:rPr>
          <w:rFonts w:ascii="Times New Roman" w:hAnsi="Times New Roman" w:cs="Times New Roman"/>
        </w:rPr>
        <w:t>providing assistance to</w:t>
      </w:r>
      <w:proofErr w:type="gramEnd"/>
      <w:r w:rsidRPr="00397A77">
        <w:rPr>
          <w:rFonts w:ascii="Times New Roman" w:hAnsi="Times New Roman" w:cs="Times New Roman"/>
        </w:rPr>
        <w:t xml:space="preserve"> HT victims wi</w:t>
      </w:r>
      <w:r w:rsidRPr="00397A77">
        <w:rPr>
          <w:rFonts w:ascii="Times New Roman" w:hAnsi="Times New Roman" w:cs="Times New Roman"/>
        </w:rPr>
        <w:t>thin their competences. Training under this accredited program was delivered to professionals from across Montenegro. 14 female professionals from all CSWs participated in the training and will be engaged as members of local teams for the formal identifica</w:t>
      </w:r>
      <w:r w:rsidRPr="00397A77">
        <w:rPr>
          <w:rFonts w:ascii="Times New Roman" w:hAnsi="Times New Roman" w:cs="Times New Roman"/>
        </w:rPr>
        <w:t>tion of HT victims.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Given that children are the most frequent HT victims in Montenegro, the CSWs provide continuous assistance and support to child victims of trafficking, children at risk of child marriage, and children found begging. The CSW, in addition</w:t>
      </w:r>
      <w:r w:rsidRPr="00397A77">
        <w:rPr>
          <w:rFonts w:ascii="Times New Roman" w:hAnsi="Times New Roman" w:cs="Times New Roman"/>
        </w:rPr>
        <w:t xml:space="preserve"> to placing children in appropriate shelters and child social protection institutions, also files misdemeanor charges against the parents of minors found begging, on suspicion of child neglect, in accordance with the LDVP. </w:t>
      </w: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b/>
        </w:rPr>
        <w:t xml:space="preserve">19. Early and Forced Marriages </w:t>
      </w: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Cs/>
        </w:rPr>
        <w:t xml:space="preserve">The Committee is concerned that the practice of early and forced marriages remains widespread within certain communities (Article 10). </w:t>
      </w: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bCs/>
        </w:rPr>
        <w:lastRenderedPageBreak/>
        <w:t>The Committee recommends that the State party strengthen measures to combat the practice of early and forced marriages, particularly among Roma and Egyptians, including raising awareness about the prohibition of early and forced marriages and their harmful</w:t>
      </w:r>
      <w:r w:rsidRPr="00397A77">
        <w:rPr>
          <w:rFonts w:ascii="Times New Roman" w:hAnsi="Times New Roman" w:cs="Times New Roman"/>
          <w:b/>
          <w:bCs/>
        </w:rPr>
        <w:t xml:space="preserve"> consequences in practice. The State party should also collect data on such practices, disaggregated by age, sex, ethnicity or nationality. </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bCs/>
        </w:rPr>
        <w:t>Measures to combat all forms of HT, including early, forced, or illegal marriages, are continuously implemented. Ac</w:t>
      </w:r>
      <w:r w:rsidRPr="00397A77">
        <w:rPr>
          <w:rFonts w:ascii="Times New Roman" w:hAnsi="Times New Roman" w:cs="Times New Roman"/>
          <w:bCs/>
        </w:rPr>
        <w:t>cording to data from the Team for the Formal Identification of HT Victims, from 1 January 2020 to 31 December 2025 the Team issued decisions recognizing 18 persons as victims for the purpose of illegal marriage-17 females (1 adult,16 minors) and 1 male (mi</w:t>
      </w:r>
      <w:r w:rsidRPr="00397A77">
        <w:rPr>
          <w:rFonts w:ascii="Times New Roman" w:hAnsi="Times New Roman" w:cs="Times New Roman"/>
          <w:bCs/>
        </w:rPr>
        <w:t>nor).</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bCs/>
        </w:rPr>
        <w:t>The MHMR is actively engaged in combating arranged and underage marriages, particularly among the RE populations, and has organized numerous workshops, trainings, seminars, and campaigns across the country, to raise awareness and prevent these practi</w:t>
      </w:r>
      <w:r w:rsidRPr="00397A77">
        <w:rPr>
          <w:rFonts w:ascii="Times New Roman" w:hAnsi="Times New Roman" w:cs="Times New Roman"/>
          <w:bCs/>
        </w:rPr>
        <w:t>ces. NGOs are continuously funded to implement projects and activities aimed at combating arranged marriages</w:t>
      </w:r>
      <w:r w:rsidRPr="00397A77">
        <w:rPr>
          <w:rFonts w:ascii="Times New Roman" w:eastAsiaTheme="minorHAnsi" w:hAnsi="Times New Roman" w:cs="Times New Roman"/>
          <w:iCs/>
        </w:rPr>
        <w:t xml:space="preserve">. </w:t>
      </w:r>
    </w:p>
    <w:p w:rsidR="00517E74" w:rsidRPr="00397A77" w:rsidRDefault="00DD6520" w:rsidP="00517E74">
      <w:pPr>
        <w:tabs>
          <w:tab w:val="left" w:pos="1008"/>
        </w:tabs>
        <w:spacing w:after="0" w:line="360" w:lineRule="auto"/>
        <w:contextualSpacing/>
        <w:jc w:val="both"/>
        <w:rPr>
          <w:rFonts w:ascii="Times New Roman" w:eastAsia="Calibri" w:hAnsi="Times New Roman" w:cs="Times New Roman"/>
        </w:rPr>
      </w:pPr>
      <w:r w:rsidRPr="00397A77">
        <w:rPr>
          <w:rFonts w:ascii="Times New Roman" w:eastAsia="Calibri" w:hAnsi="Times New Roman" w:cs="Times New Roman"/>
        </w:rPr>
        <w:t xml:space="preserve">Economic Exploitation of Children. </w:t>
      </w:r>
    </w:p>
    <w:p w:rsidR="00517E74" w:rsidRPr="00397A77" w:rsidRDefault="00DD6520" w:rsidP="00517E74">
      <w:pPr>
        <w:tabs>
          <w:tab w:val="left" w:pos="1008"/>
        </w:tabs>
        <w:spacing w:after="0" w:line="360" w:lineRule="auto"/>
        <w:contextualSpacing/>
        <w:jc w:val="both"/>
        <w:rPr>
          <w:rFonts w:ascii="Arial" w:eastAsia="Calibri" w:hAnsi="Arial" w:cs="Arial"/>
        </w:rPr>
      </w:pPr>
      <w:r w:rsidRPr="00397A77">
        <w:rPr>
          <w:rFonts w:ascii="Times New Roman" w:hAnsi="Times New Roman" w:cs="Times New Roman"/>
          <w:b/>
          <w:bCs/>
        </w:rPr>
        <w:t xml:space="preserve">20. The Committee expresses concern about the prevalence of child labor, including forced begging and informal and hazardous street work, and notes that such children are exposed to exploitation and HT (Article 10). </w:t>
      </w:r>
    </w:p>
    <w:p w:rsidR="00517E74" w:rsidRPr="00397A77" w:rsidRDefault="00DD6520" w:rsidP="00517E74">
      <w:pPr>
        <w:spacing w:after="0" w:line="360" w:lineRule="auto"/>
        <w:contextualSpacing/>
        <w:jc w:val="both"/>
        <w:rPr>
          <w:rFonts w:ascii="Times New Roman" w:hAnsi="Times New Roman" w:cs="Times New Roman"/>
          <w:b/>
          <w:bCs/>
        </w:rPr>
      </w:pPr>
      <w:r w:rsidRPr="00397A77">
        <w:rPr>
          <w:rFonts w:ascii="Times New Roman" w:hAnsi="Times New Roman" w:cs="Times New Roman"/>
          <w:b/>
          <w:bCs/>
        </w:rPr>
        <w:t>The Committee calls on States parties t</w:t>
      </w:r>
      <w:r w:rsidRPr="00397A77">
        <w:rPr>
          <w:rFonts w:ascii="Times New Roman" w:hAnsi="Times New Roman" w:cs="Times New Roman"/>
          <w:b/>
          <w:bCs/>
        </w:rPr>
        <w:t>o intensify efforts against child labor, including systematic and effective labor inspections, investigation, prosecution, and punishment of offenders, as well as the provision of rehabilitation and support to victims. Awareness campaigns should also be co</w:t>
      </w:r>
      <w:r w:rsidRPr="00397A77">
        <w:rPr>
          <w:rFonts w:ascii="Times New Roman" w:hAnsi="Times New Roman" w:cs="Times New Roman"/>
          <w:b/>
          <w:bCs/>
        </w:rPr>
        <w:t xml:space="preserve">nducted for children and parents on the dangers of child labor and the importance of education, and data should be systematically collected to assess the impact of measures taken to combat the economic exploitation of children.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Protocol on the treatme</w:t>
      </w:r>
      <w:r w:rsidRPr="00397A77">
        <w:rPr>
          <w:rFonts w:ascii="Times New Roman" w:hAnsi="Times New Roman" w:cs="Times New Roman"/>
        </w:rPr>
        <w:t>nt of authorities, institutions, and organizations in Montenegro with children involved in street life and work, signed in 2019 and revised in 2021, provides guidance to all actors working with children and their families, enabling them to take actions and</w:t>
      </w:r>
      <w:r w:rsidRPr="00397A77">
        <w:rPr>
          <w:rFonts w:ascii="Times New Roman" w:hAnsi="Times New Roman" w:cs="Times New Roman"/>
        </w:rPr>
        <w:t xml:space="preserve"> protective measures for children involved in street life and work, in accordance with children’s rights. The Protocol applies to all officials and professionals engaged in child protection work related to street-involved children (the police, CSWs, other </w:t>
      </w:r>
      <w:r w:rsidRPr="00397A77">
        <w:rPr>
          <w:rFonts w:ascii="Times New Roman" w:hAnsi="Times New Roman" w:cs="Times New Roman"/>
        </w:rPr>
        <w:t>institutions and social service providers, health and educational institutions, and relevant organizations). It defines the procedures of competent institutions to improve children’s well-being, create safe conditions for their presence and work on the str</w:t>
      </w:r>
      <w:r w:rsidRPr="00397A77">
        <w:rPr>
          <w:rFonts w:ascii="Times New Roman" w:hAnsi="Times New Roman" w:cs="Times New Roman"/>
        </w:rPr>
        <w:t xml:space="preserve">eet, and prevent situations that expose them to danger. It also establishes a rapid and coordinated procedure for protecting children from abuse and violence, and providing appropriate protection and rehabilitation. </w:t>
      </w:r>
      <w:r w:rsidRPr="00397A77">
        <w:rPr>
          <w:rFonts w:ascii="Times New Roman" w:hAnsi="Times New Roman" w:cs="Times New Roman"/>
        </w:rPr>
        <w:tab/>
      </w:r>
      <w:r w:rsidRPr="00397A77">
        <w:br/>
      </w:r>
      <w:r w:rsidRPr="00397A77">
        <w:rPr>
          <w:rFonts w:ascii="Times New Roman" w:hAnsi="Times New Roman" w:cs="Times New Roman"/>
        </w:rPr>
        <w:t>Regarding relevant statistical data, b</w:t>
      </w:r>
      <w:r w:rsidRPr="00397A77">
        <w:rPr>
          <w:rFonts w:ascii="Times New Roman" w:hAnsi="Times New Roman" w:cs="Times New Roman"/>
        </w:rPr>
        <w:t xml:space="preserve">etween 1 January 2020 and 31 December 2025, the Team for the Formal Identification of HT Victims identified 66 persons as victims of forced begging, all of whom were </w:t>
      </w:r>
      <w:r w:rsidRPr="00397A77">
        <w:rPr>
          <w:rFonts w:ascii="Times New Roman" w:hAnsi="Times New Roman" w:cs="Times New Roman"/>
        </w:rPr>
        <w:lastRenderedPageBreak/>
        <w:t xml:space="preserve">minors. During the same period, the </w:t>
      </w:r>
      <w:proofErr w:type="spellStart"/>
      <w:r w:rsidRPr="00397A77">
        <w:rPr>
          <w:rFonts w:ascii="Times New Roman" w:hAnsi="Times New Roman" w:cs="Times New Roman"/>
        </w:rPr>
        <w:t>MoI</w:t>
      </w:r>
      <w:proofErr w:type="spellEnd"/>
      <w:r w:rsidRPr="00397A77">
        <w:rPr>
          <w:rFonts w:ascii="Times New Roman" w:hAnsi="Times New Roman" w:cs="Times New Roman"/>
        </w:rPr>
        <w:t>/PD continuously conducted the “Beggar” operation t</w:t>
      </w:r>
      <w:r w:rsidRPr="00397A77">
        <w:rPr>
          <w:rFonts w:ascii="Times New Roman" w:hAnsi="Times New Roman" w:cs="Times New Roman"/>
        </w:rPr>
        <w:t>o combat the phenomenon of begging. In line with the Action Plans for implementing the Strategy for Combating HT 2019-2024, a total of 607 operations were carried out, resulting in 423 misdemeanor reports and 13 criminal reports under Article 444 of the CC</w:t>
      </w:r>
      <w:r w:rsidRPr="00397A77">
        <w:rPr>
          <w:rFonts w:ascii="Times New Roman" w:hAnsi="Times New Roman" w:cs="Times New Roman"/>
        </w:rPr>
        <w:t>.</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rPr>
        <w:t xml:space="preserve">The Labor Inspection (LI) is also recognized as a key </w:t>
      </w:r>
      <w:proofErr w:type="spellStart"/>
      <w:r w:rsidRPr="00397A77">
        <w:rPr>
          <w:rFonts w:ascii="Times New Roman" w:hAnsi="Times New Roman" w:cs="Times New Roman"/>
        </w:rPr>
        <w:t>actor</w:t>
      </w:r>
      <w:proofErr w:type="spellEnd"/>
      <w:r w:rsidRPr="00397A77">
        <w:rPr>
          <w:rFonts w:ascii="Times New Roman" w:hAnsi="Times New Roman" w:cs="Times New Roman"/>
        </w:rPr>
        <w:t xml:space="preserve"> in combating HT, with its representative serving on the Coordination Body for Monitoring the Implementation of the Strategy for Combating HT (2019-2024). The Action Plans provide for joint inspe</w:t>
      </w:r>
      <w:r w:rsidRPr="00397A77">
        <w:rPr>
          <w:rFonts w:ascii="Times New Roman" w:hAnsi="Times New Roman" w:cs="Times New Roman"/>
        </w:rPr>
        <w:t xml:space="preserve">ctions by the PD (immigration inspectors) and inspection services, particularly during the summer season, to identify and combat activities related to labor exploitation and HT. Labor inspectors also carry out supervision in the field of combating illegal </w:t>
      </w:r>
      <w:r w:rsidRPr="00397A77">
        <w:rPr>
          <w:rFonts w:ascii="Times New Roman" w:hAnsi="Times New Roman" w:cs="Times New Roman"/>
        </w:rPr>
        <w:t xml:space="preserve">work and labor exploitation. Representatives of the LI regularly undergo training to strengthen their capacity to identify HT, focusing on labor exploitation.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As part of its regular activities, in 2023 and 2024, particularly during the summer season when </w:t>
      </w:r>
      <w:r w:rsidRPr="00397A77">
        <w:rPr>
          <w:rFonts w:ascii="Times New Roman" w:eastAsia="Times New Roman" w:hAnsi="Times New Roman" w:cs="Times New Roman"/>
        </w:rPr>
        <w:t xml:space="preserve">many children are employed, the LI recorded 263 cases of illegal employment of children aged 15 to 18. A total of 342 misdemeanor orders were issued, and ten requests to initiate misdemeanor proceedings were submitted. Violations included work without two </w:t>
      </w:r>
      <w:r w:rsidRPr="00397A77">
        <w:rPr>
          <w:rFonts w:ascii="Times New Roman" w:eastAsia="Times New Roman" w:hAnsi="Times New Roman" w:cs="Times New Roman"/>
        </w:rPr>
        <w:t>consecutive days of weekly rest, night work, overtime, work without parental consent, and work without a medical clearance confirming the minor’s ability to perform the job. Inspectors imposed fines on employers for identified violations and instructed cor</w:t>
      </w:r>
      <w:r w:rsidRPr="00397A77">
        <w:rPr>
          <w:rFonts w:ascii="Times New Roman" w:eastAsia="Times New Roman" w:hAnsi="Times New Roman" w:cs="Times New Roman"/>
        </w:rPr>
        <w:t>rective measures to ensure compliance with legal requirements for child labor. Children were most frequently employed in hospitality and commercial establishments (kitchen and restaurant staff in hotels, sales assistants in stores), and no cases of the wor</w:t>
      </w:r>
      <w:r w:rsidRPr="00397A77">
        <w:rPr>
          <w:rFonts w:ascii="Times New Roman" w:eastAsia="Times New Roman" w:hAnsi="Times New Roman" w:cs="Times New Roman"/>
        </w:rPr>
        <w:t>st forms of child labor were identified. The efforts of the LI to monitor the legality of minor employment were recognized and praised in the Opinion of the Ombudsman No. 01-594/24 of 9 September 2024, which noted that inspections had intensified supervisi</w:t>
      </w:r>
      <w:r w:rsidRPr="00397A77">
        <w:rPr>
          <w:rFonts w:ascii="Times New Roman" w:eastAsia="Times New Roman" w:hAnsi="Times New Roman" w:cs="Times New Roman"/>
        </w:rPr>
        <w:t xml:space="preserve">on over child employment in the past two years.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To further strengthen inter-institutional cooperation in combating this serious criminal offence, on 17 December 2025 in Podgorica, a Protocol on Cooperation in the Detection and Investigation of HT for Labo</w:t>
      </w:r>
      <w:r w:rsidRPr="00397A77">
        <w:rPr>
          <w:rFonts w:ascii="Times New Roman" w:eastAsia="Times New Roman" w:hAnsi="Times New Roman" w:cs="Times New Roman"/>
        </w:rPr>
        <w:t xml:space="preserve">r Exploitation was signed, along with Guidelines for the Identification and Resolution of Labor Exploitation Cases.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The Protocol was signed by the </w:t>
      </w:r>
      <w:proofErr w:type="spellStart"/>
      <w:r w:rsidRPr="00397A77">
        <w:rPr>
          <w:rFonts w:ascii="Times New Roman" w:eastAsia="Times New Roman" w:hAnsi="Times New Roman" w:cs="Times New Roman"/>
        </w:rPr>
        <w:t>MoI</w:t>
      </w:r>
      <w:proofErr w:type="spellEnd"/>
      <w:r w:rsidRPr="00397A77">
        <w:rPr>
          <w:rFonts w:ascii="Times New Roman" w:eastAsia="Times New Roman" w:hAnsi="Times New Roman" w:cs="Times New Roman"/>
        </w:rPr>
        <w:t xml:space="preserve">, the Supreme State Prosecutor’s Office, and the MLESD, with the support of the UN IOM.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These documents</w:t>
      </w:r>
      <w:r w:rsidRPr="00397A77">
        <w:rPr>
          <w:rFonts w:ascii="Times New Roman" w:eastAsia="Times New Roman" w:hAnsi="Times New Roman" w:cs="Times New Roman"/>
        </w:rPr>
        <w:t xml:space="preserve"> represent an important step toward improving prevention, early detection, more effective prosecution of HT for labor exploitation, and strengthening the system for the protection and referral of victims. The signed Protocol defines mechanisms for cooperat</w:t>
      </w:r>
      <w:r w:rsidRPr="00397A77">
        <w:rPr>
          <w:rFonts w:ascii="Times New Roman" w:eastAsia="Times New Roman" w:hAnsi="Times New Roman" w:cs="Times New Roman"/>
        </w:rPr>
        <w:t>ion among competent institutions, including information sharing, joint inspections, coordination of activities in criminal and misdemeanor proceedings, and enhanced procedures for the identification, referral, and protection of victims of labor exploitatio</w:t>
      </w:r>
      <w:r w:rsidRPr="00397A77">
        <w:rPr>
          <w:rFonts w:ascii="Times New Roman" w:eastAsia="Times New Roman" w:hAnsi="Times New Roman" w:cs="Times New Roman"/>
        </w:rPr>
        <w:t xml:space="preserve">n. The </w:t>
      </w:r>
      <w:r w:rsidRPr="00397A77">
        <w:rPr>
          <w:rFonts w:ascii="Times New Roman" w:eastAsia="Times New Roman" w:hAnsi="Times New Roman" w:cs="Times New Roman"/>
        </w:rPr>
        <w:lastRenderedPageBreak/>
        <w:t xml:space="preserve">Guidelines provide a practical framework for recognizing indicators of labor exploitation and </w:t>
      </w:r>
      <w:proofErr w:type="gramStart"/>
      <w:r w:rsidRPr="00397A77">
        <w:rPr>
          <w:rFonts w:ascii="Times New Roman" w:eastAsia="Times New Roman" w:hAnsi="Times New Roman" w:cs="Times New Roman"/>
        </w:rPr>
        <w:t>taking action</w:t>
      </w:r>
      <w:proofErr w:type="gramEnd"/>
      <w:r w:rsidRPr="00397A77">
        <w:rPr>
          <w:rFonts w:ascii="Times New Roman" w:eastAsia="Times New Roman" w:hAnsi="Times New Roman" w:cs="Times New Roman"/>
        </w:rPr>
        <w:t xml:space="preserve"> in specific cases, in line with international standards and applicable national legislation. This activity was implemented under the project </w:t>
      </w:r>
      <w:r w:rsidRPr="00397A77">
        <w:rPr>
          <w:rFonts w:ascii="Times New Roman" w:eastAsia="Times New Roman" w:hAnsi="Times New Roman" w:cs="Times New Roman"/>
        </w:rPr>
        <w:t>conducted by the IOM, “Strengthening Efforts to Combat HT in Montenegro,” under the auspices of the Bureau of International Narcotics and Law Enforcement Affairs of the U.S. Embassy (INL).</w:t>
      </w:r>
    </w:p>
    <w:p w:rsidR="00517E74" w:rsidRPr="00397A77" w:rsidRDefault="00517E74" w:rsidP="00517E74">
      <w:pPr>
        <w:spacing w:after="0" w:line="360" w:lineRule="auto"/>
        <w:contextualSpacing/>
        <w:jc w:val="both"/>
        <w:rPr>
          <w:rFonts w:ascii="Times New Roman" w:eastAsia="Times New Roman" w:hAnsi="Times New Roman" w:cs="Times New Roman"/>
        </w:rPr>
      </w:pP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eastAsia="Times New Roman" w:hAnsi="Times New Roman" w:cs="Times New Roman"/>
          <w:b/>
        </w:rPr>
        <w:t>21</w:t>
      </w:r>
      <w:r w:rsidRPr="00397A77">
        <w:rPr>
          <w:rFonts w:ascii="Times New Roman" w:eastAsia="Times New Roman" w:hAnsi="Times New Roman" w:cs="Times New Roman"/>
        </w:rPr>
        <w:t>.</w:t>
      </w:r>
      <w:r w:rsidRPr="00397A77">
        <w:rPr>
          <w:rFonts w:ascii="Times New Roman" w:eastAsia="Times New Roman" w:hAnsi="Times New Roman" w:cs="Times New Roman"/>
          <w:b/>
        </w:rPr>
        <w:t xml:space="preserve"> Poverty</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eastAsia="Times New Roman" w:hAnsi="Times New Roman" w:cs="Times New Roman"/>
        </w:rPr>
        <w:t>The Committee is concerned about the increasing propor</w:t>
      </w:r>
      <w:r w:rsidRPr="00397A77">
        <w:rPr>
          <w:rFonts w:ascii="Times New Roman" w:eastAsia="Times New Roman" w:hAnsi="Times New Roman" w:cs="Times New Roman"/>
        </w:rPr>
        <w:t xml:space="preserve">tion of the population living below the national absolute poverty line, as well as the prevalence of regional disparities in economic, social, and cultural rights (Articles 2 and 11). </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t xml:space="preserve">The Committee calls on the State party to: </w:t>
      </w: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a)Intensify</w:t>
      </w:r>
      <w:proofErr w:type="gramEnd"/>
      <w:r w:rsidRPr="00397A77">
        <w:rPr>
          <w:rFonts w:ascii="Times New Roman" w:eastAsia="Times New Roman" w:hAnsi="Times New Roman" w:cs="Times New Roman"/>
          <w:b/>
        </w:rPr>
        <w:t xml:space="preserve"> efforts to comb</w:t>
      </w:r>
      <w:r w:rsidRPr="00397A77">
        <w:rPr>
          <w:rFonts w:ascii="Times New Roman" w:eastAsia="Times New Roman" w:hAnsi="Times New Roman" w:cs="Times New Roman"/>
          <w:b/>
        </w:rPr>
        <w:t xml:space="preserve">at poverty and social exclusion, particularly in the North, and ensure sufficient resources for their implementation, taking into account the Committee’s 2001 Declaration on Poverty and the International Covenant on Economic, Social and Cultural Rights: </w:t>
      </w:r>
    </w:p>
    <w:p w:rsidR="00517E74" w:rsidRPr="00397A77" w:rsidRDefault="00DD6520" w:rsidP="00517E74">
      <w:pPr>
        <w:tabs>
          <w:tab w:val="right" w:pos="9360"/>
        </w:tabs>
        <w:spacing w:after="0" w:line="360" w:lineRule="auto"/>
        <w:contextualSpacing/>
        <w:jc w:val="both"/>
        <w:rPr>
          <w:rFonts w:ascii="Times New Roman" w:eastAsia="Times New Roman" w:hAnsi="Times New Roman" w:cs="Times New Roman"/>
        </w:rPr>
      </w:pPr>
      <w:r w:rsidRPr="00397A77">
        <w:rPr>
          <w:rFonts w:ascii="Arial" w:eastAsia="Times New Roman" w:hAnsi="Arial" w:cs="Arial"/>
          <w:b/>
        </w:rPr>
        <w:tab/>
      </w:r>
      <w:r w:rsidRPr="00397A77">
        <w:rPr>
          <w:rFonts w:ascii="Times New Roman" w:eastAsia="Times New Roman" w:hAnsi="Times New Roman" w:cs="Times New Roman"/>
        </w:rPr>
        <w:t>Montenegro does not have a specific national strategy to combat poverty, but through strategic public policy directions, it develops measures and activities aimed at reducing poverty and social exclusion. This includes economic, employment, social, regiona</w:t>
      </w:r>
      <w:r w:rsidRPr="00397A77">
        <w:rPr>
          <w:rFonts w:ascii="Times New Roman" w:eastAsia="Times New Roman" w:hAnsi="Times New Roman" w:cs="Times New Roman"/>
        </w:rPr>
        <w:t xml:space="preserve">l development, and education policies. The strategic framework of these policies aims to achieve smart, sustainable, and inclusive economic growth that will contribute to improving the quality of life for all citizens.  </w:t>
      </w: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b)Develop</w:t>
      </w:r>
      <w:proofErr w:type="gramEnd"/>
      <w:r w:rsidRPr="00397A77">
        <w:rPr>
          <w:rFonts w:ascii="Times New Roman" w:eastAsia="Times New Roman" w:hAnsi="Times New Roman" w:cs="Times New Roman"/>
          <w:b/>
        </w:rPr>
        <w:t xml:space="preserve"> an evaluation mechanism t</w:t>
      </w:r>
      <w:r w:rsidRPr="00397A77">
        <w:rPr>
          <w:rFonts w:ascii="Times New Roman" w:eastAsia="Times New Roman" w:hAnsi="Times New Roman" w:cs="Times New Roman"/>
          <w:b/>
        </w:rPr>
        <w:t xml:space="preserve">o assess the impact of the measures undertaken and identify any shortcomings;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Since 2013, MONSTAT has been conducting an annual Survey on Income and Living Conditions (EU-SILC). Data collected form the basis for calculating indicators of poverty and socia</w:t>
      </w:r>
      <w:r w:rsidRPr="00397A77">
        <w:rPr>
          <w:rFonts w:ascii="Times New Roman" w:eastAsia="Times New Roman" w:hAnsi="Times New Roman" w:cs="Times New Roman"/>
        </w:rPr>
        <w:t xml:space="preserve">l exclusion in Montenegro, which are based on the concept of relative poverty, which </w:t>
      </w:r>
      <w:proofErr w:type="gramStart"/>
      <w:r w:rsidRPr="00397A77">
        <w:rPr>
          <w:rFonts w:ascii="Times New Roman" w:eastAsia="Times New Roman" w:hAnsi="Times New Roman" w:cs="Times New Roman"/>
        </w:rPr>
        <w:t>takes into account</w:t>
      </w:r>
      <w:proofErr w:type="gramEnd"/>
      <w:r w:rsidRPr="00397A77">
        <w:rPr>
          <w:rFonts w:ascii="Times New Roman" w:eastAsia="Times New Roman" w:hAnsi="Times New Roman" w:cs="Times New Roman"/>
        </w:rPr>
        <w:t xml:space="preserve"> household disposable income, the number of household members (household size), and the distribution of income within the population. The EU-SILC survey </w:t>
      </w:r>
      <w:r w:rsidRPr="00397A77">
        <w:rPr>
          <w:rFonts w:ascii="Times New Roman" w:eastAsia="Times New Roman" w:hAnsi="Times New Roman" w:cs="Times New Roman"/>
        </w:rPr>
        <w:t>is a mandatory source for monitoring statistics on income, poverty, and social exclusion at the EU level, ensuring comparable data for each country individually and for the EU as a whole.</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eastAsia="Times New Roman" w:cstheme="minorHAnsi"/>
          <w:b/>
        </w:rPr>
        <w:t xml:space="preserve">c)Include in the next periodic report disaggregated and comparative </w:t>
      </w:r>
      <w:r w:rsidRPr="00397A77">
        <w:rPr>
          <w:rFonts w:eastAsia="Times New Roman" w:cstheme="minorHAnsi"/>
          <w:b/>
        </w:rPr>
        <w:t xml:space="preserve">data and indicators on the number of persons living in poverty, as well as concrete progress achieved in reducing poverty. </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rPr>
        <w:t>The EU-SILC is an annual survey that MONSTAT has been regularly conducting since 2013. The data collected serve as the basis for cal</w:t>
      </w:r>
      <w:r w:rsidRPr="00397A77">
        <w:rPr>
          <w:rFonts w:ascii="Times New Roman" w:eastAsia="Times New Roman" w:hAnsi="Times New Roman" w:cs="Times New Roman"/>
        </w:rPr>
        <w:t xml:space="preserve">culating indicators of poverty and social exclusion in Montenegro, which are based on the concept of relative poverty, </w:t>
      </w:r>
      <w:proofErr w:type="gramStart"/>
      <w:r w:rsidRPr="00397A77">
        <w:rPr>
          <w:rFonts w:ascii="Times New Roman" w:eastAsia="Times New Roman" w:hAnsi="Times New Roman" w:cs="Times New Roman"/>
        </w:rPr>
        <w:t>taking into account</w:t>
      </w:r>
      <w:proofErr w:type="gramEnd"/>
      <w:r w:rsidRPr="00397A77">
        <w:rPr>
          <w:rFonts w:ascii="Times New Roman" w:eastAsia="Times New Roman" w:hAnsi="Times New Roman" w:cs="Times New Roman"/>
        </w:rPr>
        <w:t xml:space="preserve"> household disposable income, the number of household members (household size), and the distribution of income within </w:t>
      </w:r>
      <w:r w:rsidRPr="00397A77">
        <w:rPr>
          <w:rFonts w:ascii="Times New Roman" w:eastAsia="Times New Roman" w:hAnsi="Times New Roman" w:cs="Times New Roman"/>
        </w:rPr>
        <w:t xml:space="preserve">the population. At the EU </w:t>
      </w:r>
      <w:r w:rsidRPr="00397A77">
        <w:rPr>
          <w:rFonts w:ascii="Times New Roman" w:eastAsia="Times New Roman" w:hAnsi="Times New Roman" w:cs="Times New Roman"/>
        </w:rPr>
        <w:lastRenderedPageBreak/>
        <w:t>level, the EU-SILC survey is a mandatory source for monitoring statistics on income, poverty, and social exclusion, ensuring comparable data for each country individually and for the EU as a whole. The at-risk-of-poverty rate in 2</w:t>
      </w:r>
      <w:r w:rsidRPr="00397A77">
        <w:rPr>
          <w:rFonts w:ascii="Times New Roman" w:eastAsia="Times New Roman" w:hAnsi="Times New Roman" w:cs="Times New Roman"/>
        </w:rPr>
        <w:t xml:space="preserve">024 amounted to 20.0 percent, representing a decrease of 5.2 percentage points compared to 2013, when the rate was 25.2 percent. </w:t>
      </w:r>
    </w:p>
    <w:p w:rsidR="00517E74" w:rsidRPr="00397A77" w:rsidRDefault="00DD6520" w:rsidP="00517E74">
      <w:pPr>
        <w:spacing w:after="0" w:line="360" w:lineRule="auto"/>
        <w:contextualSpacing/>
        <w:rPr>
          <w:b/>
          <w:bCs/>
        </w:rPr>
      </w:pPr>
      <w:r w:rsidRPr="00397A77">
        <w:rPr>
          <w:b/>
          <w:bCs/>
        </w:rPr>
        <w:t>At-risk-of-poverty rate 2013-2024</w:t>
      </w:r>
    </w:p>
    <w:tbl>
      <w:tblPr>
        <w:tblW w:w="9369" w:type="dxa"/>
        <w:tblLook w:val="04A0" w:firstRow="1" w:lastRow="0" w:firstColumn="1" w:lastColumn="0" w:noHBand="0" w:noVBand="1"/>
      </w:tblPr>
      <w:tblGrid>
        <w:gridCol w:w="2642"/>
        <w:gridCol w:w="6727"/>
      </w:tblGrid>
      <w:tr w:rsidR="00193F9C" w:rsidTr="00517E74">
        <w:trPr>
          <w:trHeight w:val="442"/>
        </w:trPr>
        <w:tc>
          <w:tcPr>
            <w:tcW w:w="264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Calibri" w:eastAsia="Times New Roman" w:hAnsi="Calibri" w:cs="Calibri"/>
                <w:b/>
                <w:bCs/>
              </w:rPr>
            </w:pPr>
            <w:r w:rsidRPr="00397A77">
              <w:rPr>
                <w:rFonts w:ascii="Calibri" w:eastAsia="Times New Roman" w:hAnsi="Calibri" w:cs="Calibri"/>
                <w:b/>
                <w:bCs/>
              </w:rPr>
              <w:t>Year</w:t>
            </w:r>
          </w:p>
        </w:tc>
        <w:tc>
          <w:tcPr>
            <w:tcW w:w="672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Calibri" w:eastAsia="Times New Roman" w:hAnsi="Calibri" w:cs="Calibri"/>
                <w:b/>
                <w:bCs/>
              </w:rPr>
            </w:pPr>
            <w:r w:rsidRPr="00397A77">
              <w:rPr>
                <w:rFonts w:ascii="Calibri" w:eastAsia="Times New Roman" w:hAnsi="Calibri" w:cs="Calibri"/>
                <w:b/>
                <w:bCs/>
              </w:rPr>
              <w:t>At-risk-of-poverty rate 2013-2024</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2013</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25,2</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2020</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22,6</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2021</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21,2</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2022</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20,3</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2023</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20,1</w:t>
            </w:r>
          </w:p>
        </w:tc>
      </w:tr>
      <w:tr w:rsidR="00193F9C" w:rsidTr="00517E74">
        <w:trPr>
          <w:trHeight w:val="333"/>
        </w:trPr>
        <w:tc>
          <w:tcPr>
            <w:tcW w:w="26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2024</w:t>
            </w:r>
          </w:p>
        </w:tc>
        <w:tc>
          <w:tcPr>
            <w:tcW w:w="6727" w:type="dxa"/>
            <w:tcBorders>
              <w:top w:val="single" w:sz="4" w:space="0" w:color="auto"/>
              <w:left w:val="single" w:sz="4" w:space="0" w:color="auto"/>
              <w:bottom w:val="single" w:sz="4" w:space="0" w:color="auto"/>
              <w:right w:val="single" w:sz="4" w:space="0" w:color="auto"/>
            </w:tcBorders>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20,0</w:t>
            </w:r>
          </w:p>
        </w:tc>
      </w:tr>
    </w:tbl>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Source:</w:t>
      </w:r>
      <w:r w:rsidR="00BD71E8">
        <w:rPr>
          <w:rFonts w:ascii="Times New Roman" w:eastAsia="Times New Roman" w:hAnsi="Times New Roman" w:cs="Times New Roman"/>
        </w:rPr>
        <w:t xml:space="preserve"> </w:t>
      </w:r>
      <w:proofErr w:type="spellStart"/>
      <w:r w:rsidRPr="00397A77">
        <w:rPr>
          <w:rFonts w:ascii="Times New Roman" w:eastAsia="Times New Roman" w:hAnsi="Times New Roman" w:cs="Times New Roman"/>
        </w:rPr>
        <w:t>Monstat</w:t>
      </w:r>
      <w:proofErr w:type="spellEnd"/>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b/>
        </w:rPr>
        <w:t xml:space="preserve">22.Housing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The Committee is concerned about the lack of available information on the number of homeless persons or persons living in inadequate housing, as well as the absence of shelters for the homeless. </w:t>
      </w:r>
      <w:proofErr w:type="gramStart"/>
      <w:r w:rsidRPr="00397A77">
        <w:rPr>
          <w:rFonts w:ascii="Times New Roman" w:eastAsia="Times New Roman" w:hAnsi="Times New Roman" w:cs="Times New Roman"/>
        </w:rPr>
        <w:t>Taking into acc</w:t>
      </w:r>
      <w:r w:rsidRPr="00397A77">
        <w:rPr>
          <w:rFonts w:ascii="Times New Roman" w:eastAsia="Times New Roman" w:hAnsi="Times New Roman" w:cs="Times New Roman"/>
        </w:rPr>
        <w:t>ount</w:t>
      </w:r>
      <w:proofErr w:type="gramEnd"/>
      <w:r w:rsidRPr="00397A77">
        <w:rPr>
          <w:rFonts w:ascii="Times New Roman" w:eastAsia="Times New Roman" w:hAnsi="Times New Roman" w:cs="Times New Roman"/>
        </w:rPr>
        <w:t xml:space="preserve"> the adoption of the Law on Social Housing and the Project for identifying durable solutions for </w:t>
      </w:r>
      <w:proofErr w:type="spellStart"/>
      <w:r w:rsidRPr="00397A77">
        <w:rPr>
          <w:rFonts w:ascii="Times New Roman" w:eastAsia="Times New Roman" w:hAnsi="Times New Roman" w:cs="Times New Roman"/>
        </w:rPr>
        <w:t>Konik</w:t>
      </w:r>
      <w:proofErr w:type="spellEnd"/>
      <w:r w:rsidRPr="00397A77">
        <w:rPr>
          <w:rFonts w:ascii="Times New Roman" w:eastAsia="Times New Roman" w:hAnsi="Times New Roman" w:cs="Times New Roman"/>
        </w:rPr>
        <w:t xml:space="preserve"> residents, the Committee remains seriously concerned that Roma communities continue to live in the camp and other informal settlements in environment</w:t>
      </w:r>
      <w:r w:rsidRPr="00397A77">
        <w:rPr>
          <w:rFonts w:ascii="Times New Roman" w:eastAsia="Times New Roman" w:hAnsi="Times New Roman" w:cs="Times New Roman"/>
        </w:rPr>
        <w:t>ally polluted areas with poor living conditions and without access to basic utilities such as electricity, running water and sewage (Article 11).</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b/>
        </w:rPr>
        <w:t xml:space="preserve">The Committee recommends that States parties: </w:t>
      </w:r>
    </w:p>
    <w:p w:rsidR="00517E74" w:rsidRPr="00397A77" w:rsidRDefault="00DD6520" w:rsidP="00517E74">
      <w:pPr>
        <w:spacing w:after="0" w:line="360" w:lineRule="auto"/>
        <w:contextualSpacing/>
        <w:jc w:val="both"/>
        <w:rPr>
          <w:rFonts w:ascii="Times New Roman" w:eastAsia="Times New Roman" w:hAnsi="Times New Roman" w:cs="Times New Roman"/>
        </w:rPr>
      </w:pPr>
      <w:proofErr w:type="gramStart"/>
      <w:r w:rsidRPr="00397A77">
        <w:rPr>
          <w:rFonts w:ascii="Times New Roman" w:eastAsia="Times New Roman" w:hAnsi="Times New Roman" w:cs="Times New Roman"/>
          <w:b/>
        </w:rPr>
        <w:t>a)Collect</w:t>
      </w:r>
      <w:proofErr w:type="gramEnd"/>
      <w:r w:rsidRPr="00397A77">
        <w:rPr>
          <w:rFonts w:ascii="Times New Roman" w:eastAsia="Times New Roman" w:hAnsi="Times New Roman" w:cs="Times New Roman"/>
          <w:b/>
        </w:rPr>
        <w:t xml:space="preserve"> data on the number of homeless persons or persons </w:t>
      </w:r>
      <w:r w:rsidRPr="00397A77">
        <w:rPr>
          <w:rFonts w:ascii="Times New Roman" w:eastAsia="Times New Roman" w:hAnsi="Times New Roman" w:cs="Times New Roman"/>
          <w:b/>
        </w:rPr>
        <w:t>without adequate housing and periodically assess the effectiveness of housing policies for this purpose;</w:t>
      </w:r>
      <w:r w:rsidRPr="00397A77">
        <w:rPr>
          <w:rFonts w:ascii="Times New Roman" w:eastAsia="Times New Roman" w:hAnsi="Times New Roman" w:cs="Times New Roman"/>
        </w:rPr>
        <w:t xml:space="preserve"> </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eastAsia="Times New Roman" w:hAnsi="Times New Roman" w:cs="Times New Roman"/>
          <w:sz w:val="22"/>
          <w:szCs w:val="22"/>
        </w:rPr>
        <w:t>The Law on Social and Child Protection stipulates that a homeless person is an individual without a residential address, staying in public or other pl</w:t>
      </w:r>
      <w:r w:rsidRPr="00397A77">
        <w:rPr>
          <w:rFonts w:ascii="Times New Roman" w:eastAsia="Times New Roman" w:hAnsi="Times New Roman" w:cs="Times New Roman"/>
          <w:sz w:val="22"/>
          <w:szCs w:val="22"/>
        </w:rPr>
        <w:t>aces not intended for housing and lacking the means to meet housing needs. Accordingly, the CSWs have the authority and capacity to reliably determine the status of beneficiaries and provide the appropriate type of assistance</w:t>
      </w:r>
      <w:r w:rsidRPr="00397A77">
        <w:rPr>
          <w:rFonts w:ascii="Times New Roman" w:hAnsi="Times New Roman" w:cs="Times New Roman"/>
          <w:sz w:val="22"/>
          <w:szCs w:val="22"/>
        </w:rPr>
        <w:t xml:space="preserve">.  </w:t>
      </w:r>
    </w:p>
    <w:p w:rsidR="00517E74" w:rsidRPr="00397A77" w:rsidRDefault="00DD6520" w:rsidP="00517E74">
      <w:pPr>
        <w:pStyle w:val="CommentText"/>
        <w:spacing w:after="0" w:line="360" w:lineRule="auto"/>
        <w:contextualSpacing/>
        <w:jc w:val="both"/>
        <w:rPr>
          <w:rFonts w:ascii="Times New Roman" w:hAnsi="Times New Roman" w:cs="Times New Roman"/>
          <w:sz w:val="22"/>
          <w:szCs w:val="22"/>
        </w:rPr>
      </w:pPr>
      <w:r w:rsidRPr="00397A77">
        <w:rPr>
          <w:rFonts w:ascii="Times New Roman" w:hAnsi="Times New Roman" w:cs="Times New Roman"/>
          <w:sz w:val="22"/>
          <w:szCs w:val="22"/>
        </w:rPr>
        <w:t>The CSWs also have access t</w:t>
      </w:r>
      <w:r w:rsidRPr="00397A77">
        <w:rPr>
          <w:rFonts w:ascii="Times New Roman" w:hAnsi="Times New Roman" w:cs="Times New Roman"/>
          <w:sz w:val="22"/>
          <w:szCs w:val="22"/>
        </w:rPr>
        <w:t xml:space="preserve">o information on intersectoral action concerning these persons through cooperation with the </w:t>
      </w:r>
      <w:proofErr w:type="spellStart"/>
      <w:r w:rsidRPr="00397A77">
        <w:rPr>
          <w:rFonts w:ascii="Times New Roman" w:hAnsi="Times New Roman" w:cs="Times New Roman"/>
          <w:sz w:val="22"/>
          <w:szCs w:val="22"/>
        </w:rPr>
        <w:t>MoI</w:t>
      </w:r>
      <w:proofErr w:type="spellEnd"/>
      <w:r w:rsidRPr="00397A77">
        <w:rPr>
          <w:rFonts w:ascii="Times New Roman" w:hAnsi="Times New Roman" w:cs="Times New Roman"/>
          <w:sz w:val="22"/>
          <w:szCs w:val="22"/>
        </w:rPr>
        <w:t xml:space="preserve">, the health system and the civil sector; therefore, it cannot be concluded that there is no systemic response and protection provided to these individuals. The </w:t>
      </w:r>
      <w:r w:rsidRPr="00397A77">
        <w:rPr>
          <w:rFonts w:ascii="Times New Roman" w:hAnsi="Times New Roman" w:cs="Times New Roman"/>
          <w:sz w:val="22"/>
          <w:szCs w:val="22"/>
        </w:rPr>
        <w:t xml:space="preserve">MSWFCD, through the National Demographic Strategy 2027-2037, plans to establish a register of homeless persons, which will enable more systematic monitoring and recording of this category of beneficiaries. Additionally, all licensed service </w:t>
      </w:r>
      <w:r w:rsidRPr="00397A77">
        <w:rPr>
          <w:rFonts w:ascii="Times New Roman" w:hAnsi="Times New Roman" w:cs="Times New Roman"/>
          <w:sz w:val="22"/>
          <w:szCs w:val="22"/>
        </w:rPr>
        <w:lastRenderedPageBreak/>
        <w:t xml:space="preserve">providers have </w:t>
      </w:r>
      <w:r w:rsidRPr="00397A77">
        <w:rPr>
          <w:rFonts w:ascii="Times New Roman" w:hAnsi="Times New Roman" w:cs="Times New Roman"/>
          <w:sz w:val="22"/>
          <w:szCs w:val="22"/>
        </w:rPr>
        <w:t xml:space="preserve">been entered into the electronic social protection system, allowing CSWs direct insight into their capacities, which will significantly facilitate coordination and referral of this category of beneficiaries to appropriate support.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A license to perform soc</w:t>
      </w:r>
      <w:r w:rsidRPr="00397A77">
        <w:rPr>
          <w:rFonts w:ascii="Times New Roman" w:eastAsia="Times New Roman" w:hAnsi="Times New Roman" w:cs="Times New Roman"/>
        </w:rPr>
        <w:t>ial and child protection activities for the service of accommodation in a shelter is held by the PI Home for Elderly “</w:t>
      </w:r>
      <w:proofErr w:type="spellStart"/>
      <w:r w:rsidRPr="00397A77">
        <w:rPr>
          <w:rFonts w:ascii="Times New Roman" w:eastAsia="Times New Roman" w:hAnsi="Times New Roman" w:cs="Times New Roman"/>
        </w:rPr>
        <w:t>Grabovac</w:t>
      </w:r>
      <w:proofErr w:type="spellEnd"/>
      <w:r w:rsidRPr="00397A77">
        <w:rPr>
          <w:rFonts w:ascii="Times New Roman" w:eastAsia="Times New Roman" w:hAnsi="Times New Roman" w:cs="Times New Roman"/>
        </w:rPr>
        <w:t xml:space="preserve">” </w:t>
      </w:r>
      <w:proofErr w:type="spellStart"/>
      <w:r w:rsidRPr="00397A77">
        <w:rPr>
          <w:rFonts w:ascii="Times New Roman" w:eastAsia="Times New Roman" w:hAnsi="Times New Roman" w:cs="Times New Roman"/>
        </w:rPr>
        <w:t>Risan</w:t>
      </w:r>
      <w:proofErr w:type="spellEnd"/>
      <w:r w:rsidRPr="00397A77">
        <w:rPr>
          <w:rFonts w:ascii="Times New Roman" w:eastAsia="Times New Roman" w:hAnsi="Times New Roman" w:cs="Times New Roman"/>
        </w:rPr>
        <w:t>, where persons who are in such need may be accommodated. A license to provide social and child protection services for thi</w:t>
      </w:r>
      <w:r w:rsidRPr="00397A77">
        <w:rPr>
          <w:rFonts w:ascii="Times New Roman" w:eastAsia="Times New Roman" w:hAnsi="Times New Roman" w:cs="Times New Roman"/>
        </w:rPr>
        <w:t>s category of beneficiaries is also held by the NGO JUVENTAS-license for providing a shelter service for adults and elderly persons who are homeless; and the PI Home for Elderly “</w:t>
      </w:r>
      <w:proofErr w:type="spellStart"/>
      <w:r w:rsidRPr="00397A77">
        <w:rPr>
          <w:rFonts w:ascii="Times New Roman" w:eastAsia="Times New Roman" w:hAnsi="Times New Roman" w:cs="Times New Roman"/>
        </w:rPr>
        <w:t>Grabovac</w:t>
      </w:r>
      <w:proofErr w:type="spellEnd"/>
      <w:r w:rsidRPr="00397A77">
        <w:rPr>
          <w:rFonts w:ascii="Times New Roman" w:eastAsia="Times New Roman" w:hAnsi="Times New Roman" w:cs="Times New Roman"/>
        </w:rPr>
        <w:t>”-license for providing counselling services to adults and elderly pe</w:t>
      </w:r>
      <w:r w:rsidRPr="00397A77">
        <w:rPr>
          <w:rFonts w:ascii="Times New Roman" w:eastAsia="Times New Roman" w:hAnsi="Times New Roman" w:cs="Times New Roman"/>
        </w:rPr>
        <w:t>rsons who are homeless, from the territory of Montenegro.</w:t>
      </w:r>
    </w:p>
    <w:p w:rsidR="00517E74" w:rsidRPr="00397A77" w:rsidRDefault="00DD6520" w:rsidP="00517E74">
      <w:pPr>
        <w:spacing w:after="0" w:line="360" w:lineRule="auto"/>
        <w:contextualSpacing/>
        <w:jc w:val="both"/>
        <w:rPr>
          <w:rFonts w:ascii="Times New Roman" w:eastAsia="Times New Roman" w:hAnsi="Times New Roman" w:cs="Times New Roman"/>
        </w:rPr>
      </w:pPr>
      <w:proofErr w:type="gramStart"/>
      <w:r w:rsidRPr="00397A77">
        <w:rPr>
          <w:rFonts w:ascii="Times New Roman" w:eastAsia="Times New Roman" w:hAnsi="Times New Roman" w:cs="Times New Roman"/>
          <w:b/>
        </w:rPr>
        <w:t>b)Implement</w:t>
      </w:r>
      <w:proofErr w:type="gramEnd"/>
      <w:r w:rsidRPr="00397A77">
        <w:rPr>
          <w:rFonts w:ascii="Times New Roman" w:eastAsia="Times New Roman" w:hAnsi="Times New Roman" w:cs="Times New Roman"/>
          <w:b/>
        </w:rPr>
        <w:t xml:space="preserve"> policies and take financial measures to expand the availability and quality of social housing for homeless persons and low-income families;</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CSWs and their regional units provide these </w:t>
      </w:r>
      <w:r w:rsidRPr="00397A77">
        <w:rPr>
          <w:rFonts w:ascii="Times New Roman" w:eastAsia="Times New Roman" w:hAnsi="Times New Roman" w:cs="Times New Roman"/>
        </w:rPr>
        <w:t>persons with various types of assistance and support: material benefits (financial social assistance, care and assistance allowance, one-off financial assistance), placement in institutions, and psychosocial support.</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b/>
        </w:rPr>
        <w:t>c)Accelerate the project implementation</w:t>
      </w:r>
      <w:r w:rsidRPr="00397A77">
        <w:rPr>
          <w:rFonts w:ascii="Times New Roman" w:eastAsia="Times New Roman" w:hAnsi="Times New Roman" w:cs="Times New Roman"/>
          <w:b/>
        </w:rPr>
        <w:t xml:space="preserve"> to define permanent solutions for the residents of the </w:t>
      </w:r>
      <w:proofErr w:type="spellStart"/>
      <w:r w:rsidRPr="00397A77">
        <w:rPr>
          <w:rFonts w:ascii="Times New Roman" w:eastAsia="Times New Roman" w:hAnsi="Times New Roman" w:cs="Times New Roman"/>
          <w:b/>
        </w:rPr>
        <w:t>Konik</w:t>
      </w:r>
      <w:proofErr w:type="spellEnd"/>
      <w:r w:rsidRPr="00397A77">
        <w:rPr>
          <w:rFonts w:ascii="Times New Roman" w:eastAsia="Times New Roman" w:hAnsi="Times New Roman" w:cs="Times New Roman"/>
          <w:b/>
        </w:rPr>
        <w:t xml:space="preserve"> camp and ensure that all displaced persons have access to adequate and affordable housing, including legal security of tenure, safe drinking water, adequate sanitation and electricity, including</w:t>
      </w:r>
      <w:r w:rsidRPr="00397A77">
        <w:rPr>
          <w:rFonts w:ascii="Times New Roman" w:eastAsia="Times New Roman" w:hAnsi="Times New Roman" w:cs="Times New Roman"/>
          <w:b/>
        </w:rPr>
        <w:t xml:space="preserve"> through improving the conditions of existing settlements or constructing new housing units.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Displaced and internally displaced persons from the territory of the former Yugoslavia have resolved their legal status in Montenegro by obtaining the status of a</w:t>
      </w:r>
      <w:r w:rsidRPr="00397A77">
        <w:rPr>
          <w:rFonts w:ascii="Times New Roman" w:eastAsia="Times New Roman" w:hAnsi="Times New Roman" w:cs="Times New Roman"/>
        </w:rPr>
        <w:t xml:space="preserve"> foreigner with permanent or temporary residence.</w:t>
      </w:r>
    </w:p>
    <w:p w:rsidR="00517E74" w:rsidRPr="00397A77" w:rsidRDefault="00DD6520" w:rsidP="00517E74">
      <w:pPr>
        <w:spacing w:after="0" w:line="360" w:lineRule="auto"/>
        <w:contextualSpacing/>
        <w:jc w:val="both"/>
        <w:rPr>
          <w:rFonts w:ascii="Arial" w:eastAsia="Times New Roman" w:hAnsi="Arial" w:cs="Arial"/>
          <w:b/>
          <w:highlight w:val="green"/>
        </w:rPr>
      </w:pPr>
      <w:r w:rsidRPr="00397A77">
        <w:rPr>
          <w:rFonts w:ascii="Times New Roman" w:eastAsia="Times New Roman" w:hAnsi="Times New Roman" w:cs="Times New Roman"/>
        </w:rPr>
        <w:t>These persons have access to health care at the primary and secondary levels, access to social and child protection, education, employment and the labor market, and are fully equal to the citizens of Monten</w:t>
      </w:r>
      <w:r w:rsidRPr="00397A77">
        <w:rPr>
          <w:rFonts w:ascii="Times New Roman" w:eastAsia="Times New Roman" w:hAnsi="Times New Roman" w:cs="Times New Roman"/>
        </w:rPr>
        <w:t>egro, except with regard to political decision-making or voting rights.</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With regard to ensuring sustainable permanent housing solutions, Montenegro has successfully implemented the largest donor-funded project-the Regional Housing Program. It began in 2012</w:t>
      </w:r>
      <w:r w:rsidRPr="00397A77">
        <w:rPr>
          <w:rFonts w:ascii="Times New Roman" w:eastAsia="Times New Roman" w:hAnsi="Times New Roman" w:cs="Times New Roman"/>
        </w:rPr>
        <w:t>, and a total of eight sub-projects have been nominated and completed, with the beneficiaries already having moved into their new homes.</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Among the implemented projects are: 62 housing units in </w:t>
      </w:r>
      <w:proofErr w:type="spellStart"/>
      <w:r w:rsidRPr="00397A77">
        <w:rPr>
          <w:rFonts w:ascii="Times New Roman" w:eastAsia="Times New Roman" w:hAnsi="Times New Roman" w:cs="Times New Roman"/>
        </w:rPr>
        <w:t>Nikšić</w:t>
      </w:r>
      <w:proofErr w:type="spellEnd"/>
      <w:r w:rsidRPr="00397A77">
        <w:rPr>
          <w:rFonts w:ascii="Times New Roman" w:eastAsia="Times New Roman" w:hAnsi="Times New Roman" w:cs="Times New Roman"/>
        </w:rPr>
        <w:t xml:space="preserve">; 171 housing units for residents of </w:t>
      </w:r>
      <w:proofErr w:type="spellStart"/>
      <w:r w:rsidRPr="00397A77">
        <w:rPr>
          <w:rFonts w:ascii="Times New Roman" w:eastAsia="Times New Roman" w:hAnsi="Times New Roman" w:cs="Times New Roman"/>
        </w:rPr>
        <w:t>Konik</w:t>
      </w:r>
      <w:proofErr w:type="spellEnd"/>
      <w:r w:rsidRPr="00397A77">
        <w:rPr>
          <w:rFonts w:ascii="Times New Roman" w:eastAsia="Times New Roman" w:hAnsi="Times New Roman" w:cs="Times New Roman"/>
        </w:rPr>
        <w:t xml:space="preserve"> Camp in Podgor</w:t>
      </w:r>
      <w:r w:rsidRPr="00397A77">
        <w:rPr>
          <w:rFonts w:ascii="Times New Roman" w:eastAsia="Times New Roman" w:hAnsi="Times New Roman" w:cs="Times New Roman"/>
        </w:rPr>
        <w:t xml:space="preserve">ica; a home for elderly in </w:t>
      </w:r>
      <w:proofErr w:type="spellStart"/>
      <w:r w:rsidRPr="00397A77">
        <w:rPr>
          <w:rFonts w:ascii="Times New Roman" w:eastAsia="Times New Roman" w:hAnsi="Times New Roman" w:cs="Times New Roman"/>
        </w:rPr>
        <w:t>Pljevlja</w:t>
      </w:r>
      <w:proofErr w:type="spellEnd"/>
      <w:r w:rsidRPr="00397A77">
        <w:rPr>
          <w:rFonts w:ascii="Times New Roman" w:eastAsia="Times New Roman" w:hAnsi="Times New Roman" w:cs="Times New Roman"/>
        </w:rPr>
        <w:t xml:space="preserve">; 94 housing units in the municipality of </w:t>
      </w:r>
      <w:proofErr w:type="spellStart"/>
      <w:r w:rsidRPr="00397A77">
        <w:rPr>
          <w:rFonts w:ascii="Times New Roman" w:eastAsia="Times New Roman" w:hAnsi="Times New Roman" w:cs="Times New Roman"/>
        </w:rPr>
        <w:t>Berane</w:t>
      </w:r>
      <w:proofErr w:type="spellEnd"/>
      <w:r w:rsidRPr="00397A77">
        <w:rPr>
          <w:rFonts w:ascii="Times New Roman" w:eastAsia="Times New Roman" w:hAnsi="Times New Roman" w:cs="Times New Roman"/>
        </w:rPr>
        <w:t xml:space="preserve">; the reconstructed </w:t>
      </w:r>
      <w:proofErr w:type="spellStart"/>
      <w:r w:rsidRPr="00397A77">
        <w:rPr>
          <w:rFonts w:ascii="Times New Roman" w:eastAsia="Times New Roman" w:hAnsi="Times New Roman" w:cs="Times New Roman"/>
        </w:rPr>
        <w:t>Trebjesa</w:t>
      </w:r>
      <w:proofErr w:type="spellEnd"/>
      <w:r w:rsidRPr="00397A77">
        <w:rPr>
          <w:rFonts w:ascii="Times New Roman" w:eastAsia="Times New Roman" w:hAnsi="Times New Roman" w:cs="Times New Roman"/>
        </w:rPr>
        <w:t xml:space="preserve"> Military Complex for the needs of a home for elderly in </w:t>
      </w:r>
      <w:proofErr w:type="spellStart"/>
      <w:r w:rsidRPr="00397A77">
        <w:rPr>
          <w:rFonts w:ascii="Times New Roman" w:eastAsia="Times New Roman" w:hAnsi="Times New Roman" w:cs="Times New Roman"/>
        </w:rPr>
        <w:t>Nikšić</w:t>
      </w:r>
      <w:proofErr w:type="spellEnd"/>
      <w:r w:rsidRPr="00397A77">
        <w:rPr>
          <w:rFonts w:ascii="Times New Roman" w:eastAsia="Times New Roman" w:hAnsi="Times New Roman" w:cs="Times New Roman"/>
        </w:rPr>
        <w:t xml:space="preserve">; apartments purchased for 36 families in </w:t>
      </w:r>
      <w:proofErr w:type="spellStart"/>
      <w:r w:rsidRPr="00397A77">
        <w:rPr>
          <w:rFonts w:ascii="Times New Roman" w:eastAsia="Times New Roman" w:hAnsi="Times New Roman" w:cs="Times New Roman"/>
        </w:rPr>
        <w:t>Herceg</w:t>
      </w:r>
      <w:proofErr w:type="spellEnd"/>
      <w:r w:rsidRPr="00397A77">
        <w:rPr>
          <w:rFonts w:ascii="Times New Roman" w:eastAsia="Times New Roman" w:hAnsi="Times New Roman" w:cs="Times New Roman"/>
        </w:rPr>
        <w:t xml:space="preserve"> Novi; the construction of 28 hous</w:t>
      </w:r>
      <w:r w:rsidRPr="00397A77">
        <w:rPr>
          <w:rFonts w:ascii="Times New Roman" w:eastAsia="Times New Roman" w:hAnsi="Times New Roman" w:cs="Times New Roman"/>
        </w:rPr>
        <w:t xml:space="preserve">es across the country; and 96 apartments in </w:t>
      </w:r>
      <w:proofErr w:type="spellStart"/>
      <w:r w:rsidRPr="00397A77">
        <w:rPr>
          <w:rFonts w:ascii="Times New Roman" w:eastAsia="Times New Roman" w:hAnsi="Times New Roman" w:cs="Times New Roman"/>
        </w:rPr>
        <w:t>Vrela</w:t>
      </w:r>
      <w:proofErr w:type="spellEnd"/>
      <w:r w:rsidRPr="00397A77">
        <w:rPr>
          <w:rFonts w:ascii="Times New Roman" w:eastAsia="Times New Roman" w:hAnsi="Times New Roman" w:cs="Times New Roman"/>
        </w:rPr>
        <w:t xml:space="preserve"> </w:t>
      </w:r>
      <w:proofErr w:type="spellStart"/>
      <w:r w:rsidRPr="00397A77">
        <w:rPr>
          <w:rFonts w:ascii="Times New Roman" w:eastAsia="Times New Roman" w:hAnsi="Times New Roman" w:cs="Times New Roman"/>
        </w:rPr>
        <w:t>Ribnička</w:t>
      </w:r>
      <w:proofErr w:type="spellEnd"/>
      <w:r w:rsidRPr="00397A77">
        <w:rPr>
          <w:rFonts w:ascii="Times New Roman" w:eastAsia="Times New Roman" w:hAnsi="Times New Roman" w:cs="Times New Roman"/>
        </w:rPr>
        <w:t xml:space="preserve">. Thanks to the Regional Housing Program, Montenegro managed to close five collective centers, i.e. informal settlements, in </w:t>
      </w:r>
      <w:proofErr w:type="spellStart"/>
      <w:r w:rsidRPr="00397A77">
        <w:rPr>
          <w:rFonts w:ascii="Times New Roman" w:eastAsia="Times New Roman" w:hAnsi="Times New Roman" w:cs="Times New Roman"/>
        </w:rPr>
        <w:t>Berane-Rudeš</w:t>
      </w:r>
      <w:proofErr w:type="spellEnd"/>
      <w:r w:rsidRPr="00397A77">
        <w:rPr>
          <w:rFonts w:ascii="Times New Roman" w:eastAsia="Times New Roman" w:hAnsi="Times New Roman" w:cs="Times New Roman"/>
        </w:rPr>
        <w:t xml:space="preserve"> I and </w:t>
      </w:r>
      <w:proofErr w:type="spellStart"/>
      <w:r w:rsidRPr="00397A77">
        <w:rPr>
          <w:rFonts w:ascii="Times New Roman" w:eastAsia="Times New Roman" w:hAnsi="Times New Roman" w:cs="Times New Roman"/>
        </w:rPr>
        <w:t>Rudeš</w:t>
      </w:r>
      <w:proofErr w:type="spellEnd"/>
      <w:r w:rsidRPr="00397A77">
        <w:rPr>
          <w:rFonts w:ascii="Times New Roman" w:eastAsia="Times New Roman" w:hAnsi="Times New Roman" w:cs="Times New Roman"/>
        </w:rPr>
        <w:t xml:space="preserve"> II, and in Podgorica-</w:t>
      </w:r>
      <w:proofErr w:type="spellStart"/>
      <w:r w:rsidRPr="00397A77">
        <w:rPr>
          <w:rFonts w:ascii="Times New Roman" w:eastAsia="Times New Roman" w:hAnsi="Times New Roman" w:cs="Times New Roman"/>
        </w:rPr>
        <w:t>Konik</w:t>
      </w:r>
      <w:proofErr w:type="spellEnd"/>
      <w:r w:rsidRPr="00397A77">
        <w:rPr>
          <w:rFonts w:ascii="Times New Roman" w:eastAsia="Times New Roman" w:hAnsi="Times New Roman" w:cs="Times New Roman"/>
        </w:rPr>
        <w:t xml:space="preserve"> Camp I and II and </w:t>
      </w:r>
      <w:proofErr w:type="spellStart"/>
      <w:r w:rsidRPr="00397A77">
        <w:rPr>
          <w:rFonts w:ascii="Times New Roman" w:eastAsia="Times New Roman" w:hAnsi="Times New Roman" w:cs="Times New Roman"/>
        </w:rPr>
        <w:t>Vre</w:t>
      </w:r>
      <w:r w:rsidRPr="00397A77">
        <w:rPr>
          <w:rFonts w:ascii="Times New Roman" w:eastAsia="Times New Roman" w:hAnsi="Times New Roman" w:cs="Times New Roman"/>
        </w:rPr>
        <w:t>la</w:t>
      </w:r>
      <w:proofErr w:type="spellEnd"/>
      <w:r w:rsidRPr="00397A77">
        <w:rPr>
          <w:rFonts w:ascii="Times New Roman" w:eastAsia="Times New Roman" w:hAnsi="Times New Roman" w:cs="Times New Roman"/>
        </w:rPr>
        <w:t xml:space="preserve"> </w:t>
      </w:r>
      <w:proofErr w:type="spellStart"/>
      <w:r w:rsidRPr="00397A77">
        <w:rPr>
          <w:rFonts w:ascii="Times New Roman" w:eastAsia="Times New Roman" w:hAnsi="Times New Roman" w:cs="Times New Roman"/>
        </w:rPr>
        <w:t>Ribnička</w:t>
      </w:r>
      <w:proofErr w:type="spellEnd"/>
      <w:r w:rsidRPr="00397A77">
        <w:rPr>
          <w:rFonts w:ascii="Times New Roman" w:eastAsia="Times New Roman" w:hAnsi="Times New Roman" w:cs="Times New Roman"/>
        </w:rPr>
        <w:t xml:space="preserve">. </w:t>
      </w:r>
    </w:p>
    <w:p w:rsidR="00517E74" w:rsidRPr="00397A77" w:rsidRDefault="00517E74" w:rsidP="00517E74">
      <w:pPr>
        <w:spacing w:after="0" w:line="360" w:lineRule="auto"/>
        <w:contextualSpacing/>
        <w:jc w:val="both"/>
        <w:rPr>
          <w:rFonts w:ascii="Times New Roman" w:eastAsia="Times New Roman" w:hAnsi="Times New Roman" w:cs="Times New Roman"/>
        </w:rPr>
      </w:pP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t xml:space="preserve">23.Right to health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The Committee is concerned about reports of poor quality of public health services, the practice of informal payments by patients to medical staff, insufficient oversight of public procurement in the health sector, and ob</w:t>
      </w:r>
      <w:r w:rsidRPr="00397A77">
        <w:rPr>
          <w:rFonts w:ascii="Times New Roman" w:eastAsia="Times New Roman" w:hAnsi="Times New Roman" w:cs="Times New Roman"/>
        </w:rPr>
        <w:t>stacles faced by persons of Roma and Egyptian origin who do not have a regulated legal status in accessing health services effectively. The Committee is also concerned that persons who do not require hospitalization are nevertheless placed in psychiatric i</w:t>
      </w:r>
      <w:r w:rsidRPr="00397A77">
        <w:rPr>
          <w:rFonts w:ascii="Times New Roman" w:eastAsia="Times New Roman" w:hAnsi="Times New Roman" w:cs="Times New Roman"/>
        </w:rPr>
        <w:t xml:space="preserve">nstitutions due to the lack of alternative solutions (Article 12).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b/>
        </w:rPr>
        <w:t>The Committee recommends that States parties:</w:t>
      </w: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a)Increase</w:t>
      </w:r>
      <w:proofErr w:type="gramEnd"/>
      <w:r w:rsidRPr="00397A77">
        <w:rPr>
          <w:rFonts w:ascii="Times New Roman" w:eastAsia="Times New Roman" w:hAnsi="Times New Roman" w:cs="Times New Roman"/>
          <w:b/>
        </w:rPr>
        <w:t xml:space="preserve"> budget allocations to the health sector in order to improve the quality of public health services and take effective measures again</w:t>
      </w:r>
      <w:r w:rsidRPr="00397A77">
        <w:rPr>
          <w:rFonts w:ascii="Times New Roman" w:eastAsia="Times New Roman" w:hAnsi="Times New Roman" w:cs="Times New Roman"/>
          <w:b/>
        </w:rPr>
        <w:t xml:space="preserve">st corruption in the health sector;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Zero tolerance for corruption has been, and will continue to be, the firm position of the </w:t>
      </w:r>
      <w:proofErr w:type="spellStart"/>
      <w:r w:rsidRPr="00397A77">
        <w:rPr>
          <w:rFonts w:ascii="Times New Roman" w:hAnsi="Times New Roman" w:cs="Times New Roman"/>
        </w:rPr>
        <w:t>MoH</w:t>
      </w:r>
      <w:proofErr w:type="spellEnd"/>
      <w:r w:rsidRPr="00397A77">
        <w:rPr>
          <w:rFonts w:ascii="Times New Roman" w:hAnsi="Times New Roman" w:cs="Times New Roman"/>
        </w:rPr>
        <w:t>, and significant steps have already been taken in this area to strengthen the fight against corruption. The phenomenon of cor</w:t>
      </w:r>
      <w:r w:rsidRPr="00397A77">
        <w:rPr>
          <w:rFonts w:ascii="Times New Roman" w:hAnsi="Times New Roman" w:cs="Times New Roman"/>
        </w:rPr>
        <w:t>ruption in healthcare is complex, as it encompasses various segments of the system, undermines the rule of law, and harms economic development and the modernization of healthcare. To date, no reports of suspected corruption in the healthcare system of Mont</w:t>
      </w:r>
      <w:r w:rsidRPr="00397A77">
        <w:rPr>
          <w:rFonts w:ascii="Times New Roman" w:hAnsi="Times New Roman" w:cs="Times New Roman"/>
        </w:rPr>
        <w:t>enegro have been recorded. Ongoing reform processes aimed at improving healthcare, raising the quality of health services, and preventing informal payments and potential corrupt practices within the healthcare system represent key activities in combating c</w:t>
      </w:r>
      <w:r w:rsidRPr="00397A77">
        <w:rPr>
          <w:rFonts w:ascii="Times New Roman" w:hAnsi="Times New Roman" w:cs="Times New Roman"/>
        </w:rPr>
        <w:t xml:space="preserve">orruption.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The Law on Health Care and the Law on Mandatory Health Insurance have established the normative framework for reform of the health system. The reform is a long and comprehensive process </w:t>
      </w:r>
      <w:r w:rsidR="00BD71E8" w:rsidRPr="00BD71E8">
        <w:rPr>
          <w:rFonts w:ascii="Times New Roman" w:hAnsi="Times New Roman" w:cs="Times New Roman"/>
        </w:rPr>
        <w:t>requiring normative</w:t>
      </w:r>
      <w:r w:rsidRPr="00397A77">
        <w:rPr>
          <w:rFonts w:ascii="Times New Roman" w:hAnsi="Times New Roman" w:cs="Times New Roman"/>
        </w:rPr>
        <w:t>, organizational and technical prerequi</w:t>
      </w:r>
      <w:r w:rsidRPr="00397A77">
        <w:rPr>
          <w:rFonts w:ascii="Times New Roman" w:hAnsi="Times New Roman" w:cs="Times New Roman"/>
        </w:rPr>
        <w:t xml:space="preserve">sites to ensure accessible, quality and efficient healthcare, </w:t>
      </w:r>
      <w:r w:rsidR="00BD71E8" w:rsidRPr="00BD71E8">
        <w:rPr>
          <w:rFonts w:ascii="Times New Roman" w:hAnsi="Times New Roman" w:cs="Times New Roman"/>
        </w:rPr>
        <w:t>with citizens’ needs as the priority</w:t>
      </w:r>
      <w:r w:rsidRPr="00397A77">
        <w:rPr>
          <w:rFonts w:ascii="Times New Roman" w:hAnsi="Times New Roman" w:cs="Times New Roman"/>
        </w:rPr>
        <w:t xml:space="preserve">. Regardless of financing models, and </w:t>
      </w:r>
      <w:proofErr w:type="gramStart"/>
      <w:r w:rsidRPr="00397A77">
        <w:rPr>
          <w:rFonts w:ascii="Times New Roman" w:hAnsi="Times New Roman" w:cs="Times New Roman"/>
        </w:rPr>
        <w:t>taking</w:t>
      </w:r>
      <w:r w:rsidR="00BD71E8">
        <w:rPr>
          <w:rFonts w:ascii="Times New Roman" w:hAnsi="Times New Roman" w:cs="Times New Roman"/>
        </w:rPr>
        <w:t xml:space="preserve"> into account</w:t>
      </w:r>
      <w:proofErr w:type="gramEnd"/>
      <w:r w:rsidR="00BD71E8">
        <w:rPr>
          <w:rFonts w:ascii="Times New Roman" w:hAnsi="Times New Roman" w:cs="Times New Roman"/>
        </w:rPr>
        <w:t xml:space="preserve"> the experience of</w:t>
      </w:r>
      <w:r w:rsidR="00BD71E8" w:rsidRPr="00397A77">
        <w:rPr>
          <w:rFonts w:ascii="Times New Roman" w:hAnsi="Times New Roman" w:cs="Times New Roman"/>
        </w:rPr>
        <w:t xml:space="preserve"> the region</w:t>
      </w:r>
      <w:r w:rsidR="00BD71E8">
        <w:rPr>
          <w:rFonts w:ascii="Times New Roman" w:hAnsi="Times New Roman" w:cs="Times New Roman"/>
        </w:rPr>
        <w:t>al</w:t>
      </w:r>
      <w:r w:rsidR="00BD71E8" w:rsidRPr="00397A77">
        <w:rPr>
          <w:rFonts w:ascii="Times New Roman" w:hAnsi="Times New Roman" w:cs="Times New Roman"/>
        </w:rPr>
        <w:t xml:space="preserve"> </w:t>
      </w:r>
      <w:r w:rsidRPr="00397A77">
        <w:rPr>
          <w:rFonts w:ascii="Times New Roman" w:hAnsi="Times New Roman" w:cs="Times New Roman"/>
        </w:rPr>
        <w:t xml:space="preserve">countries with a similar legal framework, as well as analyses of the </w:t>
      </w:r>
      <w:r w:rsidRPr="00397A77">
        <w:rPr>
          <w:rFonts w:ascii="Times New Roman" w:hAnsi="Times New Roman" w:cs="Times New Roman"/>
        </w:rPr>
        <w:t>roles and relations of the many actors involved in healthcare provision and the service delivery process itself, measures have been identified that should primarily strengthen the weak points of the system and reduce the space for corruption. The complexit</w:t>
      </w:r>
      <w:r w:rsidRPr="00397A77">
        <w:rPr>
          <w:rFonts w:ascii="Times New Roman" w:hAnsi="Times New Roman" w:cs="Times New Roman"/>
        </w:rPr>
        <w:t>y of the problem requires a range of measures, one of the priorities being the strengthening of the legal and institutional framework through the adoption of laws, by-laws, and amendments to existing legislation. In parts of the system where subjectivity f</w:t>
      </w:r>
      <w:r w:rsidRPr="00397A77">
        <w:rPr>
          <w:rFonts w:ascii="Times New Roman" w:hAnsi="Times New Roman" w:cs="Times New Roman"/>
        </w:rPr>
        <w:t>orms part of core responsibility, strong control mechanisms need to be introduced to minimize the possibility of corruption, while in areas where objective criteria can be established, the legal framework will be further supplemented. An important prerequi</w:t>
      </w:r>
      <w:r w:rsidRPr="00397A77">
        <w:rPr>
          <w:rFonts w:ascii="Times New Roman" w:hAnsi="Times New Roman" w:cs="Times New Roman"/>
        </w:rPr>
        <w:t>site for combating corruption is the consistent observance of regulations, their full implementation and effective oversight of their application, which will be a priority in the coming period. A special contribution to the fight against corruption is expe</w:t>
      </w:r>
      <w:r w:rsidRPr="00397A77">
        <w:rPr>
          <w:rFonts w:ascii="Times New Roman" w:hAnsi="Times New Roman" w:cs="Times New Roman"/>
        </w:rPr>
        <w:t xml:space="preserve">cted from the introduction of an information </w:t>
      </w:r>
      <w:r w:rsidRPr="00397A77">
        <w:rPr>
          <w:rFonts w:ascii="Times New Roman" w:hAnsi="Times New Roman" w:cs="Times New Roman"/>
        </w:rPr>
        <w:lastRenderedPageBreak/>
        <w:t>system at all levels, ensuring transparency in every segment of healthcare service delivery, particularly through improved oversight of waiting lists for medical procedures. To identify and address potential cor</w:t>
      </w:r>
      <w:r w:rsidRPr="00397A77">
        <w:rPr>
          <w:rFonts w:ascii="Times New Roman" w:hAnsi="Times New Roman" w:cs="Times New Roman"/>
        </w:rPr>
        <w:t xml:space="preserve">ruption risks and strengthen public trust in the system, the </w:t>
      </w:r>
      <w:proofErr w:type="spellStart"/>
      <w:r w:rsidRPr="00397A77">
        <w:rPr>
          <w:rFonts w:ascii="Times New Roman" w:hAnsi="Times New Roman" w:cs="Times New Roman"/>
        </w:rPr>
        <w:t>MoH</w:t>
      </w:r>
      <w:proofErr w:type="spellEnd"/>
      <w:r w:rsidRPr="00397A77">
        <w:rPr>
          <w:rFonts w:ascii="Times New Roman" w:hAnsi="Times New Roman" w:cs="Times New Roman"/>
        </w:rPr>
        <w:t xml:space="preserve"> will analyze annual public procurement reports, including procurement of expensive medical equipment, medicines, major </w:t>
      </w:r>
      <w:r w:rsidR="00BD71E8" w:rsidRPr="00BD71E8">
        <w:rPr>
          <w:rFonts w:ascii="Times New Roman" w:hAnsi="Times New Roman" w:cs="Times New Roman"/>
        </w:rPr>
        <w:t>healthcare infrastructure investments</w:t>
      </w:r>
      <w:r w:rsidRPr="00397A77">
        <w:rPr>
          <w:rFonts w:ascii="Times New Roman" w:hAnsi="Times New Roman" w:cs="Times New Roman"/>
        </w:rPr>
        <w:t xml:space="preserve">, </w:t>
      </w:r>
      <w:r w:rsidR="00BD71E8">
        <w:rPr>
          <w:rFonts w:ascii="Times New Roman" w:hAnsi="Times New Roman" w:cs="Times New Roman"/>
        </w:rPr>
        <w:t xml:space="preserve">and </w:t>
      </w:r>
      <w:r w:rsidRPr="00397A77">
        <w:rPr>
          <w:rFonts w:ascii="Times New Roman" w:hAnsi="Times New Roman" w:cs="Times New Roman"/>
        </w:rPr>
        <w:t>lower-value procurements.</w:t>
      </w:r>
      <w:r w:rsidR="00BD71E8">
        <w:rPr>
          <w:rFonts w:ascii="Times New Roman" w:hAnsi="Times New Roman" w:cs="Times New Roman"/>
        </w:rPr>
        <w:t xml:space="preserve"> </w:t>
      </w:r>
    </w:p>
    <w:p w:rsidR="00517E74" w:rsidRPr="00397A77" w:rsidRDefault="00DD6520" w:rsidP="00517E74">
      <w:pPr>
        <w:spacing w:after="0" w:line="360" w:lineRule="auto"/>
        <w:contextualSpacing/>
        <w:jc w:val="both"/>
        <w:rPr>
          <w:rFonts w:ascii="Times New Roman" w:hAnsi="Times New Roman" w:cs="Times New Roman"/>
        </w:rPr>
      </w:pPr>
      <w:proofErr w:type="gramStart"/>
      <w:r w:rsidRPr="00397A77">
        <w:rPr>
          <w:rFonts w:ascii="Times New Roman" w:eastAsia="Times New Roman" w:hAnsi="Times New Roman" w:cs="Times New Roman"/>
          <w:b/>
        </w:rPr>
        <w:t>b)</w:t>
      </w:r>
      <w:r w:rsidRPr="00397A77">
        <w:rPr>
          <w:rFonts w:ascii="Times New Roman" w:eastAsia="Times New Roman" w:hAnsi="Times New Roman" w:cs="Times New Roman"/>
          <w:b/>
        </w:rPr>
        <w:t>Ensure</w:t>
      </w:r>
      <w:proofErr w:type="gramEnd"/>
      <w:r w:rsidRPr="00397A77">
        <w:rPr>
          <w:rFonts w:ascii="Times New Roman" w:eastAsia="Times New Roman" w:hAnsi="Times New Roman" w:cs="Times New Roman"/>
          <w:b/>
        </w:rPr>
        <w:t xml:space="preserve"> that all persons have access to health services, including by ensuring that those without regulated legal status possess the necessary documents;</w:t>
      </w:r>
      <w:r w:rsidR="00BD71E8">
        <w:rPr>
          <w:rFonts w:ascii="Times New Roman" w:eastAsia="Times New Roman" w:hAnsi="Times New Roman" w:cs="Times New Roman"/>
          <w:b/>
        </w:rPr>
        <w:t xml:space="preserve">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With regard to access to health services, all citizens in the territory of Montenegro who require </w:t>
      </w:r>
      <w:r w:rsidRPr="00397A77">
        <w:rPr>
          <w:rFonts w:ascii="Times New Roman" w:eastAsia="Times New Roman" w:hAnsi="Times New Roman" w:cs="Times New Roman"/>
        </w:rPr>
        <w:t xml:space="preserve">medical care have equal access to health services. The healthcare network in Montenegro includes 18 Health Centers, 5 General Hospitals, 2 Clinical-Hospital Centers, two institutes, 3 Special Hospitals, the Clinical Centre of Montenegro, and the Institute </w:t>
      </w:r>
      <w:r w:rsidRPr="00397A77">
        <w:rPr>
          <w:rFonts w:ascii="Times New Roman" w:eastAsia="Times New Roman" w:hAnsi="Times New Roman" w:cs="Times New Roman"/>
        </w:rPr>
        <w:t>of Public Health. The Ministry has received several requests from persons without regulated legal status (and therefore without health insurance or access to healthcare) seeking medical treatment. These concerned emergency cases that were immediately addre</w:t>
      </w:r>
      <w:r w:rsidRPr="00397A77">
        <w:rPr>
          <w:rFonts w:ascii="Times New Roman" w:eastAsia="Times New Roman" w:hAnsi="Times New Roman" w:cs="Times New Roman"/>
        </w:rPr>
        <w:t>ssed (the need for mechanical ventilation, ruptured appendix, etc.</w:t>
      </w:r>
      <w:r w:rsidRPr="00397A77">
        <w:rPr>
          <w:rFonts w:ascii="Times New Roman" w:eastAsiaTheme="minorHAnsi" w:hAnsi="Times New Roman" w:cs="Times New Roman"/>
        </w:rPr>
        <w:t>).</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b/>
        </w:rPr>
        <w:t xml:space="preserve">c)Increase the availability of adequate alternatives to psychiatric institutions and ensure that persons who do not require further treatment are placed in more suitable accommodation.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A</w:t>
      </w:r>
      <w:r w:rsidRPr="00397A77">
        <w:rPr>
          <w:rFonts w:ascii="Times New Roman" w:hAnsi="Times New Roman" w:cs="Times New Roman"/>
        </w:rPr>
        <w:t>t the Special Psychiatric Hospital “</w:t>
      </w:r>
      <w:proofErr w:type="spellStart"/>
      <w:r w:rsidRPr="00397A77">
        <w:rPr>
          <w:rFonts w:ascii="Times New Roman" w:hAnsi="Times New Roman" w:cs="Times New Roman"/>
        </w:rPr>
        <w:t>Dobrota</w:t>
      </w:r>
      <w:proofErr w:type="spellEnd"/>
      <w:r w:rsidRPr="00397A77">
        <w:rPr>
          <w:rFonts w:ascii="Times New Roman" w:hAnsi="Times New Roman" w:cs="Times New Roman"/>
        </w:rPr>
        <w:t>,” various categories of patients are cared for, including those with temporary or long-term mental disorders, individuals with psychoactive substance dependencies, forensic patients, and chronic patients who do n</w:t>
      </w:r>
      <w:r w:rsidRPr="00397A77">
        <w:rPr>
          <w:rFonts w:ascii="Times New Roman" w:hAnsi="Times New Roman" w:cs="Times New Roman"/>
        </w:rPr>
        <w:t xml:space="preserve">ot meet strict medical criteria for hospital treatment but lack adequate social protection or housing outside the hospital.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construction of the Special Forensic Psychiatric Hospital within the Administration for the Execution of Criminal. Sanctions in</w:t>
      </w:r>
      <w:r w:rsidRPr="00397A77">
        <w:rPr>
          <w:rFonts w:ascii="Times New Roman" w:hAnsi="Times New Roman" w:cs="Times New Roman"/>
        </w:rPr>
        <w:t xml:space="preserve"> </w:t>
      </w:r>
      <w:proofErr w:type="spellStart"/>
      <w:r w:rsidRPr="00397A77">
        <w:rPr>
          <w:rFonts w:ascii="Times New Roman" w:hAnsi="Times New Roman" w:cs="Times New Roman"/>
        </w:rPr>
        <w:t>Spuž</w:t>
      </w:r>
      <w:proofErr w:type="spellEnd"/>
      <w:r w:rsidRPr="00397A77">
        <w:rPr>
          <w:rFonts w:ascii="Times New Roman" w:hAnsi="Times New Roman" w:cs="Times New Roman"/>
        </w:rPr>
        <w:t xml:space="preserve"> is currently underway, with completion expected by the end of 2025. The establishment of this hospital will lead to a significant reorganization of accommodation and treatment for forensic patients in Montenegro. Consequently, the SPH “</w:t>
      </w:r>
      <w:proofErr w:type="spellStart"/>
      <w:r w:rsidRPr="00397A77">
        <w:rPr>
          <w:rFonts w:ascii="Times New Roman" w:hAnsi="Times New Roman" w:cs="Times New Roman"/>
        </w:rPr>
        <w:t>Dobrota</w:t>
      </w:r>
      <w:proofErr w:type="spellEnd"/>
      <w:r w:rsidRPr="00397A77">
        <w:rPr>
          <w:rFonts w:ascii="Times New Roman" w:hAnsi="Times New Roman" w:cs="Times New Roman"/>
        </w:rPr>
        <w:t xml:space="preserve">” will </w:t>
      </w:r>
      <w:r w:rsidRPr="00397A77">
        <w:rPr>
          <w:rFonts w:ascii="Times New Roman" w:hAnsi="Times New Roman" w:cs="Times New Roman"/>
        </w:rPr>
        <w:t xml:space="preserve">be relieved of a substantial number of beds and the staffing burden currently dedicated to forensic patients. This will, among other things, allow </w:t>
      </w:r>
      <w:proofErr w:type="spellStart"/>
      <w:r w:rsidRPr="00397A77">
        <w:rPr>
          <w:rFonts w:ascii="Times New Roman" w:hAnsi="Times New Roman" w:cs="Times New Roman"/>
        </w:rPr>
        <w:t>Dobrota</w:t>
      </w:r>
      <w:proofErr w:type="spellEnd"/>
      <w:r w:rsidRPr="00397A77">
        <w:rPr>
          <w:rFonts w:ascii="Times New Roman" w:hAnsi="Times New Roman" w:cs="Times New Roman"/>
        </w:rPr>
        <w:t xml:space="preserve"> to focus on hospitalized patients, while forensic patients will be referred for psychiatric treatment</w:t>
      </w:r>
      <w:r w:rsidRPr="00397A77">
        <w:rPr>
          <w:rFonts w:ascii="Times New Roman" w:hAnsi="Times New Roman" w:cs="Times New Roman"/>
        </w:rPr>
        <w:t xml:space="preserve"> to the new hospital in </w:t>
      </w:r>
      <w:proofErr w:type="spellStart"/>
      <w:r w:rsidRPr="00397A77">
        <w:rPr>
          <w:rFonts w:ascii="Times New Roman" w:hAnsi="Times New Roman" w:cs="Times New Roman"/>
        </w:rPr>
        <w:t>Spuž</w:t>
      </w:r>
      <w:proofErr w:type="spellEnd"/>
      <w:r w:rsidRPr="00397A77">
        <w:rPr>
          <w:rFonts w:ascii="Times New Roman" w:hAnsi="Times New Roman" w:cs="Times New Roman"/>
        </w:rPr>
        <w:t xml:space="preserve">, which will operate under the supervision of the UIKS and with security measures appropriate to this type of facility.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new Psychiatry Clinic at the Clinical Centre was built in September 2024 in accordance with the most ad</w:t>
      </w:r>
      <w:r w:rsidRPr="00397A77">
        <w:rPr>
          <w:rFonts w:ascii="Times New Roman" w:hAnsi="Times New Roman" w:cs="Times New Roman"/>
        </w:rPr>
        <w:t>vanced medical standards, thereby creating the conditions for the necessary facilities for the treatment of patients with mental health problems. The Clinic represents a turning point in the State’s care for patients, and in improving the working condition</w:t>
      </w:r>
      <w:r w:rsidRPr="00397A77">
        <w:rPr>
          <w:rFonts w:ascii="Times New Roman" w:hAnsi="Times New Roman" w:cs="Times New Roman"/>
        </w:rPr>
        <w:t>s of doctors and medical staff. Within the new clinic, there is also a Department of Child and Adolescent Psychiatry.</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lastRenderedPageBreak/>
        <w:t>Mental Health Centers within primary health care centers play a key role in providing basic and preventive services, as well as facilitati</w:t>
      </w:r>
      <w:r w:rsidRPr="00397A77">
        <w:rPr>
          <w:rFonts w:ascii="Times New Roman" w:hAnsi="Times New Roman" w:cs="Times New Roman"/>
        </w:rPr>
        <w:t>ng access to therapy for persons facing mental health problems. Their role can be assessed at several levels: connection with the community, recognition of early intervention needs, provision of support and counselling, and referral to specialists.</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rPr>
        <w:t xml:space="preserve">The </w:t>
      </w:r>
      <w:r w:rsidRPr="00397A77">
        <w:rPr>
          <w:rFonts w:ascii="Times New Roman" w:hAnsi="Times New Roman" w:cs="Times New Roman"/>
        </w:rPr>
        <w:t>issue of so-called “chronic patients” requires coordinated action by several services in society and the harmonization of the work of health and social services. Continuous efforts are being made to find an adequate solution that could be applied in our so</w:t>
      </w:r>
      <w:r w:rsidRPr="00397A77">
        <w:rPr>
          <w:rFonts w:ascii="Times New Roman" w:hAnsi="Times New Roman" w:cs="Times New Roman"/>
        </w:rPr>
        <w:t>ciety</w:t>
      </w:r>
      <w:r w:rsidRPr="00397A77">
        <w:rPr>
          <w:rFonts w:ascii="Times New Roman" w:hAnsi="Times New Roman" w:cs="Times New Roman"/>
          <w:bCs/>
        </w:rPr>
        <w:t>.</w:t>
      </w:r>
    </w:p>
    <w:p w:rsidR="00517E74" w:rsidRPr="00397A77" w:rsidRDefault="00DD6520" w:rsidP="00517E74">
      <w:pPr>
        <w:spacing w:after="0" w:line="360" w:lineRule="auto"/>
        <w:contextualSpacing/>
        <w:rPr>
          <w:rFonts w:ascii="Times New Roman" w:eastAsia="Times New Roman" w:hAnsi="Times New Roman" w:cs="Times New Roman"/>
          <w:b/>
        </w:rPr>
      </w:pPr>
      <w:r w:rsidRPr="00397A77">
        <w:rPr>
          <w:rFonts w:ascii="Times New Roman" w:eastAsia="Times New Roman" w:hAnsi="Times New Roman" w:cs="Times New Roman"/>
          <w:b/>
        </w:rPr>
        <w:t xml:space="preserve">24.Sexual and reproductive health </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rPr>
        <w:t>The Committee is concerned about the disproportionate ratio of male to female births, which may indicate the practice of sex-selective abortion based on discrimination against women. The Committee welcomes the info</w:t>
      </w:r>
      <w:r w:rsidRPr="00397A77">
        <w:rPr>
          <w:rFonts w:ascii="Times New Roman" w:eastAsia="Times New Roman" w:hAnsi="Times New Roman" w:cs="Times New Roman"/>
        </w:rPr>
        <w:t>rmation provided by the State party that sexual and reproductive health is a compulsory subject in primary, secondary and vocational schools, and expresses concern about the lack of available information on measures taken to increase access to contraceptio</w:t>
      </w:r>
      <w:r w:rsidRPr="00397A77">
        <w:rPr>
          <w:rFonts w:ascii="Times New Roman" w:eastAsia="Times New Roman" w:hAnsi="Times New Roman" w:cs="Times New Roman"/>
        </w:rPr>
        <w:t>n and to reproductive health services and information, particularly for marginalized communities (articles 3 and 12).</w:t>
      </w:r>
    </w:p>
    <w:p w:rsidR="00517E74" w:rsidRPr="00397A77" w:rsidRDefault="00DD6520" w:rsidP="00517E74">
      <w:pPr>
        <w:spacing w:after="0" w:line="360" w:lineRule="auto"/>
        <w:contextualSpacing/>
        <w:rPr>
          <w:rFonts w:ascii="Times New Roman" w:eastAsia="Times New Roman" w:hAnsi="Times New Roman" w:cs="Times New Roman"/>
          <w:b/>
        </w:rPr>
      </w:pPr>
      <w:r w:rsidRPr="00397A77">
        <w:rPr>
          <w:rFonts w:ascii="Times New Roman" w:eastAsia="Times New Roman" w:hAnsi="Times New Roman" w:cs="Times New Roman"/>
          <w:b/>
        </w:rPr>
        <w:t xml:space="preserve">The Committee recommends that States parties: </w:t>
      </w: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a)Conduct</w:t>
      </w:r>
      <w:proofErr w:type="gramEnd"/>
      <w:r w:rsidRPr="00397A77">
        <w:rPr>
          <w:rFonts w:ascii="Times New Roman" w:eastAsia="Times New Roman" w:hAnsi="Times New Roman" w:cs="Times New Roman"/>
          <w:b/>
        </w:rPr>
        <w:t xml:space="preserve"> a comprehensive study on the prevalence of sex-selective abortion and take approp</w:t>
      </w:r>
      <w:r w:rsidRPr="00397A77">
        <w:rPr>
          <w:rFonts w:ascii="Times New Roman" w:eastAsia="Times New Roman" w:hAnsi="Times New Roman" w:cs="Times New Roman"/>
          <w:b/>
        </w:rPr>
        <w:t xml:space="preserve">riate measures to address the practice and social norms that favor a preference for male children, with the aim of eliminating such practices.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 xml:space="preserve">The legal framework of the </w:t>
      </w:r>
      <w:proofErr w:type="spellStart"/>
      <w:r w:rsidRPr="00397A77">
        <w:rPr>
          <w:rFonts w:ascii="Times New Roman" w:eastAsia="Times New Roman" w:hAnsi="Times New Roman" w:cs="Times New Roman"/>
        </w:rPr>
        <w:t>MoH</w:t>
      </w:r>
      <w:proofErr w:type="spellEnd"/>
      <w:r w:rsidRPr="00397A77">
        <w:rPr>
          <w:rFonts w:ascii="Times New Roman" w:eastAsia="Times New Roman" w:hAnsi="Times New Roman" w:cs="Times New Roman"/>
        </w:rPr>
        <w:t xml:space="preserve"> regulates the conditions and procedures for abortion and prohibits termination of</w:t>
      </w:r>
      <w:r w:rsidRPr="00397A77">
        <w:rPr>
          <w:rFonts w:ascii="Times New Roman" w:eastAsia="Times New Roman" w:hAnsi="Times New Roman" w:cs="Times New Roman"/>
        </w:rPr>
        <w:t xml:space="preserve"> pregnancy based on sex selection. The use of early genetic tests (up to 10 weeks) for determining sex is also prohibited, except when there are risks of hereditary diseases indicated exclusively by a clinical geneticist. Non-compliance with this law is su</w:t>
      </w:r>
      <w:r w:rsidRPr="00397A77">
        <w:rPr>
          <w:rFonts w:ascii="Times New Roman" w:eastAsia="Times New Roman" w:hAnsi="Times New Roman" w:cs="Times New Roman"/>
        </w:rPr>
        <w:t xml:space="preserve">bject to a financial penalty. Nevertheless, the availability of prenatal tests allows early determination of the child’s sex, leaving the possibility for misuse of modern medical advances.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The Institute of Public Health collects and processes data on term</w:t>
      </w:r>
      <w:r w:rsidRPr="00397A77">
        <w:rPr>
          <w:rFonts w:ascii="Times New Roman" w:eastAsia="Times New Roman" w:hAnsi="Times New Roman" w:cs="Times New Roman"/>
        </w:rPr>
        <w:t xml:space="preserve">inations of pregnancy, which health institutions submit through prescribed reports. Records of terminations by type are maintained according to the ICD-10 classification. To date, no sex-selective abortions have been reported in Montenegro, although there </w:t>
      </w:r>
      <w:r w:rsidRPr="00397A77">
        <w:rPr>
          <w:rFonts w:ascii="Times New Roman" w:eastAsia="Times New Roman" w:hAnsi="Times New Roman" w:cs="Times New Roman"/>
        </w:rPr>
        <w:t>are indications that they may be performed abroad. The Institute continuously implements activities promoting healthy families and the importance of maintaining reproductive health, particularly among young people, who are the foundation of natural populat</w:t>
      </w:r>
      <w:r w:rsidRPr="00397A77">
        <w:rPr>
          <w:rFonts w:ascii="Times New Roman" w:eastAsia="Times New Roman" w:hAnsi="Times New Roman" w:cs="Times New Roman"/>
        </w:rPr>
        <w:t>ion renewal. Within health-education activities in schools, workshops are organized for primary and secondary school students to raise awareness of the importance of sexual and reproductive health, general and specific preventive measures, and to encourage</w:t>
      </w:r>
      <w:r w:rsidRPr="00397A77">
        <w:rPr>
          <w:rFonts w:ascii="Times New Roman" w:eastAsia="Times New Roman" w:hAnsi="Times New Roman" w:cs="Times New Roman"/>
        </w:rPr>
        <w:t xml:space="preserve"> responsible health behaviors, especially during youth, when risks are significantly higher than at any other stage of life. The elective subject Healthy Lifestyles in Montenegrin secondary schools </w:t>
      </w:r>
      <w:r w:rsidRPr="00397A77">
        <w:rPr>
          <w:rFonts w:ascii="Times New Roman" w:eastAsia="Times New Roman" w:hAnsi="Times New Roman" w:cs="Times New Roman"/>
        </w:rPr>
        <w:lastRenderedPageBreak/>
        <w:t>provides reliable information on reproductive and sexual h</w:t>
      </w:r>
      <w:r w:rsidRPr="00397A77">
        <w:rPr>
          <w:rFonts w:ascii="Times New Roman" w:eastAsia="Times New Roman" w:hAnsi="Times New Roman" w:cs="Times New Roman"/>
        </w:rPr>
        <w:t xml:space="preserve">ealth and available health services. It empowers students to make responsible decisions about their health. Since this subject is elective, not all secondary school students receive information on this topic. Therefore, it is recommended that this subject </w:t>
      </w:r>
      <w:r w:rsidRPr="00397A77">
        <w:rPr>
          <w:rFonts w:ascii="Times New Roman" w:eastAsia="Times New Roman" w:hAnsi="Times New Roman" w:cs="Times New Roman"/>
        </w:rPr>
        <w:t>be integrated into the regular curriculum in educational institutions</w:t>
      </w:r>
      <w:r w:rsidRPr="00397A77">
        <w:rPr>
          <w:rFonts w:ascii="Times New Roman" w:hAnsi="Times New Roman" w:cs="Times New Roman"/>
          <w:bCs/>
        </w:rPr>
        <w:t xml:space="preserve">.  </w:t>
      </w:r>
    </w:p>
    <w:p w:rsidR="00517E74" w:rsidRPr="00397A77" w:rsidRDefault="00DD6520" w:rsidP="00517E74">
      <w:pPr>
        <w:spacing w:after="0" w:line="360" w:lineRule="auto"/>
        <w:contextualSpacing/>
        <w:jc w:val="both"/>
        <w:rPr>
          <w:rFonts w:ascii="Times New Roman" w:hAnsi="Times New Roman" w:cs="Times New Roman"/>
          <w:bCs/>
        </w:rPr>
      </w:pPr>
      <w:proofErr w:type="gramStart"/>
      <w:r w:rsidRPr="00397A77">
        <w:rPr>
          <w:rFonts w:ascii="Times New Roman" w:eastAsia="Times New Roman" w:hAnsi="Times New Roman" w:cs="Times New Roman"/>
          <w:b/>
        </w:rPr>
        <w:t>b)Ensure</w:t>
      </w:r>
      <w:proofErr w:type="gramEnd"/>
      <w:r w:rsidRPr="00397A77">
        <w:rPr>
          <w:rFonts w:ascii="Times New Roman" w:eastAsia="Times New Roman" w:hAnsi="Times New Roman" w:cs="Times New Roman"/>
          <w:b/>
        </w:rPr>
        <w:t xml:space="preserve"> that contraceptive methods are widely available and more accessible to all women and men of reproductive age, including adolescents; </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hAnsi="Times New Roman" w:cs="Times New Roman"/>
        </w:rPr>
        <w:t xml:space="preserve">In Montenegro, Youth Counseling Centers </w:t>
      </w:r>
      <w:r w:rsidRPr="00397A77">
        <w:rPr>
          <w:rFonts w:ascii="Times New Roman" w:hAnsi="Times New Roman" w:cs="Times New Roman"/>
        </w:rPr>
        <w:t xml:space="preserve">operate within certain Health Centers, providing education on reproductive health. The healthcare system does not provide free contraceptives; however, such products are available in all pharmacies at market prices. </w:t>
      </w:r>
    </w:p>
    <w:p w:rsidR="00517E74" w:rsidRPr="00397A77" w:rsidRDefault="00DD6520" w:rsidP="00517E74">
      <w:pPr>
        <w:spacing w:after="0" w:line="360" w:lineRule="auto"/>
        <w:contextualSpacing/>
        <w:jc w:val="both"/>
        <w:rPr>
          <w:rFonts w:ascii="Times New Roman" w:hAnsi="Times New Roman" w:cs="Times New Roman"/>
          <w:bCs/>
        </w:rPr>
      </w:pPr>
      <w:r w:rsidRPr="00397A77">
        <w:rPr>
          <w:rFonts w:ascii="Times New Roman" w:eastAsia="Times New Roman" w:hAnsi="Times New Roman" w:cs="Times New Roman"/>
          <w:b/>
        </w:rPr>
        <w:t>c)Ensure that individuals from marginal</w:t>
      </w:r>
      <w:r w:rsidRPr="00397A77">
        <w:rPr>
          <w:rFonts w:ascii="Times New Roman" w:eastAsia="Times New Roman" w:hAnsi="Times New Roman" w:cs="Times New Roman"/>
          <w:b/>
        </w:rPr>
        <w:t xml:space="preserve">ized groups, including refugees and displaced PWDs, have access to education and information on sexual and reproductive health and rights, which are comprehensive and age-appropriate.  </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Regarding Roma women and girls, of the 18 Health Centers providing pri</w:t>
      </w:r>
      <w:r w:rsidRPr="00397A77">
        <w:rPr>
          <w:rFonts w:ascii="Times New Roman" w:eastAsia="Times New Roman" w:hAnsi="Times New Roman" w:cs="Times New Roman"/>
        </w:rPr>
        <w:t xml:space="preserve">mary care, workshops and lectures on reproductive health, contraception, and abortion in 2024 were conducted at: </w:t>
      </w:r>
      <w:proofErr w:type="spellStart"/>
      <w:r w:rsidRPr="00397A77">
        <w:rPr>
          <w:rFonts w:ascii="Times New Roman" w:eastAsia="Times New Roman" w:hAnsi="Times New Roman" w:cs="Times New Roman"/>
        </w:rPr>
        <w:t>Tivat</w:t>
      </w:r>
      <w:proofErr w:type="spellEnd"/>
      <w:r w:rsidRPr="00397A77">
        <w:rPr>
          <w:rFonts w:ascii="Times New Roman" w:eastAsia="Times New Roman" w:hAnsi="Times New Roman" w:cs="Times New Roman"/>
        </w:rPr>
        <w:t xml:space="preserve"> HC (8 workshops), </w:t>
      </w:r>
      <w:proofErr w:type="spellStart"/>
      <w:r w:rsidRPr="00397A77">
        <w:rPr>
          <w:rFonts w:ascii="Times New Roman" w:eastAsia="Times New Roman" w:hAnsi="Times New Roman" w:cs="Times New Roman"/>
        </w:rPr>
        <w:t>Mojkovac</w:t>
      </w:r>
      <w:proofErr w:type="spellEnd"/>
      <w:r w:rsidRPr="00397A77">
        <w:rPr>
          <w:rFonts w:ascii="Times New Roman" w:eastAsia="Times New Roman" w:hAnsi="Times New Roman" w:cs="Times New Roman"/>
        </w:rPr>
        <w:t xml:space="preserve"> HC (several lectures within the Counseling Center), and </w:t>
      </w:r>
      <w:proofErr w:type="spellStart"/>
      <w:r w:rsidRPr="00397A77">
        <w:rPr>
          <w:rFonts w:ascii="Times New Roman" w:eastAsia="Times New Roman" w:hAnsi="Times New Roman" w:cs="Times New Roman"/>
        </w:rPr>
        <w:t>Bijelo</w:t>
      </w:r>
      <w:proofErr w:type="spellEnd"/>
      <w:r w:rsidRPr="00397A77">
        <w:rPr>
          <w:rFonts w:ascii="Times New Roman" w:eastAsia="Times New Roman" w:hAnsi="Times New Roman" w:cs="Times New Roman"/>
        </w:rPr>
        <w:t xml:space="preserve"> Polje HC. Additionally, a mobile team visited R</w:t>
      </w:r>
      <w:r w:rsidRPr="00397A77">
        <w:rPr>
          <w:rFonts w:ascii="Times New Roman" w:eastAsia="Times New Roman" w:hAnsi="Times New Roman" w:cs="Times New Roman"/>
        </w:rPr>
        <w:t xml:space="preserve">oma settlements in </w:t>
      </w:r>
      <w:proofErr w:type="spellStart"/>
      <w:r w:rsidRPr="00397A77">
        <w:rPr>
          <w:rFonts w:ascii="Times New Roman" w:eastAsia="Times New Roman" w:hAnsi="Times New Roman" w:cs="Times New Roman"/>
        </w:rPr>
        <w:t>Bijelo</w:t>
      </w:r>
      <w:proofErr w:type="spellEnd"/>
      <w:r w:rsidRPr="00397A77">
        <w:rPr>
          <w:rFonts w:ascii="Times New Roman" w:eastAsia="Times New Roman" w:hAnsi="Times New Roman" w:cs="Times New Roman"/>
        </w:rPr>
        <w:t xml:space="preserve"> Polje (gynecologist, adult physician, pediatrician), providing preventive check-ups and lectures on improving quality of life, healthcare, and reproductive health for Roma women and men. Illegal female </w:t>
      </w:r>
      <w:proofErr w:type="gramStart"/>
      <w:r w:rsidRPr="00397A77">
        <w:rPr>
          <w:rFonts w:ascii="Times New Roman" w:eastAsia="Times New Roman" w:hAnsi="Times New Roman" w:cs="Times New Roman"/>
        </w:rPr>
        <w:t>migrants</w:t>
      </w:r>
      <w:proofErr w:type="gramEnd"/>
      <w:r w:rsidRPr="00397A77">
        <w:rPr>
          <w:rFonts w:ascii="Times New Roman" w:eastAsia="Times New Roman" w:hAnsi="Times New Roman" w:cs="Times New Roman"/>
        </w:rPr>
        <w:t xml:space="preserve"> asylum seekers have</w:t>
      </w:r>
      <w:r w:rsidRPr="00397A77">
        <w:rPr>
          <w:rFonts w:ascii="Times New Roman" w:eastAsia="Times New Roman" w:hAnsi="Times New Roman" w:cs="Times New Roman"/>
        </w:rPr>
        <w:t xml:space="preserve"> access only to emergency medical care. For women with disabilities in 2024, specialized gynecological chairs were procured in 9 Health Centers and at the Clinical Center, compared to only one in 2023.</w:t>
      </w:r>
      <w:bookmarkStart w:id="3" w:name="_Hlk221880275"/>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t xml:space="preserve">25.Right to Education </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rPr>
        <w:t>The Committee regrets the lack</w:t>
      </w:r>
      <w:r w:rsidRPr="00397A77">
        <w:rPr>
          <w:rFonts w:ascii="Times New Roman" w:eastAsia="Times New Roman" w:hAnsi="Times New Roman" w:cs="Times New Roman"/>
        </w:rPr>
        <w:t xml:space="preserve"> of disaggregated data on school enrollment and dropout rates across different levels of education. It is concerned by reports of low school enrollment, high dropout rates, and poor educational outcomes among children of RE origin, as well as the insuffici</w:t>
      </w:r>
      <w:r w:rsidRPr="00397A77">
        <w:rPr>
          <w:rFonts w:ascii="Times New Roman" w:eastAsia="Times New Roman" w:hAnsi="Times New Roman" w:cs="Times New Roman"/>
        </w:rPr>
        <w:t>ent enrollment of children with disabilities in mainstream schools (Articles 13 and 14).</w:t>
      </w:r>
    </w:p>
    <w:p w:rsidR="00517E74" w:rsidRPr="00397A77" w:rsidRDefault="00DD6520" w:rsidP="00517E74">
      <w:pPr>
        <w:spacing w:after="0" w:line="360" w:lineRule="auto"/>
        <w:contextualSpacing/>
        <w:rPr>
          <w:rFonts w:ascii="Times New Roman" w:eastAsia="Times New Roman" w:hAnsi="Times New Roman" w:cs="Times New Roman"/>
          <w:b/>
        </w:rPr>
      </w:pPr>
      <w:r w:rsidRPr="00397A77">
        <w:rPr>
          <w:rFonts w:ascii="Times New Roman" w:eastAsia="Times New Roman" w:hAnsi="Times New Roman" w:cs="Times New Roman"/>
          <w:b/>
        </w:rPr>
        <w:t>The Committee recommends that States Parties:</w:t>
      </w: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a)Collect</w:t>
      </w:r>
      <w:proofErr w:type="gramEnd"/>
      <w:r w:rsidRPr="00397A77">
        <w:rPr>
          <w:rFonts w:ascii="Times New Roman" w:eastAsia="Times New Roman" w:hAnsi="Times New Roman" w:cs="Times New Roman"/>
          <w:b/>
        </w:rPr>
        <w:t xml:space="preserve"> sorted data on school enrollment and dropout rates at all levels of education, including data on children with </w:t>
      </w:r>
      <w:r w:rsidRPr="00397A77">
        <w:rPr>
          <w:rFonts w:ascii="Times New Roman" w:eastAsia="Times New Roman" w:hAnsi="Times New Roman" w:cs="Times New Roman"/>
          <w:b/>
        </w:rPr>
        <w:t>disabilities, asylum seekers, refugees, and displaced persons, classified by sex, nationality, or ethnic origin; identify barriers to access and continue education, and develop appropriate strategies;</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hAnsi="Times New Roman" w:cs="Times New Roman"/>
        </w:rPr>
        <w:t>The Ministry has an information system for data collect</w:t>
      </w:r>
      <w:r w:rsidRPr="00397A77">
        <w:rPr>
          <w:rFonts w:ascii="Times New Roman" w:hAnsi="Times New Roman" w:cs="Times New Roman"/>
        </w:rPr>
        <w:t>ion (MAIS). During enrollment, schools are required to enter data and send it to the Ministry, with the information transmitted directly into the MAIS system, disaggregated by city, institution, sex, grade, etc. Currently, the Education Reform Strategy 202</w:t>
      </w:r>
      <w:r w:rsidRPr="00397A77">
        <w:rPr>
          <w:rFonts w:ascii="Times New Roman" w:hAnsi="Times New Roman" w:cs="Times New Roman"/>
        </w:rPr>
        <w:t>5-</w:t>
      </w:r>
      <w:r w:rsidRPr="00397A77">
        <w:rPr>
          <w:rFonts w:ascii="Times New Roman" w:hAnsi="Times New Roman" w:cs="Times New Roman"/>
        </w:rPr>
        <w:lastRenderedPageBreak/>
        <w:t>2035 is in force, covering all education levels, including inclusive education. A tabular overview of children with orientation decisions and foreign children enrolled in the education system is provided in Annex 2</w:t>
      </w:r>
      <w:r w:rsidRPr="00397A77">
        <w:rPr>
          <w:rFonts w:ascii="Times New Roman" w:eastAsia="Times New Roman" w:hAnsi="Times New Roman" w:cs="Times New Roman"/>
        </w:rPr>
        <w:t>:</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During the 2024/2025 SY, 312 RE presch</w:t>
      </w:r>
      <w:r w:rsidRPr="00397A77">
        <w:rPr>
          <w:rFonts w:ascii="Times New Roman" w:hAnsi="Times New Roman" w:cs="Times New Roman"/>
        </w:rPr>
        <w:t>ool children (163 boys,149 girls) were enrolled in preschool education.</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During the 2024/2025 SY, 1,724 RE students were enrolled in primary schools (868 boys,856 girls). In secondary schools, 173 students from the RE population were enrolled, including 98 </w:t>
      </w:r>
      <w:r w:rsidRPr="00397A77">
        <w:rPr>
          <w:rFonts w:ascii="Times New Roman" w:hAnsi="Times New Roman" w:cs="Times New Roman"/>
        </w:rPr>
        <w:t>boys and 74 girls. The number of enrolled students from the RE population in the 2024/2025 academic year, based on candidates who applied for scholarships, was 17 (9 men,8 women).</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integration of children from the RE population into the education system</w:t>
      </w:r>
      <w:r w:rsidRPr="00397A77">
        <w:rPr>
          <w:rFonts w:ascii="Times New Roman" w:hAnsi="Times New Roman" w:cs="Times New Roman"/>
        </w:rPr>
        <w:t xml:space="preserve"> is one of the strategic goals of the MESI, which, in cooperation with national and international partners, implements numerous activities to ensure that the coverage of Roma children by education is as high as possible.</w:t>
      </w: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gramStart"/>
      <w:r w:rsidRPr="00397A77">
        <w:rPr>
          <w:rFonts w:ascii="Times New Roman" w:eastAsia="Times New Roman" w:hAnsi="Times New Roman" w:cs="Times New Roman"/>
          <w:b/>
        </w:rPr>
        <w:t>b)Intensify</w:t>
      </w:r>
      <w:proofErr w:type="gramEnd"/>
      <w:r w:rsidRPr="00397A77">
        <w:rPr>
          <w:rFonts w:ascii="Times New Roman" w:eastAsia="Times New Roman" w:hAnsi="Times New Roman" w:cs="Times New Roman"/>
          <w:b/>
        </w:rPr>
        <w:t xml:space="preserve"> efforts to ensure that</w:t>
      </w:r>
      <w:r w:rsidRPr="00397A77">
        <w:rPr>
          <w:rFonts w:ascii="Times New Roman" w:eastAsia="Times New Roman" w:hAnsi="Times New Roman" w:cs="Times New Roman"/>
          <w:b/>
        </w:rPr>
        <w:t xml:space="preserve"> all children of RE origin have access to education, including access to birth registration and identification documents; ensure free primary education, textbooks and transport; raise parents’ awareness of the benefits of continuous education for their chi</w:t>
      </w:r>
      <w:r w:rsidRPr="00397A77">
        <w:rPr>
          <w:rFonts w:ascii="Times New Roman" w:eastAsia="Times New Roman" w:hAnsi="Times New Roman" w:cs="Times New Roman"/>
          <w:b/>
        </w:rPr>
        <w:t>ldren’s long-term economic prospects; and increase the number of Roma assistants and the use of the Roma language in schools;</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hAnsi="Times New Roman" w:cs="Times New Roman"/>
        </w:rPr>
        <w:t>Regarding preschool education, the Ministry provides free attendance in preschool institutions for children from the RE population</w:t>
      </w:r>
      <w:r w:rsidRPr="00397A77">
        <w:rPr>
          <w:rFonts w:ascii="Times New Roman" w:hAnsi="Times New Roman" w:cs="Times New Roman"/>
        </w:rPr>
        <w:t>. In line with the Strategy for the Inclusion of Roma and Egyptians 2021-2025 and the Strategy for the Development of Early Childhood Education and Care 2021-2025, enrollment of children in kindergartens within RE communities is promoted. Meetings with par</w:t>
      </w:r>
      <w:r w:rsidRPr="00397A77">
        <w:rPr>
          <w:rFonts w:ascii="Times New Roman" w:hAnsi="Times New Roman" w:cs="Times New Roman"/>
        </w:rPr>
        <w:t>ents are organized to inform them about the benefits of preschool education and care, along with the distribution of promotional materials in Montenegrin, Roma and Albanian. Campaigns are also conducted to promote enrollment in primary and secondary school</w:t>
      </w:r>
      <w:r w:rsidRPr="00397A77">
        <w:rPr>
          <w:rFonts w:ascii="Times New Roman" w:hAnsi="Times New Roman" w:cs="Times New Roman"/>
        </w:rPr>
        <w:t>s. For these education levels, the Ministry also engages associates/mediators for the social inclusion of Roma and Egyptians.</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The Ministry responsible for education has recognized the needs of the education system regarding the inclusion of a greater numbe</w:t>
      </w:r>
      <w:r w:rsidRPr="00397A77">
        <w:rPr>
          <w:rFonts w:ascii="Times New Roman" w:hAnsi="Times New Roman" w:cs="Times New Roman"/>
        </w:rPr>
        <w:t xml:space="preserve">r of social inclusion mediators and has adopted the Rulebook on norms and standards for the acquisition of funds from public revenues for institutions implementing publicly valid educational programs, regulating this area. The adopted amendments stipulate </w:t>
      </w:r>
      <w:r w:rsidRPr="00397A77">
        <w:rPr>
          <w:rFonts w:ascii="Times New Roman" w:hAnsi="Times New Roman" w:cs="Times New Roman"/>
        </w:rPr>
        <w:t>that one mediator provides support for 35 children from the RE population, instead of 70 as prescribed by the previous regulation. Social inclusion mediators support children from the RE population in integrating into the education system, ensuring continu</w:t>
      </w:r>
      <w:r w:rsidRPr="00397A77">
        <w:rPr>
          <w:rFonts w:ascii="Times New Roman" w:hAnsi="Times New Roman" w:cs="Times New Roman"/>
        </w:rPr>
        <w:t xml:space="preserve">ity and reducing dropout, and improving educational and social outcomes. Mediators also support the identification and enrollment of Roma and Egyptian children in the education system. As of December 2024, there were 35 associates/mediators.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lastRenderedPageBreak/>
        <w:t>Every year, f</w:t>
      </w:r>
      <w:r w:rsidRPr="00397A77">
        <w:rPr>
          <w:rFonts w:ascii="Times New Roman" w:hAnsi="Times New Roman" w:cs="Times New Roman"/>
        </w:rPr>
        <w:t>ree transportation is provided for over 600 primary school students in cities with a large number of children from the RE population. A free literacy and basic education program for adult members of the RE population is implemented. In 2024, 99 participant</w:t>
      </w:r>
      <w:r w:rsidRPr="00397A77">
        <w:rPr>
          <w:rFonts w:ascii="Times New Roman" w:hAnsi="Times New Roman" w:cs="Times New Roman"/>
        </w:rPr>
        <w:t>s were enrolled in the basic adult education program and 14 participants in the elementary functional literacy program. Each year, the Ministry announces a call for RE scholarships for secondary school students and university students. From the 2024/2025 a</w:t>
      </w:r>
      <w:r w:rsidRPr="00397A77">
        <w:rPr>
          <w:rFonts w:ascii="Times New Roman" w:hAnsi="Times New Roman" w:cs="Times New Roman"/>
        </w:rPr>
        <w:t xml:space="preserve">cademic year, the scholarship for all students, including those from the RE population, has been increased from 225 to 300 euros per month. Statistical data for the period 2021-2024 </w:t>
      </w:r>
      <w:proofErr w:type="gramStart"/>
      <w:r w:rsidRPr="00397A77">
        <w:rPr>
          <w:rFonts w:ascii="Times New Roman" w:hAnsi="Times New Roman" w:cs="Times New Roman"/>
        </w:rPr>
        <w:t>are</w:t>
      </w:r>
      <w:proofErr w:type="gramEnd"/>
      <w:r w:rsidRPr="00397A77">
        <w:rPr>
          <w:rFonts w:ascii="Times New Roman" w:hAnsi="Times New Roman" w:cs="Times New Roman"/>
        </w:rPr>
        <w:t xml:space="preserve"> provided in Annex 2. In the 2024/2025 SY, 312 RE children were enrolle</w:t>
      </w:r>
      <w:r w:rsidRPr="00397A77">
        <w:rPr>
          <w:rFonts w:ascii="Times New Roman" w:hAnsi="Times New Roman" w:cs="Times New Roman"/>
        </w:rPr>
        <w:t>d in preschool education (163m-149f). At the beginning of the school year (SY), there were 1,724 RE children in primary schools (868m-856f). In the 2024/2025 SY, 172 RE students were enrolled in secondary schools (98m-74f).</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Arial" w:eastAsia="Times New Roman" w:hAnsi="Arial" w:cs="Arial"/>
          <w:b/>
        </w:rPr>
        <w:t>(c)</w:t>
      </w:r>
      <w:r w:rsidRPr="00397A77">
        <w:rPr>
          <w:rFonts w:ascii="Times New Roman" w:eastAsia="Times New Roman" w:hAnsi="Times New Roman" w:cs="Times New Roman"/>
          <w:b/>
        </w:rPr>
        <w:t>Ensure that all children with</w:t>
      </w:r>
      <w:r w:rsidRPr="00397A77">
        <w:rPr>
          <w:rFonts w:ascii="Times New Roman" w:eastAsia="Times New Roman" w:hAnsi="Times New Roman" w:cs="Times New Roman"/>
          <w:b/>
        </w:rPr>
        <w:t xml:space="preserve"> disabilities have access to quality and appropriate education.</w:t>
      </w:r>
    </w:p>
    <w:p w:rsidR="00517E74" w:rsidRPr="00397A77" w:rsidRDefault="00DD6520" w:rsidP="00517E74">
      <w:pPr>
        <w:spacing w:after="0" w:line="360" w:lineRule="auto"/>
        <w:contextualSpacing/>
        <w:jc w:val="both"/>
        <w:rPr>
          <w:rFonts w:ascii="Times New Roman" w:eastAsia="Times New Roman" w:hAnsi="Times New Roman" w:cs="Times New Roman"/>
        </w:rPr>
      </w:pPr>
      <w:r w:rsidRPr="00397A77">
        <w:rPr>
          <w:rFonts w:ascii="Times New Roman" w:eastAsia="Times New Roman" w:hAnsi="Times New Roman" w:cs="Times New Roman"/>
        </w:rPr>
        <w:t>All children with disabilities have access to quality and appropriate education, which represents the guiding principle of inclusive education in Montenegro. The legal framework is defined by the Law on the Education of Children with Special Educational Ne</w:t>
      </w:r>
      <w:r w:rsidRPr="00397A77">
        <w:rPr>
          <w:rFonts w:ascii="Times New Roman" w:eastAsia="Times New Roman" w:hAnsi="Times New Roman" w:cs="Times New Roman"/>
        </w:rPr>
        <w:t xml:space="preserve">eds, which sets out the rights, conditions and procedures for ensuring inclusion. </w:t>
      </w:r>
    </w:p>
    <w:p w:rsidR="00517E74" w:rsidRPr="00397A77" w:rsidRDefault="00517E74" w:rsidP="00517E74">
      <w:pPr>
        <w:spacing w:after="0" w:line="360" w:lineRule="auto"/>
        <w:contextualSpacing/>
        <w:jc w:val="both"/>
        <w:rPr>
          <w:rFonts w:ascii="Times New Roman" w:eastAsia="Times New Roman" w:hAnsi="Times New Roman" w:cs="Times New Roman"/>
        </w:rPr>
      </w:pPr>
    </w:p>
    <w:bookmarkEnd w:id="3"/>
    <w:p w:rsidR="00517E74" w:rsidRPr="00397A77" w:rsidRDefault="00DD6520" w:rsidP="00517E74">
      <w:pPr>
        <w:spacing w:after="0" w:line="360" w:lineRule="auto"/>
        <w:contextualSpacing/>
        <w:rPr>
          <w:rFonts w:ascii="Times New Roman" w:eastAsia="Times New Roman" w:hAnsi="Times New Roman" w:cs="Times New Roman"/>
          <w:b/>
        </w:rPr>
      </w:pPr>
      <w:r w:rsidRPr="00397A77">
        <w:rPr>
          <w:rFonts w:ascii="Times New Roman" w:eastAsia="Times New Roman" w:hAnsi="Times New Roman" w:cs="Times New Roman"/>
          <w:b/>
        </w:rPr>
        <w:t>26.Cultural Rights</w:t>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rPr>
        <w:t>The Committee regrets the low share of funds allocated from the State budget for the development of science, promotion and protection of cultural rights.</w:t>
      </w:r>
      <w:r w:rsidRPr="00397A77">
        <w:rPr>
          <w:rFonts w:ascii="Times New Roman" w:eastAsia="Times New Roman" w:hAnsi="Times New Roman" w:cs="Times New Roman"/>
        </w:rPr>
        <w:t xml:space="preserve"> It is also concerned about the absence of an independent oversight body for the Fund for Minorities to supervise the implementation of activities and the allocation of funds (Article 15).</w:t>
      </w:r>
    </w:p>
    <w:p w:rsidR="00517E74" w:rsidRPr="00397A77" w:rsidRDefault="00DD6520" w:rsidP="00517E74">
      <w:pPr>
        <w:spacing w:after="0" w:line="360" w:lineRule="auto"/>
        <w:contextualSpacing/>
        <w:jc w:val="both"/>
        <w:rPr>
          <w:rFonts w:ascii="Times New Roman" w:eastAsia="Times New Roman" w:hAnsi="Times New Roman" w:cs="Times New Roman"/>
          <w:b/>
        </w:rPr>
      </w:pPr>
      <w:bookmarkStart w:id="4" w:name="_Hlk213756345"/>
      <w:r w:rsidRPr="00397A77">
        <w:rPr>
          <w:rFonts w:ascii="Times New Roman" w:eastAsia="Times New Roman" w:hAnsi="Times New Roman" w:cs="Times New Roman"/>
          <w:b/>
        </w:rPr>
        <w:t>The Committee recommends that the State parties consider increasing</w:t>
      </w:r>
      <w:r w:rsidRPr="00397A77">
        <w:rPr>
          <w:rFonts w:ascii="Times New Roman" w:eastAsia="Times New Roman" w:hAnsi="Times New Roman" w:cs="Times New Roman"/>
          <w:b/>
        </w:rPr>
        <w:t xml:space="preserve"> the budget allocated for scientific development and for the promotion and protection of cultural rights. It also encourages the State party to establish an effective oversight mechanism for the Fund for Minorities to monitor the implementation of activiti</w:t>
      </w:r>
      <w:r w:rsidRPr="00397A77">
        <w:rPr>
          <w:rFonts w:ascii="Times New Roman" w:eastAsia="Times New Roman" w:hAnsi="Times New Roman" w:cs="Times New Roman"/>
          <w:b/>
        </w:rPr>
        <w:t>es and the distribution of funds.</w:t>
      </w:r>
    </w:p>
    <w:bookmarkEnd w:id="4"/>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Montenegro recognizes cultural rights as key elements in preserving identity, fostering creativity, and promoting sustainable development. The MCM actively works to improve the legislative framework, increase budget alloca</w:t>
      </w:r>
      <w:r w:rsidRPr="00397A77">
        <w:rPr>
          <w:rFonts w:ascii="Times New Roman" w:hAnsi="Times New Roman" w:cs="Times New Roman"/>
        </w:rPr>
        <w:t>tions, protect and promote cultural heritage, and develop cultural programs and content. Additionally, the State is committed to creating policies that incorporate modern approaches to sustainable development, digitalization, and improving access to cultur</w:t>
      </w:r>
      <w:r w:rsidRPr="00397A77">
        <w:rPr>
          <w:rFonts w:ascii="Times New Roman" w:hAnsi="Times New Roman" w:cs="Times New Roman"/>
        </w:rPr>
        <w:t>e for all citizens, regardless of social barriers. Article 93 of the Law on Culture provides that funding for the Ministry’s work in the current budget must be at least 2.5% of the Budget, reduced by expenditures of State funds and the capital budget, if t</w:t>
      </w:r>
      <w:r w:rsidRPr="00397A77">
        <w:rPr>
          <w:rFonts w:ascii="Times New Roman" w:hAnsi="Times New Roman" w:cs="Times New Roman"/>
        </w:rPr>
        <w:t xml:space="preserve">he planned real growth of GDP is up to 8%, or at least 3% if the planned real GDP growth exceeds 8%. In recent years, Montenegro has significantly increased its budget allocations for the cultural sector. Under </w:t>
      </w:r>
      <w:r w:rsidRPr="00397A77">
        <w:rPr>
          <w:rFonts w:ascii="Times New Roman" w:hAnsi="Times New Roman" w:cs="Times New Roman"/>
        </w:rPr>
        <w:lastRenderedPageBreak/>
        <w:t>the 2024 Budget, funding for culture and medi</w:t>
      </w:r>
      <w:r w:rsidRPr="00397A77">
        <w:rPr>
          <w:rFonts w:ascii="Times New Roman" w:hAnsi="Times New Roman" w:cs="Times New Roman"/>
        </w:rPr>
        <w:t xml:space="preserve">a increased by 14.18%, which ensured higher funding for: the work of cultural institutions; projects and programs for the protection and preservation of cultural heritage; the development and promotion of cultural and artistic creativity within and beyond </w:t>
      </w:r>
      <w:r w:rsidRPr="00397A77">
        <w:rPr>
          <w:rFonts w:ascii="Times New Roman" w:hAnsi="Times New Roman" w:cs="Times New Roman"/>
        </w:rPr>
        <w:t>the country; and the development of creative industries. These increases have enabled the implementation of numerous initiatives that improved the protection of cultural heritage, supported cultural and artistic creativity and the development of creative i</w:t>
      </w:r>
      <w:r w:rsidRPr="00397A77">
        <w:rPr>
          <w:rFonts w:ascii="Times New Roman" w:hAnsi="Times New Roman" w:cs="Times New Roman"/>
        </w:rPr>
        <w:t xml:space="preserve">ndustries, and increased access to cultural content. The MCM has implemented or co-financed numerous projects for the reconstruction, valorization and digitalization of cultural heritage, as well as digitalization regarding cultural and artistic creation. </w:t>
      </w:r>
      <w:r w:rsidRPr="00397A77">
        <w:rPr>
          <w:rFonts w:ascii="Times New Roman" w:hAnsi="Times New Roman" w:cs="Times New Roman"/>
        </w:rPr>
        <w:t>Under the Law on Culture and strategic documents on cultural policy, and with the aim of achieving the public interest in culture, the MCM provides co-financing for programs and projects through public calls in various fields, enabling access to, productio</w:t>
      </w:r>
      <w:r w:rsidRPr="00397A77">
        <w:rPr>
          <w:rFonts w:ascii="Times New Roman" w:hAnsi="Times New Roman" w:cs="Times New Roman"/>
        </w:rPr>
        <w:t>n and distribution of diverse cultural content.</w:t>
      </w:r>
    </w:p>
    <w:p w:rsidR="00517E74" w:rsidRPr="00397A77" w:rsidRDefault="00DD6520" w:rsidP="00517E74">
      <w:pPr>
        <w:pStyle w:val="NormalWeb"/>
        <w:spacing w:after="0" w:line="360" w:lineRule="auto"/>
        <w:contextualSpacing/>
        <w:jc w:val="both"/>
        <w:rPr>
          <w:sz w:val="22"/>
          <w:szCs w:val="22"/>
        </w:rPr>
      </w:pPr>
      <w:r w:rsidRPr="00397A77">
        <w:rPr>
          <w:rFonts w:eastAsiaTheme="minorEastAsia"/>
          <w:sz w:val="22"/>
          <w:szCs w:val="22"/>
        </w:rPr>
        <w:t>Regarding an effective monitoring mechanism for the Fund for Minorities, amendments to the Law on Minority Rights and Freedoms adopted in 2017 stipulate that the Fund is financed from the Budget and other sou</w:t>
      </w:r>
      <w:r w:rsidRPr="00397A77">
        <w:rPr>
          <w:rFonts w:eastAsiaTheme="minorEastAsia"/>
          <w:sz w:val="22"/>
          <w:szCs w:val="22"/>
        </w:rPr>
        <w:t>rces, with at least 0.15% of the current Budget allocated for this purpose. These funds are distributed as follows: up to 30% for the operational costs of the Fund and at least 70% for financing projects that support activities. The decision on the allocat</w:t>
      </w:r>
      <w:r w:rsidRPr="00397A77">
        <w:rPr>
          <w:rFonts w:eastAsiaTheme="minorEastAsia"/>
          <w:sz w:val="22"/>
          <w:szCs w:val="22"/>
        </w:rPr>
        <w:t>ion of funds is adopted by the Fund’s Board of directors, based on the Fund’s program and work plans, with the prior opinion of the councils of minority peoples or other national minority communities. It is further prescribed that these councils are not el</w:t>
      </w:r>
      <w:r w:rsidRPr="00397A77">
        <w:rPr>
          <w:rFonts w:eastAsiaTheme="minorEastAsia"/>
          <w:sz w:val="22"/>
          <w:szCs w:val="22"/>
        </w:rPr>
        <w:t>igible to participate in the public call for the allocation of funds</w:t>
      </w:r>
      <w:r w:rsidRPr="00397A77">
        <w:rPr>
          <w:sz w:val="22"/>
          <w:szCs w:val="22"/>
        </w:rPr>
        <w:t>. In this way, the allocation of funds for projects has been improved, as the Board, whose members were representatives of councils, made decisions on the distribution of funds to which th</w:t>
      </w:r>
      <w:r w:rsidRPr="00397A77">
        <w:rPr>
          <w:sz w:val="22"/>
          <w:szCs w:val="22"/>
        </w:rPr>
        <w:t>e projects of the members of the council themselves were entitled. This change has made the work of the Fund more transparent, since from 2018 decisions on the allocation of funds to projects have been adopted by the Director of the Fund, based on proposal</w:t>
      </w:r>
      <w:r w:rsidRPr="00397A77">
        <w:rPr>
          <w:sz w:val="22"/>
          <w:szCs w:val="22"/>
        </w:rPr>
        <w:t>s from the Evaluation Commission. The Commission has seven members elected by the Parliament. The Director, elected by the Board of directors, is responsible for the Fund’s operations and the legality of its work. The members of the Board, which consists o</w:t>
      </w:r>
      <w:r w:rsidRPr="00397A77">
        <w:rPr>
          <w:sz w:val="22"/>
          <w:szCs w:val="22"/>
        </w:rPr>
        <w:t>f 13 members, are also elected by the Parliament, and one of their functions is to act as a second-instance body for appeals against the Director’s decisions. The Law also stipulates that the Fund submits annual reports on its work to the Parliament. It is</w:t>
      </w:r>
      <w:r w:rsidRPr="00397A77">
        <w:rPr>
          <w:sz w:val="22"/>
          <w:szCs w:val="22"/>
        </w:rPr>
        <w:t xml:space="preserve"> important to note that supervision over the implementation of this Law and the regulations adopted on its basis is carried out by the MHMR. A Draft Law on Amendments to the Law on Minority Rights and Freedoms is currently under public hearing, and its ado</w:t>
      </w:r>
      <w:r w:rsidRPr="00397A77">
        <w:rPr>
          <w:sz w:val="22"/>
          <w:szCs w:val="22"/>
        </w:rPr>
        <w:t>ption is planned by the end of the second quarter of 2026.</w:t>
      </w:r>
    </w:p>
    <w:p w:rsidR="00517E74" w:rsidRPr="00397A77" w:rsidRDefault="00DD6520" w:rsidP="00517E74">
      <w:pPr>
        <w:pStyle w:val="NormalWeb"/>
        <w:spacing w:before="0" w:beforeAutospacing="0" w:after="0" w:afterAutospacing="0" w:line="360" w:lineRule="auto"/>
        <w:contextualSpacing/>
        <w:jc w:val="both"/>
        <w:rPr>
          <w:b/>
          <w:sz w:val="22"/>
          <w:szCs w:val="22"/>
        </w:rPr>
      </w:pPr>
      <w:r w:rsidRPr="00397A77">
        <w:rPr>
          <w:b/>
          <w:sz w:val="22"/>
          <w:szCs w:val="22"/>
        </w:rPr>
        <w:t xml:space="preserve">D. </w:t>
      </w:r>
      <w:bookmarkStart w:id="5" w:name="_Hlk213670461"/>
      <w:r w:rsidRPr="00397A77">
        <w:rPr>
          <w:b/>
          <w:sz w:val="22"/>
          <w:szCs w:val="22"/>
        </w:rPr>
        <w:t xml:space="preserve">Other recommendations </w:t>
      </w:r>
    </w:p>
    <w:p w:rsidR="00517E74" w:rsidRPr="00397A77" w:rsidRDefault="00DD6520" w:rsidP="00517E74">
      <w:pPr>
        <w:pStyle w:val="NormalWeb"/>
        <w:spacing w:before="0" w:beforeAutospacing="0" w:after="0" w:afterAutospacing="0" w:line="360" w:lineRule="auto"/>
        <w:contextualSpacing/>
        <w:jc w:val="both"/>
        <w:rPr>
          <w:sz w:val="22"/>
          <w:szCs w:val="22"/>
        </w:rPr>
      </w:pPr>
      <w:r w:rsidRPr="00397A77">
        <w:rPr>
          <w:b/>
          <w:sz w:val="22"/>
          <w:szCs w:val="22"/>
        </w:rPr>
        <w:lastRenderedPageBreak/>
        <w:t xml:space="preserve">27. The Committee encourages the State party to consider ratifying the International Convention on the Protection of the Rights of All Migrant Workers and Members of Their Families.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rPr>
        <w:t xml:space="preserve">Only a small number of States have signed and ratified this Convention, </w:t>
      </w:r>
      <w:r w:rsidRPr="00397A77">
        <w:rPr>
          <w:rFonts w:ascii="Times New Roman" w:hAnsi="Times New Roman" w:cs="Times New Roman"/>
        </w:rPr>
        <w:t>while a significantly larger number have neither signed nor ratified it. The Convention has mainly been signed and ratified by countries in Africa and Latin America, rather than by destination countries for migrants. Montenegro has signed this Convention b</w:t>
      </w:r>
      <w:r w:rsidRPr="00397A77">
        <w:rPr>
          <w:rFonts w:ascii="Times New Roman" w:hAnsi="Times New Roman" w:cs="Times New Roman"/>
        </w:rPr>
        <w:t>ut has not yet ratified it. Regarding policies and measures aimed at the integration of refugees and migrants, Montenegro has accepted international legal obligations in this area. Recently, Montenegro has undertaken significant activities to establish a s</w:t>
      </w:r>
      <w:r w:rsidRPr="00397A77">
        <w:rPr>
          <w:rFonts w:ascii="Times New Roman" w:hAnsi="Times New Roman" w:cs="Times New Roman"/>
        </w:rPr>
        <w:t xml:space="preserve">trategic and normative framework, and an institutional structure capable of responding adequately to the challenges posed by the increased inflow of refugees and migrants. Two key laws have been adopted-The Law on International and Temporary Protection of </w:t>
      </w:r>
      <w:r w:rsidRPr="00397A77">
        <w:rPr>
          <w:rFonts w:ascii="Times New Roman" w:hAnsi="Times New Roman" w:cs="Times New Roman"/>
        </w:rPr>
        <w:t>Foreigners and the Law on Foreigners, which largely incorporate European standards. This has improved the quality and efficiency of the exercise of foreigners’ rights, the management of legal migration flows, and the prevention of irregular migration throu</w:t>
      </w:r>
      <w:r w:rsidRPr="00397A77">
        <w:rPr>
          <w:rFonts w:ascii="Times New Roman" w:hAnsi="Times New Roman" w:cs="Times New Roman"/>
        </w:rPr>
        <w:t>gh coordinated and clearly defined procedures. The Law on International and Temporary Protection of Foreigners is fully aligned with European legislation and has received a positive opinion from the EC, representing an important step in Montenegro’s Europe</w:t>
      </w:r>
      <w:r w:rsidRPr="00397A77">
        <w:rPr>
          <w:rFonts w:ascii="Times New Roman" w:hAnsi="Times New Roman" w:cs="Times New Roman"/>
        </w:rPr>
        <w:t>an integration process. Montenegro has harmonized its normative framework with European and international standards in this field through the ratification of the 1951 Refugee Convention and its Additional Protocols. Regarding strategic documents, the Strat</w:t>
      </w:r>
      <w:r w:rsidRPr="00397A77">
        <w:rPr>
          <w:rFonts w:ascii="Times New Roman" w:hAnsi="Times New Roman" w:cs="Times New Roman"/>
        </w:rPr>
        <w:t>egy on Migration and Reintegration of Returnees in Montenegro for the period 2021–2025 shapes the State’s migration policy in line with best practices in the areas of legal migration, asylum, prevention of irregular migration, readmission, return, integrat</w:t>
      </w:r>
      <w:r w:rsidRPr="00397A77">
        <w:rPr>
          <w:rFonts w:ascii="Times New Roman" w:hAnsi="Times New Roman" w:cs="Times New Roman"/>
        </w:rPr>
        <w:t>ion, internally displaced persons and statelessness. This strategic document also envisages the permanent resolution of the status of internally displaced persons. Montenegro has consistently demonstrated readiness, responsibility and solidarity in receivi</w:t>
      </w:r>
      <w:r w:rsidRPr="00397A77">
        <w:rPr>
          <w:rFonts w:ascii="Times New Roman" w:hAnsi="Times New Roman" w:cs="Times New Roman"/>
        </w:rPr>
        <w:t>ng persons seeking international protection who have been forced to leave their countries due to various circumstances.</w:t>
      </w:r>
      <w:bookmarkEnd w:id="5"/>
      <w:r w:rsidRPr="00397A77">
        <w:rPr>
          <w:rFonts w:ascii="Times New Roman" w:hAnsi="Times New Roman" w:cs="Times New Roman"/>
        </w:rPr>
        <w:t xml:space="preserve">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b/>
        </w:rPr>
        <w:t>28. The Committee recommends that all future national plans, programs, and strategies related to the broad spectrum of economic, social</w:t>
      </w:r>
      <w:r w:rsidRPr="00397A77">
        <w:rPr>
          <w:rFonts w:ascii="Times New Roman" w:hAnsi="Times New Roman" w:cs="Times New Roman"/>
          <w:b/>
        </w:rPr>
        <w:t xml:space="preserve">, and cultural rights include built-in monitoring and evaluation mechanisms to ensure that interim results are available at any stage of implementation and that such plans, programs, and strategies can be adapted as needed.  </w:t>
      </w:r>
    </w:p>
    <w:p w:rsidR="00517E74" w:rsidRPr="00397A77" w:rsidRDefault="00DD6520" w:rsidP="00517E74">
      <w:pPr>
        <w:spacing w:after="0" w:line="360" w:lineRule="auto"/>
        <w:contextualSpacing/>
        <w:jc w:val="both"/>
        <w:rPr>
          <w:rFonts w:ascii="Times New Roman" w:hAnsi="Times New Roman" w:cs="Times New Roman"/>
        </w:rPr>
      </w:pPr>
      <w:r w:rsidRPr="00397A77">
        <w:rPr>
          <w:rFonts w:ascii="Times New Roman" w:hAnsi="Times New Roman" w:cs="Times New Roman"/>
          <w:bCs/>
        </w:rPr>
        <w:t>Montenegro’s strategic plannin</w:t>
      </w:r>
      <w:r w:rsidRPr="00397A77">
        <w:rPr>
          <w:rFonts w:ascii="Times New Roman" w:hAnsi="Times New Roman" w:cs="Times New Roman"/>
          <w:bCs/>
        </w:rPr>
        <w:t>g and reporting system is based on the Decree on the method and procedure of drafting, alignment, and monitoring of the implementation of strategic documents. This Decree introduces mandatory quality standards for all strategic documents adopted by the Gov</w:t>
      </w:r>
      <w:r w:rsidRPr="00397A77">
        <w:rPr>
          <w:rFonts w:ascii="Times New Roman" w:hAnsi="Times New Roman" w:cs="Times New Roman"/>
          <w:bCs/>
        </w:rPr>
        <w:t>ernment and establishes the legal and methodological framework for their preparation, implementation, and evaluation. Its aim is to ensure greater coherence of strategic documents, enhance intersectoral cooperation, enable more effective public policy impl</w:t>
      </w:r>
      <w:r w:rsidRPr="00397A77">
        <w:rPr>
          <w:rFonts w:ascii="Times New Roman" w:hAnsi="Times New Roman" w:cs="Times New Roman"/>
          <w:bCs/>
        </w:rPr>
        <w:t xml:space="preserve">ementation, and establish a sustainable system for monitoring </w:t>
      </w:r>
      <w:r w:rsidRPr="00397A77">
        <w:rPr>
          <w:rFonts w:ascii="Times New Roman" w:hAnsi="Times New Roman" w:cs="Times New Roman"/>
          <w:bCs/>
        </w:rPr>
        <w:lastRenderedPageBreak/>
        <w:t>implementation</w:t>
      </w:r>
      <w:r w:rsidRPr="00397A77">
        <w:rPr>
          <w:rFonts w:ascii="Times New Roman" w:hAnsi="Times New Roman" w:cs="Times New Roman"/>
        </w:rPr>
        <w:t>.</w:t>
      </w:r>
      <w:r w:rsidRPr="00397A77">
        <w:t xml:space="preserve"> </w:t>
      </w:r>
      <w:r w:rsidRPr="00397A77">
        <w:rPr>
          <w:rFonts w:ascii="Times New Roman" w:hAnsi="Times New Roman" w:cs="Times New Roman"/>
        </w:rPr>
        <w:t>The Decree is complemented by the Methodology for Policy Development, Drafting, and Monitoring of Strategic Documents, implemented by the General Secretariat of the Government-Se</w:t>
      </w:r>
      <w:r w:rsidRPr="00397A77">
        <w:rPr>
          <w:rFonts w:ascii="Times New Roman" w:hAnsi="Times New Roman" w:cs="Times New Roman"/>
        </w:rPr>
        <w:t>ctor for Strategic Planning and Policy Coordination, in accordance with its competence. The Methodology consolidates a set of recommendations and guidelines to ensure the quality of strategic documents and accompanying reports. In line with this Decree, th</w:t>
      </w:r>
      <w:r w:rsidRPr="00397A77">
        <w:rPr>
          <w:rFonts w:ascii="Times New Roman" w:hAnsi="Times New Roman" w:cs="Times New Roman"/>
        </w:rPr>
        <w:t>e Government has adopted the Handbook for the Evaluation of Strategic Documents and the Guidelines for the Preparation of Strategic Documents, which serve as key references for the development of improved strategies and action plans. These documents enable</w:t>
      </w:r>
      <w:r w:rsidRPr="00397A77">
        <w:rPr>
          <w:rFonts w:ascii="Times New Roman" w:hAnsi="Times New Roman" w:cs="Times New Roman"/>
        </w:rPr>
        <w:t xml:space="preserve"> better coordination of public policies, alignment with national priorities, and convergence with EU standards.</w:t>
      </w: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rPr>
          <w:rFonts w:ascii="Times New Roman" w:eastAsia="Times New Roman" w:hAnsi="Times New Roman" w:cs="Times New Roman"/>
          <w:b/>
        </w:rPr>
      </w:pPr>
      <w:r w:rsidRPr="00397A77">
        <w:rPr>
          <w:rFonts w:ascii="Times New Roman" w:eastAsia="Times New Roman" w:hAnsi="Times New Roman" w:cs="Times New Roman"/>
          <w:b/>
        </w:rPr>
        <w:br w:type="page"/>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lastRenderedPageBreak/>
        <w:t>Annex 1:</w:t>
      </w: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ind w:left="1418" w:hanging="1418"/>
        <w:contextualSpacing/>
        <w:jc w:val="center"/>
        <w:rPr>
          <w:rFonts w:ascii="Times New Roman" w:hAnsi="Times New Roman" w:cs="Times New Roman"/>
          <w:shd w:val="clear" w:color="auto" w:fill="FFFFFF"/>
        </w:rPr>
      </w:pPr>
      <w:r w:rsidRPr="00397A77">
        <w:rPr>
          <w:rFonts w:ascii="Times New Roman" w:eastAsia="Calibri" w:hAnsi="Times New Roman" w:cs="Times New Roman"/>
          <w:b/>
          <w:bCs/>
        </w:rPr>
        <w:t xml:space="preserve">Number of HT victims identified by the Formal Identification </w:t>
      </w:r>
      <w:proofErr w:type="gramStart"/>
      <w:r w:rsidRPr="00397A77">
        <w:rPr>
          <w:rFonts w:ascii="Times New Roman" w:eastAsia="Calibri" w:hAnsi="Times New Roman" w:cs="Times New Roman"/>
          <w:b/>
          <w:bCs/>
        </w:rPr>
        <w:t>Team(</w:t>
      </w:r>
      <w:proofErr w:type="gramEnd"/>
      <w:r w:rsidRPr="00397A77">
        <w:rPr>
          <w:rFonts w:ascii="Times New Roman" w:eastAsia="Calibri" w:hAnsi="Times New Roman" w:cs="Times New Roman"/>
          <w:b/>
          <w:bCs/>
        </w:rPr>
        <w:t>1 January 2020-31 December 2020)</w:t>
      </w:r>
    </w:p>
    <w:tbl>
      <w:tblPr>
        <w:tblpPr w:leftFromText="180" w:rightFromText="180" w:vertAnchor="text" w:horzAnchor="margin" w:tblpY="154"/>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2549"/>
        <w:gridCol w:w="3170"/>
        <w:gridCol w:w="1793"/>
      </w:tblGrid>
      <w:tr w:rsidR="00193F9C" w:rsidTr="00517E74">
        <w:trPr>
          <w:trHeight w:val="498"/>
        </w:trPr>
        <w:tc>
          <w:tcPr>
            <w:tcW w:w="1909" w:type="dxa"/>
            <w:shd w:val="clear" w:color="auto" w:fill="8EAADB"/>
            <w:vAlign w:val="center"/>
          </w:tcPr>
          <w:p w:rsidR="00517E74" w:rsidRPr="00397A77" w:rsidRDefault="00DD6520" w:rsidP="00517E74">
            <w:pPr>
              <w:spacing w:after="0" w:line="360" w:lineRule="auto"/>
              <w:contextualSpacing/>
              <w:jc w:val="center"/>
              <w:rPr>
                <w:rFonts w:ascii="Times New Roman" w:eastAsia="Calibri" w:hAnsi="Times New Roman" w:cs="Times New Roman"/>
                <w:b/>
                <w:bCs/>
              </w:rPr>
            </w:pPr>
            <w:r w:rsidRPr="00397A77">
              <w:rPr>
                <w:rFonts w:ascii="Times New Roman" w:eastAsia="Calibri" w:hAnsi="Times New Roman" w:cs="Times New Roman"/>
                <w:b/>
                <w:bCs/>
              </w:rPr>
              <w:t>STATUS</w:t>
            </w:r>
          </w:p>
        </w:tc>
        <w:tc>
          <w:tcPr>
            <w:tcW w:w="2550" w:type="dxa"/>
            <w:shd w:val="clear" w:color="auto" w:fill="8EAADB"/>
            <w:vAlign w:val="center"/>
          </w:tcPr>
          <w:p w:rsidR="00517E74" w:rsidRPr="00397A77" w:rsidRDefault="00DD6520" w:rsidP="00517E74">
            <w:pPr>
              <w:spacing w:after="0" w:line="360" w:lineRule="auto"/>
              <w:contextualSpacing/>
              <w:jc w:val="center"/>
              <w:rPr>
                <w:rFonts w:ascii="Times New Roman" w:eastAsia="Calibri" w:hAnsi="Times New Roman" w:cs="Times New Roman"/>
                <w:b/>
                <w:bCs/>
              </w:rPr>
            </w:pPr>
            <w:r w:rsidRPr="00397A77">
              <w:rPr>
                <w:rFonts w:ascii="Times New Roman" w:eastAsia="Calibri" w:hAnsi="Times New Roman" w:cs="Times New Roman"/>
                <w:b/>
                <w:bCs/>
              </w:rPr>
              <w:t>NUMBER/GENDER</w:t>
            </w:r>
          </w:p>
        </w:tc>
        <w:tc>
          <w:tcPr>
            <w:tcW w:w="3174" w:type="dxa"/>
            <w:shd w:val="clear" w:color="auto" w:fill="8EAADB"/>
            <w:vAlign w:val="center"/>
          </w:tcPr>
          <w:p w:rsidR="00517E74" w:rsidRPr="00397A77" w:rsidRDefault="00DD6520" w:rsidP="00517E74">
            <w:pPr>
              <w:spacing w:after="0" w:line="360" w:lineRule="auto"/>
              <w:contextualSpacing/>
              <w:jc w:val="center"/>
              <w:rPr>
                <w:rFonts w:ascii="Times New Roman" w:eastAsia="Calibri" w:hAnsi="Times New Roman" w:cs="Times New Roman"/>
                <w:b/>
                <w:bCs/>
              </w:rPr>
            </w:pPr>
            <w:r w:rsidRPr="00397A77">
              <w:rPr>
                <w:rFonts w:ascii="Times New Roman" w:eastAsia="Calibri" w:hAnsi="Times New Roman" w:cs="Times New Roman"/>
                <w:b/>
                <w:bCs/>
              </w:rPr>
              <w:t xml:space="preserve">TYPE </w:t>
            </w:r>
            <w:r w:rsidRPr="00397A77">
              <w:rPr>
                <w:rFonts w:ascii="Times New Roman" w:eastAsia="Calibri" w:hAnsi="Times New Roman" w:cs="Times New Roman"/>
                <w:b/>
                <w:bCs/>
              </w:rPr>
              <w:t>OF EXPLOITATION</w:t>
            </w:r>
          </w:p>
        </w:tc>
        <w:tc>
          <w:tcPr>
            <w:tcW w:w="1785" w:type="dxa"/>
            <w:shd w:val="clear" w:color="auto" w:fill="8EAADB"/>
            <w:vAlign w:val="center"/>
          </w:tcPr>
          <w:p w:rsidR="00517E74" w:rsidRPr="00397A77" w:rsidRDefault="00DD6520" w:rsidP="00517E74">
            <w:pPr>
              <w:spacing w:after="0" w:line="360" w:lineRule="auto"/>
              <w:contextualSpacing/>
              <w:jc w:val="center"/>
              <w:rPr>
                <w:rFonts w:ascii="Times New Roman" w:eastAsia="Calibri" w:hAnsi="Times New Roman" w:cs="Times New Roman"/>
                <w:b/>
                <w:bCs/>
              </w:rPr>
            </w:pPr>
            <w:r w:rsidRPr="00397A77">
              <w:rPr>
                <w:rFonts w:ascii="Times New Roman" w:eastAsia="Calibri" w:hAnsi="Times New Roman" w:cs="Times New Roman"/>
                <w:b/>
                <w:bCs/>
              </w:rPr>
              <w:t>NATIONALITY</w:t>
            </w:r>
          </w:p>
        </w:tc>
      </w:tr>
      <w:tr w:rsidR="00193F9C" w:rsidTr="00517E74">
        <w:trPr>
          <w:trHeight w:val="676"/>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2 adult males</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Labor exploitation</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PAKISTAN</w:t>
            </w:r>
          </w:p>
        </w:tc>
      </w:tr>
      <w:tr w:rsidR="00193F9C" w:rsidTr="00517E74">
        <w:trPr>
          <w:trHeight w:val="676"/>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SERBIA</w:t>
            </w:r>
          </w:p>
        </w:tc>
      </w:tr>
      <w:tr w:rsidR="00193F9C" w:rsidTr="00517E74">
        <w:trPr>
          <w:trHeight w:val="722"/>
        </w:trPr>
        <w:tc>
          <w:tcPr>
            <w:tcW w:w="1909" w:type="dxa"/>
            <w:vMerge w:val="restart"/>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p w:rsidR="00517E74" w:rsidRPr="00397A77" w:rsidRDefault="00517E74" w:rsidP="00517E74">
            <w:pPr>
              <w:spacing w:after="0" w:line="360" w:lineRule="auto"/>
              <w:contextualSpacing/>
              <w:rPr>
                <w:rFonts w:ascii="Times New Roman" w:eastAsia="Calibri" w:hAnsi="Times New Roman" w:cs="Times New Roman"/>
                <w:bCs/>
              </w:rPr>
            </w:pP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 and illegal marriage</w:t>
            </w:r>
          </w:p>
        </w:tc>
        <w:tc>
          <w:tcPr>
            <w:tcW w:w="1785" w:type="dxa"/>
            <w:vMerge w:val="restart"/>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p w:rsidR="00517E74" w:rsidRPr="00397A77" w:rsidRDefault="00517E74" w:rsidP="00517E74">
            <w:pPr>
              <w:spacing w:after="0" w:line="360" w:lineRule="auto"/>
              <w:contextualSpacing/>
              <w:rPr>
                <w:rFonts w:ascii="Times New Roman" w:eastAsia="Calibri" w:hAnsi="Times New Roman" w:cs="Times New Roman"/>
                <w:bCs/>
              </w:rPr>
            </w:pPr>
          </w:p>
        </w:tc>
      </w:tr>
      <w:tr w:rsidR="00193F9C" w:rsidTr="00517E74">
        <w:trPr>
          <w:trHeight w:val="605"/>
        </w:trPr>
        <w:tc>
          <w:tcPr>
            <w:tcW w:w="1909" w:type="dxa"/>
            <w:vMerge/>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1785" w:type="dxa"/>
            <w:vMerge/>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r>
      <w:tr w:rsidR="00193F9C" w:rsidTr="00517E74">
        <w:trPr>
          <w:trHeight w:val="570"/>
        </w:trPr>
        <w:tc>
          <w:tcPr>
            <w:tcW w:w="1909" w:type="dxa"/>
            <w:vMerge w:val="restart"/>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Victims</w:t>
            </w:r>
          </w:p>
          <w:p w:rsidR="00517E74" w:rsidRPr="00397A77" w:rsidRDefault="00517E74" w:rsidP="00517E74">
            <w:pPr>
              <w:spacing w:after="0" w:line="360" w:lineRule="auto"/>
              <w:contextualSpacing/>
              <w:rPr>
                <w:rFonts w:ascii="Times New Roman" w:eastAsia="Calibri" w:hAnsi="Times New Roman" w:cs="Times New Roman"/>
                <w:bCs/>
              </w:rPr>
            </w:pP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 xml:space="preserve">12 adult </w:t>
            </w:r>
            <w:r w:rsidRPr="00397A77">
              <w:rPr>
                <w:rFonts w:ascii="Times New Roman" w:eastAsia="Calibri" w:hAnsi="Times New Roman" w:cs="Times New Roman"/>
                <w:bCs/>
              </w:rPr>
              <w:t>females</w:t>
            </w:r>
          </w:p>
        </w:tc>
        <w:tc>
          <w:tcPr>
            <w:tcW w:w="3174" w:type="dxa"/>
            <w:vMerge w:val="restart"/>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Labor exploitation</w:t>
            </w:r>
          </w:p>
        </w:tc>
        <w:tc>
          <w:tcPr>
            <w:tcW w:w="1785" w:type="dxa"/>
            <w:vMerge w:val="restart"/>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TAIWAN</w:t>
            </w:r>
          </w:p>
        </w:tc>
      </w:tr>
      <w:tr w:rsidR="00193F9C" w:rsidTr="00517E74">
        <w:trPr>
          <w:trHeight w:val="583"/>
        </w:trPr>
        <w:tc>
          <w:tcPr>
            <w:tcW w:w="1909" w:type="dxa"/>
            <w:vMerge/>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25 adult males</w:t>
            </w:r>
          </w:p>
        </w:tc>
        <w:tc>
          <w:tcPr>
            <w:tcW w:w="3174" w:type="dxa"/>
            <w:vMerge/>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c>
          <w:tcPr>
            <w:tcW w:w="1785" w:type="dxa"/>
            <w:vMerge/>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r>
      <w:tr w:rsidR="00193F9C" w:rsidTr="00517E74">
        <w:trPr>
          <w:trHeight w:val="521"/>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68"/>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adult female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KOSOVO</w:t>
            </w:r>
          </w:p>
        </w:tc>
      </w:tr>
      <w:tr w:rsidR="00193F9C" w:rsidTr="00517E74">
        <w:trPr>
          <w:trHeight w:val="420"/>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778"/>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607"/>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 xml:space="preserve">4 minors, 2 male and 2 </w:t>
            </w:r>
            <w:proofErr w:type="gramStart"/>
            <w:r w:rsidRPr="00397A77">
              <w:rPr>
                <w:rFonts w:ascii="Times New Roman" w:eastAsia="Calibri" w:hAnsi="Times New Roman" w:cs="Times New Roman"/>
                <w:bCs/>
              </w:rPr>
              <w:t>female</w:t>
            </w:r>
            <w:proofErr w:type="gramEnd"/>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 IDP</w:t>
            </w:r>
          </w:p>
        </w:tc>
      </w:tr>
      <w:tr w:rsidR="00193F9C" w:rsidTr="00517E74">
        <w:trPr>
          <w:trHeight w:val="85"/>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p w:rsidR="00517E74" w:rsidRPr="00397A77" w:rsidRDefault="00517E74" w:rsidP="00517E74">
            <w:pPr>
              <w:spacing w:after="0" w:line="360" w:lineRule="auto"/>
              <w:contextualSpacing/>
              <w:rPr>
                <w:rFonts w:ascii="Times New Roman" w:eastAsia="Calibri" w:hAnsi="Times New Roman" w:cs="Times New Roman"/>
                <w:bCs/>
              </w:rPr>
            </w:pP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2 adult females</w:t>
            </w:r>
          </w:p>
        </w:tc>
        <w:tc>
          <w:tcPr>
            <w:tcW w:w="317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 xml:space="preserve">Sexual exploitation </w:t>
            </w:r>
          </w:p>
        </w:tc>
        <w:tc>
          <w:tcPr>
            <w:tcW w:w="178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SERBIA</w:t>
            </w: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85"/>
        </w:trPr>
        <w:tc>
          <w:tcPr>
            <w:tcW w:w="190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TOTAL</w:t>
            </w:r>
          </w:p>
        </w:tc>
        <w:tc>
          <w:tcPr>
            <w:tcW w:w="255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52</w:t>
            </w:r>
          </w:p>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(31 males, 21 females)</w:t>
            </w:r>
          </w:p>
        </w:tc>
        <w:tc>
          <w:tcPr>
            <w:tcW w:w="3174" w:type="dxa"/>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c>
          <w:tcPr>
            <w:tcW w:w="1785" w:type="dxa"/>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r>
    </w:tbl>
    <w:p w:rsidR="00517E74" w:rsidRPr="00397A77" w:rsidRDefault="00517E74" w:rsidP="00517E74">
      <w:pPr>
        <w:spacing w:after="0" w:line="360" w:lineRule="auto"/>
        <w:contextualSpacing/>
      </w:pPr>
    </w:p>
    <w:p w:rsidR="00517E74" w:rsidRPr="00397A77" w:rsidRDefault="00517E74" w:rsidP="00517E74">
      <w:pPr>
        <w:spacing w:after="0" w:line="360" w:lineRule="auto"/>
        <w:ind w:left="1530" w:right="180" w:hanging="1530"/>
        <w:contextualSpacing/>
        <w:jc w:val="both"/>
        <w:rPr>
          <w:rFonts w:ascii="Times New Roman" w:eastAsia="Calibri" w:hAnsi="Times New Roman" w:cs="Times New Roman"/>
          <w:b/>
          <w:bCs/>
        </w:rPr>
      </w:pPr>
    </w:p>
    <w:p w:rsidR="00517E74" w:rsidRPr="00397A77" w:rsidRDefault="00517E74" w:rsidP="00517E74">
      <w:pPr>
        <w:spacing w:after="0" w:line="360" w:lineRule="auto"/>
        <w:ind w:left="1530" w:right="180" w:hanging="1530"/>
        <w:contextualSpacing/>
        <w:jc w:val="both"/>
        <w:rPr>
          <w:rFonts w:ascii="Times New Roman" w:eastAsia="Calibri" w:hAnsi="Times New Roman" w:cs="Times New Roman"/>
          <w:b/>
          <w:bCs/>
        </w:rPr>
      </w:pPr>
    </w:p>
    <w:p w:rsidR="00517E74" w:rsidRPr="00397A77" w:rsidRDefault="00517E74" w:rsidP="00517E74">
      <w:pPr>
        <w:spacing w:after="0" w:line="360" w:lineRule="auto"/>
        <w:ind w:left="1530" w:right="180" w:hanging="1530"/>
        <w:contextualSpacing/>
        <w:jc w:val="both"/>
        <w:rPr>
          <w:rFonts w:ascii="Times New Roman" w:eastAsia="Calibri" w:hAnsi="Times New Roman" w:cs="Times New Roman"/>
          <w:b/>
          <w:bCs/>
        </w:rPr>
      </w:pPr>
    </w:p>
    <w:p w:rsidR="00517E74" w:rsidRPr="00397A77" w:rsidRDefault="00517E74" w:rsidP="00517E74">
      <w:pPr>
        <w:spacing w:after="0" w:line="360" w:lineRule="auto"/>
        <w:ind w:left="1530" w:right="180" w:hanging="1530"/>
        <w:contextualSpacing/>
        <w:jc w:val="center"/>
        <w:rPr>
          <w:rFonts w:ascii="Times New Roman" w:eastAsia="Calibri" w:hAnsi="Times New Roman" w:cs="Times New Roman"/>
          <w:b/>
          <w:bCs/>
        </w:rPr>
      </w:pPr>
    </w:p>
    <w:p w:rsidR="00517E74" w:rsidRPr="00397A77" w:rsidRDefault="00DD6520" w:rsidP="00517E74">
      <w:pPr>
        <w:spacing w:after="0" w:line="360" w:lineRule="auto"/>
        <w:ind w:left="1530" w:right="180" w:hanging="1530"/>
        <w:contextualSpacing/>
        <w:jc w:val="center"/>
        <w:rPr>
          <w:rFonts w:ascii="Times New Roman" w:eastAsia="Calibri" w:hAnsi="Times New Roman" w:cs="Times New Roman"/>
          <w:b/>
        </w:rPr>
      </w:pPr>
      <w:r w:rsidRPr="00397A77">
        <w:rPr>
          <w:rFonts w:ascii="Times New Roman" w:eastAsia="Calibri" w:hAnsi="Times New Roman" w:cs="Times New Roman"/>
          <w:b/>
          <w:bCs/>
        </w:rPr>
        <w:lastRenderedPageBreak/>
        <w:t xml:space="preserve">Number of HT victims identified by the Formal Identification </w:t>
      </w:r>
      <w:proofErr w:type="gramStart"/>
      <w:r w:rsidRPr="00397A77">
        <w:rPr>
          <w:rFonts w:ascii="Times New Roman" w:eastAsia="Calibri" w:hAnsi="Times New Roman" w:cs="Times New Roman"/>
          <w:b/>
          <w:bCs/>
        </w:rPr>
        <w:t>Team(</w:t>
      </w:r>
      <w:proofErr w:type="gramEnd"/>
      <w:r w:rsidRPr="00397A77">
        <w:rPr>
          <w:rFonts w:ascii="Times New Roman" w:eastAsia="Calibri" w:hAnsi="Times New Roman" w:cs="Times New Roman"/>
          <w:b/>
          <w:bCs/>
        </w:rPr>
        <w:t xml:space="preserve">1 January 2021-31 </w:t>
      </w:r>
      <w:r w:rsidRPr="00397A77">
        <w:rPr>
          <w:rFonts w:ascii="Times New Roman" w:eastAsia="Calibri" w:hAnsi="Times New Roman" w:cs="Times New Roman"/>
          <w:b/>
          <w:bCs/>
        </w:rPr>
        <w:t>December 2021)</w:t>
      </w:r>
    </w:p>
    <w:tbl>
      <w:tblPr>
        <w:tblpPr w:leftFromText="180" w:rightFromText="180" w:vertAnchor="text" w:horzAnchor="margin" w:tblpX="108" w:tblpY="210"/>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2917"/>
        <w:gridCol w:w="2841"/>
        <w:gridCol w:w="2009"/>
      </w:tblGrid>
      <w:tr w:rsidR="00193F9C" w:rsidTr="00517E74">
        <w:trPr>
          <w:trHeight w:val="126"/>
        </w:trPr>
        <w:tc>
          <w:tcPr>
            <w:tcW w:w="1594" w:type="dxa"/>
            <w:shd w:val="clear" w:color="auto" w:fill="8EAADB"/>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STATUS</w:t>
            </w:r>
          </w:p>
        </w:tc>
        <w:tc>
          <w:tcPr>
            <w:tcW w:w="2043" w:type="dxa"/>
            <w:shd w:val="clear" w:color="auto" w:fill="8EAADB"/>
            <w:vAlign w:val="center"/>
          </w:tcPr>
          <w:p w:rsidR="00517E74" w:rsidRPr="00397A77" w:rsidRDefault="00DD6520" w:rsidP="00517E74">
            <w:pPr>
              <w:spacing w:after="0" w:line="360" w:lineRule="auto"/>
              <w:ind w:firstLine="720"/>
              <w:contextualSpacing/>
              <w:rPr>
                <w:rFonts w:ascii="Times New Roman" w:eastAsia="Calibri" w:hAnsi="Times New Roman" w:cs="Times New Roman"/>
                <w:b/>
                <w:bCs/>
              </w:rPr>
            </w:pPr>
            <w:r w:rsidRPr="00397A77">
              <w:rPr>
                <w:rFonts w:ascii="Times New Roman" w:eastAsia="Calibri" w:hAnsi="Times New Roman" w:cs="Times New Roman"/>
                <w:b/>
                <w:bCs/>
              </w:rPr>
              <w:t>NUMBER/GENDER</w:t>
            </w:r>
          </w:p>
        </w:tc>
        <w:tc>
          <w:tcPr>
            <w:tcW w:w="3110" w:type="dxa"/>
            <w:shd w:val="clear" w:color="auto" w:fill="8EAADB"/>
            <w:vAlign w:val="center"/>
          </w:tcPr>
          <w:p w:rsidR="00517E74" w:rsidRPr="00397A77" w:rsidRDefault="00DD6520" w:rsidP="00517E74">
            <w:pPr>
              <w:spacing w:after="0" w:line="360" w:lineRule="auto"/>
              <w:ind w:firstLine="720"/>
              <w:contextualSpacing/>
              <w:rPr>
                <w:rFonts w:ascii="Times New Roman" w:eastAsia="Calibri" w:hAnsi="Times New Roman" w:cs="Times New Roman"/>
                <w:b/>
                <w:bCs/>
              </w:rPr>
            </w:pPr>
            <w:r w:rsidRPr="00397A77">
              <w:rPr>
                <w:rFonts w:ascii="Times New Roman" w:eastAsia="Calibri" w:hAnsi="Times New Roman" w:cs="Times New Roman"/>
                <w:b/>
                <w:bCs/>
              </w:rPr>
              <w:t>EXPLOITATION TYPE</w:t>
            </w:r>
          </w:p>
        </w:tc>
        <w:tc>
          <w:tcPr>
            <w:tcW w:w="2310" w:type="dxa"/>
            <w:shd w:val="clear" w:color="auto" w:fill="8EAADB"/>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NATIONALITY</w:t>
            </w:r>
          </w:p>
        </w:tc>
      </w:tr>
      <w:tr w:rsidR="00193F9C" w:rsidTr="00517E74">
        <w:trPr>
          <w:trHeight w:val="172"/>
        </w:trPr>
        <w:tc>
          <w:tcPr>
            <w:tcW w:w="159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Sexual exploitation</w:t>
            </w:r>
          </w:p>
        </w:tc>
        <w:tc>
          <w:tcPr>
            <w:tcW w:w="23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172"/>
        </w:trPr>
        <w:tc>
          <w:tcPr>
            <w:tcW w:w="159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23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184"/>
        </w:trPr>
        <w:tc>
          <w:tcPr>
            <w:tcW w:w="1594" w:type="dxa"/>
            <w:vMerge w:val="restart"/>
            <w:shd w:val="clear" w:color="auto" w:fill="FFF2CC"/>
            <w:vAlign w:val="center"/>
          </w:tcPr>
          <w:p w:rsidR="00517E74" w:rsidRPr="00397A77" w:rsidRDefault="00517E74" w:rsidP="00517E74">
            <w:pPr>
              <w:spacing w:after="0" w:line="360" w:lineRule="auto"/>
              <w:ind w:firstLine="720"/>
              <w:contextualSpacing/>
              <w:rPr>
                <w:rFonts w:ascii="Times New Roman" w:eastAsia="Calibri" w:hAnsi="Times New Roman" w:cs="Times New Roman"/>
                <w:bCs/>
              </w:rPr>
            </w:pP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p w:rsidR="00517E74" w:rsidRPr="00397A77" w:rsidRDefault="00517E74" w:rsidP="00517E74">
            <w:pPr>
              <w:spacing w:after="0" w:line="360" w:lineRule="auto"/>
              <w:ind w:firstLine="720"/>
              <w:contextualSpacing/>
              <w:rPr>
                <w:rFonts w:ascii="Times New Roman" w:eastAsia="Calibri" w:hAnsi="Times New Roman" w:cs="Times New Roman"/>
                <w:bCs/>
              </w:rPr>
            </w:pP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2310" w:type="dxa"/>
            <w:vMerge w:val="restart"/>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MONTENEGRO</w:t>
            </w:r>
          </w:p>
          <w:p w:rsidR="00517E74" w:rsidRPr="00397A77" w:rsidRDefault="00517E74" w:rsidP="00517E74">
            <w:pPr>
              <w:spacing w:after="0" w:line="360" w:lineRule="auto"/>
              <w:ind w:firstLine="720"/>
              <w:contextualSpacing/>
              <w:rPr>
                <w:rFonts w:ascii="Times New Roman" w:eastAsia="Calibri" w:hAnsi="Times New Roman" w:cs="Times New Roman"/>
                <w:bCs/>
              </w:rPr>
            </w:pPr>
          </w:p>
        </w:tc>
      </w:tr>
      <w:tr w:rsidR="00193F9C" w:rsidTr="00517E74">
        <w:trPr>
          <w:trHeight w:val="153"/>
        </w:trPr>
        <w:tc>
          <w:tcPr>
            <w:tcW w:w="1594" w:type="dxa"/>
            <w:vMerge/>
            <w:shd w:val="clear" w:color="auto" w:fill="FFF2CC"/>
            <w:vAlign w:val="center"/>
          </w:tcPr>
          <w:p w:rsidR="00517E74" w:rsidRPr="00397A77" w:rsidRDefault="00517E74" w:rsidP="00517E74">
            <w:pPr>
              <w:spacing w:after="0" w:line="360" w:lineRule="auto"/>
              <w:ind w:firstLine="720"/>
              <w:contextualSpacing/>
              <w:rPr>
                <w:rFonts w:ascii="Times New Roman" w:eastAsia="Calibri" w:hAnsi="Times New Roman" w:cs="Times New Roman"/>
                <w:bCs/>
              </w:rPr>
            </w:pP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male</w:t>
            </w:r>
          </w:p>
        </w:tc>
        <w:tc>
          <w:tcPr>
            <w:tcW w:w="31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2310" w:type="dxa"/>
            <w:vMerge/>
            <w:shd w:val="clear" w:color="auto" w:fill="FFF2CC"/>
            <w:vAlign w:val="center"/>
          </w:tcPr>
          <w:p w:rsidR="00517E74" w:rsidRPr="00397A77" w:rsidRDefault="00517E74" w:rsidP="00517E74">
            <w:pPr>
              <w:spacing w:after="0" w:line="360" w:lineRule="auto"/>
              <w:ind w:firstLine="720"/>
              <w:contextualSpacing/>
              <w:rPr>
                <w:rFonts w:ascii="Times New Roman" w:eastAsia="Calibri" w:hAnsi="Times New Roman" w:cs="Times New Roman"/>
                <w:bCs/>
              </w:rPr>
            </w:pPr>
          </w:p>
        </w:tc>
      </w:tr>
      <w:tr w:rsidR="00193F9C" w:rsidTr="00517E74">
        <w:trPr>
          <w:trHeight w:val="20"/>
        </w:trPr>
        <w:tc>
          <w:tcPr>
            <w:tcW w:w="159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female</w:t>
            </w:r>
          </w:p>
        </w:tc>
        <w:tc>
          <w:tcPr>
            <w:tcW w:w="31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2310"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SERBIA</w:t>
            </w:r>
          </w:p>
        </w:tc>
      </w:tr>
      <w:tr w:rsidR="00193F9C" w:rsidTr="00517E74">
        <w:trPr>
          <w:trHeight w:val="20"/>
        </w:trPr>
        <w:tc>
          <w:tcPr>
            <w:tcW w:w="1594"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TOTAL</w:t>
            </w:r>
          </w:p>
        </w:tc>
        <w:tc>
          <w:tcPr>
            <w:tcW w:w="2043"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5</w:t>
            </w:r>
          </w:p>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(4 female, 1 male)</w:t>
            </w:r>
          </w:p>
        </w:tc>
        <w:tc>
          <w:tcPr>
            <w:tcW w:w="3110" w:type="dxa"/>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c>
          <w:tcPr>
            <w:tcW w:w="2310" w:type="dxa"/>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Cs/>
              </w:rPr>
            </w:pPr>
          </w:p>
        </w:tc>
      </w:tr>
    </w:tbl>
    <w:p w:rsidR="00517E74" w:rsidRPr="00397A77" w:rsidRDefault="00DD6520" w:rsidP="00517E74">
      <w:pPr>
        <w:spacing w:after="0" w:line="360" w:lineRule="auto"/>
        <w:ind w:left="1530" w:hanging="1530"/>
        <w:contextualSpacing/>
        <w:jc w:val="both"/>
        <w:rPr>
          <w:rFonts w:ascii="Times New Roman" w:eastAsia="Calibri" w:hAnsi="Times New Roman" w:cs="Times New Roman"/>
          <w:b/>
        </w:rPr>
      </w:pPr>
      <w:r w:rsidRPr="00397A77">
        <w:rPr>
          <w:rFonts w:ascii="Times New Roman" w:eastAsia="Calibri" w:hAnsi="Times New Roman" w:cs="Times New Roman"/>
          <w:b/>
        </w:rPr>
        <w:t xml:space="preserve"> </w:t>
      </w:r>
    </w:p>
    <w:p w:rsidR="00517E74" w:rsidRPr="00397A77" w:rsidRDefault="00DD6520" w:rsidP="00517E74">
      <w:pPr>
        <w:spacing w:after="0" w:line="360" w:lineRule="auto"/>
        <w:ind w:left="1530" w:hanging="1530"/>
        <w:contextualSpacing/>
        <w:jc w:val="both"/>
        <w:rPr>
          <w:rFonts w:ascii="Times New Roman" w:eastAsia="Calibri" w:hAnsi="Times New Roman" w:cs="Times New Roman"/>
          <w:b/>
          <w:bCs/>
        </w:rPr>
      </w:pPr>
      <w:r w:rsidRPr="00397A77">
        <w:rPr>
          <w:rFonts w:ascii="Times New Roman" w:eastAsia="Calibri" w:hAnsi="Times New Roman" w:cs="Times New Roman"/>
          <w:b/>
          <w:bCs/>
        </w:rPr>
        <w:t xml:space="preserve">Number of HT victims identified by the Formal Identification </w:t>
      </w:r>
      <w:proofErr w:type="gramStart"/>
      <w:r w:rsidRPr="00397A77">
        <w:rPr>
          <w:rFonts w:ascii="Times New Roman" w:eastAsia="Calibri" w:hAnsi="Times New Roman" w:cs="Times New Roman"/>
          <w:b/>
          <w:bCs/>
        </w:rPr>
        <w:t>Team(</w:t>
      </w:r>
      <w:proofErr w:type="gramEnd"/>
      <w:r w:rsidRPr="00397A77">
        <w:rPr>
          <w:rFonts w:ascii="Times New Roman" w:eastAsia="Calibri" w:hAnsi="Times New Roman" w:cs="Times New Roman"/>
          <w:b/>
          <w:bCs/>
        </w:rPr>
        <w:t>1 January 2022-31 December 2022)</w:t>
      </w:r>
    </w:p>
    <w:tbl>
      <w:tblPr>
        <w:tblpPr w:leftFromText="180" w:rightFromText="180" w:vertAnchor="text" w:horzAnchor="margin" w:tblpXSpec="center" w:tblpY="194"/>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2835"/>
        <w:gridCol w:w="2019"/>
        <w:gridCol w:w="2657"/>
      </w:tblGrid>
      <w:tr w:rsidR="00193F9C" w:rsidTr="00517E74">
        <w:trPr>
          <w:trHeight w:val="136"/>
        </w:trPr>
        <w:tc>
          <w:tcPr>
            <w:tcW w:w="1839" w:type="dxa"/>
            <w:shd w:val="clear" w:color="auto" w:fill="8EAADB"/>
            <w:vAlign w:val="center"/>
          </w:tcPr>
          <w:p w:rsidR="00517E74" w:rsidRPr="00397A77" w:rsidRDefault="00DD6520" w:rsidP="00517E74">
            <w:pPr>
              <w:spacing w:after="0" w:line="360" w:lineRule="auto"/>
              <w:ind w:firstLine="720"/>
              <w:contextualSpacing/>
              <w:jc w:val="both"/>
              <w:rPr>
                <w:rFonts w:ascii="Times New Roman" w:eastAsia="Calibri" w:hAnsi="Times New Roman" w:cs="Times New Roman"/>
                <w:b/>
                <w:bCs/>
              </w:rPr>
            </w:pPr>
            <w:r w:rsidRPr="00397A77">
              <w:rPr>
                <w:rFonts w:ascii="Times New Roman" w:eastAsia="Calibri" w:hAnsi="Times New Roman" w:cs="Times New Roman"/>
                <w:b/>
                <w:bCs/>
              </w:rPr>
              <w:t>STATUS</w:t>
            </w:r>
          </w:p>
        </w:tc>
        <w:tc>
          <w:tcPr>
            <w:tcW w:w="2835" w:type="dxa"/>
            <w:shd w:val="clear" w:color="auto" w:fill="8EAADB"/>
            <w:vAlign w:val="center"/>
          </w:tcPr>
          <w:p w:rsidR="00517E74" w:rsidRPr="00397A77" w:rsidRDefault="00DD6520" w:rsidP="00517E74">
            <w:pPr>
              <w:spacing w:after="0" w:line="360" w:lineRule="auto"/>
              <w:ind w:firstLine="720"/>
              <w:contextualSpacing/>
              <w:rPr>
                <w:rFonts w:ascii="Times New Roman" w:eastAsia="Calibri" w:hAnsi="Times New Roman" w:cs="Times New Roman"/>
                <w:b/>
                <w:bCs/>
              </w:rPr>
            </w:pPr>
            <w:r w:rsidRPr="00397A77">
              <w:rPr>
                <w:rFonts w:ascii="Times New Roman" w:eastAsia="Calibri" w:hAnsi="Times New Roman" w:cs="Times New Roman"/>
                <w:b/>
                <w:bCs/>
              </w:rPr>
              <w:t>NUMBER/</w:t>
            </w:r>
            <w:r w:rsidRPr="00397A77">
              <w:rPr>
                <w:rFonts w:ascii="Times New Roman" w:eastAsia="Calibri" w:hAnsi="Times New Roman" w:cs="Times New Roman"/>
                <w:b/>
                <w:bCs/>
                <w:sz w:val="20"/>
              </w:rPr>
              <w:t>GENDER</w:t>
            </w:r>
          </w:p>
        </w:tc>
        <w:tc>
          <w:tcPr>
            <w:tcW w:w="2019" w:type="dxa"/>
            <w:shd w:val="clear" w:color="auto" w:fill="8EAADB"/>
            <w:vAlign w:val="center"/>
          </w:tcPr>
          <w:p w:rsidR="00517E74" w:rsidRPr="00397A77" w:rsidRDefault="00DD6520" w:rsidP="00517E74">
            <w:pPr>
              <w:spacing w:after="0" w:line="360" w:lineRule="auto"/>
              <w:ind w:firstLine="720"/>
              <w:contextualSpacing/>
              <w:jc w:val="both"/>
              <w:rPr>
                <w:rFonts w:ascii="Times New Roman" w:eastAsia="Calibri" w:hAnsi="Times New Roman" w:cs="Times New Roman"/>
                <w:b/>
                <w:bCs/>
              </w:rPr>
            </w:pPr>
            <w:r w:rsidRPr="00397A77">
              <w:rPr>
                <w:rFonts w:ascii="Times New Roman" w:eastAsia="Calibri" w:hAnsi="Times New Roman" w:cs="Times New Roman"/>
                <w:b/>
                <w:bCs/>
              </w:rPr>
              <w:t>EXPLOITATION TYPE</w:t>
            </w:r>
          </w:p>
        </w:tc>
        <w:tc>
          <w:tcPr>
            <w:tcW w:w="2657" w:type="dxa"/>
            <w:shd w:val="clear" w:color="auto" w:fill="8EAADB"/>
            <w:vAlign w:val="center"/>
          </w:tcPr>
          <w:p w:rsidR="00517E74" w:rsidRPr="00397A77" w:rsidRDefault="00DD6520" w:rsidP="00517E74">
            <w:pPr>
              <w:spacing w:after="0" w:line="360" w:lineRule="auto"/>
              <w:contextualSpacing/>
              <w:jc w:val="both"/>
              <w:rPr>
                <w:rFonts w:ascii="Times New Roman" w:eastAsia="Calibri" w:hAnsi="Times New Roman" w:cs="Times New Roman"/>
                <w:b/>
                <w:bCs/>
              </w:rPr>
            </w:pPr>
            <w:r w:rsidRPr="00397A77">
              <w:rPr>
                <w:rFonts w:ascii="Times New Roman" w:eastAsia="Calibri" w:hAnsi="Times New Roman" w:cs="Times New Roman"/>
                <w:b/>
                <w:bCs/>
              </w:rPr>
              <w:t>NATIONALITY</w:t>
            </w:r>
          </w:p>
        </w:tc>
      </w:tr>
      <w:tr w:rsidR="00193F9C" w:rsidTr="00517E74">
        <w:trPr>
          <w:trHeight w:val="186"/>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adult female</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marriage/Forced begging</w:t>
            </w:r>
          </w:p>
        </w:tc>
        <w:tc>
          <w:tcPr>
            <w:tcW w:w="2657"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186"/>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7 minor females</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Illegal marriage</w:t>
            </w:r>
          </w:p>
        </w:tc>
        <w:tc>
          <w:tcPr>
            <w:tcW w:w="2657"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proofErr w:type="gramStart"/>
            <w:r w:rsidRPr="00397A77">
              <w:rPr>
                <w:rFonts w:ascii="Times New Roman" w:eastAsia="Calibri" w:hAnsi="Times New Roman" w:cs="Times New Roman"/>
                <w:bCs/>
              </w:rPr>
              <w:t>MONTENEGRO(</w:t>
            </w:r>
            <w:proofErr w:type="gramEnd"/>
            <w:r w:rsidRPr="00397A77">
              <w:rPr>
                <w:rFonts w:ascii="Times New Roman" w:eastAsia="Calibri" w:hAnsi="Times New Roman" w:cs="Times New Roman"/>
                <w:bCs/>
              </w:rPr>
              <w:t>5)</w:t>
            </w:r>
          </w:p>
          <w:p w:rsidR="00517E74" w:rsidRPr="00397A77" w:rsidRDefault="00DD6520" w:rsidP="00517E74">
            <w:pPr>
              <w:spacing w:after="0" w:line="360" w:lineRule="auto"/>
              <w:ind w:firstLine="720"/>
              <w:contextualSpacing/>
              <w:rPr>
                <w:rFonts w:ascii="Times New Roman" w:eastAsia="Calibri" w:hAnsi="Times New Roman" w:cs="Times New Roman"/>
                <w:bCs/>
              </w:rPr>
            </w:pPr>
            <w:proofErr w:type="gramStart"/>
            <w:r w:rsidRPr="00397A77">
              <w:rPr>
                <w:rFonts w:ascii="Times New Roman" w:eastAsia="Calibri" w:hAnsi="Times New Roman" w:cs="Times New Roman"/>
                <w:bCs/>
              </w:rPr>
              <w:t>SERBIA(</w:t>
            </w:r>
            <w:proofErr w:type="gramEnd"/>
            <w:r w:rsidRPr="00397A77">
              <w:rPr>
                <w:rFonts w:ascii="Times New Roman" w:eastAsia="Calibri" w:hAnsi="Times New Roman" w:cs="Times New Roman"/>
                <w:bCs/>
              </w:rPr>
              <w:t>2)</w:t>
            </w:r>
          </w:p>
        </w:tc>
      </w:tr>
      <w:tr w:rsidR="00193F9C" w:rsidTr="00517E74">
        <w:trPr>
          <w:trHeight w:val="200"/>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2 minor females</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2657"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200"/>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3 adult females</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Sexual exploitation</w:t>
            </w:r>
          </w:p>
        </w:tc>
        <w:tc>
          <w:tcPr>
            <w:tcW w:w="2657"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RUSSIA</w:t>
            </w:r>
          </w:p>
        </w:tc>
      </w:tr>
      <w:tr w:rsidR="00193F9C" w:rsidTr="00517E74">
        <w:trPr>
          <w:trHeight w:val="200"/>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1 minor male</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 xml:space="preserve">Illegal marriage </w:t>
            </w:r>
          </w:p>
        </w:tc>
        <w:tc>
          <w:tcPr>
            <w:tcW w:w="2657"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22"/>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Cs/>
              </w:rPr>
            </w:pPr>
            <w:r w:rsidRPr="00397A77">
              <w:rPr>
                <w:rFonts w:ascii="Times New Roman" w:eastAsia="Calibri" w:hAnsi="Times New Roman" w:cs="Times New Roman"/>
                <w:bCs/>
              </w:rPr>
              <w:t>Victim</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2 minor males</w:t>
            </w:r>
          </w:p>
        </w:tc>
        <w:tc>
          <w:tcPr>
            <w:tcW w:w="2019"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Cs/>
              </w:rPr>
            </w:pPr>
            <w:r w:rsidRPr="00397A77">
              <w:rPr>
                <w:rFonts w:ascii="Times New Roman" w:eastAsia="Calibri" w:hAnsi="Times New Roman" w:cs="Times New Roman"/>
                <w:bCs/>
              </w:rPr>
              <w:t>Forced begging</w:t>
            </w:r>
          </w:p>
        </w:tc>
        <w:tc>
          <w:tcPr>
            <w:tcW w:w="2657" w:type="dxa"/>
            <w:shd w:val="clear" w:color="auto" w:fill="FFF2CC"/>
            <w:vAlign w:val="center"/>
          </w:tcPr>
          <w:p w:rsidR="00517E74" w:rsidRPr="00397A77" w:rsidRDefault="00DD6520" w:rsidP="00517E74">
            <w:pPr>
              <w:spacing w:after="0" w:line="360" w:lineRule="auto"/>
              <w:ind w:firstLine="720"/>
              <w:contextualSpacing/>
              <w:jc w:val="both"/>
              <w:rPr>
                <w:rFonts w:ascii="Times New Roman" w:eastAsia="Calibri" w:hAnsi="Times New Roman" w:cs="Times New Roman"/>
                <w:bCs/>
              </w:rPr>
            </w:pPr>
            <w:r w:rsidRPr="00397A77">
              <w:rPr>
                <w:rFonts w:ascii="Times New Roman" w:eastAsia="Calibri" w:hAnsi="Times New Roman" w:cs="Times New Roman"/>
                <w:bCs/>
              </w:rPr>
              <w:t>MONTENEGRO</w:t>
            </w:r>
          </w:p>
        </w:tc>
      </w:tr>
      <w:tr w:rsidR="00193F9C" w:rsidTr="00517E74">
        <w:trPr>
          <w:trHeight w:val="22"/>
        </w:trPr>
        <w:tc>
          <w:tcPr>
            <w:tcW w:w="1839" w:type="dxa"/>
            <w:shd w:val="clear" w:color="auto" w:fill="FFF2CC"/>
            <w:vAlign w:val="center"/>
          </w:tcPr>
          <w:p w:rsidR="00517E74" w:rsidRPr="00397A77" w:rsidRDefault="00DD6520" w:rsidP="00517E74">
            <w:pPr>
              <w:spacing w:after="0" w:line="360" w:lineRule="auto"/>
              <w:ind w:firstLine="720"/>
              <w:contextualSpacing/>
              <w:rPr>
                <w:rFonts w:ascii="Times New Roman" w:eastAsia="Calibri" w:hAnsi="Times New Roman" w:cs="Times New Roman"/>
                <w:b/>
                <w:bCs/>
              </w:rPr>
            </w:pPr>
            <w:r w:rsidRPr="00397A77">
              <w:rPr>
                <w:rFonts w:ascii="Times New Roman" w:eastAsia="Calibri" w:hAnsi="Times New Roman" w:cs="Times New Roman"/>
                <w:b/>
                <w:bCs/>
              </w:rPr>
              <w:t>TOTAL</w:t>
            </w:r>
          </w:p>
        </w:tc>
        <w:tc>
          <w:tcPr>
            <w:tcW w:w="2835" w:type="dxa"/>
            <w:shd w:val="clear" w:color="auto" w:fill="FFF2CC"/>
            <w:vAlign w:val="center"/>
          </w:tcPr>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16</w:t>
            </w:r>
          </w:p>
          <w:p w:rsidR="00517E74" w:rsidRPr="00397A77" w:rsidRDefault="00DD6520" w:rsidP="00517E74">
            <w:pPr>
              <w:spacing w:after="0" w:line="360" w:lineRule="auto"/>
              <w:contextualSpacing/>
              <w:rPr>
                <w:rFonts w:ascii="Times New Roman" w:eastAsia="Calibri" w:hAnsi="Times New Roman" w:cs="Times New Roman"/>
                <w:b/>
                <w:bCs/>
              </w:rPr>
            </w:pPr>
            <w:r w:rsidRPr="00397A77">
              <w:rPr>
                <w:rFonts w:ascii="Times New Roman" w:eastAsia="Calibri" w:hAnsi="Times New Roman" w:cs="Times New Roman"/>
                <w:b/>
                <w:bCs/>
              </w:rPr>
              <w:t>(13 female, 3 male)</w:t>
            </w:r>
          </w:p>
        </w:tc>
        <w:tc>
          <w:tcPr>
            <w:tcW w:w="2019" w:type="dxa"/>
            <w:shd w:val="clear" w:color="auto" w:fill="FFF2CC"/>
            <w:vAlign w:val="center"/>
          </w:tcPr>
          <w:p w:rsidR="00517E74" w:rsidRPr="00397A77" w:rsidRDefault="00517E74" w:rsidP="00517E74">
            <w:pPr>
              <w:spacing w:after="0" w:line="360" w:lineRule="auto"/>
              <w:contextualSpacing/>
              <w:rPr>
                <w:rFonts w:ascii="Times New Roman" w:eastAsia="Calibri" w:hAnsi="Times New Roman" w:cs="Times New Roman"/>
                <w:b/>
                <w:bCs/>
              </w:rPr>
            </w:pPr>
          </w:p>
        </w:tc>
        <w:tc>
          <w:tcPr>
            <w:tcW w:w="2657" w:type="dxa"/>
            <w:shd w:val="clear" w:color="auto" w:fill="FFF2CC"/>
            <w:vAlign w:val="center"/>
          </w:tcPr>
          <w:p w:rsidR="00517E74" w:rsidRPr="00397A77" w:rsidRDefault="00517E74" w:rsidP="00517E74">
            <w:pPr>
              <w:spacing w:after="0" w:line="360" w:lineRule="auto"/>
              <w:ind w:firstLine="720"/>
              <w:contextualSpacing/>
              <w:jc w:val="both"/>
              <w:rPr>
                <w:rFonts w:ascii="Times New Roman" w:eastAsia="Calibri" w:hAnsi="Times New Roman" w:cs="Times New Roman"/>
                <w:b/>
                <w:bCs/>
              </w:rPr>
            </w:pPr>
          </w:p>
        </w:tc>
      </w:tr>
    </w:tbl>
    <w:p w:rsidR="00517E74" w:rsidRPr="00397A77" w:rsidRDefault="00517E74" w:rsidP="00517E74">
      <w:pPr>
        <w:spacing w:after="0" w:line="360" w:lineRule="auto"/>
        <w:contextualSpacing/>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DD6520" w:rsidP="00517E74">
      <w:pPr>
        <w:spacing w:after="0" w:line="360" w:lineRule="auto"/>
        <w:ind w:left="1418" w:hanging="1418"/>
        <w:contextualSpacing/>
        <w:jc w:val="both"/>
        <w:rPr>
          <w:rFonts w:ascii="Times New Roman" w:hAnsi="Times New Roman" w:cs="Times New Roman"/>
          <w:shd w:val="clear" w:color="auto" w:fill="FFFFFF"/>
        </w:rPr>
      </w:pPr>
      <w:r w:rsidRPr="00397A77">
        <w:rPr>
          <w:rFonts w:ascii="Times New Roman" w:eastAsia="Calibri" w:hAnsi="Times New Roman" w:cs="Times New Roman"/>
          <w:b/>
          <w:bCs/>
        </w:rPr>
        <w:t xml:space="preserve">Number of HT victims identified by the Formal Identification </w:t>
      </w:r>
      <w:proofErr w:type="gramStart"/>
      <w:r w:rsidRPr="00397A77">
        <w:rPr>
          <w:rFonts w:ascii="Times New Roman" w:eastAsia="Calibri" w:hAnsi="Times New Roman" w:cs="Times New Roman"/>
          <w:b/>
          <w:bCs/>
        </w:rPr>
        <w:t>Team(</w:t>
      </w:r>
      <w:proofErr w:type="gramEnd"/>
      <w:r w:rsidRPr="00397A77">
        <w:rPr>
          <w:rFonts w:ascii="Times New Roman" w:eastAsia="Calibri" w:hAnsi="Times New Roman" w:cs="Times New Roman"/>
          <w:b/>
          <w:bCs/>
        </w:rPr>
        <w:t>1 January 2023 to 31 December 2023)</w:t>
      </w:r>
    </w:p>
    <w:tbl>
      <w:tblPr>
        <w:tblpPr w:leftFromText="180" w:rightFromText="180" w:vertAnchor="text" w:horzAnchor="page" w:tblpX="1246" w:tblpY="770"/>
        <w:tblW w:w="10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7"/>
        <w:gridCol w:w="3011"/>
        <w:gridCol w:w="3747"/>
        <w:gridCol w:w="2106"/>
      </w:tblGrid>
      <w:tr w:rsidR="00193F9C" w:rsidTr="00517E74">
        <w:trPr>
          <w:trHeight w:val="364"/>
        </w:trPr>
        <w:tc>
          <w:tcPr>
            <w:tcW w:w="1177"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STATUS</w:t>
            </w:r>
          </w:p>
        </w:tc>
        <w:tc>
          <w:tcPr>
            <w:tcW w:w="3011"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NUMBER/GENDER</w:t>
            </w:r>
          </w:p>
        </w:tc>
        <w:tc>
          <w:tcPr>
            <w:tcW w:w="3747"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EXPLOITATION TYPE</w:t>
            </w:r>
          </w:p>
        </w:tc>
        <w:tc>
          <w:tcPr>
            <w:tcW w:w="2106"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NATIONALITY</w:t>
            </w:r>
          </w:p>
        </w:tc>
      </w:tr>
      <w:tr w:rsidR="00193F9C" w:rsidTr="00517E74">
        <w:trPr>
          <w:trHeight w:val="494"/>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3 </w:t>
            </w:r>
            <w:r w:rsidRPr="00397A77">
              <w:t xml:space="preserve"> </w:t>
            </w:r>
            <w:r w:rsidRPr="00397A77">
              <w:rPr>
                <w:rFonts w:ascii="Times New Roman" w:hAnsi="Times New Roman" w:cs="Times New Roman"/>
                <w:bCs/>
              </w:rPr>
              <w:t>adult</w:t>
            </w:r>
            <w:proofErr w:type="gramEnd"/>
            <w:r w:rsidRPr="00397A77">
              <w:rPr>
                <w:rFonts w:ascii="Times New Roman" w:hAnsi="Times New Roman" w:cs="Times New Roman"/>
                <w:bCs/>
              </w:rPr>
              <w:t xml:space="preserve"> females</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Use for pornographic purposes</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UKRAINE(</w:t>
            </w:r>
            <w:proofErr w:type="gramEnd"/>
            <w:r w:rsidRPr="00397A77">
              <w:rPr>
                <w:rFonts w:ascii="Times New Roman" w:hAnsi="Times New Roman" w:cs="Times New Roman"/>
                <w:bCs/>
              </w:rPr>
              <w:t>2)</w:t>
            </w:r>
          </w:p>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ISRAEL(</w:t>
            </w:r>
            <w:proofErr w:type="gramEnd"/>
            <w:r w:rsidRPr="00397A77">
              <w:rPr>
                <w:rFonts w:ascii="Times New Roman" w:hAnsi="Times New Roman" w:cs="Times New Roman"/>
                <w:bCs/>
              </w:rPr>
              <w:t xml:space="preserve">1) </w:t>
            </w:r>
          </w:p>
        </w:tc>
      </w:tr>
      <w:tr w:rsidR="00193F9C" w:rsidTr="00517E74">
        <w:trPr>
          <w:trHeight w:val="494"/>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adult</w:t>
            </w:r>
            <w:proofErr w:type="gramEnd"/>
            <w:r w:rsidRPr="00397A77">
              <w:rPr>
                <w:rFonts w:ascii="Times New Roman" w:hAnsi="Times New Roman" w:cs="Times New Roman"/>
                <w:bCs/>
              </w:rPr>
              <w:t xml:space="preserve"> female</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Sexual exploitation/Use for pornographic purposes</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UKRAINE</w:t>
            </w:r>
          </w:p>
        </w:tc>
      </w:tr>
      <w:tr w:rsidR="00193F9C" w:rsidTr="00517E74">
        <w:trPr>
          <w:trHeight w:val="494"/>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adult</w:t>
            </w:r>
            <w:proofErr w:type="gramEnd"/>
            <w:r w:rsidRPr="00397A77">
              <w:rPr>
                <w:rFonts w:ascii="Times New Roman" w:hAnsi="Times New Roman" w:cs="Times New Roman"/>
                <w:bCs/>
              </w:rPr>
              <w:t xml:space="preserve"> female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Sexual exploitation</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SERBIA</w:t>
            </w:r>
          </w:p>
        </w:tc>
      </w:tr>
      <w:tr w:rsidR="00193F9C" w:rsidTr="00517E74">
        <w:trPr>
          <w:trHeight w:val="494"/>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female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Sexual exploitation</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MONTENEGRO</w:t>
            </w:r>
          </w:p>
        </w:tc>
      </w:tr>
      <w:tr w:rsidR="00193F9C" w:rsidTr="00517E74">
        <w:trPr>
          <w:trHeight w:val="494"/>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female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 xml:space="preserve">Sexual exploitation/Coercion into criminal activity </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MONTENEGRO</w:t>
            </w:r>
          </w:p>
        </w:tc>
      </w:tr>
      <w:tr w:rsidR="00193F9C" w:rsidTr="00517E74">
        <w:trPr>
          <w:trHeight w:val="529"/>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2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females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MONTENEGRO</w:t>
            </w:r>
          </w:p>
        </w:tc>
      </w:tr>
      <w:tr w:rsidR="00193F9C" w:rsidTr="00517E74">
        <w:trPr>
          <w:trHeight w:val="529"/>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4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males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MONTENEGRO</w:t>
            </w:r>
          </w:p>
        </w:tc>
      </w:tr>
      <w:tr w:rsidR="00193F9C" w:rsidTr="00517E74">
        <w:trPr>
          <w:trHeight w:val="529"/>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male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Coercion into criminal activity</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ALBANIA</w:t>
            </w:r>
          </w:p>
        </w:tc>
      </w:tr>
      <w:tr w:rsidR="00193F9C" w:rsidTr="00517E74">
        <w:trPr>
          <w:trHeight w:val="61"/>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3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females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Entering illegal marriage</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MONTENEGRO(</w:t>
            </w:r>
            <w:proofErr w:type="gramEnd"/>
            <w:r w:rsidRPr="00397A77">
              <w:rPr>
                <w:rFonts w:ascii="Times New Roman" w:hAnsi="Times New Roman" w:cs="Times New Roman"/>
                <w:bCs/>
              </w:rPr>
              <w:t>2)</w:t>
            </w:r>
          </w:p>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KOSOVO(</w:t>
            </w:r>
            <w:proofErr w:type="gramEnd"/>
            <w:r w:rsidRPr="00397A77">
              <w:rPr>
                <w:rFonts w:ascii="Times New Roman" w:hAnsi="Times New Roman" w:cs="Times New Roman"/>
                <w:bCs/>
              </w:rPr>
              <w:t>1)</w:t>
            </w:r>
          </w:p>
        </w:tc>
      </w:tr>
      <w:tr w:rsidR="00193F9C" w:rsidTr="00517E74">
        <w:trPr>
          <w:trHeight w:val="61"/>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 xml:space="preserve">1 </w:t>
            </w:r>
            <w:r w:rsidRPr="00397A77">
              <w:t xml:space="preserve"> </w:t>
            </w:r>
            <w:r w:rsidRPr="00397A77">
              <w:rPr>
                <w:rFonts w:ascii="Times New Roman" w:hAnsi="Times New Roman" w:cs="Times New Roman"/>
                <w:bCs/>
              </w:rPr>
              <w:t>minor</w:t>
            </w:r>
            <w:proofErr w:type="gramEnd"/>
            <w:r w:rsidRPr="00397A77">
              <w:rPr>
                <w:rFonts w:ascii="Times New Roman" w:hAnsi="Times New Roman" w:cs="Times New Roman"/>
                <w:bCs/>
              </w:rPr>
              <w:t xml:space="preserve"> female </w:t>
            </w:r>
          </w:p>
        </w:tc>
        <w:tc>
          <w:tcPr>
            <w:tcW w:w="374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 xml:space="preserve">Illegal marriage/Forced begging </w:t>
            </w:r>
          </w:p>
        </w:tc>
        <w:tc>
          <w:tcPr>
            <w:tcW w:w="2106"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MONTENEGRO</w:t>
            </w:r>
          </w:p>
        </w:tc>
      </w:tr>
      <w:tr w:rsidR="00193F9C" w:rsidTr="00517E74">
        <w:trPr>
          <w:trHeight w:val="61"/>
        </w:trPr>
        <w:tc>
          <w:tcPr>
            <w:tcW w:w="117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TOTAL</w:t>
            </w:r>
          </w:p>
        </w:tc>
        <w:tc>
          <w:tcPr>
            <w:tcW w:w="3011"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 xml:space="preserve">18 </w:t>
            </w:r>
          </w:p>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 xml:space="preserve">(13 female, 5 male) </w:t>
            </w:r>
          </w:p>
        </w:tc>
        <w:tc>
          <w:tcPr>
            <w:tcW w:w="3747" w:type="dxa"/>
            <w:shd w:val="clear" w:color="auto" w:fill="FDE9D9" w:themeFill="accent6" w:themeFillTint="33"/>
            <w:vAlign w:val="center"/>
          </w:tcPr>
          <w:p w:rsidR="00517E74" w:rsidRPr="00397A77" w:rsidRDefault="00517E74" w:rsidP="00517E74">
            <w:pPr>
              <w:spacing w:after="0" w:line="360" w:lineRule="auto"/>
              <w:contextualSpacing/>
              <w:rPr>
                <w:rFonts w:ascii="Times New Roman" w:hAnsi="Times New Roman" w:cs="Times New Roman"/>
                <w:bCs/>
              </w:rPr>
            </w:pPr>
          </w:p>
        </w:tc>
        <w:tc>
          <w:tcPr>
            <w:tcW w:w="2106" w:type="dxa"/>
            <w:shd w:val="clear" w:color="auto" w:fill="FDE9D9" w:themeFill="accent6" w:themeFillTint="33"/>
            <w:vAlign w:val="center"/>
          </w:tcPr>
          <w:p w:rsidR="00517E74" w:rsidRPr="00397A77" w:rsidRDefault="00517E74" w:rsidP="00517E74">
            <w:pPr>
              <w:spacing w:after="0" w:line="360" w:lineRule="auto"/>
              <w:contextualSpacing/>
              <w:rPr>
                <w:rFonts w:ascii="Times New Roman" w:hAnsi="Times New Roman" w:cs="Times New Roman"/>
                <w:bCs/>
              </w:rPr>
            </w:pPr>
          </w:p>
        </w:tc>
      </w:tr>
    </w:tbl>
    <w:p w:rsidR="00517E74" w:rsidRPr="00397A77" w:rsidRDefault="00517E74" w:rsidP="00517E74">
      <w:pPr>
        <w:spacing w:after="0" w:line="360" w:lineRule="auto"/>
        <w:contextualSpacing/>
        <w:jc w:val="both"/>
        <w:rPr>
          <w:rFonts w:ascii="Times New Roman" w:eastAsia="Times New Roman" w:hAnsi="Times New Roman" w:cs="Times New Roman"/>
          <w:bCs/>
        </w:rPr>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517E74" w:rsidP="00517E74">
      <w:pPr>
        <w:spacing w:after="0" w:line="360" w:lineRule="auto"/>
        <w:ind w:left="1418" w:hanging="1418"/>
        <w:contextualSpacing/>
        <w:jc w:val="both"/>
        <w:rPr>
          <w:rFonts w:ascii="Times New Roman" w:eastAsia="Calibri" w:hAnsi="Times New Roman" w:cs="Times New Roman"/>
          <w:b/>
          <w:bCs/>
        </w:rPr>
      </w:pPr>
    </w:p>
    <w:p w:rsidR="00517E74" w:rsidRPr="00397A77" w:rsidRDefault="00DD6520" w:rsidP="00517E74">
      <w:pPr>
        <w:spacing w:after="0" w:line="360" w:lineRule="auto"/>
        <w:ind w:left="1418" w:hanging="1418"/>
        <w:contextualSpacing/>
        <w:jc w:val="both"/>
        <w:rPr>
          <w:rFonts w:ascii="Times New Roman" w:hAnsi="Times New Roman" w:cs="Times New Roman"/>
          <w:shd w:val="clear" w:color="auto" w:fill="FFFFFF"/>
        </w:rPr>
      </w:pPr>
      <w:r w:rsidRPr="00397A77">
        <w:rPr>
          <w:rFonts w:ascii="Times New Roman" w:eastAsia="Calibri" w:hAnsi="Times New Roman" w:cs="Times New Roman"/>
          <w:b/>
          <w:bCs/>
        </w:rPr>
        <w:t xml:space="preserve">Number of HT victims identified by the Formal Identification Team (1 January 2024 to 31 December 2024) </w:t>
      </w:r>
    </w:p>
    <w:tbl>
      <w:tblPr>
        <w:tblpPr w:leftFromText="180" w:rightFromText="180" w:vertAnchor="text" w:horzAnchor="page" w:tblpX="1246" w:tblpY="770"/>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3025"/>
        <w:gridCol w:w="3765"/>
        <w:gridCol w:w="2117"/>
      </w:tblGrid>
      <w:tr w:rsidR="00193F9C" w:rsidTr="00517E74">
        <w:trPr>
          <w:trHeight w:val="363"/>
        </w:trPr>
        <w:tc>
          <w:tcPr>
            <w:tcW w:w="1183"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STATUS</w:t>
            </w:r>
          </w:p>
        </w:tc>
        <w:tc>
          <w:tcPr>
            <w:tcW w:w="3025"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NUMBER/GENDER</w:t>
            </w:r>
          </w:p>
        </w:tc>
        <w:tc>
          <w:tcPr>
            <w:tcW w:w="3765"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 xml:space="preserve"> EXPLOITATION TYPE</w:t>
            </w:r>
          </w:p>
        </w:tc>
        <w:tc>
          <w:tcPr>
            <w:tcW w:w="2117" w:type="dxa"/>
            <w:shd w:val="clear" w:color="auto" w:fill="95B3D7" w:themeFill="accent1" w:themeFillTint="99"/>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NATIONALITY</w:t>
            </w:r>
          </w:p>
        </w:tc>
      </w:tr>
      <w:tr w:rsidR="00193F9C" w:rsidTr="00517E74">
        <w:trPr>
          <w:trHeight w:val="494"/>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11 minor females</w:t>
            </w:r>
          </w:p>
        </w:tc>
        <w:tc>
          <w:tcPr>
            <w:tcW w:w="376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w:t>
            </w:r>
          </w:p>
        </w:tc>
        <w:tc>
          <w:tcPr>
            <w:tcW w:w="211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MONTENEGRO(</w:t>
            </w:r>
            <w:proofErr w:type="gramEnd"/>
            <w:r w:rsidRPr="00397A77">
              <w:rPr>
                <w:rFonts w:ascii="Times New Roman" w:hAnsi="Times New Roman" w:cs="Times New Roman"/>
                <w:bCs/>
              </w:rPr>
              <w:t>9)</w:t>
            </w:r>
          </w:p>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lastRenderedPageBreak/>
              <w:t>WITHOUT DOCUMENTATION-</w:t>
            </w:r>
            <w:proofErr w:type="gramStart"/>
            <w:r w:rsidRPr="00397A77">
              <w:rPr>
                <w:rFonts w:ascii="Times New Roman" w:hAnsi="Times New Roman" w:cs="Times New Roman"/>
                <w:bCs/>
              </w:rPr>
              <w:t>IDP(</w:t>
            </w:r>
            <w:proofErr w:type="gramEnd"/>
            <w:r w:rsidRPr="00397A77">
              <w:rPr>
                <w:rFonts w:ascii="Times New Roman" w:hAnsi="Times New Roman" w:cs="Times New Roman"/>
                <w:bCs/>
              </w:rPr>
              <w:t>2)</w:t>
            </w:r>
          </w:p>
        </w:tc>
      </w:tr>
      <w:tr w:rsidR="00193F9C" w:rsidTr="00517E74">
        <w:trPr>
          <w:trHeight w:val="494"/>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lastRenderedPageBreak/>
              <w:t xml:space="preserve">Victim </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 xml:space="preserve">1 minor </w:t>
            </w:r>
            <w:r w:rsidRPr="00397A77">
              <w:rPr>
                <w:rFonts w:ascii="Times New Roman" w:hAnsi="Times New Roman" w:cs="Times New Roman"/>
                <w:bCs/>
              </w:rPr>
              <w:t>female</w:t>
            </w:r>
          </w:p>
        </w:tc>
        <w:tc>
          <w:tcPr>
            <w:tcW w:w="376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w:t>
            </w:r>
          </w:p>
        </w:tc>
        <w:tc>
          <w:tcPr>
            <w:tcW w:w="211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MOLDAVIA</w:t>
            </w:r>
          </w:p>
        </w:tc>
      </w:tr>
      <w:tr w:rsidR="00193F9C" w:rsidTr="00517E74">
        <w:trPr>
          <w:trHeight w:val="494"/>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8 minor males</w:t>
            </w:r>
          </w:p>
        </w:tc>
        <w:tc>
          <w:tcPr>
            <w:tcW w:w="376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w:t>
            </w:r>
          </w:p>
        </w:tc>
        <w:tc>
          <w:tcPr>
            <w:tcW w:w="211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MONTENEGRO(</w:t>
            </w:r>
            <w:proofErr w:type="gramEnd"/>
            <w:r w:rsidRPr="00397A77">
              <w:rPr>
                <w:rFonts w:ascii="Times New Roman" w:hAnsi="Times New Roman" w:cs="Times New Roman"/>
                <w:bCs/>
              </w:rPr>
              <w:t>3)</w:t>
            </w:r>
          </w:p>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WITHOUT DOCUMENTATION-</w:t>
            </w:r>
            <w:proofErr w:type="gramStart"/>
            <w:r w:rsidRPr="00397A77">
              <w:rPr>
                <w:rFonts w:ascii="Times New Roman" w:hAnsi="Times New Roman" w:cs="Times New Roman"/>
                <w:bCs/>
              </w:rPr>
              <w:t>IDP(</w:t>
            </w:r>
            <w:proofErr w:type="gramEnd"/>
            <w:r w:rsidRPr="00397A77">
              <w:rPr>
                <w:rFonts w:ascii="Times New Roman" w:hAnsi="Times New Roman" w:cs="Times New Roman"/>
                <w:bCs/>
              </w:rPr>
              <w:t xml:space="preserve">5) </w:t>
            </w:r>
          </w:p>
        </w:tc>
      </w:tr>
      <w:tr w:rsidR="00193F9C" w:rsidTr="00517E74">
        <w:trPr>
          <w:trHeight w:val="494"/>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5 adult males</w:t>
            </w:r>
          </w:p>
        </w:tc>
        <w:tc>
          <w:tcPr>
            <w:tcW w:w="376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Labor exploitation</w:t>
            </w:r>
          </w:p>
        </w:tc>
        <w:tc>
          <w:tcPr>
            <w:tcW w:w="211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proofErr w:type="gramStart"/>
            <w:r w:rsidRPr="00397A77">
              <w:rPr>
                <w:rFonts w:ascii="Times New Roman" w:hAnsi="Times New Roman" w:cs="Times New Roman"/>
                <w:bCs/>
              </w:rPr>
              <w:t>AZERBAIJAN(</w:t>
            </w:r>
            <w:proofErr w:type="gramEnd"/>
            <w:r w:rsidRPr="00397A77">
              <w:rPr>
                <w:rFonts w:ascii="Times New Roman" w:hAnsi="Times New Roman" w:cs="Times New Roman"/>
                <w:bCs/>
              </w:rPr>
              <w:t>4)</w:t>
            </w:r>
          </w:p>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 xml:space="preserve">BOSNIA AND </w:t>
            </w:r>
            <w:proofErr w:type="gramStart"/>
            <w:r w:rsidRPr="00397A77">
              <w:rPr>
                <w:rFonts w:ascii="Times New Roman" w:hAnsi="Times New Roman" w:cs="Times New Roman"/>
                <w:bCs/>
              </w:rPr>
              <w:t>HERZEGOVINA(</w:t>
            </w:r>
            <w:proofErr w:type="gramEnd"/>
            <w:r w:rsidRPr="00397A77">
              <w:rPr>
                <w:rFonts w:ascii="Times New Roman" w:hAnsi="Times New Roman" w:cs="Times New Roman"/>
                <w:bCs/>
              </w:rPr>
              <w:t>1)</w:t>
            </w:r>
          </w:p>
        </w:tc>
      </w:tr>
      <w:tr w:rsidR="00193F9C" w:rsidTr="00517E74">
        <w:trPr>
          <w:trHeight w:val="494"/>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Victim</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3 minor males</w:t>
            </w:r>
          </w:p>
        </w:tc>
        <w:tc>
          <w:tcPr>
            <w:tcW w:w="376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Forced begging/Labor exploitation</w:t>
            </w:r>
          </w:p>
        </w:tc>
        <w:tc>
          <w:tcPr>
            <w:tcW w:w="2117"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Cs/>
              </w:rPr>
            </w:pPr>
            <w:r w:rsidRPr="00397A77">
              <w:rPr>
                <w:rFonts w:ascii="Times New Roman" w:hAnsi="Times New Roman" w:cs="Times New Roman"/>
                <w:bCs/>
              </w:rPr>
              <w:t xml:space="preserve">MONTENEGRO </w:t>
            </w:r>
          </w:p>
        </w:tc>
      </w:tr>
      <w:tr w:rsidR="00193F9C" w:rsidTr="00517E74">
        <w:trPr>
          <w:trHeight w:val="61"/>
        </w:trPr>
        <w:tc>
          <w:tcPr>
            <w:tcW w:w="1183"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TOTAL</w:t>
            </w:r>
          </w:p>
        </w:tc>
        <w:tc>
          <w:tcPr>
            <w:tcW w:w="3025" w:type="dxa"/>
            <w:shd w:val="clear" w:color="auto" w:fill="FDE9D9" w:themeFill="accent6" w:themeFillTint="33"/>
            <w:vAlign w:val="center"/>
          </w:tcPr>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 xml:space="preserve">28 </w:t>
            </w:r>
          </w:p>
          <w:p w:rsidR="00517E74" w:rsidRPr="00397A77" w:rsidRDefault="00DD6520" w:rsidP="00517E74">
            <w:pPr>
              <w:spacing w:after="0" w:line="360" w:lineRule="auto"/>
              <w:contextualSpacing/>
              <w:rPr>
                <w:rFonts w:ascii="Times New Roman" w:hAnsi="Times New Roman" w:cs="Times New Roman"/>
                <w:b/>
                <w:bCs/>
              </w:rPr>
            </w:pPr>
            <w:r w:rsidRPr="00397A77">
              <w:rPr>
                <w:rFonts w:ascii="Times New Roman" w:hAnsi="Times New Roman" w:cs="Times New Roman"/>
                <w:b/>
                <w:bCs/>
              </w:rPr>
              <w:t>(12 females, 16 males)</w:t>
            </w:r>
          </w:p>
        </w:tc>
        <w:tc>
          <w:tcPr>
            <w:tcW w:w="3765" w:type="dxa"/>
            <w:shd w:val="clear" w:color="auto" w:fill="FDE9D9" w:themeFill="accent6" w:themeFillTint="33"/>
            <w:vAlign w:val="center"/>
          </w:tcPr>
          <w:p w:rsidR="00517E74" w:rsidRPr="00397A77" w:rsidRDefault="00517E74" w:rsidP="00517E74">
            <w:pPr>
              <w:spacing w:after="0" w:line="360" w:lineRule="auto"/>
              <w:contextualSpacing/>
              <w:rPr>
                <w:rFonts w:ascii="Times New Roman" w:hAnsi="Times New Roman" w:cs="Times New Roman"/>
                <w:bCs/>
              </w:rPr>
            </w:pPr>
          </w:p>
        </w:tc>
        <w:tc>
          <w:tcPr>
            <w:tcW w:w="2117" w:type="dxa"/>
            <w:shd w:val="clear" w:color="auto" w:fill="FDE9D9" w:themeFill="accent6" w:themeFillTint="33"/>
            <w:vAlign w:val="center"/>
          </w:tcPr>
          <w:p w:rsidR="00517E74" w:rsidRPr="00397A77" w:rsidRDefault="00517E74" w:rsidP="00517E74">
            <w:pPr>
              <w:spacing w:after="0" w:line="360" w:lineRule="auto"/>
              <w:contextualSpacing/>
              <w:rPr>
                <w:rFonts w:ascii="Times New Roman" w:hAnsi="Times New Roman" w:cs="Times New Roman"/>
                <w:bCs/>
              </w:rPr>
            </w:pPr>
          </w:p>
        </w:tc>
      </w:tr>
    </w:tbl>
    <w:p w:rsidR="00517E74" w:rsidRPr="00397A77" w:rsidRDefault="00517E74" w:rsidP="00517E74">
      <w:pPr>
        <w:spacing w:after="0" w:line="360" w:lineRule="auto"/>
        <w:contextualSpacing/>
        <w:jc w:val="both"/>
        <w:rPr>
          <w:rFonts w:ascii="Times New Roman" w:hAnsi="Times New Roman" w:cs="Times New Roman"/>
          <w:b/>
        </w:rPr>
      </w:pP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rPr>
          <w:rFonts w:ascii="Times New Roman" w:eastAsia="Times New Roman" w:hAnsi="Times New Roman" w:cs="Times New Roman"/>
          <w:b/>
        </w:rPr>
      </w:pPr>
      <w:r w:rsidRPr="00397A77">
        <w:rPr>
          <w:rFonts w:ascii="Times New Roman" w:eastAsia="Times New Roman" w:hAnsi="Times New Roman" w:cs="Times New Roman"/>
          <w:b/>
        </w:rPr>
        <w:br w:type="page"/>
      </w: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lastRenderedPageBreak/>
        <w:t>Annex 2:</w:t>
      </w: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spellStart"/>
      <w:proofErr w:type="gramStart"/>
      <w:r w:rsidRPr="00397A77">
        <w:rPr>
          <w:rFonts w:ascii="Times New Roman" w:eastAsia="Times New Roman" w:hAnsi="Times New Roman" w:cs="Times New Roman"/>
          <w:b/>
        </w:rPr>
        <w:t>Table:Number</w:t>
      </w:r>
      <w:proofErr w:type="spellEnd"/>
      <w:proofErr w:type="gramEnd"/>
      <w:r w:rsidRPr="00397A77">
        <w:rPr>
          <w:rFonts w:ascii="Times New Roman" w:eastAsia="Times New Roman" w:hAnsi="Times New Roman" w:cs="Times New Roman"/>
          <w:b/>
        </w:rPr>
        <w:t xml:space="preserve"> of pension beneficiaries by age group and gender, December 2024</w:t>
      </w:r>
    </w:p>
    <w:tbl>
      <w:tblPr>
        <w:tblpPr w:leftFromText="180" w:rightFromText="180" w:vertAnchor="text" w:horzAnchor="page" w:tblpX="1506" w:tblpY="407"/>
        <w:tblW w:w="9350" w:type="dxa"/>
        <w:tblLook w:val="04A0" w:firstRow="1" w:lastRow="0" w:firstColumn="1" w:lastColumn="0" w:noHBand="0" w:noVBand="1"/>
      </w:tblPr>
      <w:tblGrid>
        <w:gridCol w:w="1116"/>
        <w:gridCol w:w="1294"/>
        <w:gridCol w:w="1294"/>
        <w:gridCol w:w="5949"/>
      </w:tblGrid>
      <w:tr w:rsidR="00193F9C" w:rsidTr="00517E74">
        <w:trPr>
          <w:trHeight w:val="86"/>
        </w:trPr>
        <w:tc>
          <w:tcPr>
            <w:tcW w:w="1880" w:type="dxa"/>
            <w:vMerge w:val="restart"/>
            <w:tcBorders>
              <w:top w:val="single" w:sz="8" w:space="0" w:color="auto"/>
              <w:left w:val="single" w:sz="8" w:space="0" w:color="auto"/>
              <w:right w:val="single" w:sz="8" w:space="0" w:color="000000"/>
            </w:tcBorders>
            <w:shd w:val="clear" w:color="000000" w:fill="8DB4E2"/>
            <w:vAlign w:val="center"/>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Age groups (old-age and disability pensions)</w:t>
            </w:r>
          </w:p>
        </w:tc>
        <w:tc>
          <w:tcPr>
            <w:tcW w:w="7470" w:type="dxa"/>
            <w:gridSpan w:val="3"/>
            <w:tcBorders>
              <w:top w:val="single" w:sz="8" w:space="0" w:color="auto"/>
              <w:left w:val="single" w:sz="8" w:space="0" w:color="auto"/>
              <w:bottom w:val="single" w:sz="4" w:space="0" w:color="auto"/>
              <w:right w:val="single" w:sz="8" w:space="0" w:color="000000"/>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 xml:space="preserve">    December 2024</w:t>
            </w:r>
          </w:p>
        </w:tc>
      </w:tr>
      <w:tr w:rsidR="00193F9C" w:rsidTr="00517E74">
        <w:trPr>
          <w:trHeight w:val="106"/>
        </w:trPr>
        <w:tc>
          <w:tcPr>
            <w:tcW w:w="1880" w:type="dxa"/>
            <w:vMerge/>
            <w:tcBorders>
              <w:left w:val="single" w:sz="8" w:space="0" w:color="auto"/>
              <w:right w:val="single" w:sz="8" w:space="0" w:color="000000"/>
            </w:tcBorders>
            <w:shd w:val="clear" w:color="000000" w:fill="8DB4E2"/>
            <w:vAlign w:val="center"/>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412" w:type="dxa"/>
            <w:tcBorders>
              <w:top w:val="nil"/>
              <w:left w:val="single" w:sz="8" w:space="0" w:color="000000"/>
              <w:bottom w:val="single" w:sz="4"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M</w:t>
            </w:r>
          </w:p>
        </w:tc>
        <w:tc>
          <w:tcPr>
            <w:tcW w:w="1109" w:type="dxa"/>
            <w:tcBorders>
              <w:top w:val="nil"/>
              <w:left w:val="nil"/>
              <w:bottom w:val="single" w:sz="4"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F</w:t>
            </w:r>
          </w:p>
        </w:tc>
        <w:tc>
          <w:tcPr>
            <w:tcW w:w="5949" w:type="dxa"/>
            <w:tcBorders>
              <w:top w:val="nil"/>
              <w:left w:val="nil"/>
              <w:bottom w:val="single" w:sz="4" w:space="0" w:color="auto"/>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TOTAL</w:t>
            </w:r>
          </w:p>
        </w:tc>
      </w:tr>
      <w:tr w:rsidR="00193F9C" w:rsidTr="00517E74">
        <w:trPr>
          <w:trHeight w:val="173"/>
        </w:trPr>
        <w:tc>
          <w:tcPr>
            <w:tcW w:w="1880" w:type="dxa"/>
            <w:vMerge/>
            <w:tcBorders>
              <w:left w:val="single" w:sz="8" w:space="0" w:color="auto"/>
              <w:bottom w:val="single" w:sz="8" w:space="0" w:color="auto"/>
              <w:right w:val="single" w:sz="8" w:space="0" w:color="000000"/>
            </w:tcBorders>
            <w:shd w:val="clear" w:color="000000" w:fill="8DB4E2"/>
            <w:vAlign w:val="center"/>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412" w:type="dxa"/>
            <w:tcBorders>
              <w:top w:val="nil"/>
              <w:left w:val="single" w:sz="8" w:space="0" w:color="000000"/>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Number of beneficiaries</w:t>
            </w:r>
          </w:p>
        </w:tc>
        <w:tc>
          <w:tcPr>
            <w:tcW w:w="1109" w:type="dxa"/>
            <w:tcBorders>
              <w:top w:val="nil"/>
              <w:left w:val="nil"/>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 xml:space="preserve">Number of </w:t>
            </w:r>
            <w:r w:rsidRPr="00397A77">
              <w:rPr>
                <w:rFonts w:ascii="Times New Roman" w:eastAsia="Times New Roman" w:hAnsi="Times New Roman" w:cs="Times New Roman"/>
                <w:b/>
                <w:bCs/>
                <w:sz w:val="20"/>
                <w:szCs w:val="20"/>
              </w:rPr>
              <w:t>beneficiaries</w:t>
            </w:r>
          </w:p>
        </w:tc>
        <w:tc>
          <w:tcPr>
            <w:tcW w:w="5949" w:type="dxa"/>
            <w:tcBorders>
              <w:top w:val="nil"/>
              <w:left w:val="nil"/>
              <w:bottom w:val="single" w:sz="8" w:space="0" w:color="auto"/>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Number of beneficiaries</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to 24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11</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25-29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14</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29</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30-34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32</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53</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35-39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45</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121</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40-44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162</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122</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284</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45-49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382</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215</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597</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50-54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1.303</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366</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1.669</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55-59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2.677</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1.100</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3.777</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60-64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7.110</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5.195</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12.305</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65-69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15.218</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11.452</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26.670</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70-74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14.306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10.222</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24.528</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75-79</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8.425</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5.763</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14.188</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80-84</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4.515</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2.626</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7.141</w:t>
            </w:r>
          </w:p>
        </w:tc>
      </w:tr>
      <w:tr w:rsidR="00193F9C" w:rsidTr="00517E74">
        <w:trPr>
          <w:trHeight w:val="86"/>
        </w:trPr>
        <w:tc>
          <w:tcPr>
            <w:tcW w:w="1880" w:type="dxa"/>
            <w:tcBorders>
              <w:top w:val="nil"/>
              <w:left w:val="single" w:sz="8" w:space="0" w:color="auto"/>
              <w:bottom w:val="single" w:sz="4" w:space="0" w:color="auto"/>
              <w:right w:val="single" w:sz="4" w:space="0" w:color="auto"/>
            </w:tcBorders>
            <w:vAlign w:val="center"/>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85+</w:t>
            </w:r>
          </w:p>
        </w:tc>
        <w:tc>
          <w:tcPr>
            <w:tcW w:w="412" w:type="dxa"/>
            <w:tcBorders>
              <w:top w:val="nil"/>
              <w:left w:val="single" w:sz="8"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3.266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1.559</w:t>
            </w:r>
          </w:p>
        </w:tc>
        <w:tc>
          <w:tcPr>
            <w:tcW w:w="5949"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4.825</w:t>
            </w:r>
          </w:p>
        </w:tc>
      </w:tr>
      <w:tr w:rsidR="00193F9C" w:rsidTr="00517E74">
        <w:trPr>
          <w:trHeight w:val="86"/>
        </w:trPr>
        <w:tc>
          <w:tcPr>
            <w:tcW w:w="1880" w:type="dxa"/>
            <w:tcBorders>
              <w:top w:val="nil"/>
              <w:left w:val="single" w:sz="8" w:space="0" w:color="auto"/>
              <w:bottom w:val="single" w:sz="4" w:space="0" w:color="auto"/>
              <w:right w:val="single" w:sz="4" w:space="0" w:color="auto"/>
            </w:tcBorders>
            <w:shd w:val="clear" w:color="000000" w:fill="8DB4E2"/>
            <w:vAlign w:val="center"/>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TOTAL</w:t>
            </w:r>
          </w:p>
        </w:tc>
        <w:tc>
          <w:tcPr>
            <w:tcW w:w="412" w:type="dxa"/>
            <w:tcBorders>
              <w:top w:val="nil"/>
              <w:left w:val="single" w:sz="8" w:space="0" w:color="auto"/>
              <w:bottom w:val="single" w:sz="4" w:space="0" w:color="auto"/>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57.495</w:t>
            </w:r>
          </w:p>
        </w:tc>
        <w:tc>
          <w:tcPr>
            <w:tcW w:w="1109" w:type="dxa"/>
            <w:tcBorders>
              <w:top w:val="nil"/>
              <w:left w:val="nil"/>
              <w:bottom w:val="single" w:sz="4" w:space="0" w:color="auto"/>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38.703</w:t>
            </w:r>
          </w:p>
        </w:tc>
        <w:tc>
          <w:tcPr>
            <w:tcW w:w="5949" w:type="dxa"/>
            <w:tcBorders>
              <w:top w:val="nil"/>
              <w:left w:val="nil"/>
              <w:bottom w:val="single" w:sz="4" w:space="0" w:color="auto"/>
              <w:right w:val="single" w:sz="8"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96.198</w:t>
            </w:r>
          </w:p>
        </w:tc>
      </w:tr>
      <w:tr w:rsidR="00193F9C" w:rsidTr="00517E74">
        <w:trPr>
          <w:trHeight w:val="101"/>
        </w:trPr>
        <w:tc>
          <w:tcPr>
            <w:tcW w:w="1880" w:type="dxa"/>
            <w:tcBorders>
              <w:top w:val="nil"/>
              <w:left w:val="single" w:sz="8" w:space="0" w:color="auto"/>
              <w:bottom w:val="single" w:sz="8" w:space="0" w:color="auto"/>
              <w:right w:val="nil"/>
            </w:tcBorders>
            <w:shd w:val="clear" w:color="000000" w:fill="C5D9F1"/>
            <w:vAlign w:val="center"/>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Survivor’s pension</w:t>
            </w:r>
          </w:p>
        </w:tc>
        <w:tc>
          <w:tcPr>
            <w:tcW w:w="412" w:type="dxa"/>
            <w:tcBorders>
              <w:top w:val="nil"/>
              <w:left w:val="single" w:sz="8" w:space="0" w:color="auto"/>
              <w:bottom w:val="single" w:sz="8" w:space="0" w:color="auto"/>
              <w:right w:val="nil"/>
            </w:tcBorders>
            <w:shd w:val="clear" w:color="000000" w:fill="C5D9F1"/>
            <w:noWrap/>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1109" w:type="dxa"/>
            <w:tcBorders>
              <w:top w:val="nil"/>
              <w:left w:val="nil"/>
              <w:bottom w:val="single" w:sz="8" w:space="0" w:color="auto"/>
              <w:right w:val="nil"/>
            </w:tcBorders>
            <w:shd w:val="clear" w:color="000000" w:fill="C5D9F1"/>
            <w:noWrap/>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5949" w:type="dxa"/>
            <w:tcBorders>
              <w:top w:val="nil"/>
              <w:left w:val="nil"/>
              <w:bottom w:val="single" w:sz="8" w:space="0" w:color="auto"/>
              <w:right w:val="single" w:sz="8" w:space="0" w:color="auto"/>
            </w:tcBorders>
            <w:shd w:val="clear" w:color="000000" w:fill="C5D9F1"/>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30.674</w:t>
            </w:r>
          </w:p>
        </w:tc>
      </w:tr>
      <w:tr w:rsidR="00193F9C" w:rsidTr="00517E74">
        <w:trPr>
          <w:trHeight w:val="60"/>
        </w:trPr>
        <w:tc>
          <w:tcPr>
            <w:tcW w:w="1880" w:type="dxa"/>
            <w:tcBorders>
              <w:top w:val="nil"/>
              <w:left w:val="single" w:sz="8" w:space="0" w:color="auto"/>
              <w:bottom w:val="single" w:sz="8" w:space="0" w:color="auto"/>
              <w:right w:val="nil"/>
            </w:tcBorders>
            <w:shd w:val="clear" w:color="000000" w:fill="8DB4E2"/>
            <w:vAlign w:val="center"/>
          </w:tcPr>
          <w:p w:rsidR="00517E74" w:rsidRPr="00397A77" w:rsidRDefault="00DD6520" w:rsidP="00517E74">
            <w:pPr>
              <w:spacing w:after="0" w:line="360" w:lineRule="auto"/>
              <w:contextualSpacing/>
              <w:jc w:val="center"/>
              <w:rPr>
                <w:rFonts w:ascii="Times New Roman" w:eastAsia="Times New Roman" w:hAnsi="Times New Roman" w:cs="Times New Roman"/>
                <w:b/>
                <w:sz w:val="20"/>
                <w:szCs w:val="20"/>
              </w:rPr>
            </w:pPr>
            <w:r w:rsidRPr="00397A77">
              <w:rPr>
                <w:rFonts w:ascii="Times New Roman" w:eastAsia="Times New Roman" w:hAnsi="Times New Roman" w:cs="Times New Roman"/>
                <w:b/>
                <w:sz w:val="20"/>
                <w:szCs w:val="20"/>
              </w:rPr>
              <w:t>TOTAL</w:t>
            </w:r>
          </w:p>
        </w:tc>
        <w:tc>
          <w:tcPr>
            <w:tcW w:w="412" w:type="dxa"/>
            <w:tcBorders>
              <w:top w:val="nil"/>
              <w:left w:val="single" w:sz="8" w:space="0" w:color="auto"/>
              <w:bottom w:val="single" w:sz="8" w:space="0" w:color="auto"/>
              <w:right w:val="nil"/>
            </w:tcBorders>
            <w:shd w:val="clear" w:color="000000" w:fill="8DB4E2"/>
            <w:noWrap/>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sz w:val="20"/>
                <w:szCs w:val="20"/>
              </w:rPr>
            </w:pPr>
          </w:p>
        </w:tc>
        <w:tc>
          <w:tcPr>
            <w:tcW w:w="1109" w:type="dxa"/>
            <w:tcBorders>
              <w:top w:val="nil"/>
              <w:left w:val="nil"/>
              <w:bottom w:val="single" w:sz="8" w:space="0" w:color="auto"/>
              <w:right w:val="nil"/>
            </w:tcBorders>
            <w:shd w:val="clear" w:color="000000" w:fill="8DB4E2"/>
            <w:noWrap/>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sz w:val="20"/>
                <w:szCs w:val="20"/>
              </w:rPr>
            </w:pPr>
          </w:p>
        </w:tc>
        <w:tc>
          <w:tcPr>
            <w:tcW w:w="5949" w:type="dxa"/>
            <w:tcBorders>
              <w:top w:val="nil"/>
              <w:left w:val="nil"/>
              <w:bottom w:val="single" w:sz="8" w:space="0" w:color="auto"/>
              <w:right w:val="single" w:sz="8"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126.872</w:t>
            </w:r>
          </w:p>
        </w:tc>
      </w:tr>
    </w:tbl>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contextualSpacing/>
        <w:jc w:val="both"/>
        <w:rPr>
          <w:rFonts w:ascii="Times New Roman" w:eastAsia="Times New Roman" w:hAnsi="Times New Roman" w:cs="Times New Roman"/>
          <w:b/>
        </w:rPr>
      </w:pPr>
      <w:proofErr w:type="spellStart"/>
      <w:proofErr w:type="gramStart"/>
      <w:r w:rsidRPr="00397A77">
        <w:rPr>
          <w:rFonts w:ascii="Times New Roman" w:eastAsia="Times New Roman" w:hAnsi="Times New Roman" w:cs="Times New Roman"/>
          <w:b/>
        </w:rPr>
        <w:lastRenderedPageBreak/>
        <w:t>Table:Number</w:t>
      </w:r>
      <w:proofErr w:type="spellEnd"/>
      <w:proofErr w:type="gramEnd"/>
      <w:r w:rsidRPr="00397A77">
        <w:rPr>
          <w:rFonts w:ascii="Times New Roman" w:eastAsia="Times New Roman" w:hAnsi="Times New Roman" w:cs="Times New Roman"/>
          <w:b/>
        </w:rPr>
        <w:t xml:space="preserve"> of beneficiaries of pension and disability insurance rights in Montenegro, by place of residence or municipality, December 2024 </w:t>
      </w:r>
    </w:p>
    <w:tbl>
      <w:tblPr>
        <w:tblW w:w="9512" w:type="dxa"/>
        <w:tblInd w:w="-10" w:type="dxa"/>
        <w:tblLook w:val="04A0" w:firstRow="1" w:lastRow="0" w:firstColumn="1" w:lastColumn="0" w:noHBand="0" w:noVBand="1"/>
      </w:tblPr>
      <w:tblGrid>
        <w:gridCol w:w="1750"/>
        <w:gridCol w:w="974"/>
        <w:gridCol w:w="1133"/>
        <w:gridCol w:w="1109"/>
        <w:gridCol w:w="1138"/>
        <w:gridCol w:w="1016"/>
        <w:gridCol w:w="1027"/>
        <w:gridCol w:w="1372"/>
        <w:gridCol w:w="1170"/>
      </w:tblGrid>
      <w:tr w:rsidR="00193F9C" w:rsidTr="00517E74">
        <w:trPr>
          <w:trHeight w:val="237"/>
        </w:trPr>
        <w:tc>
          <w:tcPr>
            <w:tcW w:w="1316" w:type="dxa"/>
            <w:vMerge w:val="restart"/>
            <w:tcBorders>
              <w:top w:val="single" w:sz="8" w:space="0" w:color="auto"/>
              <w:left w:val="single" w:sz="8" w:space="0" w:color="auto"/>
              <w:bottom w:val="single" w:sz="8" w:space="0" w:color="000000"/>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MUNICIPALITY</w:t>
            </w:r>
          </w:p>
        </w:tc>
        <w:tc>
          <w:tcPr>
            <w:tcW w:w="8196" w:type="dxa"/>
            <w:gridSpan w:val="8"/>
            <w:tcBorders>
              <w:top w:val="single" w:sz="8" w:space="0" w:color="auto"/>
              <w:left w:val="nil"/>
              <w:bottom w:val="single" w:sz="8" w:space="0" w:color="auto"/>
              <w:right w:val="single" w:sz="8" w:space="0" w:color="000000"/>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2024</w:t>
            </w:r>
          </w:p>
        </w:tc>
      </w:tr>
      <w:tr w:rsidR="00193F9C" w:rsidTr="00517E74">
        <w:trPr>
          <w:trHeight w:val="283"/>
        </w:trPr>
        <w:tc>
          <w:tcPr>
            <w:tcW w:w="1316" w:type="dxa"/>
            <w:vMerge/>
            <w:tcBorders>
              <w:top w:val="single" w:sz="8" w:space="0" w:color="auto"/>
              <w:left w:val="single" w:sz="8" w:space="0" w:color="auto"/>
              <w:bottom w:val="single" w:sz="8" w:space="0" w:color="000000"/>
              <w:right w:val="single" w:sz="8" w:space="0" w:color="auto"/>
            </w:tcBorders>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3216" w:type="dxa"/>
            <w:gridSpan w:val="3"/>
            <w:tcBorders>
              <w:top w:val="single" w:sz="8" w:space="0" w:color="auto"/>
              <w:left w:val="nil"/>
              <w:bottom w:val="single" w:sz="8" w:space="0" w:color="auto"/>
              <w:right w:val="single" w:sz="4" w:space="0" w:color="000000"/>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Pension type</w:t>
            </w:r>
          </w:p>
        </w:tc>
        <w:tc>
          <w:tcPr>
            <w:tcW w:w="3810" w:type="dxa"/>
            <w:gridSpan w:val="4"/>
            <w:tcBorders>
              <w:top w:val="single" w:sz="8" w:space="0" w:color="auto"/>
              <w:left w:val="nil"/>
              <w:bottom w:val="single" w:sz="8" w:space="0" w:color="auto"/>
              <w:right w:val="single" w:sz="8" w:space="0" w:color="000000"/>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Other benefits</w:t>
            </w:r>
          </w:p>
        </w:tc>
        <w:tc>
          <w:tcPr>
            <w:tcW w:w="1170" w:type="dxa"/>
            <w:vMerge w:val="restart"/>
            <w:tcBorders>
              <w:top w:val="nil"/>
              <w:left w:val="single" w:sz="8" w:space="0" w:color="auto"/>
              <w:bottom w:val="single" w:sz="8" w:space="0" w:color="000000"/>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TOTAL</w:t>
            </w:r>
          </w:p>
        </w:tc>
      </w:tr>
      <w:tr w:rsidR="00193F9C" w:rsidTr="00517E74">
        <w:trPr>
          <w:trHeight w:val="640"/>
        </w:trPr>
        <w:tc>
          <w:tcPr>
            <w:tcW w:w="1316" w:type="dxa"/>
            <w:vMerge/>
            <w:tcBorders>
              <w:top w:val="single" w:sz="8" w:space="0" w:color="auto"/>
              <w:left w:val="single" w:sz="8" w:space="0" w:color="auto"/>
              <w:bottom w:val="single" w:sz="8" w:space="0" w:color="000000"/>
              <w:right w:val="single" w:sz="8" w:space="0" w:color="auto"/>
            </w:tcBorders>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c>
          <w:tcPr>
            <w:tcW w:w="974" w:type="dxa"/>
            <w:tcBorders>
              <w:top w:val="nil"/>
              <w:left w:val="nil"/>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Old-age</w:t>
            </w:r>
          </w:p>
        </w:tc>
        <w:tc>
          <w:tcPr>
            <w:tcW w:w="1133" w:type="dxa"/>
            <w:tcBorders>
              <w:top w:val="nil"/>
              <w:left w:val="nil"/>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Disability</w:t>
            </w:r>
          </w:p>
        </w:tc>
        <w:tc>
          <w:tcPr>
            <w:tcW w:w="1109" w:type="dxa"/>
            <w:tcBorders>
              <w:top w:val="nil"/>
              <w:left w:val="nil"/>
              <w:bottom w:val="single" w:sz="8" w:space="0" w:color="auto"/>
              <w:right w:val="nil"/>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Survivor's</w:t>
            </w:r>
          </w:p>
        </w:tc>
        <w:tc>
          <w:tcPr>
            <w:tcW w:w="1035" w:type="dxa"/>
            <w:tcBorders>
              <w:top w:val="nil"/>
              <w:left w:val="single" w:sz="4" w:space="0" w:color="auto"/>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Bodily impairment</w:t>
            </w:r>
          </w:p>
        </w:tc>
        <w:tc>
          <w:tcPr>
            <w:tcW w:w="815" w:type="dxa"/>
            <w:tcBorders>
              <w:top w:val="nil"/>
              <w:left w:val="nil"/>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 xml:space="preserve">care and assistance </w:t>
            </w:r>
          </w:p>
        </w:tc>
        <w:tc>
          <w:tcPr>
            <w:tcW w:w="962" w:type="dxa"/>
            <w:tcBorders>
              <w:top w:val="nil"/>
              <w:left w:val="nil"/>
              <w:bottom w:val="single" w:sz="8" w:space="0" w:color="auto"/>
              <w:right w:val="single" w:sz="4"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 xml:space="preserve">memorial allowance </w:t>
            </w:r>
          </w:p>
        </w:tc>
        <w:tc>
          <w:tcPr>
            <w:tcW w:w="998" w:type="dxa"/>
            <w:tcBorders>
              <w:top w:val="nil"/>
              <w:left w:val="nil"/>
              <w:bottom w:val="single" w:sz="8" w:space="0" w:color="auto"/>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Compensation for employed persons with work disability</w:t>
            </w:r>
          </w:p>
        </w:tc>
        <w:tc>
          <w:tcPr>
            <w:tcW w:w="1170" w:type="dxa"/>
            <w:vMerge/>
            <w:tcBorders>
              <w:top w:val="nil"/>
              <w:left w:val="single" w:sz="8" w:space="0" w:color="auto"/>
              <w:bottom w:val="single" w:sz="8" w:space="0" w:color="000000"/>
              <w:right w:val="single" w:sz="8" w:space="0" w:color="auto"/>
            </w:tcBorders>
            <w:vAlign w:val="center"/>
            <w:hideMark/>
          </w:tcPr>
          <w:p w:rsidR="00517E74" w:rsidRPr="00397A77" w:rsidRDefault="00517E74" w:rsidP="00517E74">
            <w:pPr>
              <w:spacing w:after="0" w:line="360" w:lineRule="auto"/>
              <w:contextualSpacing/>
              <w:jc w:val="center"/>
              <w:rPr>
                <w:rFonts w:ascii="Times New Roman" w:eastAsia="Times New Roman" w:hAnsi="Times New Roman" w:cs="Times New Roman"/>
                <w:b/>
                <w:bCs/>
                <w:sz w:val="20"/>
                <w:szCs w:val="20"/>
              </w:rPr>
            </w:pP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An</w:t>
            </w:r>
            <w:r w:rsidRPr="00397A77">
              <w:rPr>
                <w:rFonts w:ascii="Times New Roman" w:eastAsia="Times New Roman" w:hAnsi="Times New Roman" w:cs="Times New Roman"/>
                <w:sz w:val="20"/>
                <w:szCs w:val="20"/>
              </w:rPr>
              <w:t>drijevica</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460</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115</w:t>
            </w:r>
          </w:p>
        </w:tc>
        <w:tc>
          <w:tcPr>
            <w:tcW w:w="1109"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219</w:t>
            </w:r>
          </w:p>
        </w:tc>
        <w:tc>
          <w:tcPr>
            <w:tcW w:w="1035" w:type="dxa"/>
            <w:tcBorders>
              <w:top w:val="nil"/>
              <w:left w:val="single" w:sz="4"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17</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1170"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814</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Bar</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4.922</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987</w:t>
            </w:r>
          </w:p>
        </w:tc>
        <w:tc>
          <w:tcPr>
            <w:tcW w:w="1109"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1.945</w:t>
            </w:r>
          </w:p>
        </w:tc>
        <w:tc>
          <w:tcPr>
            <w:tcW w:w="1035" w:type="dxa"/>
            <w:tcBorders>
              <w:top w:val="nil"/>
              <w:left w:val="single" w:sz="4" w:space="0" w:color="auto"/>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216</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18</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w:t>
            </w:r>
          </w:p>
        </w:tc>
        <w:tc>
          <w:tcPr>
            <w:tcW w:w="1170" w:type="dxa"/>
            <w:tcBorders>
              <w:top w:val="nil"/>
              <w:left w:val="nil"/>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8.091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Berane</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2.849</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757</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1.425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133</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22</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5.201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Bijelo</w:t>
            </w:r>
            <w:proofErr w:type="spellEnd"/>
            <w:r w:rsidRPr="00397A77">
              <w:rPr>
                <w:rFonts w:ascii="Times New Roman" w:eastAsia="Times New Roman" w:hAnsi="Times New Roman" w:cs="Times New Roman"/>
                <w:sz w:val="20"/>
                <w:szCs w:val="20"/>
              </w:rPr>
              <w:t xml:space="preserve"> Polje</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4.424</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1.246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1.900</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160</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51</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7.785</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Budva</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2.411</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390</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634</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51</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10</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3.497</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Cetinje</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2.456</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719</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779</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113</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27</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4.096</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Danilovgrad</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2.029</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609</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838</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93</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17</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3.591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Gusinje</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193</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22</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165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386</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Herceg</w:t>
            </w:r>
            <w:proofErr w:type="spellEnd"/>
            <w:r w:rsidRPr="00397A77">
              <w:rPr>
                <w:rFonts w:ascii="Times New Roman" w:eastAsia="Times New Roman" w:hAnsi="Times New Roman" w:cs="Times New Roman"/>
                <w:sz w:val="20"/>
                <w:szCs w:val="20"/>
              </w:rPr>
              <w:t xml:space="preserve"> Novi</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4.892</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756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1.302</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139</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23</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7.115</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Kolašin</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801</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211</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394</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42</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10</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1.461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Kotor</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3.173</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529</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1.020</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72</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20</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4.815</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Mojkovac</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900</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290</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465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53</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14</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1.734</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Nikšić</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8.669</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2.577</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4.095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497</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69</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15.915</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Petnjica</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229</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76</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214</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527</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Plav</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705</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105</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395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21</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1.231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Pljevlja</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4.065</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644</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1.892</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153</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25</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27</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6.807</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Plužine</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416</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73</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132</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12</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634</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Podgorica</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19.525</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5.000</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6.755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874</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152</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32.312</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Rožaje</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1.399</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479</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845</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49</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2.786</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Šavnik</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201</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54</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58</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318</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Tivat</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2.048</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289</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660</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45</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3.046</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Tuzi</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598</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181</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482</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1.287</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Ulcinj</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1.944</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354</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982</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42</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2</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3.331</w:t>
            </w:r>
          </w:p>
        </w:tc>
      </w:tr>
      <w:tr w:rsidR="00193F9C" w:rsidTr="00517E74">
        <w:trPr>
          <w:trHeight w:val="227"/>
        </w:trPr>
        <w:tc>
          <w:tcPr>
            <w:tcW w:w="1316" w:type="dxa"/>
            <w:tcBorders>
              <w:top w:val="nil"/>
              <w:left w:val="single" w:sz="8" w:space="0" w:color="auto"/>
              <w:bottom w:val="single" w:sz="4" w:space="0" w:color="auto"/>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Zeta</w:t>
            </w:r>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1.353</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435</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761</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76</w:t>
            </w:r>
          </w:p>
        </w:tc>
        <w:tc>
          <w:tcPr>
            <w:tcW w:w="81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6</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2.631</w:t>
            </w:r>
          </w:p>
        </w:tc>
      </w:tr>
      <w:tr w:rsidR="00193F9C" w:rsidTr="00517E74">
        <w:trPr>
          <w:trHeight w:val="237"/>
        </w:trPr>
        <w:tc>
          <w:tcPr>
            <w:tcW w:w="1316" w:type="dxa"/>
            <w:tcBorders>
              <w:top w:val="nil"/>
              <w:left w:val="single" w:sz="8" w:space="0" w:color="auto"/>
              <w:bottom w:val="nil"/>
              <w:right w:val="single" w:sz="8" w:space="0" w:color="auto"/>
            </w:tcBorders>
            <w:shd w:val="clear" w:color="000000" w:fill="C5D9F1"/>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proofErr w:type="spellStart"/>
            <w:r w:rsidRPr="00397A77">
              <w:rPr>
                <w:rFonts w:ascii="Times New Roman" w:eastAsia="Times New Roman" w:hAnsi="Times New Roman" w:cs="Times New Roman"/>
                <w:sz w:val="20"/>
                <w:szCs w:val="20"/>
              </w:rPr>
              <w:t>Žabljak</w:t>
            </w:r>
            <w:proofErr w:type="spellEnd"/>
          </w:p>
        </w:tc>
        <w:tc>
          <w:tcPr>
            <w:tcW w:w="974"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472</w:t>
            </w:r>
          </w:p>
        </w:tc>
        <w:tc>
          <w:tcPr>
            <w:tcW w:w="1133"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71</w:t>
            </w:r>
          </w:p>
        </w:tc>
        <w:tc>
          <w:tcPr>
            <w:tcW w:w="1109"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160</w:t>
            </w:r>
          </w:p>
        </w:tc>
        <w:tc>
          <w:tcPr>
            <w:tcW w:w="1035" w:type="dxa"/>
            <w:tcBorders>
              <w:top w:val="nil"/>
              <w:left w:val="nil"/>
              <w:bottom w:val="single" w:sz="4" w:space="0" w:color="auto"/>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18</w:t>
            </w:r>
          </w:p>
        </w:tc>
        <w:tc>
          <w:tcPr>
            <w:tcW w:w="815" w:type="dxa"/>
            <w:tcBorders>
              <w:top w:val="nil"/>
              <w:left w:val="nil"/>
              <w:bottom w:val="nil"/>
              <w:right w:val="single" w:sz="4"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962" w:type="dxa"/>
            <w:tcBorders>
              <w:top w:val="nil"/>
              <w:left w:val="nil"/>
              <w:bottom w:val="single" w:sz="4" w:space="0" w:color="auto"/>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0</w:t>
            </w:r>
          </w:p>
        </w:tc>
        <w:tc>
          <w:tcPr>
            <w:tcW w:w="998" w:type="dxa"/>
            <w:tcBorders>
              <w:top w:val="nil"/>
              <w:left w:val="single" w:sz="4" w:space="0" w:color="auto"/>
              <w:bottom w:val="nil"/>
              <w:right w:val="nil"/>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sz w:val="20"/>
                <w:szCs w:val="20"/>
              </w:rPr>
            </w:pPr>
            <w:r w:rsidRPr="00397A77">
              <w:rPr>
                <w:rFonts w:ascii="Times New Roman" w:eastAsia="Times New Roman" w:hAnsi="Times New Roman" w:cs="Times New Roman"/>
                <w:sz w:val="20"/>
                <w:szCs w:val="20"/>
              </w:rPr>
              <w:t>1</w:t>
            </w:r>
          </w:p>
        </w:tc>
        <w:tc>
          <w:tcPr>
            <w:tcW w:w="1170" w:type="dxa"/>
            <w:tcBorders>
              <w:top w:val="nil"/>
              <w:left w:val="single" w:sz="8" w:space="0" w:color="auto"/>
              <w:bottom w:val="single" w:sz="4" w:space="0" w:color="auto"/>
              <w:right w:val="single" w:sz="8" w:space="0" w:color="auto"/>
            </w:tcBorders>
            <w:shd w:val="clear" w:color="auto" w:fill="auto"/>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723</w:t>
            </w:r>
          </w:p>
        </w:tc>
      </w:tr>
      <w:tr w:rsidR="00193F9C" w:rsidTr="00517E74">
        <w:trPr>
          <w:trHeight w:val="434"/>
        </w:trPr>
        <w:tc>
          <w:tcPr>
            <w:tcW w:w="1316" w:type="dxa"/>
            <w:tcBorders>
              <w:top w:val="single" w:sz="8" w:space="0" w:color="auto"/>
              <w:left w:val="single" w:sz="8" w:space="0" w:color="auto"/>
              <w:bottom w:val="single" w:sz="4" w:space="0" w:color="000000"/>
              <w:right w:val="single" w:sz="8" w:space="0" w:color="auto"/>
            </w:tcBorders>
            <w:shd w:val="clear" w:color="000000" w:fill="8DB4E2"/>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TOTAL</w:t>
            </w:r>
          </w:p>
        </w:tc>
        <w:tc>
          <w:tcPr>
            <w:tcW w:w="974" w:type="dxa"/>
            <w:tcBorders>
              <w:top w:val="single" w:sz="8" w:space="0" w:color="auto"/>
              <w:left w:val="nil"/>
              <w:bottom w:val="single" w:sz="4" w:space="0" w:color="000000"/>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71</w:t>
            </w:r>
            <w:r w:rsidRPr="00397A77">
              <w:rPr>
                <w:rFonts w:ascii="Times New Roman" w:eastAsia="Times New Roman" w:hAnsi="Times New Roman" w:cs="Times New Roman"/>
                <w:b/>
                <w:bCs/>
                <w:sz w:val="20"/>
                <w:szCs w:val="20"/>
              </w:rPr>
              <w:t>.134</w:t>
            </w:r>
          </w:p>
        </w:tc>
        <w:tc>
          <w:tcPr>
            <w:tcW w:w="1133" w:type="dxa"/>
            <w:tcBorders>
              <w:top w:val="single" w:sz="8" w:space="0" w:color="auto"/>
              <w:left w:val="nil"/>
              <w:bottom w:val="single" w:sz="4" w:space="0" w:color="000000"/>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16.969</w:t>
            </w:r>
          </w:p>
        </w:tc>
        <w:tc>
          <w:tcPr>
            <w:tcW w:w="1109" w:type="dxa"/>
            <w:tcBorders>
              <w:top w:val="single" w:sz="8" w:space="0" w:color="auto"/>
              <w:left w:val="nil"/>
              <w:bottom w:val="single" w:sz="4" w:space="0" w:color="000000"/>
              <w:right w:val="nil"/>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28.517</w:t>
            </w:r>
          </w:p>
        </w:tc>
        <w:tc>
          <w:tcPr>
            <w:tcW w:w="1035" w:type="dxa"/>
            <w:tcBorders>
              <w:top w:val="single" w:sz="8" w:space="0" w:color="auto"/>
              <w:left w:val="single" w:sz="4" w:space="0" w:color="auto"/>
              <w:bottom w:val="single" w:sz="4" w:space="0" w:color="000000"/>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2.911</w:t>
            </w:r>
          </w:p>
        </w:tc>
        <w:tc>
          <w:tcPr>
            <w:tcW w:w="815" w:type="dxa"/>
            <w:tcBorders>
              <w:top w:val="single" w:sz="8" w:space="0" w:color="auto"/>
              <w:left w:val="nil"/>
              <w:bottom w:val="single" w:sz="4" w:space="0" w:color="000000"/>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499</w:t>
            </w:r>
          </w:p>
        </w:tc>
        <w:tc>
          <w:tcPr>
            <w:tcW w:w="962" w:type="dxa"/>
            <w:tcBorders>
              <w:top w:val="single" w:sz="8" w:space="0" w:color="auto"/>
              <w:left w:val="nil"/>
              <w:bottom w:val="single" w:sz="4" w:space="0" w:color="000000"/>
              <w:right w:val="single" w:sz="4"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5</w:t>
            </w:r>
          </w:p>
        </w:tc>
        <w:tc>
          <w:tcPr>
            <w:tcW w:w="998" w:type="dxa"/>
            <w:tcBorders>
              <w:top w:val="single" w:sz="8" w:space="0" w:color="auto"/>
              <w:left w:val="nil"/>
              <w:bottom w:val="single" w:sz="4" w:space="0" w:color="000000"/>
              <w:right w:val="nil"/>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99</w:t>
            </w:r>
          </w:p>
        </w:tc>
        <w:tc>
          <w:tcPr>
            <w:tcW w:w="1170" w:type="dxa"/>
            <w:tcBorders>
              <w:top w:val="single" w:sz="8" w:space="0" w:color="auto"/>
              <w:left w:val="single" w:sz="8" w:space="0" w:color="auto"/>
              <w:bottom w:val="single" w:sz="4" w:space="0" w:color="000000"/>
              <w:right w:val="single" w:sz="8" w:space="0" w:color="auto"/>
            </w:tcBorders>
            <w:shd w:val="clear" w:color="000000" w:fill="8DB4E2"/>
            <w:noWrap/>
            <w:vAlign w:val="center"/>
            <w:hideMark/>
          </w:tcPr>
          <w:p w:rsidR="00517E74" w:rsidRPr="00397A77" w:rsidRDefault="00DD6520" w:rsidP="00517E74">
            <w:pPr>
              <w:spacing w:after="0" w:line="360" w:lineRule="auto"/>
              <w:contextualSpacing/>
              <w:jc w:val="center"/>
              <w:rPr>
                <w:rFonts w:ascii="Times New Roman" w:eastAsia="Times New Roman" w:hAnsi="Times New Roman" w:cs="Times New Roman"/>
                <w:b/>
                <w:bCs/>
                <w:sz w:val="20"/>
                <w:szCs w:val="20"/>
              </w:rPr>
            </w:pPr>
            <w:r w:rsidRPr="00397A77">
              <w:rPr>
                <w:rFonts w:ascii="Times New Roman" w:eastAsia="Times New Roman" w:hAnsi="Times New Roman" w:cs="Times New Roman"/>
                <w:b/>
                <w:bCs/>
                <w:sz w:val="20"/>
                <w:szCs w:val="20"/>
              </w:rPr>
              <w:t>120.134</w:t>
            </w:r>
          </w:p>
        </w:tc>
      </w:tr>
    </w:tbl>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after="0" w:line="360" w:lineRule="auto"/>
        <w:contextualSpacing/>
        <w:jc w:val="both"/>
        <w:rPr>
          <w:rFonts w:ascii="Times New Roman" w:hAnsi="Times New Roman" w:cs="Times New Roman"/>
          <w:b/>
        </w:rPr>
      </w:pPr>
      <w:proofErr w:type="spellStart"/>
      <w:proofErr w:type="gramStart"/>
      <w:r w:rsidRPr="00397A77">
        <w:rPr>
          <w:rFonts w:ascii="Times New Roman" w:hAnsi="Times New Roman" w:cs="Times New Roman"/>
          <w:b/>
        </w:rPr>
        <w:t>Table:Average</w:t>
      </w:r>
      <w:proofErr w:type="spellEnd"/>
      <w:proofErr w:type="gramEnd"/>
      <w:r w:rsidRPr="00397A77">
        <w:rPr>
          <w:rFonts w:ascii="Times New Roman" w:hAnsi="Times New Roman" w:cs="Times New Roman"/>
          <w:b/>
        </w:rPr>
        <w:t xml:space="preserve"> number of beneficiaries entitled to cash benefits by year:</w:t>
      </w:r>
    </w:p>
    <w:tbl>
      <w:tblPr>
        <w:tblStyle w:val="TableGrid"/>
        <w:tblW w:w="9355" w:type="dxa"/>
        <w:tblLook w:val="04A0" w:firstRow="1" w:lastRow="0" w:firstColumn="1" w:lastColumn="0" w:noHBand="0" w:noVBand="1"/>
      </w:tblPr>
      <w:tblGrid>
        <w:gridCol w:w="1980"/>
        <w:gridCol w:w="7375"/>
      </w:tblGrid>
      <w:tr w:rsidR="00193F9C" w:rsidTr="00517E74">
        <w:tc>
          <w:tcPr>
            <w:tcW w:w="1980" w:type="dxa"/>
            <w:shd w:val="clear" w:color="auto" w:fill="8DB3E2" w:themeFill="text2" w:themeFillTint="66"/>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Year</w:t>
            </w:r>
          </w:p>
        </w:tc>
        <w:tc>
          <w:tcPr>
            <w:tcW w:w="7375" w:type="dxa"/>
            <w:shd w:val="clear" w:color="auto" w:fill="8DB3E2" w:themeFill="text2" w:themeFillTint="66"/>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 xml:space="preserve">Average number of beneficiaries </w:t>
            </w:r>
          </w:p>
        </w:tc>
      </w:tr>
      <w:tr w:rsidR="00193F9C" w:rsidTr="00517E74">
        <w:tc>
          <w:tcPr>
            <w:tcW w:w="1980" w:type="dxa"/>
            <w:shd w:val="clear" w:color="auto" w:fill="F2F2F2" w:themeFill="background1" w:themeFillShade="F2"/>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2024</w:t>
            </w:r>
          </w:p>
        </w:tc>
        <w:tc>
          <w:tcPr>
            <w:tcW w:w="7375" w:type="dxa"/>
            <w:shd w:val="clear" w:color="auto" w:fill="auto"/>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8.800</w:t>
            </w:r>
          </w:p>
        </w:tc>
      </w:tr>
      <w:tr w:rsidR="00193F9C" w:rsidTr="00517E74">
        <w:tc>
          <w:tcPr>
            <w:tcW w:w="1980" w:type="dxa"/>
            <w:shd w:val="clear" w:color="auto" w:fill="F2F2F2" w:themeFill="background1" w:themeFillShade="F2"/>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2023</w:t>
            </w:r>
          </w:p>
        </w:tc>
        <w:tc>
          <w:tcPr>
            <w:tcW w:w="7375" w:type="dxa"/>
            <w:shd w:val="clear" w:color="auto" w:fill="auto"/>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9.689</w:t>
            </w:r>
          </w:p>
        </w:tc>
      </w:tr>
      <w:tr w:rsidR="00193F9C" w:rsidTr="00517E74">
        <w:tc>
          <w:tcPr>
            <w:tcW w:w="1980" w:type="dxa"/>
            <w:shd w:val="clear" w:color="auto" w:fill="F2F2F2" w:themeFill="background1" w:themeFillShade="F2"/>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2022</w:t>
            </w:r>
          </w:p>
        </w:tc>
        <w:tc>
          <w:tcPr>
            <w:tcW w:w="7375" w:type="dxa"/>
            <w:shd w:val="clear" w:color="auto" w:fill="auto"/>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10.829</w:t>
            </w:r>
          </w:p>
        </w:tc>
      </w:tr>
      <w:tr w:rsidR="00193F9C" w:rsidTr="00517E74">
        <w:tc>
          <w:tcPr>
            <w:tcW w:w="1980" w:type="dxa"/>
            <w:shd w:val="clear" w:color="auto" w:fill="F2F2F2" w:themeFill="background1" w:themeFillShade="F2"/>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2021</w:t>
            </w:r>
          </w:p>
        </w:tc>
        <w:tc>
          <w:tcPr>
            <w:tcW w:w="7375" w:type="dxa"/>
            <w:shd w:val="clear" w:color="auto" w:fill="auto"/>
          </w:tcPr>
          <w:p w:rsidR="00517E74" w:rsidRPr="00397A77" w:rsidRDefault="00DD6520" w:rsidP="00517E74">
            <w:pPr>
              <w:spacing w:line="360" w:lineRule="auto"/>
              <w:contextualSpacing/>
              <w:jc w:val="both"/>
              <w:rPr>
                <w:rFonts w:ascii="Times New Roman" w:hAnsi="Times New Roman" w:cs="Times New Roman"/>
                <w:sz w:val="18"/>
                <w:szCs w:val="18"/>
              </w:rPr>
            </w:pPr>
            <w:r w:rsidRPr="00397A77">
              <w:rPr>
                <w:rFonts w:ascii="Times New Roman" w:hAnsi="Times New Roman" w:cs="Times New Roman"/>
                <w:sz w:val="18"/>
                <w:szCs w:val="18"/>
              </w:rPr>
              <w:t>11.643</w:t>
            </w:r>
          </w:p>
        </w:tc>
      </w:tr>
    </w:tbl>
    <w:p w:rsidR="00517E74" w:rsidRPr="00397A77" w:rsidRDefault="00517E74" w:rsidP="00517E74">
      <w:pPr>
        <w:spacing w:after="0" w:line="360" w:lineRule="auto"/>
        <w:contextualSpacing/>
        <w:jc w:val="both"/>
        <w:rPr>
          <w:rFonts w:ascii="Times New Roman" w:eastAsia="Times New Roman" w:hAnsi="Times New Roman" w:cs="Times New Roman"/>
          <w:b/>
        </w:rPr>
      </w:pPr>
    </w:p>
    <w:p w:rsidR="00517E74" w:rsidRPr="00397A77" w:rsidRDefault="00DD6520" w:rsidP="00517E74">
      <w:pPr>
        <w:spacing w:line="360" w:lineRule="auto"/>
        <w:jc w:val="both"/>
        <w:rPr>
          <w:rFonts w:ascii="Times New Roman" w:eastAsia="Times New Roman" w:hAnsi="Times New Roman" w:cs="Times New Roman"/>
          <w:b/>
          <w:color w:val="212121"/>
          <w:sz w:val="24"/>
          <w:szCs w:val="24"/>
        </w:rPr>
      </w:pPr>
      <w:r w:rsidRPr="00397A77">
        <w:rPr>
          <w:rFonts w:ascii="Times New Roman" w:eastAsia="Times New Roman" w:hAnsi="Times New Roman" w:cs="Times New Roman"/>
          <w:b/>
          <w:color w:val="212121"/>
          <w:sz w:val="24"/>
          <w:szCs w:val="24"/>
        </w:rPr>
        <w:t xml:space="preserve">Children with a placement decision for the </w:t>
      </w:r>
      <w:r w:rsidRPr="00397A77">
        <w:rPr>
          <w:rFonts w:ascii="Times New Roman" w:eastAsia="Times New Roman" w:hAnsi="Times New Roman" w:cs="Times New Roman"/>
          <w:b/>
          <w:color w:val="212121"/>
          <w:sz w:val="24"/>
          <w:szCs w:val="24"/>
        </w:rPr>
        <w:t>2023/2024 SY</w:t>
      </w:r>
    </w:p>
    <w:tbl>
      <w:tblPr>
        <w:tblW w:w="6100" w:type="dxa"/>
        <w:tblLook w:val="04A0" w:firstRow="1" w:lastRow="0" w:firstColumn="1" w:lastColumn="0" w:noHBand="0" w:noVBand="1"/>
      </w:tblPr>
      <w:tblGrid>
        <w:gridCol w:w="2220"/>
        <w:gridCol w:w="960"/>
        <w:gridCol w:w="960"/>
        <w:gridCol w:w="1960"/>
      </w:tblGrid>
      <w:tr w:rsidR="00193F9C" w:rsidTr="00517E74">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EDUCATION LEVEL</w:t>
            </w:r>
          </w:p>
        </w:tc>
        <w:tc>
          <w:tcPr>
            <w:tcW w:w="960" w:type="dxa"/>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M</w:t>
            </w:r>
          </w:p>
        </w:tc>
        <w:tc>
          <w:tcPr>
            <w:tcW w:w="960" w:type="dxa"/>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F</w:t>
            </w:r>
          </w:p>
        </w:tc>
        <w:tc>
          <w:tcPr>
            <w:tcW w:w="1960" w:type="dxa"/>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TOTAL PER LEVEL</w:t>
            </w:r>
          </w:p>
        </w:tc>
      </w:tr>
      <w:tr w:rsidR="00193F9C" w:rsidTr="00517E74">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Preschool</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116</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44</w:t>
            </w:r>
          </w:p>
        </w:tc>
        <w:tc>
          <w:tcPr>
            <w:tcW w:w="1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160</w:t>
            </w:r>
          </w:p>
        </w:tc>
      </w:tr>
      <w:tr w:rsidR="00193F9C" w:rsidTr="00517E74">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Primary</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695</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338</w:t>
            </w:r>
          </w:p>
        </w:tc>
        <w:tc>
          <w:tcPr>
            <w:tcW w:w="1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1033</w:t>
            </w:r>
          </w:p>
        </w:tc>
      </w:tr>
      <w:tr w:rsidR="00193F9C" w:rsidTr="00517E74">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Secondary</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206</w:t>
            </w:r>
          </w:p>
        </w:tc>
        <w:tc>
          <w:tcPr>
            <w:tcW w:w="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114</w:t>
            </w:r>
          </w:p>
        </w:tc>
        <w:tc>
          <w:tcPr>
            <w:tcW w:w="19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320</w:t>
            </w:r>
          </w:p>
        </w:tc>
      </w:tr>
      <w:tr w:rsidR="00193F9C" w:rsidTr="00517E74">
        <w:trPr>
          <w:trHeight w:val="70"/>
        </w:trPr>
        <w:tc>
          <w:tcPr>
            <w:tcW w:w="2220"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Dialog" w:eastAsia="Times New Roman" w:hAnsi="Dialog" w:cs="Calibri"/>
              </w:rPr>
            </w:pPr>
          </w:p>
        </w:tc>
        <w:tc>
          <w:tcPr>
            <w:tcW w:w="960"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Times New Roman" w:eastAsia="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Times New Roman" w:eastAsia="Times New Roman" w:hAnsi="Times New Roman" w:cs="Times New Roman"/>
                <w:sz w:val="20"/>
                <w:szCs w:val="20"/>
              </w:rPr>
            </w:pPr>
          </w:p>
        </w:tc>
      </w:tr>
      <w:tr w:rsidR="00193F9C" w:rsidTr="00517E74">
        <w:trPr>
          <w:trHeight w:val="300"/>
        </w:trPr>
        <w:tc>
          <w:tcPr>
            <w:tcW w:w="22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TOTAL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496</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1513</w:t>
            </w:r>
          </w:p>
        </w:tc>
      </w:tr>
    </w:tbl>
    <w:p w:rsidR="00517E74" w:rsidRPr="00397A77" w:rsidRDefault="00517E74" w:rsidP="00517E74">
      <w:pPr>
        <w:spacing w:line="360" w:lineRule="auto"/>
        <w:jc w:val="both"/>
        <w:rPr>
          <w:rFonts w:ascii="Times New Roman" w:eastAsia="Times New Roman" w:hAnsi="Times New Roman" w:cs="Times New Roman"/>
          <w:b/>
          <w:color w:val="212121"/>
          <w:sz w:val="24"/>
          <w:szCs w:val="24"/>
        </w:rPr>
      </w:pPr>
    </w:p>
    <w:p w:rsidR="00517E74" w:rsidRPr="00397A77" w:rsidRDefault="00DD6520" w:rsidP="00517E74">
      <w:pPr>
        <w:spacing w:line="360" w:lineRule="auto"/>
        <w:jc w:val="both"/>
        <w:rPr>
          <w:rFonts w:ascii="Times New Roman" w:eastAsia="Times New Roman" w:hAnsi="Times New Roman" w:cs="Times New Roman"/>
          <w:b/>
          <w:color w:val="212121"/>
          <w:sz w:val="24"/>
          <w:szCs w:val="24"/>
        </w:rPr>
      </w:pPr>
      <w:r w:rsidRPr="00397A77">
        <w:rPr>
          <w:rFonts w:ascii="Times New Roman" w:eastAsia="Times New Roman" w:hAnsi="Times New Roman" w:cs="Times New Roman"/>
          <w:b/>
          <w:color w:val="212121"/>
          <w:sz w:val="24"/>
          <w:szCs w:val="24"/>
        </w:rPr>
        <w:t>Children with a placement decision for the 2024/2025 SY</w:t>
      </w:r>
    </w:p>
    <w:tbl>
      <w:tblPr>
        <w:tblW w:w="6115" w:type="dxa"/>
        <w:tblLook w:val="04A0" w:firstRow="1" w:lastRow="0" w:firstColumn="1" w:lastColumn="0" w:noHBand="0" w:noVBand="1"/>
      </w:tblPr>
      <w:tblGrid>
        <w:gridCol w:w="2100"/>
        <w:gridCol w:w="1045"/>
        <w:gridCol w:w="582"/>
        <w:gridCol w:w="495"/>
        <w:gridCol w:w="1980"/>
      </w:tblGrid>
      <w:tr w:rsidR="00193F9C" w:rsidTr="00517E74">
        <w:trPr>
          <w:trHeight w:val="300"/>
        </w:trPr>
        <w:tc>
          <w:tcPr>
            <w:tcW w:w="2100" w:type="dxa"/>
            <w:tcBorders>
              <w:top w:val="single" w:sz="4" w:space="0" w:color="auto"/>
              <w:left w:val="single" w:sz="4" w:space="0" w:color="auto"/>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EDUCATION LEVEL</w:t>
            </w:r>
          </w:p>
        </w:tc>
        <w:tc>
          <w:tcPr>
            <w:tcW w:w="1045" w:type="dxa"/>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M</w:t>
            </w:r>
          </w:p>
        </w:tc>
        <w:tc>
          <w:tcPr>
            <w:tcW w:w="990" w:type="dxa"/>
            <w:gridSpan w:val="2"/>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F</w:t>
            </w:r>
          </w:p>
        </w:tc>
        <w:tc>
          <w:tcPr>
            <w:tcW w:w="1980" w:type="dxa"/>
            <w:tcBorders>
              <w:top w:val="single" w:sz="4" w:space="0" w:color="auto"/>
              <w:left w:val="nil"/>
              <w:bottom w:val="single" w:sz="4" w:space="0" w:color="auto"/>
              <w:right w:val="single" w:sz="4" w:space="0" w:color="auto"/>
            </w:tcBorders>
            <w:shd w:val="clear" w:color="auto" w:fill="4F81BD" w:themeFill="accent1"/>
            <w:noWrap/>
            <w:vAlign w:val="bottom"/>
            <w:hideMark/>
          </w:tcPr>
          <w:p w:rsidR="00517E74" w:rsidRPr="00397A77" w:rsidRDefault="00DD6520" w:rsidP="00517E74">
            <w:pPr>
              <w:spacing w:after="0" w:line="240" w:lineRule="auto"/>
              <w:jc w:val="center"/>
              <w:rPr>
                <w:rFonts w:ascii="Calibri" w:eastAsia="Times New Roman" w:hAnsi="Calibri" w:cs="Calibri"/>
                <w:color w:val="000000"/>
              </w:rPr>
            </w:pPr>
            <w:r w:rsidRPr="00397A77">
              <w:rPr>
                <w:rFonts w:ascii="Calibri" w:eastAsia="Times New Roman" w:hAnsi="Calibri" w:cs="Calibri"/>
                <w:color w:val="000000"/>
              </w:rPr>
              <w:t>TOTAL PER LEVEL</w:t>
            </w:r>
          </w:p>
        </w:tc>
      </w:tr>
      <w:tr w:rsidR="00193F9C" w:rsidTr="00517E74">
        <w:trPr>
          <w:trHeight w:val="30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Preschool</w:t>
            </w:r>
          </w:p>
        </w:tc>
        <w:tc>
          <w:tcPr>
            <w:tcW w:w="104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150</w:t>
            </w:r>
          </w:p>
        </w:tc>
        <w:tc>
          <w:tcPr>
            <w:tcW w:w="49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76</w:t>
            </w:r>
          </w:p>
        </w:tc>
        <w:tc>
          <w:tcPr>
            <w:tcW w:w="2475" w:type="dxa"/>
            <w:gridSpan w:val="2"/>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226</w:t>
            </w:r>
          </w:p>
        </w:tc>
      </w:tr>
      <w:tr w:rsidR="00193F9C" w:rsidTr="00517E74">
        <w:trPr>
          <w:trHeight w:val="30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Primary</w:t>
            </w:r>
          </w:p>
        </w:tc>
        <w:tc>
          <w:tcPr>
            <w:tcW w:w="104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857</w:t>
            </w:r>
          </w:p>
        </w:tc>
        <w:tc>
          <w:tcPr>
            <w:tcW w:w="49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383</w:t>
            </w:r>
          </w:p>
        </w:tc>
        <w:tc>
          <w:tcPr>
            <w:tcW w:w="2475" w:type="dxa"/>
            <w:gridSpan w:val="2"/>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1240</w:t>
            </w:r>
          </w:p>
        </w:tc>
      </w:tr>
      <w:tr w:rsidR="00193F9C" w:rsidTr="00517E74">
        <w:trPr>
          <w:trHeight w:val="30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Secondary</w:t>
            </w:r>
          </w:p>
        </w:tc>
        <w:tc>
          <w:tcPr>
            <w:tcW w:w="104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188</w:t>
            </w:r>
          </w:p>
        </w:tc>
        <w:tc>
          <w:tcPr>
            <w:tcW w:w="49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122</w:t>
            </w:r>
          </w:p>
        </w:tc>
        <w:tc>
          <w:tcPr>
            <w:tcW w:w="2475" w:type="dxa"/>
            <w:gridSpan w:val="2"/>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310</w:t>
            </w:r>
          </w:p>
        </w:tc>
      </w:tr>
      <w:tr w:rsidR="00193F9C" w:rsidTr="00517E74">
        <w:trPr>
          <w:trHeight w:val="300"/>
        </w:trPr>
        <w:tc>
          <w:tcPr>
            <w:tcW w:w="2100"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Dialog" w:eastAsia="Times New Roman" w:hAnsi="Dialog" w:cs="Calibri"/>
              </w:rPr>
            </w:pPr>
          </w:p>
        </w:tc>
        <w:tc>
          <w:tcPr>
            <w:tcW w:w="1045"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rPr>
                <w:rFonts w:ascii="Times New Roman" w:eastAsia="Times New Roman" w:hAnsi="Times New Roman" w:cs="Times New Roman"/>
                <w:sz w:val="20"/>
                <w:szCs w:val="20"/>
              </w:rPr>
            </w:pPr>
          </w:p>
        </w:tc>
        <w:tc>
          <w:tcPr>
            <w:tcW w:w="495" w:type="dxa"/>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Times New Roman" w:eastAsia="Times New Roman" w:hAnsi="Times New Roman" w:cs="Times New Roman"/>
                <w:sz w:val="20"/>
                <w:szCs w:val="20"/>
              </w:rPr>
            </w:pPr>
          </w:p>
        </w:tc>
        <w:tc>
          <w:tcPr>
            <w:tcW w:w="2475" w:type="dxa"/>
            <w:gridSpan w:val="2"/>
            <w:tcBorders>
              <w:top w:val="nil"/>
              <w:left w:val="nil"/>
              <w:bottom w:val="nil"/>
              <w:right w:val="nil"/>
            </w:tcBorders>
            <w:shd w:val="clear" w:color="auto" w:fill="auto"/>
            <w:noWrap/>
            <w:vAlign w:val="bottom"/>
            <w:hideMark/>
          </w:tcPr>
          <w:p w:rsidR="00517E74" w:rsidRPr="00397A77" w:rsidRDefault="00517E74" w:rsidP="00517E74">
            <w:pPr>
              <w:spacing w:after="0" w:line="240" w:lineRule="auto"/>
              <w:jc w:val="center"/>
              <w:rPr>
                <w:rFonts w:ascii="Times New Roman" w:eastAsia="Times New Roman" w:hAnsi="Times New Roman" w:cs="Times New Roman"/>
                <w:sz w:val="20"/>
                <w:szCs w:val="20"/>
              </w:rPr>
            </w:pPr>
          </w:p>
        </w:tc>
      </w:tr>
      <w:tr w:rsidR="00193F9C" w:rsidTr="00517E74">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240" w:lineRule="auto"/>
              <w:rPr>
                <w:rFonts w:ascii="Calibri" w:eastAsia="Times New Roman" w:hAnsi="Calibri" w:cs="Calibri"/>
                <w:color w:val="000000"/>
              </w:rPr>
            </w:pPr>
            <w:r w:rsidRPr="00397A77">
              <w:rPr>
                <w:rFonts w:ascii="Calibri" w:eastAsia="Times New Roman" w:hAnsi="Calibri" w:cs="Calibri"/>
                <w:color w:val="000000"/>
              </w:rPr>
              <w:t>TOTAL</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1195</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581</w:t>
            </w:r>
          </w:p>
        </w:tc>
        <w:tc>
          <w:tcPr>
            <w:tcW w:w="2475" w:type="dxa"/>
            <w:gridSpan w:val="2"/>
            <w:tcBorders>
              <w:top w:val="single" w:sz="4" w:space="0" w:color="auto"/>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240" w:lineRule="auto"/>
              <w:jc w:val="center"/>
              <w:rPr>
                <w:rFonts w:ascii="Dialog" w:eastAsia="Times New Roman" w:hAnsi="Dialog" w:cs="Calibri"/>
              </w:rPr>
            </w:pPr>
            <w:r w:rsidRPr="00397A77">
              <w:rPr>
                <w:rFonts w:ascii="Dialog" w:eastAsia="Times New Roman" w:hAnsi="Dialog" w:cs="Calibri"/>
              </w:rPr>
              <w:t>1776</w:t>
            </w:r>
          </w:p>
        </w:tc>
      </w:tr>
    </w:tbl>
    <w:p w:rsidR="00517E74" w:rsidRPr="00397A77" w:rsidRDefault="00517E74" w:rsidP="00517E74">
      <w:pPr>
        <w:spacing w:line="360" w:lineRule="auto"/>
        <w:jc w:val="both"/>
        <w:rPr>
          <w:rFonts w:cstheme="minorHAnsi"/>
          <w:b/>
          <w:color w:val="000000" w:themeColor="text1"/>
          <w:sz w:val="24"/>
          <w:szCs w:val="24"/>
        </w:rPr>
      </w:pPr>
    </w:p>
    <w:p w:rsidR="00517E74" w:rsidRPr="00397A77" w:rsidRDefault="00DD6520" w:rsidP="00517E74">
      <w:pPr>
        <w:spacing w:after="0" w:line="360" w:lineRule="auto"/>
        <w:contextualSpacing/>
        <w:jc w:val="both"/>
        <w:rPr>
          <w:rFonts w:ascii="Times New Roman" w:eastAsia="Times New Roman" w:hAnsi="Times New Roman" w:cs="Times New Roman"/>
          <w:b/>
        </w:rPr>
      </w:pPr>
      <w:r w:rsidRPr="00397A77">
        <w:rPr>
          <w:rFonts w:ascii="Times New Roman" w:eastAsia="Times New Roman" w:hAnsi="Times New Roman" w:cs="Times New Roman"/>
          <w:b/>
        </w:rPr>
        <w:t>Foreign national children enrolled in the education system in Montenegro in 2024</w:t>
      </w:r>
    </w:p>
    <w:p w:rsidR="00517E74" w:rsidRPr="00397A77" w:rsidRDefault="00DD6520" w:rsidP="00517E74">
      <w:pPr>
        <w:spacing w:after="0" w:line="360" w:lineRule="auto"/>
        <w:contextualSpacing/>
        <w:jc w:val="both"/>
        <w:rPr>
          <w:rFonts w:cstheme="minorHAnsi"/>
          <w:b/>
        </w:rPr>
      </w:pPr>
      <w:r w:rsidRPr="00397A77">
        <w:rPr>
          <w:rFonts w:cstheme="minorHAnsi"/>
          <w:b/>
        </w:rPr>
        <w:t xml:space="preserve">  </w:t>
      </w:r>
    </w:p>
    <w:tbl>
      <w:tblPr>
        <w:tblW w:w="6205" w:type="dxa"/>
        <w:tblLook w:val="04A0" w:firstRow="1" w:lastRow="0" w:firstColumn="1" w:lastColumn="0" w:noHBand="0" w:noVBand="1"/>
      </w:tblPr>
      <w:tblGrid>
        <w:gridCol w:w="960"/>
        <w:gridCol w:w="1640"/>
        <w:gridCol w:w="1160"/>
        <w:gridCol w:w="2445"/>
      </w:tblGrid>
      <w:tr w:rsidR="00193F9C" w:rsidTr="00517E7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4F81BD" w:themeFill="accent1"/>
            <w:noWrap/>
            <w:vAlign w:val="bottom"/>
          </w:tcPr>
          <w:p w:rsidR="00517E74" w:rsidRPr="00397A77" w:rsidRDefault="00517E74" w:rsidP="00517E74">
            <w:pPr>
              <w:spacing w:after="0" w:line="360" w:lineRule="auto"/>
              <w:contextualSpacing/>
              <w:rPr>
                <w:rFonts w:ascii="Calibri" w:eastAsia="Times New Roman" w:hAnsi="Calibri" w:cs="Calibri"/>
              </w:rPr>
            </w:pPr>
          </w:p>
        </w:tc>
        <w:tc>
          <w:tcPr>
            <w:tcW w:w="1640" w:type="dxa"/>
            <w:tcBorders>
              <w:top w:val="single" w:sz="4" w:space="0" w:color="auto"/>
              <w:left w:val="nil"/>
              <w:bottom w:val="single" w:sz="4" w:space="0" w:color="auto"/>
              <w:right w:val="single" w:sz="4" w:space="0" w:color="auto"/>
            </w:tcBorders>
            <w:shd w:val="clear" w:color="auto" w:fill="4F81BD" w:themeFill="accent1"/>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EDUCATION LEVEL</w:t>
            </w:r>
          </w:p>
        </w:tc>
        <w:tc>
          <w:tcPr>
            <w:tcW w:w="1160" w:type="dxa"/>
            <w:tcBorders>
              <w:top w:val="single" w:sz="4" w:space="0" w:color="auto"/>
              <w:left w:val="nil"/>
              <w:bottom w:val="single" w:sz="4" w:space="0" w:color="auto"/>
              <w:right w:val="single" w:sz="4" w:space="0" w:color="auto"/>
            </w:tcBorders>
            <w:shd w:val="clear" w:color="auto" w:fill="4F81BD" w:themeFill="accent1"/>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Country of origin</w:t>
            </w:r>
          </w:p>
        </w:tc>
        <w:tc>
          <w:tcPr>
            <w:tcW w:w="2445" w:type="dxa"/>
            <w:tcBorders>
              <w:top w:val="single" w:sz="4" w:space="0" w:color="auto"/>
              <w:left w:val="nil"/>
              <w:bottom w:val="single" w:sz="4" w:space="0" w:color="auto"/>
              <w:right w:val="single" w:sz="4" w:space="0" w:color="auto"/>
            </w:tcBorders>
            <w:shd w:val="clear" w:color="auto" w:fill="4F81BD" w:themeFill="accent1"/>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Number enrolled</w:t>
            </w:r>
          </w:p>
        </w:tc>
      </w:tr>
      <w:tr w:rsidR="00193F9C" w:rsidTr="00517E7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single" w:sz="4" w:space="0" w:color="auto"/>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Preschool</w:t>
            </w:r>
          </w:p>
        </w:tc>
        <w:tc>
          <w:tcPr>
            <w:tcW w:w="1160" w:type="dxa"/>
            <w:tcBorders>
              <w:top w:val="single" w:sz="4" w:space="0" w:color="auto"/>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Russia</w:t>
            </w:r>
          </w:p>
        </w:tc>
        <w:tc>
          <w:tcPr>
            <w:tcW w:w="2445" w:type="dxa"/>
            <w:tcBorders>
              <w:top w:val="single" w:sz="4" w:space="0" w:color="auto"/>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332</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Preschool</w:t>
            </w:r>
          </w:p>
        </w:tc>
        <w:tc>
          <w:tcPr>
            <w:tcW w:w="11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Ukraine</w:t>
            </w:r>
          </w:p>
        </w:tc>
        <w:tc>
          <w:tcPr>
            <w:tcW w:w="244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70</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Preschool</w:t>
            </w:r>
          </w:p>
        </w:tc>
        <w:tc>
          <w:tcPr>
            <w:tcW w:w="1160"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Belarus</w:t>
            </w:r>
          </w:p>
        </w:tc>
        <w:tc>
          <w:tcPr>
            <w:tcW w:w="2445" w:type="dxa"/>
            <w:tcBorders>
              <w:top w:val="nil"/>
              <w:left w:val="nil"/>
              <w:bottom w:val="single" w:sz="4" w:space="0" w:color="auto"/>
              <w:right w:val="single" w:sz="4" w:space="0" w:color="auto"/>
            </w:tcBorders>
            <w:shd w:val="clear" w:color="auto" w:fill="auto"/>
            <w:noWrap/>
            <w:vAlign w:val="bottom"/>
            <w:hideMark/>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12</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Primary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Russia</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2075</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Primary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Ukraine</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549</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lastRenderedPageBreak/>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Primary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Belarus</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119</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Secondary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Russia</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2075</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Secondary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Ukraine</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549</w:t>
            </w:r>
          </w:p>
        </w:tc>
      </w:tr>
      <w:tr w:rsidR="00193F9C" w:rsidTr="00517E7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Public</w:t>
            </w:r>
          </w:p>
        </w:tc>
        <w:tc>
          <w:tcPr>
            <w:tcW w:w="164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Secondary</w:t>
            </w:r>
          </w:p>
        </w:tc>
        <w:tc>
          <w:tcPr>
            <w:tcW w:w="1160"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rPr>
                <w:rFonts w:ascii="Calibri" w:eastAsia="Times New Roman" w:hAnsi="Calibri" w:cs="Calibri"/>
              </w:rPr>
            </w:pPr>
            <w:r w:rsidRPr="00397A77">
              <w:rPr>
                <w:rFonts w:ascii="Calibri" w:eastAsia="Times New Roman" w:hAnsi="Calibri" w:cs="Calibri"/>
              </w:rPr>
              <w:t>Belarus</w:t>
            </w:r>
          </w:p>
        </w:tc>
        <w:tc>
          <w:tcPr>
            <w:tcW w:w="2445" w:type="dxa"/>
            <w:tcBorders>
              <w:top w:val="nil"/>
              <w:left w:val="nil"/>
              <w:bottom w:val="single" w:sz="4" w:space="0" w:color="auto"/>
              <w:right w:val="single" w:sz="4" w:space="0" w:color="auto"/>
            </w:tcBorders>
            <w:shd w:val="clear" w:color="auto" w:fill="auto"/>
            <w:noWrap/>
            <w:vAlign w:val="bottom"/>
          </w:tcPr>
          <w:p w:rsidR="00517E74" w:rsidRPr="00397A77" w:rsidRDefault="00DD6520" w:rsidP="00517E74">
            <w:pPr>
              <w:spacing w:after="0" w:line="360" w:lineRule="auto"/>
              <w:contextualSpacing/>
              <w:jc w:val="center"/>
              <w:rPr>
                <w:rFonts w:ascii="Calibri" w:eastAsia="Times New Roman" w:hAnsi="Calibri" w:cs="Calibri"/>
              </w:rPr>
            </w:pPr>
            <w:r w:rsidRPr="00397A77">
              <w:rPr>
                <w:rFonts w:ascii="Calibri" w:eastAsia="Times New Roman" w:hAnsi="Calibri" w:cs="Calibri"/>
              </w:rPr>
              <w:t>27</w:t>
            </w:r>
          </w:p>
        </w:tc>
      </w:tr>
      <w:tr w:rsidR="00193F9C" w:rsidTr="00517E74">
        <w:trPr>
          <w:trHeight w:val="300"/>
        </w:trPr>
        <w:tc>
          <w:tcPr>
            <w:tcW w:w="96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Calibri" w:eastAsia="Times New Roman" w:hAnsi="Calibri" w:cs="Calibri"/>
              </w:rPr>
            </w:pPr>
          </w:p>
        </w:tc>
        <w:tc>
          <w:tcPr>
            <w:tcW w:w="164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116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244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r>
      <w:tr w:rsidR="00193F9C" w:rsidTr="00517E74">
        <w:trPr>
          <w:trHeight w:val="300"/>
        </w:trPr>
        <w:tc>
          <w:tcPr>
            <w:tcW w:w="96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164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Calibri" w:eastAsia="Times New Roman" w:hAnsi="Calibri" w:cs="Calibri"/>
              </w:rPr>
            </w:pPr>
          </w:p>
        </w:tc>
        <w:tc>
          <w:tcPr>
            <w:tcW w:w="116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Calibri" w:eastAsia="Times New Roman" w:hAnsi="Calibri" w:cs="Calibri"/>
              </w:rPr>
            </w:pPr>
          </w:p>
        </w:tc>
        <w:tc>
          <w:tcPr>
            <w:tcW w:w="244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r>
    </w:tbl>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t xml:space="preserve">Statistical data for </w:t>
      </w:r>
      <w:r w:rsidRPr="00397A77">
        <w:rPr>
          <w:rFonts w:ascii="Times New Roman" w:hAnsi="Times New Roman" w:cs="Times New Roman"/>
          <w:b/>
        </w:rPr>
        <w:t>the 2021/2022 SY for children from RE population</w:t>
      </w:r>
    </w:p>
    <w:p w:rsidR="00517E74" w:rsidRPr="00397A77" w:rsidRDefault="00517E74" w:rsidP="00517E74">
      <w:pPr>
        <w:spacing w:after="0" w:line="360" w:lineRule="auto"/>
        <w:ind w:firstLine="720"/>
        <w:contextualSpacing/>
        <w:jc w:val="both"/>
        <w:rPr>
          <w:rFonts w:ascii="Times New Roman" w:hAnsi="Times New Roman" w:cs="Times New Roman"/>
        </w:rPr>
      </w:pPr>
    </w:p>
    <w:tbl>
      <w:tblPr>
        <w:tblW w:w="9363" w:type="dxa"/>
        <w:tblLook w:val="04A0" w:firstRow="1" w:lastRow="0" w:firstColumn="1" w:lastColumn="0" w:noHBand="0" w:noVBand="1"/>
      </w:tblPr>
      <w:tblGrid>
        <w:gridCol w:w="1437"/>
        <w:gridCol w:w="805"/>
        <w:gridCol w:w="805"/>
        <w:gridCol w:w="1944"/>
        <w:gridCol w:w="843"/>
        <w:gridCol w:w="842"/>
        <w:gridCol w:w="2687"/>
      </w:tblGrid>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rPr>
            </w:pPr>
            <w:r w:rsidRPr="00397A77">
              <w:rPr>
                <w:rFonts w:ascii="Times New Roman" w:eastAsia="Times New Roman" w:hAnsi="Times New Roman" w:cs="Times New Roman"/>
              </w:rPr>
              <w:t xml:space="preserve">                </w:t>
            </w:r>
          </w:p>
        </w:tc>
        <w:tc>
          <w:tcPr>
            <w:tcW w:w="3554"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372"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805"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805"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19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8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842"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68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r>
      <w:tr w:rsidR="00193F9C" w:rsidTr="00517E74">
        <w:trPr>
          <w:trHeight w:val="286"/>
        </w:trPr>
        <w:tc>
          <w:tcPr>
            <w:tcW w:w="143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 xml:space="preserve">Primary </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960</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896</w:t>
            </w:r>
          </w:p>
        </w:tc>
        <w:tc>
          <w:tcPr>
            <w:tcW w:w="1943" w:type="dxa"/>
            <w:tcBorders>
              <w:top w:val="nil"/>
              <w:left w:val="nil"/>
              <w:bottom w:val="single" w:sz="4" w:space="0" w:color="auto"/>
              <w:right w:val="single" w:sz="4" w:space="0" w:color="auto"/>
            </w:tcBorders>
            <w:shd w:val="clear" w:color="auto" w:fill="C6D9F1" w:themeFill="text2" w:themeFillTint="33"/>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1856</w:t>
            </w:r>
          </w:p>
        </w:tc>
        <w:tc>
          <w:tcPr>
            <w:tcW w:w="84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829</w:t>
            </w:r>
          </w:p>
        </w:tc>
        <w:tc>
          <w:tcPr>
            <w:tcW w:w="842"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806</w:t>
            </w:r>
          </w:p>
        </w:tc>
        <w:tc>
          <w:tcPr>
            <w:tcW w:w="268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1635</w:t>
            </w:r>
          </w:p>
        </w:tc>
      </w:tr>
      <w:tr w:rsidR="00193F9C" w:rsidTr="00517E74">
        <w:trPr>
          <w:trHeight w:val="286"/>
        </w:trPr>
        <w:tc>
          <w:tcPr>
            <w:tcW w:w="1437"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 xml:space="preserve">Secondary </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122</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92</w:t>
            </w:r>
          </w:p>
        </w:tc>
        <w:tc>
          <w:tcPr>
            <w:tcW w:w="1943" w:type="dxa"/>
            <w:tcBorders>
              <w:top w:val="nil"/>
              <w:left w:val="nil"/>
              <w:bottom w:val="single" w:sz="4" w:space="0" w:color="auto"/>
              <w:right w:val="single" w:sz="4" w:space="0" w:color="auto"/>
            </w:tcBorders>
            <w:shd w:val="clear" w:color="auto" w:fill="C6D9F1" w:themeFill="text2" w:themeFillTint="33"/>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207</w:t>
            </w:r>
          </w:p>
        </w:tc>
        <w:tc>
          <w:tcPr>
            <w:tcW w:w="84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75</w:t>
            </w:r>
          </w:p>
        </w:tc>
        <w:tc>
          <w:tcPr>
            <w:tcW w:w="842"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69</w:t>
            </w:r>
          </w:p>
        </w:tc>
        <w:tc>
          <w:tcPr>
            <w:tcW w:w="268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144</w:t>
            </w:r>
          </w:p>
        </w:tc>
      </w:tr>
      <w:tr w:rsidR="00193F9C" w:rsidTr="00517E74">
        <w:trPr>
          <w:trHeight w:val="286"/>
        </w:trPr>
        <w:tc>
          <w:tcPr>
            <w:tcW w:w="1437"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TOTAL</w:t>
            </w:r>
          </w:p>
        </w:tc>
        <w:tc>
          <w:tcPr>
            <w:tcW w:w="805"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1163</w:t>
            </w:r>
          </w:p>
        </w:tc>
        <w:tc>
          <w:tcPr>
            <w:tcW w:w="805"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1085</w:t>
            </w:r>
          </w:p>
        </w:tc>
        <w:tc>
          <w:tcPr>
            <w:tcW w:w="19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2248</w:t>
            </w:r>
          </w:p>
        </w:tc>
        <w:tc>
          <w:tcPr>
            <w:tcW w:w="8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904</w:t>
            </w:r>
          </w:p>
        </w:tc>
        <w:tc>
          <w:tcPr>
            <w:tcW w:w="842"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875</w:t>
            </w:r>
          </w:p>
        </w:tc>
        <w:tc>
          <w:tcPr>
            <w:tcW w:w="268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1779</w:t>
            </w:r>
          </w:p>
        </w:tc>
      </w:tr>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80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80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94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84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842"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68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80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805"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94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84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842"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68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3554"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372"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286"/>
        </w:trPr>
        <w:tc>
          <w:tcPr>
            <w:tcW w:w="1437"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805"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805"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19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84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842"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68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r>
      <w:tr w:rsidR="00193F9C" w:rsidTr="00517E74">
        <w:trPr>
          <w:trHeight w:val="286"/>
        </w:trPr>
        <w:tc>
          <w:tcPr>
            <w:tcW w:w="143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IX</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83</w:t>
            </w:r>
          </w:p>
        </w:tc>
        <w:tc>
          <w:tcPr>
            <w:tcW w:w="805"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85</w:t>
            </w:r>
          </w:p>
        </w:tc>
        <w:tc>
          <w:tcPr>
            <w:tcW w:w="194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168</w:t>
            </w:r>
          </w:p>
        </w:tc>
        <w:tc>
          <w:tcPr>
            <w:tcW w:w="84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55</w:t>
            </w:r>
          </w:p>
        </w:tc>
        <w:tc>
          <w:tcPr>
            <w:tcW w:w="842"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68</w:t>
            </w:r>
          </w:p>
        </w:tc>
        <w:tc>
          <w:tcPr>
            <w:tcW w:w="268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134</w:t>
            </w:r>
          </w:p>
        </w:tc>
      </w:tr>
    </w:tbl>
    <w:p w:rsidR="00517E74" w:rsidRPr="00397A77" w:rsidRDefault="00517E74" w:rsidP="00517E74">
      <w:pPr>
        <w:spacing w:after="0" w:line="360" w:lineRule="auto"/>
        <w:ind w:firstLine="720"/>
        <w:contextualSpacing/>
        <w:jc w:val="both"/>
        <w:rPr>
          <w:rFonts w:ascii="Times New Roman" w:hAnsi="Times New Roman" w:cs="Times New Roman"/>
        </w:rPr>
      </w:pPr>
    </w:p>
    <w:p w:rsidR="00517E74" w:rsidRPr="00397A77" w:rsidRDefault="00517E74" w:rsidP="00517E74">
      <w:pPr>
        <w:spacing w:after="0" w:line="360" w:lineRule="auto"/>
        <w:ind w:firstLine="720"/>
        <w:contextualSpacing/>
        <w:jc w:val="both"/>
        <w:rPr>
          <w:rFonts w:ascii="Times New Roman" w:hAnsi="Times New Roman" w:cs="Times New Roman"/>
        </w:rPr>
      </w:pPr>
    </w:p>
    <w:p w:rsidR="00517E74" w:rsidRPr="00397A77" w:rsidRDefault="00DD6520" w:rsidP="00517E74">
      <w:pPr>
        <w:spacing w:after="0" w:line="360" w:lineRule="auto"/>
        <w:contextualSpacing/>
        <w:rPr>
          <w:rFonts w:ascii="Times New Roman" w:hAnsi="Times New Roman" w:cs="Times New Roman"/>
          <w:b/>
        </w:rPr>
      </w:pPr>
      <w:r w:rsidRPr="00397A77">
        <w:rPr>
          <w:rFonts w:ascii="Times New Roman" w:hAnsi="Times New Roman" w:cs="Times New Roman"/>
          <w:b/>
        </w:rPr>
        <w:t>Statistical data for the 2022/2023 SY for children from RE population</w:t>
      </w:r>
    </w:p>
    <w:p w:rsidR="00517E74" w:rsidRPr="00397A77" w:rsidRDefault="00517E74" w:rsidP="00517E74">
      <w:pPr>
        <w:spacing w:after="0" w:line="360" w:lineRule="auto"/>
        <w:ind w:firstLine="720"/>
        <w:contextualSpacing/>
        <w:jc w:val="both"/>
        <w:rPr>
          <w:rFonts w:ascii="Times New Roman" w:hAnsi="Times New Roman" w:cs="Times New Roman"/>
        </w:rPr>
      </w:pPr>
    </w:p>
    <w:p w:rsidR="00517E74" w:rsidRPr="00397A77" w:rsidRDefault="00517E74" w:rsidP="00517E74">
      <w:pPr>
        <w:spacing w:after="0" w:line="360" w:lineRule="auto"/>
        <w:ind w:firstLine="720"/>
        <w:contextualSpacing/>
        <w:jc w:val="both"/>
        <w:rPr>
          <w:rFonts w:ascii="Times New Roman" w:hAnsi="Times New Roman" w:cs="Times New Roman"/>
        </w:rPr>
      </w:pPr>
    </w:p>
    <w:tbl>
      <w:tblPr>
        <w:tblW w:w="9419" w:type="dxa"/>
        <w:tblLook w:val="04A0" w:firstRow="1" w:lastRow="0" w:firstColumn="1" w:lastColumn="0" w:noHBand="0" w:noVBand="1"/>
      </w:tblPr>
      <w:tblGrid>
        <w:gridCol w:w="1228"/>
        <w:gridCol w:w="923"/>
        <w:gridCol w:w="923"/>
        <w:gridCol w:w="2250"/>
        <w:gridCol w:w="789"/>
        <w:gridCol w:w="789"/>
        <w:gridCol w:w="2517"/>
      </w:tblGrid>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4096"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095"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23"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25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51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r>
      <w:tr w:rsidR="00193F9C" w:rsidTr="00517E74">
        <w:trPr>
          <w:trHeight w:val="306"/>
        </w:trPr>
        <w:tc>
          <w:tcPr>
            <w:tcW w:w="122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Primary</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949</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883</w:t>
            </w:r>
          </w:p>
        </w:tc>
        <w:tc>
          <w:tcPr>
            <w:tcW w:w="225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1833</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784</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764</w:t>
            </w:r>
          </w:p>
        </w:tc>
        <w:tc>
          <w:tcPr>
            <w:tcW w:w="251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1548</w:t>
            </w:r>
          </w:p>
        </w:tc>
      </w:tr>
      <w:tr w:rsidR="00193F9C" w:rsidTr="00517E74">
        <w:trPr>
          <w:trHeight w:val="306"/>
        </w:trPr>
        <w:tc>
          <w:tcPr>
            <w:tcW w:w="122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Secondary</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122</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92</w:t>
            </w:r>
          </w:p>
        </w:tc>
        <w:tc>
          <w:tcPr>
            <w:tcW w:w="225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214</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82</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75</w:t>
            </w:r>
          </w:p>
        </w:tc>
        <w:tc>
          <w:tcPr>
            <w:tcW w:w="251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157</w:t>
            </w:r>
          </w:p>
        </w:tc>
      </w:tr>
      <w:tr w:rsidR="00193F9C" w:rsidTr="00517E74">
        <w:trPr>
          <w:trHeight w:val="306"/>
        </w:trPr>
        <w:tc>
          <w:tcPr>
            <w:tcW w:w="122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TOTAL</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1163</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1085</w:t>
            </w:r>
          </w:p>
        </w:tc>
        <w:tc>
          <w:tcPr>
            <w:tcW w:w="225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2248</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866</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839</w:t>
            </w:r>
          </w:p>
        </w:tc>
        <w:tc>
          <w:tcPr>
            <w:tcW w:w="251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1705</w:t>
            </w:r>
          </w:p>
        </w:tc>
      </w:tr>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p w:rsidR="00517E74" w:rsidRPr="00397A77" w:rsidRDefault="00517E74" w:rsidP="00517E74">
            <w:pPr>
              <w:spacing w:after="0" w:line="360" w:lineRule="auto"/>
              <w:contextualSpacing/>
              <w:jc w:val="center"/>
              <w:rPr>
                <w:rFonts w:ascii="Times New Roman" w:eastAsia="Times New Roman" w:hAnsi="Times New Roman" w:cs="Times New Roman"/>
                <w:b/>
                <w:bCs/>
              </w:rPr>
            </w:pPr>
          </w:p>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9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25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789"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789"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51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9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9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25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789"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789"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51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4096"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095"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306"/>
        </w:trPr>
        <w:tc>
          <w:tcPr>
            <w:tcW w:w="122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23"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25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51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r>
      <w:tr w:rsidR="00193F9C" w:rsidTr="00517E74">
        <w:trPr>
          <w:trHeight w:val="306"/>
        </w:trPr>
        <w:tc>
          <w:tcPr>
            <w:tcW w:w="122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IX</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62</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60</w:t>
            </w:r>
          </w:p>
        </w:tc>
        <w:tc>
          <w:tcPr>
            <w:tcW w:w="225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122</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55</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53</w:t>
            </w:r>
          </w:p>
        </w:tc>
        <w:tc>
          <w:tcPr>
            <w:tcW w:w="251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108</w:t>
            </w:r>
          </w:p>
        </w:tc>
      </w:tr>
      <w:tr w:rsidR="00193F9C" w:rsidTr="00517E74">
        <w:trPr>
          <w:trHeight w:val="306"/>
        </w:trPr>
        <w:tc>
          <w:tcPr>
            <w:tcW w:w="122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proofErr w:type="gramStart"/>
            <w:r w:rsidRPr="00397A77">
              <w:rPr>
                <w:rFonts w:ascii="Times New Roman" w:eastAsia="Times New Roman" w:hAnsi="Times New Roman" w:cs="Times New Roman"/>
                <w:b/>
                <w:bCs/>
              </w:rPr>
              <w:t>III(</w:t>
            </w:r>
            <w:proofErr w:type="gramEnd"/>
            <w:r w:rsidRPr="00397A77">
              <w:rPr>
                <w:rFonts w:ascii="Times New Roman" w:eastAsia="Times New Roman" w:hAnsi="Times New Roman" w:cs="Times New Roman"/>
                <w:b/>
                <w:bCs/>
              </w:rPr>
              <w:t>final)</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14</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12</w:t>
            </w:r>
          </w:p>
        </w:tc>
        <w:tc>
          <w:tcPr>
            <w:tcW w:w="225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26</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13</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12</w:t>
            </w:r>
          </w:p>
        </w:tc>
        <w:tc>
          <w:tcPr>
            <w:tcW w:w="251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25</w:t>
            </w:r>
          </w:p>
        </w:tc>
      </w:tr>
      <w:tr w:rsidR="00193F9C" w:rsidTr="00517E74">
        <w:trPr>
          <w:trHeight w:val="306"/>
        </w:trPr>
        <w:tc>
          <w:tcPr>
            <w:tcW w:w="122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IV</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4</w:t>
            </w:r>
          </w:p>
        </w:tc>
        <w:tc>
          <w:tcPr>
            <w:tcW w:w="923"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3</w:t>
            </w:r>
          </w:p>
        </w:tc>
        <w:tc>
          <w:tcPr>
            <w:tcW w:w="225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4</w:t>
            </w:r>
          </w:p>
        </w:tc>
        <w:tc>
          <w:tcPr>
            <w:tcW w:w="789"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w:t>
            </w:r>
          </w:p>
        </w:tc>
        <w:tc>
          <w:tcPr>
            <w:tcW w:w="2516"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w:t>
            </w:r>
          </w:p>
        </w:tc>
      </w:tr>
      <w:tr w:rsidR="00193F9C" w:rsidTr="00517E74">
        <w:trPr>
          <w:trHeight w:val="306"/>
        </w:trPr>
        <w:tc>
          <w:tcPr>
            <w:tcW w:w="122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TOTAL</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80</w:t>
            </w:r>
          </w:p>
        </w:tc>
        <w:tc>
          <w:tcPr>
            <w:tcW w:w="9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75</w:t>
            </w:r>
          </w:p>
        </w:tc>
        <w:tc>
          <w:tcPr>
            <w:tcW w:w="225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155</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72</w:t>
            </w:r>
          </w:p>
        </w:tc>
        <w:tc>
          <w:tcPr>
            <w:tcW w:w="789"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67</w:t>
            </w:r>
          </w:p>
        </w:tc>
        <w:tc>
          <w:tcPr>
            <w:tcW w:w="251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139</w:t>
            </w:r>
          </w:p>
        </w:tc>
      </w:tr>
    </w:tbl>
    <w:p w:rsidR="00517E74" w:rsidRPr="00397A77" w:rsidRDefault="00517E74" w:rsidP="00517E74">
      <w:pPr>
        <w:spacing w:after="0" w:line="360" w:lineRule="auto"/>
        <w:ind w:firstLine="720"/>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DD6520" w:rsidP="00517E74">
      <w:pPr>
        <w:spacing w:after="0" w:line="360" w:lineRule="auto"/>
        <w:contextualSpacing/>
        <w:jc w:val="both"/>
        <w:rPr>
          <w:rFonts w:ascii="Times New Roman" w:hAnsi="Times New Roman" w:cs="Times New Roman"/>
          <w:b/>
        </w:rPr>
      </w:pPr>
      <w:r w:rsidRPr="00397A77">
        <w:rPr>
          <w:rFonts w:ascii="Times New Roman" w:hAnsi="Times New Roman" w:cs="Times New Roman"/>
          <w:b/>
        </w:rPr>
        <w:t>Statistical data for the 2023/2024 SY for children from RE population</w:t>
      </w:r>
    </w:p>
    <w:p w:rsidR="00517E74" w:rsidRPr="00397A77" w:rsidRDefault="00517E74" w:rsidP="00517E74">
      <w:pPr>
        <w:spacing w:after="0" w:line="360" w:lineRule="auto"/>
        <w:ind w:firstLine="720"/>
        <w:contextualSpacing/>
        <w:jc w:val="both"/>
        <w:rPr>
          <w:rFonts w:ascii="Times New Roman" w:hAnsi="Times New Roman" w:cs="Times New Roman"/>
        </w:rPr>
      </w:pPr>
    </w:p>
    <w:tbl>
      <w:tblPr>
        <w:tblW w:w="9359" w:type="dxa"/>
        <w:tblLook w:val="04A0" w:firstRow="1" w:lastRow="0" w:firstColumn="1" w:lastColumn="0" w:noHBand="0" w:noVBand="1"/>
      </w:tblPr>
      <w:tblGrid>
        <w:gridCol w:w="1220"/>
        <w:gridCol w:w="968"/>
        <w:gridCol w:w="740"/>
        <w:gridCol w:w="1725"/>
        <w:gridCol w:w="1126"/>
        <w:gridCol w:w="1078"/>
        <w:gridCol w:w="2502"/>
      </w:tblGrid>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3433"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706"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6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74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17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112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107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50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 xml:space="preserve">Number of </w:t>
            </w:r>
            <w:r w:rsidRPr="00397A77">
              <w:rPr>
                <w:rFonts w:ascii="Times New Roman" w:eastAsia="Times New Roman" w:hAnsi="Times New Roman" w:cs="Times New Roman"/>
                <w:b/>
                <w:bCs/>
              </w:rPr>
              <w:t>students</w:t>
            </w:r>
          </w:p>
        </w:tc>
      </w:tr>
      <w:tr w:rsidR="00193F9C" w:rsidTr="00517E74">
        <w:trPr>
          <w:trHeight w:val="309"/>
        </w:trPr>
        <w:tc>
          <w:tcPr>
            <w:tcW w:w="12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Primary</w:t>
            </w:r>
          </w:p>
        </w:tc>
        <w:tc>
          <w:tcPr>
            <w:tcW w:w="96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910</w:t>
            </w:r>
          </w:p>
        </w:tc>
        <w:tc>
          <w:tcPr>
            <w:tcW w:w="740"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884</w:t>
            </w:r>
          </w:p>
        </w:tc>
        <w:tc>
          <w:tcPr>
            <w:tcW w:w="172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1794</w:t>
            </w:r>
          </w:p>
        </w:tc>
        <w:tc>
          <w:tcPr>
            <w:tcW w:w="1126"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704</w:t>
            </w:r>
          </w:p>
        </w:tc>
        <w:tc>
          <w:tcPr>
            <w:tcW w:w="107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723</w:t>
            </w:r>
          </w:p>
        </w:tc>
        <w:tc>
          <w:tcPr>
            <w:tcW w:w="250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1427</w:t>
            </w:r>
          </w:p>
        </w:tc>
      </w:tr>
      <w:tr w:rsidR="00193F9C" w:rsidTr="00517E74">
        <w:trPr>
          <w:trHeight w:val="309"/>
        </w:trPr>
        <w:tc>
          <w:tcPr>
            <w:tcW w:w="1220"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secondary</w:t>
            </w:r>
          </w:p>
        </w:tc>
        <w:tc>
          <w:tcPr>
            <w:tcW w:w="96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103</w:t>
            </w:r>
          </w:p>
        </w:tc>
        <w:tc>
          <w:tcPr>
            <w:tcW w:w="740"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90</w:t>
            </w:r>
          </w:p>
        </w:tc>
        <w:tc>
          <w:tcPr>
            <w:tcW w:w="172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193</w:t>
            </w:r>
          </w:p>
        </w:tc>
        <w:tc>
          <w:tcPr>
            <w:tcW w:w="1126"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77</w:t>
            </w:r>
          </w:p>
        </w:tc>
        <w:tc>
          <w:tcPr>
            <w:tcW w:w="107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66</w:t>
            </w:r>
          </w:p>
        </w:tc>
        <w:tc>
          <w:tcPr>
            <w:tcW w:w="250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143</w:t>
            </w:r>
          </w:p>
        </w:tc>
      </w:tr>
      <w:tr w:rsidR="00193F9C" w:rsidTr="00517E74">
        <w:trPr>
          <w:trHeight w:val="309"/>
        </w:trPr>
        <w:tc>
          <w:tcPr>
            <w:tcW w:w="1220"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TOTAL</w:t>
            </w:r>
          </w:p>
        </w:tc>
        <w:tc>
          <w:tcPr>
            <w:tcW w:w="96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1013</w:t>
            </w:r>
          </w:p>
        </w:tc>
        <w:tc>
          <w:tcPr>
            <w:tcW w:w="74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974</w:t>
            </w:r>
          </w:p>
        </w:tc>
        <w:tc>
          <w:tcPr>
            <w:tcW w:w="17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1987</w:t>
            </w:r>
          </w:p>
        </w:tc>
        <w:tc>
          <w:tcPr>
            <w:tcW w:w="112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781</w:t>
            </w:r>
          </w:p>
        </w:tc>
        <w:tc>
          <w:tcPr>
            <w:tcW w:w="107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789</w:t>
            </w:r>
          </w:p>
        </w:tc>
        <w:tc>
          <w:tcPr>
            <w:tcW w:w="250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1570</w:t>
            </w:r>
          </w:p>
        </w:tc>
      </w:tr>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6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74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7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12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07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50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96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rPr>
                <w:rFonts w:ascii="Times New Roman" w:eastAsia="Times New Roman" w:hAnsi="Times New Roman" w:cs="Times New Roman"/>
              </w:rPr>
            </w:pPr>
          </w:p>
        </w:tc>
        <w:tc>
          <w:tcPr>
            <w:tcW w:w="74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723"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126"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1078"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250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r>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rPr>
            </w:pPr>
          </w:p>
        </w:tc>
        <w:tc>
          <w:tcPr>
            <w:tcW w:w="3433"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Beginning of the SY</w:t>
            </w:r>
          </w:p>
        </w:tc>
        <w:tc>
          <w:tcPr>
            <w:tcW w:w="4706"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Completed the grade</w:t>
            </w:r>
          </w:p>
        </w:tc>
      </w:tr>
      <w:tr w:rsidR="00193F9C" w:rsidTr="00517E74">
        <w:trPr>
          <w:trHeight w:val="309"/>
        </w:trPr>
        <w:tc>
          <w:tcPr>
            <w:tcW w:w="1220" w:type="dxa"/>
            <w:tcBorders>
              <w:top w:val="nil"/>
              <w:left w:val="nil"/>
              <w:bottom w:val="nil"/>
              <w:right w:val="nil"/>
            </w:tcBorders>
            <w:shd w:val="clear" w:color="auto" w:fill="auto"/>
            <w:noWrap/>
            <w:vAlign w:val="bottom"/>
            <w:hideMark/>
          </w:tcPr>
          <w:p w:rsidR="00517E74" w:rsidRPr="00397A77" w:rsidRDefault="00517E74" w:rsidP="00517E74">
            <w:pPr>
              <w:spacing w:after="0" w:line="360" w:lineRule="auto"/>
              <w:contextualSpacing/>
              <w:jc w:val="center"/>
              <w:rPr>
                <w:rFonts w:ascii="Times New Roman" w:eastAsia="Times New Roman" w:hAnsi="Times New Roman" w:cs="Times New Roman"/>
                <w:b/>
                <w:bCs/>
              </w:rPr>
            </w:pPr>
          </w:p>
        </w:tc>
        <w:tc>
          <w:tcPr>
            <w:tcW w:w="968"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74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17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c>
          <w:tcPr>
            <w:tcW w:w="112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M</w:t>
            </w:r>
          </w:p>
        </w:tc>
        <w:tc>
          <w:tcPr>
            <w:tcW w:w="107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F</w:t>
            </w:r>
          </w:p>
        </w:tc>
        <w:tc>
          <w:tcPr>
            <w:tcW w:w="250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Number of students</w:t>
            </w:r>
          </w:p>
        </w:tc>
      </w:tr>
      <w:tr w:rsidR="00193F9C" w:rsidTr="00517E74">
        <w:trPr>
          <w:trHeight w:val="309"/>
        </w:trPr>
        <w:tc>
          <w:tcPr>
            <w:tcW w:w="12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IX</w:t>
            </w:r>
          </w:p>
        </w:tc>
        <w:tc>
          <w:tcPr>
            <w:tcW w:w="96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67</w:t>
            </w:r>
          </w:p>
        </w:tc>
        <w:tc>
          <w:tcPr>
            <w:tcW w:w="740"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66</w:t>
            </w:r>
          </w:p>
        </w:tc>
        <w:tc>
          <w:tcPr>
            <w:tcW w:w="172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133</w:t>
            </w:r>
          </w:p>
        </w:tc>
        <w:tc>
          <w:tcPr>
            <w:tcW w:w="1126"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57</w:t>
            </w:r>
          </w:p>
        </w:tc>
        <w:tc>
          <w:tcPr>
            <w:tcW w:w="107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58</w:t>
            </w:r>
          </w:p>
        </w:tc>
        <w:tc>
          <w:tcPr>
            <w:tcW w:w="250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115</w:t>
            </w:r>
          </w:p>
        </w:tc>
      </w:tr>
      <w:tr w:rsidR="00193F9C" w:rsidTr="00517E74">
        <w:trPr>
          <w:trHeight w:val="309"/>
        </w:trPr>
        <w:tc>
          <w:tcPr>
            <w:tcW w:w="1220"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proofErr w:type="gramStart"/>
            <w:r w:rsidRPr="00397A77">
              <w:rPr>
                <w:rFonts w:ascii="Times New Roman" w:eastAsia="Times New Roman" w:hAnsi="Times New Roman" w:cs="Times New Roman"/>
                <w:b/>
                <w:bCs/>
              </w:rPr>
              <w:t>III(</w:t>
            </w:r>
            <w:proofErr w:type="gramEnd"/>
            <w:r w:rsidRPr="00397A77">
              <w:rPr>
                <w:rFonts w:ascii="Times New Roman" w:eastAsia="Times New Roman" w:hAnsi="Times New Roman" w:cs="Times New Roman"/>
                <w:b/>
                <w:bCs/>
              </w:rPr>
              <w:t>final)</w:t>
            </w:r>
          </w:p>
        </w:tc>
        <w:tc>
          <w:tcPr>
            <w:tcW w:w="96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19</w:t>
            </w:r>
          </w:p>
        </w:tc>
        <w:tc>
          <w:tcPr>
            <w:tcW w:w="740"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14</w:t>
            </w:r>
          </w:p>
        </w:tc>
        <w:tc>
          <w:tcPr>
            <w:tcW w:w="172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33</w:t>
            </w:r>
          </w:p>
        </w:tc>
        <w:tc>
          <w:tcPr>
            <w:tcW w:w="1126"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 xml:space="preserve">18 </w:t>
            </w:r>
          </w:p>
        </w:tc>
        <w:tc>
          <w:tcPr>
            <w:tcW w:w="107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10</w:t>
            </w:r>
          </w:p>
        </w:tc>
        <w:tc>
          <w:tcPr>
            <w:tcW w:w="250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28</w:t>
            </w:r>
          </w:p>
        </w:tc>
      </w:tr>
      <w:tr w:rsidR="00193F9C" w:rsidTr="00517E74">
        <w:trPr>
          <w:trHeight w:val="309"/>
        </w:trPr>
        <w:tc>
          <w:tcPr>
            <w:tcW w:w="1220"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IV</w:t>
            </w:r>
          </w:p>
        </w:tc>
        <w:tc>
          <w:tcPr>
            <w:tcW w:w="96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4</w:t>
            </w:r>
          </w:p>
        </w:tc>
        <w:tc>
          <w:tcPr>
            <w:tcW w:w="740"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7</w:t>
            </w:r>
          </w:p>
        </w:tc>
        <w:tc>
          <w:tcPr>
            <w:tcW w:w="1723"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11</w:t>
            </w:r>
          </w:p>
        </w:tc>
        <w:tc>
          <w:tcPr>
            <w:tcW w:w="1126"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4</w:t>
            </w:r>
          </w:p>
        </w:tc>
        <w:tc>
          <w:tcPr>
            <w:tcW w:w="1078" w:type="dxa"/>
            <w:tcBorders>
              <w:top w:val="nil"/>
              <w:left w:val="nil"/>
              <w:bottom w:val="single" w:sz="4" w:space="0" w:color="auto"/>
              <w:right w:val="single" w:sz="4" w:space="0" w:color="auto"/>
            </w:tcBorders>
            <w:shd w:val="clear" w:color="auto" w:fill="8DB3E2" w:themeFill="text2"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6</w:t>
            </w:r>
          </w:p>
        </w:tc>
        <w:tc>
          <w:tcPr>
            <w:tcW w:w="2500" w:type="dxa"/>
            <w:tcBorders>
              <w:top w:val="nil"/>
              <w:left w:val="nil"/>
              <w:bottom w:val="single" w:sz="4" w:space="0" w:color="auto"/>
              <w:right w:val="single" w:sz="4" w:space="0" w:color="auto"/>
            </w:tcBorders>
            <w:shd w:val="clear" w:color="auto" w:fill="B8CCE4" w:themeFill="accent1" w:themeFillTint="66"/>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rPr>
            </w:pPr>
            <w:r w:rsidRPr="00397A77">
              <w:rPr>
                <w:rFonts w:ascii="Times New Roman" w:eastAsia="Times New Roman" w:hAnsi="Times New Roman" w:cs="Times New Roman"/>
              </w:rPr>
              <w:t>10</w:t>
            </w:r>
          </w:p>
        </w:tc>
      </w:tr>
      <w:tr w:rsidR="00193F9C" w:rsidTr="00517E74">
        <w:trPr>
          <w:trHeight w:val="309"/>
        </w:trPr>
        <w:tc>
          <w:tcPr>
            <w:tcW w:w="1220" w:type="dxa"/>
            <w:tcBorders>
              <w:top w:val="nil"/>
              <w:left w:val="single" w:sz="4" w:space="0" w:color="auto"/>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rPr>
                <w:rFonts w:ascii="Times New Roman" w:eastAsia="Times New Roman" w:hAnsi="Times New Roman" w:cs="Times New Roman"/>
                <w:b/>
                <w:bCs/>
              </w:rPr>
            </w:pPr>
            <w:r w:rsidRPr="00397A77">
              <w:rPr>
                <w:rFonts w:ascii="Times New Roman" w:eastAsia="Times New Roman" w:hAnsi="Times New Roman" w:cs="Times New Roman"/>
                <w:b/>
                <w:bCs/>
              </w:rPr>
              <w:t>TOTAL</w:t>
            </w:r>
          </w:p>
        </w:tc>
        <w:tc>
          <w:tcPr>
            <w:tcW w:w="96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90</w:t>
            </w:r>
          </w:p>
        </w:tc>
        <w:tc>
          <w:tcPr>
            <w:tcW w:w="74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87</w:t>
            </w:r>
          </w:p>
        </w:tc>
        <w:tc>
          <w:tcPr>
            <w:tcW w:w="1723"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177</w:t>
            </w:r>
          </w:p>
        </w:tc>
        <w:tc>
          <w:tcPr>
            <w:tcW w:w="1126"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79</w:t>
            </w:r>
          </w:p>
        </w:tc>
        <w:tc>
          <w:tcPr>
            <w:tcW w:w="1078"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74</w:t>
            </w:r>
          </w:p>
        </w:tc>
        <w:tc>
          <w:tcPr>
            <w:tcW w:w="2500" w:type="dxa"/>
            <w:tcBorders>
              <w:top w:val="nil"/>
              <w:left w:val="nil"/>
              <w:bottom w:val="single" w:sz="4" w:space="0" w:color="auto"/>
              <w:right w:val="single" w:sz="4" w:space="0" w:color="auto"/>
            </w:tcBorders>
            <w:shd w:val="clear" w:color="000000" w:fill="BFBFBF"/>
            <w:noWrap/>
            <w:vAlign w:val="bottom"/>
            <w:hideMark/>
          </w:tcPr>
          <w:p w:rsidR="00517E74" w:rsidRPr="00397A77" w:rsidRDefault="00DD6520" w:rsidP="00517E74">
            <w:pPr>
              <w:spacing w:after="0" w:line="360" w:lineRule="auto"/>
              <w:contextualSpacing/>
              <w:jc w:val="center"/>
              <w:rPr>
                <w:rFonts w:ascii="Times New Roman" w:eastAsia="Times New Roman" w:hAnsi="Times New Roman" w:cs="Times New Roman"/>
                <w:b/>
                <w:bCs/>
              </w:rPr>
            </w:pPr>
            <w:r w:rsidRPr="00397A77">
              <w:rPr>
                <w:rFonts w:ascii="Times New Roman" w:eastAsia="Times New Roman" w:hAnsi="Times New Roman" w:cs="Times New Roman"/>
                <w:b/>
                <w:bCs/>
              </w:rPr>
              <w:t>153</w:t>
            </w:r>
          </w:p>
        </w:tc>
      </w:tr>
    </w:tbl>
    <w:p w:rsidR="00517E74" w:rsidRPr="00397A77" w:rsidRDefault="00517E74" w:rsidP="00517E74">
      <w:pPr>
        <w:spacing w:after="0" w:line="360" w:lineRule="auto"/>
        <w:contextualSpacing/>
        <w:jc w:val="both"/>
        <w:rPr>
          <w:rFonts w:ascii="Times New Roman" w:hAnsi="Times New Roman" w:cs="Times New Roman"/>
        </w:rPr>
      </w:pPr>
    </w:p>
    <w:p w:rsidR="00517E74" w:rsidRPr="00397A77" w:rsidRDefault="00517E74" w:rsidP="00517E74">
      <w:pPr>
        <w:spacing w:after="0" w:line="360" w:lineRule="auto"/>
        <w:contextualSpacing/>
        <w:jc w:val="both"/>
        <w:rPr>
          <w:rFonts w:ascii="Times New Roman" w:eastAsia="Times New Roman" w:hAnsi="Times New Roman" w:cs="Times New Roman"/>
          <w:b/>
        </w:rPr>
      </w:pPr>
    </w:p>
    <w:p w:rsidR="00A543FB" w:rsidRPr="00A543FB" w:rsidRDefault="00A543FB">
      <w:pPr>
        <w:spacing w:after="0" w:line="360" w:lineRule="auto"/>
        <w:contextualSpacing/>
        <w:jc w:val="both"/>
        <w:rPr>
          <w:rFonts w:ascii="Times New Roman" w:hAnsi="Times New Roman" w:cs="Times New Roman"/>
        </w:rPr>
      </w:pPr>
    </w:p>
    <w:sectPr w:rsidR="00A543FB" w:rsidRPr="00A543F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520" w:rsidRDefault="00DD6520">
      <w:pPr>
        <w:spacing w:after="0" w:line="240" w:lineRule="auto"/>
      </w:pPr>
      <w:r>
        <w:separator/>
      </w:r>
    </w:p>
  </w:endnote>
  <w:endnote w:type="continuationSeparator" w:id="0">
    <w:p w:rsidR="00DD6520" w:rsidRDefault="00DD6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ialog">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149254"/>
      <w:docPartObj>
        <w:docPartGallery w:val="Page Numbers (Bottom of Page)"/>
        <w:docPartUnique/>
      </w:docPartObj>
    </w:sdtPr>
    <w:sdtEndPr>
      <w:rPr>
        <w:noProof/>
      </w:rPr>
    </w:sdtEndPr>
    <w:sdtContent>
      <w:p w:rsidR="00517E74" w:rsidRDefault="00DD6520">
        <w:pPr>
          <w:pStyle w:val="Footer"/>
          <w:jc w:val="center"/>
        </w:pPr>
        <w:r>
          <w:fldChar w:fldCharType="begin"/>
        </w:r>
        <w:r>
          <w:instrText xml:space="preserve"> PAGE   \* MERGEFORMAT </w:instrText>
        </w:r>
        <w:r>
          <w:fldChar w:fldCharType="separate"/>
        </w:r>
        <w:r w:rsidR="000F6EB7">
          <w:rPr>
            <w:noProof/>
          </w:rPr>
          <w:t>32</w:t>
        </w:r>
        <w:r>
          <w:rPr>
            <w:noProof/>
          </w:rPr>
          <w:fldChar w:fldCharType="end"/>
        </w:r>
      </w:p>
    </w:sdtContent>
  </w:sdt>
  <w:p w:rsidR="00517E74" w:rsidRDefault="00517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520" w:rsidRDefault="00DD6520" w:rsidP="00FF1E32">
      <w:pPr>
        <w:spacing w:after="0" w:line="240" w:lineRule="auto"/>
      </w:pPr>
      <w:r>
        <w:separator/>
      </w:r>
    </w:p>
  </w:footnote>
  <w:footnote w:type="continuationSeparator" w:id="0">
    <w:p w:rsidR="00DD6520" w:rsidRDefault="00DD6520" w:rsidP="00FF1E32">
      <w:pPr>
        <w:spacing w:after="0" w:line="240" w:lineRule="auto"/>
      </w:pPr>
      <w:r>
        <w:continuationSeparator/>
      </w:r>
    </w:p>
  </w:footnote>
  <w:footnote w:id="1">
    <w:p w:rsidR="00517E74" w:rsidRPr="00CA7A2A" w:rsidRDefault="00DD6520" w:rsidP="00CA7A2A">
      <w:pPr>
        <w:pStyle w:val="FootnoteText"/>
        <w:rPr>
          <w:rFonts w:cstheme="minorHAnsi"/>
          <w:sz w:val="16"/>
          <w:szCs w:val="16"/>
        </w:rPr>
      </w:pPr>
      <w:r w:rsidRPr="00CA7A2A">
        <w:rPr>
          <w:rStyle w:val="FootnoteReference"/>
          <w:rFonts w:asciiTheme="minorHAnsi" w:hAnsiTheme="minorHAnsi" w:cstheme="minorHAnsi"/>
          <w:sz w:val="16"/>
          <w:szCs w:val="16"/>
        </w:rPr>
        <w:footnoteRef/>
      </w:r>
      <w:r w:rsidRPr="00CA7A2A">
        <w:rPr>
          <w:rFonts w:cstheme="minorHAnsi"/>
          <w:sz w:val="16"/>
          <w:szCs w:val="16"/>
        </w:rPr>
        <w:t xml:space="preserve"> (</w:t>
      </w:r>
      <w:r>
        <w:rPr>
          <w:rFonts w:cstheme="minorHAnsi"/>
          <w:sz w:val="16"/>
          <w:szCs w:val="16"/>
        </w:rPr>
        <w:t>“</w:t>
      </w:r>
      <w:r w:rsidRPr="00CA7A2A">
        <w:rPr>
          <w:rFonts w:cstheme="minorHAnsi"/>
          <w:sz w:val="16"/>
          <w:szCs w:val="16"/>
        </w:rPr>
        <w:t>Official gazette of Montenegro</w:t>
      </w:r>
      <w:r>
        <w:rPr>
          <w:rFonts w:cstheme="minorHAnsi"/>
          <w:sz w:val="16"/>
          <w:szCs w:val="16"/>
        </w:rPr>
        <w:t>”</w:t>
      </w:r>
      <w:r w:rsidRPr="00CA7A2A">
        <w:rPr>
          <w:rFonts w:cstheme="minorHAnsi"/>
          <w:sz w:val="16"/>
          <w:szCs w:val="16"/>
        </w:rPr>
        <w:t>,</w:t>
      </w:r>
      <w:r>
        <w:rPr>
          <w:rFonts w:cstheme="minorHAnsi"/>
          <w:color w:val="000000"/>
          <w:sz w:val="16"/>
          <w:szCs w:val="16"/>
        </w:rPr>
        <w:t xml:space="preserve"> </w:t>
      </w:r>
      <w:r w:rsidRPr="00CA7A2A">
        <w:rPr>
          <w:rFonts w:cstheme="minorHAnsi"/>
          <w:color w:val="000000"/>
          <w:sz w:val="16"/>
          <w:szCs w:val="16"/>
        </w:rPr>
        <w:t xml:space="preserve"> </w:t>
      </w:r>
      <w:hyperlink w:history="1">
        <w:r w:rsidRPr="00CA7A2A">
          <w:rPr>
            <w:rFonts w:cstheme="minorHAnsi"/>
            <w:color w:val="CC0000"/>
            <w:sz w:val="16"/>
            <w:szCs w:val="16"/>
            <w:u w:val="single"/>
          </w:rPr>
          <w:t>11/2015</w:t>
        </w:r>
      </w:hyperlink>
      <w:r w:rsidRPr="00CA7A2A">
        <w:rPr>
          <w:rFonts w:cstheme="minorHAnsi"/>
          <w:color w:val="000000"/>
          <w:sz w:val="16"/>
          <w:szCs w:val="16"/>
        </w:rPr>
        <w:t>, </w:t>
      </w:r>
      <w:hyperlink w:history="1">
        <w:r w:rsidRPr="00CA7A2A">
          <w:rPr>
            <w:rFonts w:cstheme="minorHAnsi"/>
            <w:color w:val="000080"/>
            <w:sz w:val="16"/>
            <w:szCs w:val="16"/>
            <w:u w:val="single"/>
          </w:rPr>
          <w:t>28/2015</w:t>
        </w:r>
      </w:hyperlink>
      <w:r w:rsidRPr="00CA7A2A">
        <w:rPr>
          <w:rFonts w:cstheme="minorHAnsi"/>
          <w:color w:val="000000"/>
          <w:sz w:val="16"/>
          <w:szCs w:val="16"/>
        </w:rPr>
        <w:t>, </w:t>
      </w:r>
      <w:hyperlink w:history="1">
        <w:r w:rsidRPr="00CA7A2A">
          <w:rPr>
            <w:rFonts w:cstheme="minorHAnsi"/>
            <w:color w:val="000080"/>
            <w:sz w:val="16"/>
            <w:szCs w:val="16"/>
            <w:u w:val="single"/>
          </w:rPr>
          <w:t>42/2018</w:t>
        </w:r>
      </w:hyperlink>
      <w:r w:rsidRPr="00CA7A2A">
        <w:rPr>
          <w:rFonts w:cstheme="minorHAnsi"/>
          <w:color w:val="000000"/>
          <w:sz w:val="16"/>
          <w:szCs w:val="16"/>
        </w:rPr>
        <w:t>, </w:t>
      </w:r>
      <w:hyperlink w:history="1">
        <w:r w:rsidRPr="00CA7A2A">
          <w:rPr>
            <w:rFonts w:cstheme="minorHAnsi"/>
            <w:color w:val="000080"/>
            <w:sz w:val="16"/>
            <w:szCs w:val="16"/>
            <w:u w:val="single"/>
          </w:rPr>
          <w:t>60/2024</w:t>
        </w:r>
      </w:hyperlink>
      <w:r w:rsidRPr="00CA7A2A">
        <w:rPr>
          <w:rFonts w:cstheme="minorHAnsi"/>
          <w:color w:val="000000"/>
          <w:sz w:val="16"/>
          <w:szCs w:val="16"/>
        </w:rPr>
        <w:t> and </w:t>
      </w:r>
      <w:hyperlink w:history="1">
        <w:r w:rsidRPr="00CA7A2A">
          <w:rPr>
            <w:rFonts w:cstheme="minorHAnsi"/>
            <w:color w:val="000080"/>
            <w:sz w:val="16"/>
            <w:szCs w:val="16"/>
            <w:u w:val="single"/>
          </w:rPr>
          <w:t>92/2025</w:t>
        </w:r>
      </w:hyperlink>
      <w:r>
        <w:rPr>
          <w:rFonts w:cstheme="minorHAnsi"/>
          <w:color w:val="000000"/>
          <w:sz w:val="16"/>
          <w:szCs w:val="16"/>
        </w:rPr>
        <w:t xml:space="preserve">)  </w:t>
      </w:r>
    </w:p>
  </w:footnote>
  <w:footnote w:id="2">
    <w:p w:rsidR="00517E74" w:rsidRPr="006E7C65" w:rsidRDefault="00DD6520" w:rsidP="000668A3">
      <w:pPr>
        <w:pStyle w:val="FootnoteText"/>
      </w:pPr>
      <w:r>
        <w:rPr>
          <w:rStyle w:val="FootnoteReference"/>
        </w:rPr>
        <w:footnoteRef/>
      </w:r>
      <w:r>
        <w:t xml:space="preserve"> </w:t>
      </w:r>
      <w:r w:rsidRPr="000668A3">
        <w:t>Official Gazette of Montenegro – International Treaties, No. 012/24 of 27 December 2024.</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3356F"/>
    <w:multiLevelType w:val="hybridMultilevel"/>
    <w:tmpl w:val="A094FDB2"/>
    <w:lvl w:ilvl="0" w:tplc="0EDA37E8">
      <w:start w:val="1"/>
      <w:numFmt w:val="lowerLetter"/>
      <w:lvlText w:val="(%1)"/>
      <w:lvlJc w:val="left"/>
      <w:pPr>
        <w:ind w:left="2511" w:hanging="360"/>
      </w:pPr>
      <w:rPr>
        <w:rFonts w:hint="default"/>
      </w:rPr>
    </w:lvl>
    <w:lvl w:ilvl="1" w:tplc="42A05BA0" w:tentative="1">
      <w:start w:val="1"/>
      <w:numFmt w:val="lowerLetter"/>
      <w:lvlText w:val="%2."/>
      <w:lvlJc w:val="left"/>
      <w:pPr>
        <w:ind w:left="3231" w:hanging="360"/>
      </w:pPr>
    </w:lvl>
    <w:lvl w:ilvl="2" w:tplc="88F0E0F2" w:tentative="1">
      <w:start w:val="1"/>
      <w:numFmt w:val="lowerRoman"/>
      <w:lvlText w:val="%3."/>
      <w:lvlJc w:val="right"/>
      <w:pPr>
        <w:ind w:left="3951" w:hanging="180"/>
      </w:pPr>
    </w:lvl>
    <w:lvl w:ilvl="3" w:tplc="3B721164" w:tentative="1">
      <w:start w:val="1"/>
      <w:numFmt w:val="decimal"/>
      <w:lvlText w:val="%4."/>
      <w:lvlJc w:val="left"/>
      <w:pPr>
        <w:ind w:left="4671" w:hanging="360"/>
      </w:pPr>
    </w:lvl>
    <w:lvl w:ilvl="4" w:tplc="90FA6AA6" w:tentative="1">
      <w:start w:val="1"/>
      <w:numFmt w:val="lowerLetter"/>
      <w:lvlText w:val="%5."/>
      <w:lvlJc w:val="left"/>
      <w:pPr>
        <w:ind w:left="5391" w:hanging="360"/>
      </w:pPr>
    </w:lvl>
    <w:lvl w:ilvl="5" w:tplc="BF50D9EE" w:tentative="1">
      <w:start w:val="1"/>
      <w:numFmt w:val="lowerRoman"/>
      <w:lvlText w:val="%6."/>
      <w:lvlJc w:val="right"/>
      <w:pPr>
        <w:ind w:left="6111" w:hanging="180"/>
      </w:pPr>
    </w:lvl>
    <w:lvl w:ilvl="6" w:tplc="02CC8944" w:tentative="1">
      <w:start w:val="1"/>
      <w:numFmt w:val="decimal"/>
      <w:lvlText w:val="%7."/>
      <w:lvlJc w:val="left"/>
      <w:pPr>
        <w:ind w:left="6831" w:hanging="360"/>
      </w:pPr>
    </w:lvl>
    <w:lvl w:ilvl="7" w:tplc="9670ADE8" w:tentative="1">
      <w:start w:val="1"/>
      <w:numFmt w:val="lowerLetter"/>
      <w:lvlText w:val="%8."/>
      <w:lvlJc w:val="left"/>
      <w:pPr>
        <w:ind w:left="7551" w:hanging="360"/>
      </w:pPr>
    </w:lvl>
    <w:lvl w:ilvl="8" w:tplc="2548C2CC" w:tentative="1">
      <w:start w:val="1"/>
      <w:numFmt w:val="lowerRoman"/>
      <w:lvlText w:val="%9."/>
      <w:lvlJc w:val="right"/>
      <w:pPr>
        <w:ind w:left="8271" w:hanging="180"/>
      </w:pPr>
    </w:lvl>
  </w:abstractNum>
  <w:abstractNum w:abstractNumId="1" w15:restartNumberingAfterBreak="0">
    <w:nsid w:val="17DB4F3B"/>
    <w:multiLevelType w:val="hybridMultilevel"/>
    <w:tmpl w:val="82709C08"/>
    <w:lvl w:ilvl="0" w:tplc="FAB82C2C">
      <w:start w:val="1"/>
      <w:numFmt w:val="lowerLetter"/>
      <w:lvlText w:val="(%1)"/>
      <w:lvlJc w:val="left"/>
      <w:pPr>
        <w:ind w:left="720" w:hanging="360"/>
      </w:pPr>
      <w:rPr>
        <w:rFonts w:hint="default"/>
      </w:rPr>
    </w:lvl>
    <w:lvl w:ilvl="1" w:tplc="04EAEC02" w:tentative="1">
      <w:start w:val="1"/>
      <w:numFmt w:val="lowerLetter"/>
      <w:lvlText w:val="%2."/>
      <w:lvlJc w:val="left"/>
      <w:pPr>
        <w:ind w:left="1440" w:hanging="360"/>
      </w:pPr>
    </w:lvl>
    <w:lvl w:ilvl="2" w:tplc="C6762DA6" w:tentative="1">
      <w:start w:val="1"/>
      <w:numFmt w:val="lowerRoman"/>
      <w:lvlText w:val="%3."/>
      <w:lvlJc w:val="right"/>
      <w:pPr>
        <w:ind w:left="2160" w:hanging="180"/>
      </w:pPr>
    </w:lvl>
    <w:lvl w:ilvl="3" w:tplc="8EB6747C" w:tentative="1">
      <w:start w:val="1"/>
      <w:numFmt w:val="decimal"/>
      <w:lvlText w:val="%4."/>
      <w:lvlJc w:val="left"/>
      <w:pPr>
        <w:ind w:left="2880" w:hanging="360"/>
      </w:pPr>
    </w:lvl>
    <w:lvl w:ilvl="4" w:tplc="391A273E" w:tentative="1">
      <w:start w:val="1"/>
      <w:numFmt w:val="lowerLetter"/>
      <w:lvlText w:val="%5."/>
      <w:lvlJc w:val="left"/>
      <w:pPr>
        <w:ind w:left="3600" w:hanging="360"/>
      </w:pPr>
    </w:lvl>
    <w:lvl w:ilvl="5" w:tplc="E6609400" w:tentative="1">
      <w:start w:val="1"/>
      <w:numFmt w:val="lowerRoman"/>
      <w:lvlText w:val="%6."/>
      <w:lvlJc w:val="right"/>
      <w:pPr>
        <w:ind w:left="4320" w:hanging="180"/>
      </w:pPr>
    </w:lvl>
    <w:lvl w:ilvl="6" w:tplc="378409B2" w:tentative="1">
      <w:start w:val="1"/>
      <w:numFmt w:val="decimal"/>
      <w:lvlText w:val="%7."/>
      <w:lvlJc w:val="left"/>
      <w:pPr>
        <w:ind w:left="5040" w:hanging="360"/>
      </w:pPr>
    </w:lvl>
    <w:lvl w:ilvl="7" w:tplc="6FD24DDE" w:tentative="1">
      <w:start w:val="1"/>
      <w:numFmt w:val="lowerLetter"/>
      <w:lvlText w:val="%8."/>
      <w:lvlJc w:val="left"/>
      <w:pPr>
        <w:ind w:left="5760" w:hanging="360"/>
      </w:pPr>
    </w:lvl>
    <w:lvl w:ilvl="8" w:tplc="9CFE424E" w:tentative="1">
      <w:start w:val="1"/>
      <w:numFmt w:val="lowerRoman"/>
      <w:lvlText w:val="%9."/>
      <w:lvlJc w:val="right"/>
      <w:pPr>
        <w:ind w:left="6480" w:hanging="180"/>
      </w:pPr>
    </w:lvl>
  </w:abstractNum>
  <w:abstractNum w:abstractNumId="2" w15:restartNumberingAfterBreak="0">
    <w:nsid w:val="1B747761"/>
    <w:multiLevelType w:val="hybridMultilevel"/>
    <w:tmpl w:val="584A8454"/>
    <w:lvl w:ilvl="0" w:tplc="3A507628">
      <w:numFmt w:val="bullet"/>
      <w:lvlText w:val="•"/>
      <w:lvlJc w:val="left"/>
      <w:pPr>
        <w:ind w:left="720" w:hanging="360"/>
      </w:pPr>
      <w:rPr>
        <w:rFonts w:ascii="Times New Roman" w:eastAsiaTheme="minorHAnsi" w:hAnsi="Times New Roman" w:cs="Times New Roman" w:hint="default"/>
      </w:rPr>
    </w:lvl>
    <w:lvl w:ilvl="1" w:tplc="47DE981C">
      <w:start w:val="1"/>
      <w:numFmt w:val="bullet"/>
      <w:lvlText w:val="o"/>
      <w:lvlJc w:val="left"/>
      <w:pPr>
        <w:ind w:left="1440" w:hanging="360"/>
      </w:pPr>
      <w:rPr>
        <w:rFonts w:ascii="Courier New" w:hAnsi="Courier New" w:cs="Courier New" w:hint="default"/>
      </w:rPr>
    </w:lvl>
    <w:lvl w:ilvl="2" w:tplc="062662E2">
      <w:start w:val="1"/>
      <w:numFmt w:val="bullet"/>
      <w:lvlText w:val=""/>
      <w:lvlJc w:val="left"/>
      <w:pPr>
        <w:ind w:left="2160" w:hanging="360"/>
      </w:pPr>
      <w:rPr>
        <w:rFonts w:ascii="Wingdings" w:hAnsi="Wingdings" w:hint="default"/>
      </w:rPr>
    </w:lvl>
    <w:lvl w:ilvl="3" w:tplc="069A8C90">
      <w:start w:val="1"/>
      <w:numFmt w:val="bullet"/>
      <w:lvlText w:val=""/>
      <w:lvlJc w:val="left"/>
      <w:pPr>
        <w:ind w:left="2880" w:hanging="360"/>
      </w:pPr>
      <w:rPr>
        <w:rFonts w:ascii="Symbol" w:hAnsi="Symbol" w:hint="default"/>
      </w:rPr>
    </w:lvl>
    <w:lvl w:ilvl="4" w:tplc="D4C2B4A4">
      <w:start w:val="1"/>
      <w:numFmt w:val="bullet"/>
      <w:lvlText w:val="o"/>
      <w:lvlJc w:val="left"/>
      <w:pPr>
        <w:ind w:left="3600" w:hanging="360"/>
      </w:pPr>
      <w:rPr>
        <w:rFonts w:ascii="Courier New" w:hAnsi="Courier New" w:cs="Courier New" w:hint="default"/>
      </w:rPr>
    </w:lvl>
    <w:lvl w:ilvl="5" w:tplc="AAEA6254">
      <w:start w:val="1"/>
      <w:numFmt w:val="bullet"/>
      <w:lvlText w:val=""/>
      <w:lvlJc w:val="left"/>
      <w:pPr>
        <w:ind w:left="4320" w:hanging="360"/>
      </w:pPr>
      <w:rPr>
        <w:rFonts w:ascii="Wingdings" w:hAnsi="Wingdings" w:hint="default"/>
      </w:rPr>
    </w:lvl>
    <w:lvl w:ilvl="6" w:tplc="988CB586">
      <w:start w:val="1"/>
      <w:numFmt w:val="bullet"/>
      <w:lvlText w:val=""/>
      <w:lvlJc w:val="left"/>
      <w:pPr>
        <w:ind w:left="5040" w:hanging="360"/>
      </w:pPr>
      <w:rPr>
        <w:rFonts w:ascii="Symbol" w:hAnsi="Symbol" w:hint="default"/>
      </w:rPr>
    </w:lvl>
    <w:lvl w:ilvl="7" w:tplc="8306171C">
      <w:start w:val="1"/>
      <w:numFmt w:val="bullet"/>
      <w:lvlText w:val="o"/>
      <w:lvlJc w:val="left"/>
      <w:pPr>
        <w:ind w:left="5760" w:hanging="360"/>
      </w:pPr>
      <w:rPr>
        <w:rFonts w:ascii="Courier New" w:hAnsi="Courier New" w:cs="Courier New" w:hint="default"/>
      </w:rPr>
    </w:lvl>
    <w:lvl w:ilvl="8" w:tplc="FCDADA90">
      <w:start w:val="1"/>
      <w:numFmt w:val="bullet"/>
      <w:lvlText w:val=""/>
      <w:lvlJc w:val="left"/>
      <w:pPr>
        <w:ind w:left="6480" w:hanging="360"/>
      </w:pPr>
      <w:rPr>
        <w:rFonts w:ascii="Wingdings" w:hAnsi="Wingdings" w:hint="default"/>
      </w:rPr>
    </w:lvl>
  </w:abstractNum>
  <w:abstractNum w:abstractNumId="3" w15:restartNumberingAfterBreak="0">
    <w:nsid w:val="1E5C5B4F"/>
    <w:multiLevelType w:val="multilevel"/>
    <w:tmpl w:val="7B087524"/>
    <w:lvl w:ilvl="0">
      <w:start w:val="1"/>
      <w:numFmt w:val="lowerLetter"/>
      <w:lvlText w:val="%1)"/>
      <w:lvlJc w:val="left"/>
      <w:pPr>
        <w:ind w:left="720" w:hanging="360"/>
      </w:pPr>
      <w:rPr>
        <w:rFonts w:hint="default"/>
        <w:b w:val="0"/>
        <w:color w:val="auto"/>
      </w:rPr>
    </w:lvl>
    <w:lvl w:ilvl="1">
      <w:start w:val="6"/>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F121CB3"/>
    <w:multiLevelType w:val="hybridMultilevel"/>
    <w:tmpl w:val="5AC6C452"/>
    <w:lvl w:ilvl="0" w:tplc="0DFE3864">
      <w:start w:val="161"/>
      <w:numFmt w:val="bullet"/>
      <w:lvlText w:val="-"/>
      <w:lvlJc w:val="left"/>
      <w:pPr>
        <w:ind w:left="720" w:hanging="360"/>
      </w:pPr>
      <w:rPr>
        <w:rFonts w:ascii="Arial" w:eastAsiaTheme="minorHAnsi" w:hAnsi="Arial" w:cs="Arial" w:hint="default"/>
      </w:rPr>
    </w:lvl>
    <w:lvl w:ilvl="1" w:tplc="CDA4A56A" w:tentative="1">
      <w:start w:val="1"/>
      <w:numFmt w:val="bullet"/>
      <w:lvlText w:val="o"/>
      <w:lvlJc w:val="left"/>
      <w:pPr>
        <w:ind w:left="1440" w:hanging="360"/>
      </w:pPr>
      <w:rPr>
        <w:rFonts w:ascii="Courier New" w:hAnsi="Courier New" w:cs="Courier New" w:hint="default"/>
      </w:rPr>
    </w:lvl>
    <w:lvl w:ilvl="2" w:tplc="4560C7DC" w:tentative="1">
      <w:start w:val="1"/>
      <w:numFmt w:val="bullet"/>
      <w:lvlText w:val=""/>
      <w:lvlJc w:val="left"/>
      <w:pPr>
        <w:ind w:left="2160" w:hanging="360"/>
      </w:pPr>
      <w:rPr>
        <w:rFonts w:ascii="Wingdings" w:hAnsi="Wingdings" w:hint="default"/>
      </w:rPr>
    </w:lvl>
    <w:lvl w:ilvl="3" w:tplc="C2024C86" w:tentative="1">
      <w:start w:val="1"/>
      <w:numFmt w:val="bullet"/>
      <w:lvlText w:val=""/>
      <w:lvlJc w:val="left"/>
      <w:pPr>
        <w:ind w:left="2880" w:hanging="360"/>
      </w:pPr>
      <w:rPr>
        <w:rFonts w:ascii="Symbol" w:hAnsi="Symbol" w:hint="default"/>
      </w:rPr>
    </w:lvl>
    <w:lvl w:ilvl="4" w:tplc="4298177C" w:tentative="1">
      <w:start w:val="1"/>
      <w:numFmt w:val="bullet"/>
      <w:lvlText w:val="o"/>
      <w:lvlJc w:val="left"/>
      <w:pPr>
        <w:ind w:left="3600" w:hanging="360"/>
      </w:pPr>
      <w:rPr>
        <w:rFonts w:ascii="Courier New" w:hAnsi="Courier New" w:cs="Courier New" w:hint="default"/>
      </w:rPr>
    </w:lvl>
    <w:lvl w:ilvl="5" w:tplc="4254F148" w:tentative="1">
      <w:start w:val="1"/>
      <w:numFmt w:val="bullet"/>
      <w:lvlText w:val=""/>
      <w:lvlJc w:val="left"/>
      <w:pPr>
        <w:ind w:left="4320" w:hanging="360"/>
      </w:pPr>
      <w:rPr>
        <w:rFonts w:ascii="Wingdings" w:hAnsi="Wingdings" w:hint="default"/>
      </w:rPr>
    </w:lvl>
    <w:lvl w:ilvl="6" w:tplc="E2A2F948" w:tentative="1">
      <w:start w:val="1"/>
      <w:numFmt w:val="bullet"/>
      <w:lvlText w:val=""/>
      <w:lvlJc w:val="left"/>
      <w:pPr>
        <w:ind w:left="5040" w:hanging="360"/>
      </w:pPr>
      <w:rPr>
        <w:rFonts w:ascii="Symbol" w:hAnsi="Symbol" w:hint="default"/>
      </w:rPr>
    </w:lvl>
    <w:lvl w:ilvl="7" w:tplc="EFECD81C" w:tentative="1">
      <w:start w:val="1"/>
      <w:numFmt w:val="bullet"/>
      <w:lvlText w:val="o"/>
      <w:lvlJc w:val="left"/>
      <w:pPr>
        <w:ind w:left="5760" w:hanging="360"/>
      </w:pPr>
      <w:rPr>
        <w:rFonts w:ascii="Courier New" w:hAnsi="Courier New" w:cs="Courier New" w:hint="default"/>
      </w:rPr>
    </w:lvl>
    <w:lvl w:ilvl="8" w:tplc="63A6300E" w:tentative="1">
      <w:start w:val="1"/>
      <w:numFmt w:val="bullet"/>
      <w:lvlText w:val=""/>
      <w:lvlJc w:val="left"/>
      <w:pPr>
        <w:ind w:left="6480" w:hanging="360"/>
      </w:pPr>
      <w:rPr>
        <w:rFonts w:ascii="Wingdings" w:hAnsi="Wingdings" w:hint="default"/>
      </w:rPr>
    </w:lvl>
  </w:abstractNum>
  <w:abstractNum w:abstractNumId="5" w15:restartNumberingAfterBreak="0">
    <w:nsid w:val="20761327"/>
    <w:multiLevelType w:val="hybridMultilevel"/>
    <w:tmpl w:val="88F0E45C"/>
    <w:lvl w:ilvl="0" w:tplc="8676CF4C">
      <w:start w:val="1"/>
      <w:numFmt w:val="decimal"/>
      <w:lvlText w:val="%1."/>
      <w:lvlJc w:val="left"/>
      <w:pPr>
        <w:ind w:left="720" w:hanging="360"/>
      </w:pPr>
      <w:rPr>
        <w:rFonts w:hint="default"/>
      </w:rPr>
    </w:lvl>
    <w:lvl w:ilvl="1" w:tplc="2584BA2C" w:tentative="1">
      <w:start w:val="1"/>
      <w:numFmt w:val="lowerLetter"/>
      <w:lvlText w:val="%2."/>
      <w:lvlJc w:val="left"/>
      <w:pPr>
        <w:ind w:left="1440" w:hanging="360"/>
      </w:pPr>
    </w:lvl>
    <w:lvl w:ilvl="2" w:tplc="DF5EC682" w:tentative="1">
      <w:start w:val="1"/>
      <w:numFmt w:val="lowerRoman"/>
      <w:lvlText w:val="%3."/>
      <w:lvlJc w:val="right"/>
      <w:pPr>
        <w:ind w:left="2160" w:hanging="180"/>
      </w:pPr>
    </w:lvl>
    <w:lvl w:ilvl="3" w:tplc="E38C2EFA" w:tentative="1">
      <w:start w:val="1"/>
      <w:numFmt w:val="decimal"/>
      <w:lvlText w:val="%4."/>
      <w:lvlJc w:val="left"/>
      <w:pPr>
        <w:ind w:left="2880" w:hanging="360"/>
      </w:pPr>
    </w:lvl>
    <w:lvl w:ilvl="4" w:tplc="976ED292" w:tentative="1">
      <w:start w:val="1"/>
      <w:numFmt w:val="lowerLetter"/>
      <w:lvlText w:val="%5."/>
      <w:lvlJc w:val="left"/>
      <w:pPr>
        <w:ind w:left="3600" w:hanging="360"/>
      </w:pPr>
    </w:lvl>
    <w:lvl w:ilvl="5" w:tplc="DE8AE918" w:tentative="1">
      <w:start w:val="1"/>
      <w:numFmt w:val="lowerRoman"/>
      <w:lvlText w:val="%6."/>
      <w:lvlJc w:val="right"/>
      <w:pPr>
        <w:ind w:left="4320" w:hanging="180"/>
      </w:pPr>
    </w:lvl>
    <w:lvl w:ilvl="6" w:tplc="D5DC1510" w:tentative="1">
      <w:start w:val="1"/>
      <w:numFmt w:val="decimal"/>
      <w:lvlText w:val="%7."/>
      <w:lvlJc w:val="left"/>
      <w:pPr>
        <w:ind w:left="5040" w:hanging="360"/>
      </w:pPr>
    </w:lvl>
    <w:lvl w:ilvl="7" w:tplc="699CF1EE" w:tentative="1">
      <w:start w:val="1"/>
      <w:numFmt w:val="lowerLetter"/>
      <w:lvlText w:val="%8."/>
      <w:lvlJc w:val="left"/>
      <w:pPr>
        <w:ind w:left="5760" w:hanging="360"/>
      </w:pPr>
    </w:lvl>
    <w:lvl w:ilvl="8" w:tplc="DEBC828E" w:tentative="1">
      <w:start w:val="1"/>
      <w:numFmt w:val="lowerRoman"/>
      <w:lvlText w:val="%9."/>
      <w:lvlJc w:val="right"/>
      <w:pPr>
        <w:ind w:left="6480" w:hanging="180"/>
      </w:pPr>
    </w:lvl>
  </w:abstractNum>
  <w:abstractNum w:abstractNumId="6" w15:restartNumberingAfterBreak="0">
    <w:nsid w:val="220723A0"/>
    <w:multiLevelType w:val="hybridMultilevel"/>
    <w:tmpl w:val="AE405290"/>
    <w:lvl w:ilvl="0" w:tplc="98A8D468">
      <w:start w:val="1"/>
      <w:numFmt w:val="upperLetter"/>
      <w:lvlText w:val="%1."/>
      <w:lvlJc w:val="left"/>
      <w:pPr>
        <w:ind w:left="720" w:hanging="360"/>
      </w:pPr>
      <w:rPr>
        <w:rFonts w:ascii="Tahoma" w:hAnsi="Tahoma" w:cs="Tahoma" w:hint="default"/>
        <w:b w:val="0"/>
        <w:sz w:val="22"/>
      </w:rPr>
    </w:lvl>
    <w:lvl w:ilvl="1" w:tplc="388A6B2C" w:tentative="1">
      <w:start w:val="1"/>
      <w:numFmt w:val="lowerLetter"/>
      <w:lvlText w:val="%2."/>
      <w:lvlJc w:val="left"/>
      <w:pPr>
        <w:ind w:left="1440" w:hanging="360"/>
      </w:pPr>
    </w:lvl>
    <w:lvl w:ilvl="2" w:tplc="F01ACDFC" w:tentative="1">
      <w:start w:val="1"/>
      <w:numFmt w:val="lowerRoman"/>
      <w:lvlText w:val="%3."/>
      <w:lvlJc w:val="right"/>
      <w:pPr>
        <w:ind w:left="2160" w:hanging="180"/>
      </w:pPr>
    </w:lvl>
    <w:lvl w:ilvl="3" w:tplc="ECAC40CC" w:tentative="1">
      <w:start w:val="1"/>
      <w:numFmt w:val="decimal"/>
      <w:lvlText w:val="%4."/>
      <w:lvlJc w:val="left"/>
      <w:pPr>
        <w:ind w:left="2880" w:hanging="360"/>
      </w:pPr>
    </w:lvl>
    <w:lvl w:ilvl="4" w:tplc="6666F7E2" w:tentative="1">
      <w:start w:val="1"/>
      <w:numFmt w:val="lowerLetter"/>
      <w:lvlText w:val="%5."/>
      <w:lvlJc w:val="left"/>
      <w:pPr>
        <w:ind w:left="3600" w:hanging="360"/>
      </w:pPr>
    </w:lvl>
    <w:lvl w:ilvl="5" w:tplc="248A44A6" w:tentative="1">
      <w:start w:val="1"/>
      <w:numFmt w:val="lowerRoman"/>
      <w:lvlText w:val="%6."/>
      <w:lvlJc w:val="right"/>
      <w:pPr>
        <w:ind w:left="4320" w:hanging="180"/>
      </w:pPr>
    </w:lvl>
    <w:lvl w:ilvl="6" w:tplc="1E96BDA2" w:tentative="1">
      <w:start w:val="1"/>
      <w:numFmt w:val="decimal"/>
      <w:lvlText w:val="%7."/>
      <w:lvlJc w:val="left"/>
      <w:pPr>
        <w:ind w:left="5040" w:hanging="360"/>
      </w:pPr>
    </w:lvl>
    <w:lvl w:ilvl="7" w:tplc="99CC938A" w:tentative="1">
      <w:start w:val="1"/>
      <w:numFmt w:val="lowerLetter"/>
      <w:lvlText w:val="%8."/>
      <w:lvlJc w:val="left"/>
      <w:pPr>
        <w:ind w:left="5760" w:hanging="360"/>
      </w:pPr>
    </w:lvl>
    <w:lvl w:ilvl="8" w:tplc="BB04FA24" w:tentative="1">
      <w:start w:val="1"/>
      <w:numFmt w:val="lowerRoman"/>
      <w:lvlText w:val="%9."/>
      <w:lvlJc w:val="right"/>
      <w:pPr>
        <w:ind w:left="6480" w:hanging="180"/>
      </w:pPr>
    </w:lvl>
  </w:abstractNum>
  <w:abstractNum w:abstractNumId="7" w15:restartNumberingAfterBreak="0">
    <w:nsid w:val="2AC57947"/>
    <w:multiLevelType w:val="hybridMultilevel"/>
    <w:tmpl w:val="4808B7FC"/>
    <w:lvl w:ilvl="0" w:tplc="3B4A16E0">
      <w:start w:val="1"/>
      <w:numFmt w:val="lowerLetter"/>
      <w:lvlText w:val="(%1)"/>
      <w:lvlJc w:val="left"/>
      <w:pPr>
        <w:ind w:left="720" w:hanging="360"/>
      </w:pPr>
      <w:rPr>
        <w:rFonts w:hint="default"/>
      </w:rPr>
    </w:lvl>
    <w:lvl w:ilvl="1" w:tplc="E9E0C7BA" w:tentative="1">
      <w:start w:val="1"/>
      <w:numFmt w:val="lowerLetter"/>
      <w:lvlText w:val="%2."/>
      <w:lvlJc w:val="left"/>
      <w:pPr>
        <w:ind w:left="1440" w:hanging="360"/>
      </w:pPr>
    </w:lvl>
    <w:lvl w:ilvl="2" w:tplc="A58EAD0C" w:tentative="1">
      <w:start w:val="1"/>
      <w:numFmt w:val="lowerRoman"/>
      <w:lvlText w:val="%3."/>
      <w:lvlJc w:val="right"/>
      <w:pPr>
        <w:ind w:left="2160" w:hanging="180"/>
      </w:pPr>
    </w:lvl>
    <w:lvl w:ilvl="3" w:tplc="56EAD6E4" w:tentative="1">
      <w:start w:val="1"/>
      <w:numFmt w:val="decimal"/>
      <w:lvlText w:val="%4."/>
      <w:lvlJc w:val="left"/>
      <w:pPr>
        <w:ind w:left="2880" w:hanging="360"/>
      </w:pPr>
    </w:lvl>
    <w:lvl w:ilvl="4" w:tplc="5FC2301C" w:tentative="1">
      <w:start w:val="1"/>
      <w:numFmt w:val="lowerLetter"/>
      <w:lvlText w:val="%5."/>
      <w:lvlJc w:val="left"/>
      <w:pPr>
        <w:ind w:left="3600" w:hanging="360"/>
      </w:pPr>
    </w:lvl>
    <w:lvl w:ilvl="5" w:tplc="28406526" w:tentative="1">
      <w:start w:val="1"/>
      <w:numFmt w:val="lowerRoman"/>
      <w:lvlText w:val="%6."/>
      <w:lvlJc w:val="right"/>
      <w:pPr>
        <w:ind w:left="4320" w:hanging="180"/>
      </w:pPr>
    </w:lvl>
    <w:lvl w:ilvl="6" w:tplc="01E29A88" w:tentative="1">
      <w:start w:val="1"/>
      <w:numFmt w:val="decimal"/>
      <w:lvlText w:val="%7."/>
      <w:lvlJc w:val="left"/>
      <w:pPr>
        <w:ind w:left="5040" w:hanging="360"/>
      </w:pPr>
    </w:lvl>
    <w:lvl w:ilvl="7" w:tplc="F1C25C04" w:tentative="1">
      <w:start w:val="1"/>
      <w:numFmt w:val="lowerLetter"/>
      <w:lvlText w:val="%8."/>
      <w:lvlJc w:val="left"/>
      <w:pPr>
        <w:ind w:left="5760" w:hanging="360"/>
      </w:pPr>
    </w:lvl>
    <w:lvl w:ilvl="8" w:tplc="67CEE4DA" w:tentative="1">
      <w:start w:val="1"/>
      <w:numFmt w:val="lowerRoman"/>
      <w:lvlText w:val="%9."/>
      <w:lvlJc w:val="right"/>
      <w:pPr>
        <w:ind w:left="6480" w:hanging="180"/>
      </w:pPr>
    </w:lvl>
  </w:abstractNum>
  <w:abstractNum w:abstractNumId="8" w15:restartNumberingAfterBreak="0">
    <w:nsid w:val="2ACF12E8"/>
    <w:multiLevelType w:val="hybridMultilevel"/>
    <w:tmpl w:val="7ED66EF8"/>
    <w:lvl w:ilvl="0" w:tplc="2E9EE766">
      <w:start w:val="1"/>
      <w:numFmt w:val="decimal"/>
      <w:lvlText w:val="%1."/>
      <w:lvlJc w:val="left"/>
      <w:pPr>
        <w:ind w:left="0" w:hanging="360"/>
      </w:pPr>
      <w:rPr>
        <w:rFonts w:hint="default"/>
      </w:rPr>
    </w:lvl>
    <w:lvl w:ilvl="1" w:tplc="C89212BC" w:tentative="1">
      <w:start w:val="1"/>
      <w:numFmt w:val="lowerLetter"/>
      <w:lvlText w:val="%2."/>
      <w:lvlJc w:val="left"/>
      <w:pPr>
        <w:ind w:left="720" w:hanging="360"/>
      </w:pPr>
    </w:lvl>
    <w:lvl w:ilvl="2" w:tplc="FC166340" w:tentative="1">
      <w:start w:val="1"/>
      <w:numFmt w:val="lowerRoman"/>
      <w:lvlText w:val="%3."/>
      <w:lvlJc w:val="right"/>
      <w:pPr>
        <w:ind w:left="1440" w:hanging="180"/>
      </w:pPr>
    </w:lvl>
    <w:lvl w:ilvl="3" w:tplc="EC840F42" w:tentative="1">
      <w:start w:val="1"/>
      <w:numFmt w:val="decimal"/>
      <w:lvlText w:val="%4."/>
      <w:lvlJc w:val="left"/>
      <w:pPr>
        <w:ind w:left="2160" w:hanging="360"/>
      </w:pPr>
    </w:lvl>
    <w:lvl w:ilvl="4" w:tplc="BB6ED9D8" w:tentative="1">
      <w:start w:val="1"/>
      <w:numFmt w:val="lowerLetter"/>
      <w:lvlText w:val="%5."/>
      <w:lvlJc w:val="left"/>
      <w:pPr>
        <w:ind w:left="2880" w:hanging="360"/>
      </w:pPr>
    </w:lvl>
    <w:lvl w:ilvl="5" w:tplc="B6B0FE60" w:tentative="1">
      <w:start w:val="1"/>
      <w:numFmt w:val="lowerRoman"/>
      <w:lvlText w:val="%6."/>
      <w:lvlJc w:val="right"/>
      <w:pPr>
        <w:ind w:left="3600" w:hanging="180"/>
      </w:pPr>
    </w:lvl>
    <w:lvl w:ilvl="6" w:tplc="49B29712" w:tentative="1">
      <w:start w:val="1"/>
      <w:numFmt w:val="decimal"/>
      <w:lvlText w:val="%7."/>
      <w:lvlJc w:val="left"/>
      <w:pPr>
        <w:ind w:left="4320" w:hanging="360"/>
      </w:pPr>
    </w:lvl>
    <w:lvl w:ilvl="7" w:tplc="297E1D18" w:tentative="1">
      <w:start w:val="1"/>
      <w:numFmt w:val="lowerLetter"/>
      <w:lvlText w:val="%8."/>
      <w:lvlJc w:val="left"/>
      <w:pPr>
        <w:ind w:left="5040" w:hanging="360"/>
      </w:pPr>
    </w:lvl>
    <w:lvl w:ilvl="8" w:tplc="8E723826" w:tentative="1">
      <w:start w:val="1"/>
      <w:numFmt w:val="lowerRoman"/>
      <w:lvlText w:val="%9."/>
      <w:lvlJc w:val="right"/>
      <w:pPr>
        <w:ind w:left="5760" w:hanging="180"/>
      </w:pPr>
    </w:lvl>
  </w:abstractNum>
  <w:abstractNum w:abstractNumId="9" w15:restartNumberingAfterBreak="0">
    <w:nsid w:val="2C8244A4"/>
    <w:multiLevelType w:val="hybridMultilevel"/>
    <w:tmpl w:val="8BA0E314"/>
    <w:lvl w:ilvl="0" w:tplc="0C686B0E">
      <w:start w:val="1"/>
      <w:numFmt w:val="lowerLetter"/>
      <w:lvlText w:val="(%1)"/>
      <w:lvlJc w:val="left"/>
      <w:pPr>
        <w:ind w:left="1539" w:hanging="360"/>
      </w:pPr>
      <w:rPr>
        <w:rFonts w:hint="default"/>
      </w:rPr>
    </w:lvl>
    <w:lvl w:ilvl="1" w:tplc="52DADF7C" w:tentative="1">
      <w:start w:val="1"/>
      <w:numFmt w:val="lowerLetter"/>
      <w:lvlText w:val="%2."/>
      <w:lvlJc w:val="left"/>
      <w:pPr>
        <w:ind w:left="2259" w:hanging="360"/>
      </w:pPr>
    </w:lvl>
    <w:lvl w:ilvl="2" w:tplc="18643A84" w:tentative="1">
      <w:start w:val="1"/>
      <w:numFmt w:val="lowerRoman"/>
      <w:lvlText w:val="%3."/>
      <w:lvlJc w:val="right"/>
      <w:pPr>
        <w:ind w:left="2979" w:hanging="180"/>
      </w:pPr>
    </w:lvl>
    <w:lvl w:ilvl="3" w:tplc="60D09770" w:tentative="1">
      <w:start w:val="1"/>
      <w:numFmt w:val="decimal"/>
      <w:lvlText w:val="%4."/>
      <w:lvlJc w:val="left"/>
      <w:pPr>
        <w:ind w:left="3699" w:hanging="360"/>
      </w:pPr>
    </w:lvl>
    <w:lvl w:ilvl="4" w:tplc="35709410" w:tentative="1">
      <w:start w:val="1"/>
      <w:numFmt w:val="lowerLetter"/>
      <w:lvlText w:val="%5."/>
      <w:lvlJc w:val="left"/>
      <w:pPr>
        <w:ind w:left="4419" w:hanging="360"/>
      </w:pPr>
    </w:lvl>
    <w:lvl w:ilvl="5" w:tplc="A81A5784" w:tentative="1">
      <w:start w:val="1"/>
      <w:numFmt w:val="lowerRoman"/>
      <w:lvlText w:val="%6."/>
      <w:lvlJc w:val="right"/>
      <w:pPr>
        <w:ind w:left="5139" w:hanging="180"/>
      </w:pPr>
    </w:lvl>
    <w:lvl w:ilvl="6" w:tplc="DBF27EF0" w:tentative="1">
      <w:start w:val="1"/>
      <w:numFmt w:val="decimal"/>
      <w:lvlText w:val="%7."/>
      <w:lvlJc w:val="left"/>
      <w:pPr>
        <w:ind w:left="5859" w:hanging="360"/>
      </w:pPr>
    </w:lvl>
    <w:lvl w:ilvl="7" w:tplc="5BDEB6CC" w:tentative="1">
      <w:start w:val="1"/>
      <w:numFmt w:val="lowerLetter"/>
      <w:lvlText w:val="%8."/>
      <w:lvlJc w:val="left"/>
      <w:pPr>
        <w:ind w:left="6579" w:hanging="360"/>
      </w:pPr>
    </w:lvl>
    <w:lvl w:ilvl="8" w:tplc="539E3F42" w:tentative="1">
      <w:start w:val="1"/>
      <w:numFmt w:val="lowerRoman"/>
      <w:lvlText w:val="%9."/>
      <w:lvlJc w:val="right"/>
      <w:pPr>
        <w:ind w:left="7299" w:hanging="180"/>
      </w:pPr>
    </w:lvl>
  </w:abstractNum>
  <w:abstractNum w:abstractNumId="10" w15:restartNumberingAfterBreak="0">
    <w:nsid w:val="2EE01500"/>
    <w:multiLevelType w:val="hybridMultilevel"/>
    <w:tmpl w:val="B5889F14"/>
    <w:lvl w:ilvl="0" w:tplc="D60C2BC4">
      <w:start w:val="1"/>
      <w:numFmt w:val="lowerLetter"/>
      <w:lvlText w:val="(%1)"/>
      <w:lvlJc w:val="left"/>
      <w:pPr>
        <w:ind w:left="885" w:hanging="525"/>
      </w:pPr>
      <w:rPr>
        <w:rFonts w:hint="default"/>
      </w:rPr>
    </w:lvl>
    <w:lvl w:ilvl="1" w:tplc="5BFA02E2" w:tentative="1">
      <w:start w:val="1"/>
      <w:numFmt w:val="lowerLetter"/>
      <w:lvlText w:val="%2."/>
      <w:lvlJc w:val="left"/>
      <w:pPr>
        <w:ind w:left="1440" w:hanging="360"/>
      </w:pPr>
    </w:lvl>
    <w:lvl w:ilvl="2" w:tplc="0104367A" w:tentative="1">
      <w:start w:val="1"/>
      <w:numFmt w:val="lowerRoman"/>
      <w:lvlText w:val="%3."/>
      <w:lvlJc w:val="right"/>
      <w:pPr>
        <w:ind w:left="2160" w:hanging="180"/>
      </w:pPr>
    </w:lvl>
    <w:lvl w:ilvl="3" w:tplc="4404A08C" w:tentative="1">
      <w:start w:val="1"/>
      <w:numFmt w:val="decimal"/>
      <w:lvlText w:val="%4."/>
      <w:lvlJc w:val="left"/>
      <w:pPr>
        <w:ind w:left="2880" w:hanging="360"/>
      </w:pPr>
    </w:lvl>
    <w:lvl w:ilvl="4" w:tplc="CADAB77E" w:tentative="1">
      <w:start w:val="1"/>
      <w:numFmt w:val="lowerLetter"/>
      <w:lvlText w:val="%5."/>
      <w:lvlJc w:val="left"/>
      <w:pPr>
        <w:ind w:left="3600" w:hanging="360"/>
      </w:pPr>
    </w:lvl>
    <w:lvl w:ilvl="5" w:tplc="EF7E5844" w:tentative="1">
      <w:start w:val="1"/>
      <w:numFmt w:val="lowerRoman"/>
      <w:lvlText w:val="%6."/>
      <w:lvlJc w:val="right"/>
      <w:pPr>
        <w:ind w:left="4320" w:hanging="180"/>
      </w:pPr>
    </w:lvl>
    <w:lvl w:ilvl="6" w:tplc="BCF81DFA" w:tentative="1">
      <w:start w:val="1"/>
      <w:numFmt w:val="decimal"/>
      <w:lvlText w:val="%7."/>
      <w:lvlJc w:val="left"/>
      <w:pPr>
        <w:ind w:left="5040" w:hanging="360"/>
      </w:pPr>
    </w:lvl>
    <w:lvl w:ilvl="7" w:tplc="4006B1CC" w:tentative="1">
      <w:start w:val="1"/>
      <w:numFmt w:val="lowerLetter"/>
      <w:lvlText w:val="%8."/>
      <w:lvlJc w:val="left"/>
      <w:pPr>
        <w:ind w:left="5760" w:hanging="360"/>
      </w:pPr>
    </w:lvl>
    <w:lvl w:ilvl="8" w:tplc="735AA9C4" w:tentative="1">
      <w:start w:val="1"/>
      <w:numFmt w:val="lowerRoman"/>
      <w:lvlText w:val="%9."/>
      <w:lvlJc w:val="right"/>
      <w:pPr>
        <w:ind w:left="6480" w:hanging="180"/>
      </w:pPr>
    </w:lvl>
  </w:abstractNum>
  <w:abstractNum w:abstractNumId="11" w15:restartNumberingAfterBreak="0">
    <w:nsid w:val="302F34D7"/>
    <w:multiLevelType w:val="hybridMultilevel"/>
    <w:tmpl w:val="9EF25470"/>
    <w:lvl w:ilvl="0" w:tplc="B4A00654">
      <w:start w:val="1"/>
      <w:numFmt w:val="bullet"/>
      <w:lvlText w:val=""/>
      <w:lvlJc w:val="left"/>
      <w:pPr>
        <w:ind w:left="720" w:hanging="360"/>
      </w:pPr>
      <w:rPr>
        <w:rFonts w:ascii="Symbol" w:hAnsi="Symbol" w:hint="default"/>
      </w:rPr>
    </w:lvl>
    <w:lvl w:ilvl="1" w:tplc="2CCCDCF0">
      <w:start w:val="1"/>
      <w:numFmt w:val="bullet"/>
      <w:lvlText w:val="o"/>
      <w:lvlJc w:val="left"/>
      <w:pPr>
        <w:ind w:left="1440" w:hanging="360"/>
      </w:pPr>
      <w:rPr>
        <w:rFonts w:ascii="Courier New" w:hAnsi="Courier New" w:cs="Courier New" w:hint="default"/>
      </w:rPr>
    </w:lvl>
    <w:lvl w:ilvl="2" w:tplc="95149ADC">
      <w:start w:val="1"/>
      <w:numFmt w:val="bullet"/>
      <w:lvlText w:val=""/>
      <w:lvlJc w:val="left"/>
      <w:pPr>
        <w:ind w:left="2160" w:hanging="360"/>
      </w:pPr>
      <w:rPr>
        <w:rFonts w:ascii="Wingdings" w:hAnsi="Wingdings" w:hint="default"/>
      </w:rPr>
    </w:lvl>
    <w:lvl w:ilvl="3" w:tplc="53EC12A0">
      <w:start w:val="1"/>
      <w:numFmt w:val="bullet"/>
      <w:lvlText w:val=""/>
      <w:lvlJc w:val="left"/>
      <w:pPr>
        <w:ind w:left="2880" w:hanging="360"/>
      </w:pPr>
      <w:rPr>
        <w:rFonts w:ascii="Symbol" w:hAnsi="Symbol" w:hint="default"/>
      </w:rPr>
    </w:lvl>
    <w:lvl w:ilvl="4" w:tplc="051C463C">
      <w:start w:val="1"/>
      <w:numFmt w:val="bullet"/>
      <w:lvlText w:val="o"/>
      <w:lvlJc w:val="left"/>
      <w:pPr>
        <w:ind w:left="3600" w:hanging="360"/>
      </w:pPr>
      <w:rPr>
        <w:rFonts w:ascii="Courier New" w:hAnsi="Courier New" w:cs="Courier New" w:hint="default"/>
      </w:rPr>
    </w:lvl>
    <w:lvl w:ilvl="5" w:tplc="CAA48D1C">
      <w:start w:val="1"/>
      <w:numFmt w:val="bullet"/>
      <w:lvlText w:val=""/>
      <w:lvlJc w:val="left"/>
      <w:pPr>
        <w:ind w:left="4320" w:hanging="360"/>
      </w:pPr>
      <w:rPr>
        <w:rFonts w:ascii="Wingdings" w:hAnsi="Wingdings" w:hint="default"/>
      </w:rPr>
    </w:lvl>
    <w:lvl w:ilvl="6" w:tplc="F3628CD6">
      <w:start w:val="1"/>
      <w:numFmt w:val="bullet"/>
      <w:lvlText w:val=""/>
      <w:lvlJc w:val="left"/>
      <w:pPr>
        <w:ind w:left="5040" w:hanging="360"/>
      </w:pPr>
      <w:rPr>
        <w:rFonts w:ascii="Symbol" w:hAnsi="Symbol" w:hint="default"/>
      </w:rPr>
    </w:lvl>
    <w:lvl w:ilvl="7" w:tplc="5C92D6C0">
      <w:start w:val="1"/>
      <w:numFmt w:val="bullet"/>
      <w:lvlText w:val="o"/>
      <w:lvlJc w:val="left"/>
      <w:pPr>
        <w:ind w:left="5760" w:hanging="360"/>
      </w:pPr>
      <w:rPr>
        <w:rFonts w:ascii="Courier New" w:hAnsi="Courier New" w:cs="Courier New" w:hint="default"/>
      </w:rPr>
    </w:lvl>
    <w:lvl w:ilvl="8" w:tplc="1C0C4F38">
      <w:start w:val="1"/>
      <w:numFmt w:val="bullet"/>
      <w:lvlText w:val=""/>
      <w:lvlJc w:val="left"/>
      <w:pPr>
        <w:ind w:left="6480" w:hanging="360"/>
      </w:pPr>
      <w:rPr>
        <w:rFonts w:ascii="Wingdings" w:hAnsi="Wingdings" w:hint="default"/>
      </w:rPr>
    </w:lvl>
  </w:abstractNum>
  <w:abstractNum w:abstractNumId="12" w15:restartNumberingAfterBreak="0">
    <w:nsid w:val="3A173B0D"/>
    <w:multiLevelType w:val="hybridMultilevel"/>
    <w:tmpl w:val="01E63CAA"/>
    <w:lvl w:ilvl="0" w:tplc="53B23DD6">
      <w:start w:val="1"/>
      <w:numFmt w:val="decimal"/>
      <w:lvlText w:val="%1."/>
      <w:lvlJc w:val="left"/>
      <w:pPr>
        <w:ind w:left="1854" w:hanging="360"/>
      </w:pPr>
      <w:rPr>
        <w:b w:val="0"/>
      </w:rPr>
    </w:lvl>
    <w:lvl w:ilvl="1" w:tplc="C6F6883A">
      <w:start w:val="1"/>
      <w:numFmt w:val="lowerLetter"/>
      <w:lvlText w:val="(%2)"/>
      <w:lvlJc w:val="left"/>
      <w:pPr>
        <w:ind w:left="2784" w:hanging="570"/>
      </w:pPr>
      <w:rPr>
        <w:rFonts w:hint="default"/>
      </w:rPr>
    </w:lvl>
    <w:lvl w:ilvl="2" w:tplc="96E67314" w:tentative="1">
      <w:start w:val="1"/>
      <w:numFmt w:val="lowerRoman"/>
      <w:lvlText w:val="%3."/>
      <w:lvlJc w:val="right"/>
      <w:pPr>
        <w:ind w:left="3294" w:hanging="180"/>
      </w:pPr>
    </w:lvl>
    <w:lvl w:ilvl="3" w:tplc="673E14A0" w:tentative="1">
      <w:start w:val="1"/>
      <w:numFmt w:val="decimal"/>
      <w:lvlText w:val="%4."/>
      <w:lvlJc w:val="left"/>
      <w:pPr>
        <w:ind w:left="4014" w:hanging="360"/>
      </w:pPr>
    </w:lvl>
    <w:lvl w:ilvl="4" w:tplc="A04E3DE4" w:tentative="1">
      <w:start w:val="1"/>
      <w:numFmt w:val="lowerLetter"/>
      <w:lvlText w:val="%5."/>
      <w:lvlJc w:val="left"/>
      <w:pPr>
        <w:ind w:left="4734" w:hanging="360"/>
      </w:pPr>
    </w:lvl>
    <w:lvl w:ilvl="5" w:tplc="B41AECD0" w:tentative="1">
      <w:start w:val="1"/>
      <w:numFmt w:val="lowerRoman"/>
      <w:lvlText w:val="%6."/>
      <w:lvlJc w:val="right"/>
      <w:pPr>
        <w:ind w:left="5454" w:hanging="180"/>
      </w:pPr>
    </w:lvl>
    <w:lvl w:ilvl="6" w:tplc="7C2E8DB2" w:tentative="1">
      <w:start w:val="1"/>
      <w:numFmt w:val="decimal"/>
      <w:lvlText w:val="%7."/>
      <w:lvlJc w:val="left"/>
      <w:pPr>
        <w:ind w:left="6174" w:hanging="360"/>
      </w:pPr>
    </w:lvl>
    <w:lvl w:ilvl="7" w:tplc="65362B16" w:tentative="1">
      <w:start w:val="1"/>
      <w:numFmt w:val="lowerLetter"/>
      <w:lvlText w:val="%8."/>
      <w:lvlJc w:val="left"/>
      <w:pPr>
        <w:ind w:left="6894" w:hanging="360"/>
      </w:pPr>
    </w:lvl>
    <w:lvl w:ilvl="8" w:tplc="4060244A" w:tentative="1">
      <w:start w:val="1"/>
      <w:numFmt w:val="lowerRoman"/>
      <w:lvlText w:val="%9."/>
      <w:lvlJc w:val="right"/>
      <w:pPr>
        <w:ind w:left="7614" w:hanging="180"/>
      </w:pPr>
    </w:lvl>
  </w:abstractNum>
  <w:abstractNum w:abstractNumId="13" w15:restartNumberingAfterBreak="0">
    <w:nsid w:val="3ACB30EB"/>
    <w:multiLevelType w:val="hybridMultilevel"/>
    <w:tmpl w:val="1416F692"/>
    <w:lvl w:ilvl="0" w:tplc="12FCA68C">
      <w:start w:val="1"/>
      <w:numFmt w:val="upperLetter"/>
      <w:lvlText w:val="%1)"/>
      <w:lvlJc w:val="left"/>
      <w:pPr>
        <w:ind w:left="0" w:hanging="360"/>
      </w:pPr>
      <w:rPr>
        <w:rFonts w:hint="default"/>
        <w:b/>
      </w:rPr>
    </w:lvl>
    <w:lvl w:ilvl="1" w:tplc="BE58D8B0" w:tentative="1">
      <w:start w:val="1"/>
      <w:numFmt w:val="lowerLetter"/>
      <w:lvlText w:val="%2."/>
      <w:lvlJc w:val="left"/>
      <w:pPr>
        <w:ind w:left="720" w:hanging="360"/>
      </w:pPr>
    </w:lvl>
    <w:lvl w:ilvl="2" w:tplc="5E28BE2E" w:tentative="1">
      <w:start w:val="1"/>
      <w:numFmt w:val="lowerRoman"/>
      <w:lvlText w:val="%3."/>
      <w:lvlJc w:val="right"/>
      <w:pPr>
        <w:ind w:left="1440" w:hanging="180"/>
      </w:pPr>
    </w:lvl>
    <w:lvl w:ilvl="3" w:tplc="672A313E" w:tentative="1">
      <w:start w:val="1"/>
      <w:numFmt w:val="decimal"/>
      <w:lvlText w:val="%4."/>
      <w:lvlJc w:val="left"/>
      <w:pPr>
        <w:ind w:left="2160" w:hanging="360"/>
      </w:pPr>
    </w:lvl>
    <w:lvl w:ilvl="4" w:tplc="7BB07CBA" w:tentative="1">
      <w:start w:val="1"/>
      <w:numFmt w:val="lowerLetter"/>
      <w:lvlText w:val="%5."/>
      <w:lvlJc w:val="left"/>
      <w:pPr>
        <w:ind w:left="2880" w:hanging="360"/>
      </w:pPr>
    </w:lvl>
    <w:lvl w:ilvl="5" w:tplc="5C7EA22C" w:tentative="1">
      <w:start w:val="1"/>
      <w:numFmt w:val="lowerRoman"/>
      <w:lvlText w:val="%6."/>
      <w:lvlJc w:val="right"/>
      <w:pPr>
        <w:ind w:left="3600" w:hanging="180"/>
      </w:pPr>
    </w:lvl>
    <w:lvl w:ilvl="6" w:tplc="1E0AB2B6" w:tentative="1">
      <w:start w:val="1"/>
      <w:numFmt w:val="decimal"/>
      <w:lvlText w:val="%7."/>
      <w:lvlJc w:val="left"/>
      <w:pPr>
        <w:ind w:left="4320" w:hanging="360"/>
      </w:pPr>
    </w:lvl>
    <w:lvl w:ilvl="7" w:tplc="91202612" w:tentative="1">
      <w:start w:val="1"/>
      <w:numFmt w:val="lowerLetter"/>
      <w:lvlText w:val="%8."/>
      <w:lvlJc w:val="left"/>
      <w:pPr>
        <w:ind w:left="5040" w:hanging="360"/>
      </w:pPr>
    </w:lvl>
    <w:lvl w:ilvl="8" w:tplc="DF8A64EA" w:tentative="1">
      <w:start w:val="1"/>
      <w:numFmt w:val="lowerRoman"/>
      <w:lvlText w:val="%9."/>
      <w:lvlJc w:val="right"/>
      <w:pPr>
        <w:ind w:left="5760" w:hanging="180"/>
      </w:pPr>
    </w:lvl>
  </w:abstractNum>
  <w:abstractNum w:abstractNumId="14" w15:restartNumberingAfterBreak="0">
    <w:nsid w:val="4392766A"/>
    <w:multiLevelType w:val="hybridMultilevel"/>
    <w:tmpl w:val="5A52941E"/>
    <w:lvl w:ilvl="0" w:tplc="4E18401A">
      <w:start w:val="1"/>
      <w:numFmt w:val="lowerLetter"/>
      <w:lvlText w:val="(%1)"/>
      <w:lvlJc w:val="left"/>
      <w:pPr>
        <w:ind w:left="945" w:hanging="585"/>
      </w:pPr>
      <w:rPr>
        <w:rFonts w:hint="default"/>
      </w:rPr>
    </w:lvl>
    <w:lvl w:ilvl="1" w:tplc="A0208CB2" w:tentative="1">
      <w:start w:val="1"/>
      <w:numFmt w:val="lowerLetter"/>
      <w:lvlText w:val="%2."/>
      <w:lvlJc w:val="left"/>
      <w:pPr>
        <w:ind w:left="1440" w:hanging="360"/>
      </w:pPr>
    </w:lvl>
    <w:lvl w:ilvl="2" w:tplc="35429DC6" w:tentative="1">
      <w:start w:val="1"/>
      <w:numFmt w:val="lowerRoman"/>
      <w:lvlText w:val="%3."/>
      <w:lvlJc w:val="right"/>
      <w:pPr>
        <w:ind w:left="2160" w:hanging="180"/>
      </w:pPr>
    </w:lvl>
    <w:lvl w:ilvl="3" w:tplc="29ACFEDC" w:tentative="1">
      <w:start w:val="1"/>
      <w:numFmt w:val="decimal"/>
      <w:lvlText w:val="%4."/>
      <w:lvlJc w:val="left"/>
      <w:pPr>
        <w:ind w:left="2880" w:hanging="360"/>
      </w:pPr>
    </w:lvl>
    <w:lvl w:ilvl="4" w:tplc="EAD6B422" w:tentative="1">
      <w:start w:val="1"/>
      <w:numFmt w:val="lowerLetter"/>
      <w:lvlText w:val="%5."/>
      <w:lvlJc w:val="left"/>
      <w:pPr>
        <w:ind w:left="3600" w:hanging="360"/>
      </w:pPr>
    </w:lvl>
    <w:lvl w:ilvl="5" w:tplc="31CCE83A" w:tentative="1">
      <w:start w:val="1"/>
      <w:numFmt w:val="lowerRoman"/>
      <w:lvlText w:val="%6."/>
      <w:lvlJc w:val="right"/>
      <w:pPr>
        <w:ind w:left="4320" w:hanging="180"/>
      </w:pPr>
    </w:lvl>
    <w:lvl w:ilvl="6" w:tplc="7D8CEA64" w:tentative="1">
      <w:start w:val="1"/>
      <w:numFmt w:val="decimal"/>
      <w:lvlText w:val="%7."/>
      <w:lvlJc w:val="left"/>
      <w:pPr>
        <w:ind w:left="5040" w:hanging="360"/>
      </w:pPr>
    </w:lvl>
    <w:lvl w:ilvl="7" w:tplc="9D6E24DA" w:tentative="1">
      <w:start w:val="1"/>
      <w:numFmt w:val="lowerLetter"/>
      <w:lvlText w:val="%8."/>
      <w:lvlJc w:val="left"/>
      <w:pPr>
        <w:ind w:left="5760" w:hanging="360"/>
      </w:pPr>
    </w:lvl>
    <w:lvl w:ilvl="8" w:tplc="2D6023BE" w:tentative="1">
      <w:start w:val="1"/>
      <w:numFmt w:val="lowerRoman"/>
      <w:lvlText w:val="%9."/>
      <w:lvlJc w:val="right"/>
      <w:pPr>
        <w:ind w:left="6480" w:hanging="180"/>
      </w:pPr>
    </w:lvl>
  </w:abstractNum>
  <w:abstractNum w:abstractNumId="15" w15:restartNumberingAfterBreak="0">
    <w:nsid w:val="48581FCE"/>
    <w:multiLevelType w:val="hybridMultilevel"/>
    <w:tmpl w:val="A07EB11E"/>
    <w:lvl w:ilvl="0" w:tplc="747C433A">
      <w:numFmt w:val="bullet"/>
      <w:lvlText w:val="•"/>
      <w:lvlJc w:val="left"/>
      <w:pPr>
        <w:ind w:left="720" w:hanging="360"/>
      </w:pPr>
      <w:rPr>
        <w:rFonts w:ascii="Arial" w:eastAsiaTheme="minorEastAsia" w:hAnsi="Arial" w:cs="Arial" w:hint="default"/>
        <w:b/>
      </w:rPr>
    </w:lvl>
    <w:lvl w:ilvl="1" w:tplc="9B22CC40" w:tentative="1">
      <w:start w:val="1"/>
      <w:numFmt w:val="lowerLetter"/>
      <w:lvlText w:val="%2."/>
      <w:lvlJc w:val="left"/>
      <w:pPr>
        <w:ind w:left="1440" w:hanging="360"/>
      </w:pPr>
    </w:lvl>
    <w:lvl w:ilvl="2" w:tplc="28047D3C" w:tentative="1">
      <w:start w:val="1"/>
      <w:numFmt w:val="lowerRoman"/>
      <w:lvlText w:val="%3."/>
      <w:lvlJc w:val="right"/>
      <w:pPr>
        <w:ind w:left="2160" w:hanging="180"/>
      </w:pPr>
    </w:lvl>
    <w:lvl w:ilvl="3" w:tplc="F78C79BE" w:tentative="1">
      <w:start w:val="1"/>
      <w:numFmt w:val="decimal"/>
      <w:lvlText w:val="%4."/>
      <w:lvlJc w:val="left"/>
      <w:pPr>
        <w:ind w:left="2880" w:hanging="360"/>
      </w:pPr>
    </w:lvl>
    <w:lvl w:ilvl="4" w:tplc="F690B9D4" w:tentative="1">
      <w:start w:val="1"/>
      <w:numFmt w:val="lowerLetter"/>
      <w:lvlText w:val="%5."/>
      <w:lvlJc w:val="left"/>
      <w:pPr>
        <w:ind w:left="3600" w:hanging="360"/>
      </w:pPr>
    </w:lvl>
    <w:lvl w:ilvl="5" w:tplc="ADDA2A3C" w:tentative="1">
      <w:start w:val="1"/>
      <w:numFmt w:val="lowerRoman"/>
      <w:lvlText w:val="%6."/>
      <w:lvlJc w:val="right"/>
      <w:pPr>
        <w:ind w:left="4320" w:hanging="180"/>
      </w:pPr>
    </w:lvl>
    <w:lvl w:ilvl="6" w:tplc="969676D4" w:tentative="1">
      <w:start w:val="1"/>
      <w:numFmt w:val="decimal"/>
      <w:lvlText w:val="%7."/>
      <w:lvlJc w:val="left"/>
      <w:pPr>
        <w:ind w:left="5040" w:hanging="360"/>
      </w:pPr>
    </w:lvl>
    <w:lvl w:ilvl="7" w:tplc="0CC8C60C" w:tentative="1">
      <w:start w:val="1"/>
      <w:numFmt w:val="lowerLetter"/>
      <w:lvlText w:val="%8."/>
      <w:lvlJc w:val="left"/>
      <w:pPr>
        <w:ind w:left="5760" w:hanging="360"/>
      </w:pPr>
    </w:lvl>
    <w:lvl w:ilvl="8" w:tplc="520CF010" w:tentative="1">
      <w:start w:val="1"/>
      <w:numFmt w:val="lowerRoman"/>
      <w:lvlText w:val="%9."/>
      <w:lvlJc w:val="right"/>
      <w:pPr>
        <w:ind w:left="6480" w:hanging="180"/>
      </w:pPr>
    </w:lvl>
  </w:abstractNum>
  <w:abstractNum w:abstractNumId="16" w15:restartNumberingAfterBreak="0">
    <w:nsid w:val="490B6FD1"/>
    <w:multiLevelType w:val="hybridMultilevel"/>
    <w:tmpl w:val="219CB698"/>
    <w:lvl w:ilvl="0" w:tplc="2FC4E5AC">
      <w:start w:val="2020"/>
      <w:numFmt w:val="bullet"/>
      <w:lvlText w:val="-"/>
      <w:lvlJc w:val="left"/>
      <w:pPr>
        <w:ind w:left="360" w:hanging="360"/>
      </w:pPr>
      <w:rPr>
        <w:rFonts w:ascii="Arial" w:eastAsiaTheme="minorHAnsi" w:hAnsi="Arial" w:cs="Arial" w:hint="default"/>
      </w:rPr>
    </w:lvl>
    <w:lvl w:ilvl="1" w:tplc="A3FECA8C">
      <w:start w:val="1"/>
      <w:numFmt w:val="bullet"/>
      <w:lvlText w:val="o"/>
      <w:lvlJc w:val="left"/>
      <w:pPr>
        <w:ind w:left="1080" w:hanging="360"/>
      </w:pPr>
      <w:rPr>
        <w:rFonts w:ascii="Courier New" w:hAnsi="Courier New" w:cs="Courier New" w:hint="default"/>
      </w:rPr>
    </w:lvl>
    <w:lvl w:ilvl="2" w:tplc="E4CAE07E">
      <w:start w:val="1"/>
      <w:numFmt w:val="bullet"/>
      <w:lvlText w:val=""/>
      <w:lvlJc w:val="left"/>
      <w:pPr>
        <w:ind w:left="1800" w:hanging="360"/>
      </w:pPr>
      <w:rPr>
        <w:rFonts w:ascii="Wingdings" w:hAnsi="Wingdings" w:hint="default"/>
      </w:rPr>
    </w:lvl>
    <w:lvl w:ilvl="3" w:tplc="E356EFFA">
      <w:start w:val="1"/>
      <w:numFmt w:val="bullet"/>
      <w:lvlText w:val=""/>
      <w:lvlJc w:val="left"/>
      <w:pPr>
        <w:ind w:left="2520" w:hanging="360"/>
      </w:pPr>
      <w:rPr>
        <w:rFonts w:ascii="Symbol" w:hAnsi="Symbol" w:hint="default"/>
      </w:rPr>
    </w:lvl>
    <w:lvl w:ilvl="4" w:tplc="D7DA4734">
      <w:start w:val="1"/>
      <w:numFmt w:val="bullet"/>
      <w:lvlText w:val="o"/>
      <w:lvlJc w:val="left"/>
      <w:pPr>
        <w:ind w:left="3240" w:hanging="360"/>
      </w:pPr>
      <w:rPr>
        <w:rFonts w:ascii="Courier New" w:hAnsi="Courier New" w:cs="Courier New" w:hint="default"/>
      </w:rPr>
    </w:lvl>
    <w:lvl w:ilvl="5" w:tplc="FA1452CC">
      <w:start w:val="1"/>
      <w:numFmt w:val="bullet"/>
      <w:lvlText w:val=""/>
      <w:lvlJc w:val="left"/>
      <w:pPr>
        <w:ind w:left="3960" w:hanging="360"/>
      </w:pPr>
      <w:rPr>
        <w:rFonts w:ascii="Wingdings" w:hAnsi="Wingdings" w:hint="default"/>
      </w:rPr>
    </w:lvl>
    <w:lvl w:ilvl="6" w:tplc="E06C4B18">
      <w:start w:val="1"/>
      <w:numFmt w:val="bullet"/>
      <w:lvlText w:val=""/>
      <w:lvlJc w:val="left"/>
      <w:pPr>
        <w:ind w:left="4680" w:hanging="360"/>
      </w:pPr>
      <w:rPr>
        <w:rFonts w:ascii="Symbol" w:hAnsi="Symbol" w:hint="default"/>
      </w:rPr>
    </w:lvl>
    <w:lvl w:ilvl="7" w:tplc="672C82EE">
      <w:start w:val="1"/>
      <w:numFmt w:val="bullet"/>
      <w:lvlText w:val="o"/>
      <w:lvlJc w:val="left"/>
      <w:pPr>
        <w:ind w:left="5400" w:hanging="360"/>
      </w:pPr>
      <w:rPr>
        <w:rFonts w:ascii="Courier New" w:hAnsi="Courier New" w:cs="Courier New" w:hint="default"/>
      </w:rPr>
    </w:lvl>
    <w:lvl w:ilvl="8" w:tplc="5394CBE0">
      <w:start w:val="1"/>
      <w:numFmt w:val="bullet"/>
      <w:lvlText w:val=""/>
      <w:lvlJc w:val="left"/>
      <w:pPr>
        <w:ind w:left="6120" w:hanging="360"/>
      </w:pPr>
      <w:rPr>
        <w:rFonts w:ascii="Wingdings" w:hAnsi="Wingdings" w:hint="default"/>
      </w:rPr>
    </w:lvl>
  </w:abstractNum>
  <w:abstractNum w:abstractNumId="17" w15:restartNumberingAfterBreak="0">
    <w:nsid w:val="4C854277"/>
    <w:multiLevelType w:val="hybridMultilevel"/>
    <w:tmpl w:val="04BE59F8"/>
    <w:lvl w:ilvl="0" w:tplc="36E8BF26">
      <w:start w:val="1"/>
      <w:numFmt w:val="decimal"/>
      <w:lvlText w:val="%1."/>
      <w:lvlJc w:val="left"/>
      <w:pPr>
        <w:ind w:left="720" w:hanging="360"/>
      </w:pPr>
    </w:lvl>
    <w:lvl w:ilvl="1" w:tplc="BC6AA1A4">
      <w:start w:val="1"/>
      <w:numFmt w:val="lowerLetter"/>
      <w:lvlText w:val="%2."/>
      <w:lvlJc w:val="left"/>
      <w:pPr>
        <w:ind w:left="1440" w:hanging="360"/>
      </w:pPr>
    </w:lvl>
    <w:lvl w:ilvl="2" w:tplc="BA0C012E">
      <w:start w:val="1"/>
      <w:numFmt w:val="lowerRoman"/>
      <w:lvlText w:val="%3."/>
      <w:lvlJc w:val="right"/>
      <w:pPr>
        <w:ind w:left="2160" w:hanging="180"/>
      </w:pPr>
    </w:lvl>
    <w:lvl w:ilvl="3" w:tplc="96104870">
      <w:start w:val="1"/>
      <w:numFmt w:val="decimal"/>
      <w:lvlText w:val="%4."/>
      <w:lvlJc w:val="left"/>
      <w:pPr>
        <w:ind w:left="2880" w:hanging="360"/>
      </w:pPr>
    </w:lvl>
    <w:lvl w:ilvl="4" w:tplc="87A2B24A">
      <w:start w:val="1"/>
      <w:numFmt w:val="lowerLetter"/>
      <w:lvlText w:val="%5."/>
      <w:lvlJc w:val="left"/>
      <w:pPr>
        <w:ind w:left="3600" w:hanging="360"/>
      </w:pPr>
    </w:lvl>
    <w:lvl w:ilvl="5" w:tplc="7188FF98">
      <w:start w:val="1"/>
      <w:numFmt w:val="lowerRoman"/>
      <w:lvlText w:val="%6."/>
      <w:lvlJc w:val="right"/>
      <w:pPr>
        <w:ind w:left="4320" w:hanging="180"/>
      </w:pPr>
    </w:lvl>
    <w:lvl w:ilvl="6" w:tplc="24C0368C">
      <w:start w:val="1"/>
      <w:numFmt w:val="decimal"/>
      <w:lvlText w:val="%7."/>
      <w:lvlJc w:val="left"/>
      <w:pPr>
        <w:ind w:left="5040" w:hanging="360"/>
      </w:pPr>
    </w:lvl>
    <w:lvl w:ilvl="7" w:tplc="E3BAEFB2">
      <w:start w:val="1"/>
      <w:numFmt w:val="lowerLetter"/>
      <w:lvlText w:val="%8."/>
      <w:lvlJc w:val="left"/>
      <w:pPr>
        <w:ind w:left="5760" w:hanging="360"/>
      </w:pPr>
    </w:lvl>
    <w:lvl w:ilvl="8" w:tplc="1A9EAA2C">
      <w:start w:val="1"/>
      <w:numFmt w:val="lowerRoman"/>
      <w:lvlText w:val="%9."/>
      <w:lvlJc w:val="right"/>
      <w:pPr>
        <w:ind w:left="6480" w:hanging="180"/>
      </w:pPr>
    </w:lvl>
  </w:abstractNum>
  <w:abstractNum w:abstractNumId="18" w15:restartNumberingAfterBreak="0">
    <w:nsid w:val="4FAB1C90"/>
    <w:multiLevelType w:val="hybridMultilevel"/>
    <w:tmpl w:val="09E25EB6"/>
    <w:lvl w:ilvl="0" w:tplc="D6E0FD84">
      <w:start w:val="1"/>
      <w:numFmt w:val="lowerLetter"/>
      <w:lvlText w:val="%1)"/>
      <w:lvlJc w:val="left"/>
      <w:pPr>
        <w:ind w:left="1170" w:hanging="360"/>
      </w:pPr>
    </w:lvl>
    <w:lvl w:ilvl="1" w:tplc="6B08AFAE" w:tentative="1">
      <w:start w:val="1"/>
      <w:numFmt w:val="lowerLetter"/>
      <w:lvlText w:val="%2."/>
      <w:lvlJc w:val="left"/>
      <w:pPr>
        <w:ind w:left="1440" w:hanging="360"/>
      </w:pPr>
    </w:lvl>
    <w:lvl w:ilvl="2" w:tplc="529CAD02" w:tentative="1">
      <w:start w:val="1"/>
      <w:numFmt w:val="lowerRoman"/>
      <w:lvlText w:val="%3."/>
      <w:lvlJc w:val="right"/>
      <w:pPr>
        <w:ind w:left="2160" w:hanging="180"/>
      </w:pPr>
    </w:lvl>
    <w:lvl w:ilvl="3" w:tplc="CF080FC4" w:tentative="1">
      <w:start w:val="1"/>
      <w:numFmt w:val="decimal"/>
      <w:lvlText w:val="%4."/>
      <w:lvlJc w:val="left"/>
      <w:pPr>
        <w:ind w:left="2880" w:hanging="360"/>
      </w:pPr>
    </w:lvl>
    <w:lvl w:ilvl="4" w:tplc="4A0AC2CE" w:tentative="1">
      <w:start w:val="1"/>
      <w:numFmt w:val="lowerLetter"/>
      <w:lvlText w:val="%5."/>
      <w:lvlJc w:val="left"/>
      <w:pPr>
        <w:ind w:left="3600" w:hanging="360"/>
      </w:pPr>
    </w:lvl>
    <w:lvl w:ilvl="5" w:tplc="EE640C6A" w:tentative="1">
      <w:start w:val="1"/>
      <w:numFmt w:val="lowerRoman"/>
      <w:lvlText w:val="%6."/>
      <w:lvlJc w:val="right"/>
      <w:pPr>
        <w:ind w:left="4320" w:hanging="180"/>
      </w:pPr>
    </w:lvl>
    <w:lvl w:ilvl="6" w:tplc="C374E640" w:tentative="1">
      <w:start w:val="1"/>
      <w:numFmt w:val="decimal"/>
      <w:lvlText w:val="%7."/>
      <w:lvlJc w:val="left"/>
      <w:pPr>
        <w:ind w:left="5040" w:hanging="360"/>
      </w:pPr>
    </w:lvl>
    <w:lvl w:ilvl="7" w:tplc="DD1069E0" w:tentative="1">
      <w:start w:val="1"/>
      <w:numFmt w:val="lowerLetter"/>
      <w:lvlText w:val="%8."/>
      <w:lvlJc w:val="left"/>
      <w:pPr>
        <w:ind w:left="5760" w:hanging="360"/>
      </w:pPr>
    </w:lvl>
    <w:lvl w:ilvl="8" w:tplc="4660370A" w:tentative="1">
      <w:start w:val="1"/>
      <w:numFmt w:val="lowerRoman"/>
      <w:lvlText w:val="%9."/>
      <w:lvlJc w:val="right"/>
      <w:pPr>
        <w:ind w:left="6480" w:hanging="180"/>
      </w:pPr>
    </w:lvl>
  </w:abstractNum>
  <w:abstractNum w:abstractNumId="19" w15:restartNumberingAfterBreak="0">
    <w:nsid w:val="4FC917CD"/>
    <w:multiLevelType w:val="hybridMultilevel"/>
    <w:tmpl w:val="75444F06"/>
    <w:lvl w:ilvl="0" w:tplc="9134F1D8">
      <w:numFmt w:val="bullet"/>
      <w:lvlText w:val="-"/>
      <w:lvlJc w:val="left"/>
      <w:pPr>
        <w:ind w:left="720" w:hanging="360"/>
      </w:pPr>
      <w:rPr>
        <w:rFonts w:ascii="Arial" w:eastAsiaTheme="minorHAnsi" w:hAnsi="Arial" w:cs="Arial" w:hint="default"/>
      </w:rPr>
    </w:lvl>
    <w:lvl w:ilvl="1" w:tplc="7BD41870" w:tentative="1">
      <w:start w:val="1"/>
      <w:numFmt w:val="bullet"/>
      <w:lvlText w:val="o"/>
      <w:lvlJc w:val="left"/>
      <w:pPr>
        <w:ind w:left="1440" w:hanging="360"/>
      </w:pPr>
      <w:rPr>
        <w:rFonts w:ascii="Courier New" w:hAnsi="Courier New" w:cs="Courier New" w:hint="default"/>
      </w:rPr>
    </w:lvl>
    <w:lvl w:ilvl="2" w:tplc="003EC802" w:tentative="1">
      <w:start w:val="1"/>
      <w:numFmt w:val="bullet"/>
      <w:lvlText w:val=""/>
      <w:lvlJc w:val="left"/>
      <w:pPr>
        <w:ind w:left="2160" w:hanging="360"/>
      </w:pPr>
      <w:rPr>
        <w:rFonts w:ascii="Wingdings" w:hAnsi="Wingdings" w:hint="default"/>
      </w:rPr>
    </w:lvl>
    <w:lvl w:ilvl="3" w:tplc="A394E5D6" w:tentative="1">
      <w:start w:val="1"/>
      <w:numFmt w:val="bullet"/>
      <w:lvlText w:val=""/>
      <w:lvlJc w:val="left"/>
      <w:pPr>
        <w:ind w:left="2880" w:hanging="360"/>
      </w:pPr>
      <w:rPr>
        <w:rFonts w:ascii="Symbol" w:hAnsi="Symbol" w:hint="default"/>
      </w:rPr>
    </w:lvl>
    <w:lvl w:ilvl="4" w:tplc="CF103084" w:tentative="1">
      <w:start w:val="1"/>
      <w:numFmt w:val="bullet"/>
      <w:lvlText w:val="o"/>
      <w:lvlJc w:val="left"/>
      <w:pPr>
        <w:ind w:left="3600" w:hanging="360"/>
      </w:pPr>
      <w:rPr>
        <w:rFonts w:ascii="Courier New" w:hAnsi="Courier New" w:cs="Courier New" w:hint="default"/>
      </w:rPr>
    </w:lvl>
    <w:lvl w:ilvl="5" w:tplc="7E006716" w:tentative="1">
      <w:start w:val="1"/>
      <w:numFmt w:val="bullet"/>
      <w:lvlText w:val=""/>
      <w:lvlJc w:val="left"/>
      <w:pPr>
        <w:ind w:left="4320" w:hanging="360"/>
      </w:pPr>
      <w:rPr>
        <w:rFonts w:ascii="Wingdings" w:hAnsi="Wingdings" w:hint="default"/>
      </w:rPr>
    </w:lvl>
    <w:lvl w:ilvl="6" w:tplc="3F8AFF1A" w:tentative="1">
      <w:start w:val="1"/>
      <w:numFmt w:val="bullet"/>
      <w:lvlText w:val=""/>
      <w:lvlJc w:val="left"/>
      <w:pPr>
        <w:ind w:left="5040" w:hanging="360"/>
      </w:pPr>
      <w:rPr>
        <w:rFonts w:ascii="Symbol" w:hAnsi="Symbol" w:hint="default"/>
      </w:rPr>
    </w:lvl>
    <w:lvl w:ilvl="7" w:tplc="2278A09A" w:tentative="1">
      <w:start w:val="1"/>
      <w:numFmt w:val="bullet"/>
      <w:lvlText w:val="o"/>
      <w:lvlJc w:val="left"/>
      <w:pPr>
        <w:ind w:left="5760" w:hanging="360"/>
      </w:pPr>
      <w:rPr>
        <w:rFonts w:ascii="Courier New" w:hAnsi="Courier New" w:cs="Courier New" w:hint="default"/>
      </w:rPr>
    </w:lvl>
    <w:lvl w:ilvl="8" w:tplc="A67ED824" w:tentative="1">
      <w:start w:val="1"/>
      <w:numFmt w:val="bullet"/>
      <w:lvlText w:val=""/>
      <w:lvlJc w:val="left"/>
      <w:pPr>
        <w:ind w:left="6480" w:hanging="360"/>
      </w:pPr>
      <w:rPr>
        <w:rFonts w:ascii="Wingdings" w:hAnsi="Wingdings" w:hint="default"/>
      </w:rPr>
    </w:lvl>
  </w:abstractNum>
  <w:abstractNum w:abstractNumId="20" w15:restartNumberingAfterBreak="0">
    <w:nsid w:val="50E64D7C"/>
    <w:multiLevelType w:val="hybridMultilevel"/>
    <w:tmpl w:val="032E6518"/>
    <w:lvl w:ilvl="0" w:tplc="FCDE9ABA">
      <w:start w:val="1"/>
      <w:numFmt w:val="decimal"/>
      <w:lvlText w:val="%1."/>
      <w:lvlJc w:val="left"/>
      <w:pPr>
        <w:ind w:left="720" w:hanging="360"/>
      </w:pPr>
      <w:rPr>
        <w:rFonts w:hint="default"/>
        <w:b/>
      </w:rPr>
    </w:lvl>
    <w:lvl w:ilvl="1" w:tplc="65EEC49C" w:tentative="1">
      <w:start w:val="1"/>
      <w:numFmt w:val="lowerLetter"/>
      <w:lvlText w:val="%2."/>
      <w:lvlJc w:val="left"/>
      <w:pPr>
        <w:ind w:left="1440" w:hanging="360"/>
      </w:pPr>
    </w:lvl>
    <w:lvl w:ilvl="2" w:tplc="1DB4DC76" w:tentative="1">
      <w:start w:val="1"/>
      <w:numFmt w:val="lowerRoman"/>
      <w:lvlText w:val="%3."/>
      <w:lvlJc w:val="right"/>
      <w:pPr>
        <w:ind w:left="2160" w:hanging="180"/>
      </w:pPr>
    </w:lvl>
    <w:lvl w:ilvl="3" w:tplc="133422B6" w:tentative="1">
      <w:start w:val="1"/>
      <w:numFmt w:val="decimal"/>
      <w:lvlText w:val="%4."/>
      <w:lvlJc w:val="left"/>
      <w:pPr>
        <w:ind w:left="2880" w:hanging="360"/>
      </w:pPr>
    </w:lvl>
    <w:lvl w:ilvl="4" w:tplc="00B6BB98" w:tentative="1">
      <w:start w:val="1"/>
      <w:numFmt w:val="lowerLetter"/>
      <w:lvlText w:val="%5."/>
      <w:lvlJc w:val="left"/>
      <w:pPr>
        <w:ind w:left="3600" w:hanging="360"/>
      </w:pPr>
    </w:lvl>
    <w:lvl w:ilvl="5" w:tplc="2F589278" w:tentative="1">
      <w:start w:val="1"/>
      <w:numFmt w:val="lowerRoman"/>
      <w:lvlText w:val="%6."/>
      <w:lvlJc w:val="right"/>
      <w:pPr>
        <w:ind w:left="4320" w:hanging="180"/>
      </w:pPr>
    </w:lvl>
    <w:lvl w:ilvl="6" w:tplc="816A48BE" w:tentative="1">
      <w:start w:val="1"/>
      <w:numFmt w:val="decimal"/>
      <w:lvlText w:val="%7."/>
      <w:lvlJc w:val="left"/>
      <w:pPr>
        <w:ind w:left="5040" w:hanging="360"/>
      </w:pPr>
    </w:lvl>
    <w:lvl w:ilvl="7" w:tplc="17383706" w:tentative="1">
      <w:start w:val="1"/>
      <w:numFmt w:val="lowerLetter"/>
      <w:lvlText w:val="%8."/>
      <w:lvlJc w:val="left"/>
      <w:pPr>
        <w:ind w:left="5760" w:hanging="360"/>
      </w:pPr>
    </w:lvl>
    <w:lvl w:ilvl="8" w:tplc="4CC0F07A" w:tentative="1">
      <w:start w:val="1"/>
      <w:numFmt w:val="lowerRoman"/>
      <w:lvlText w:val="%9."/>
      <w:lvlJc w:val="right"/>
      <w:pPr>
        <w:ind w:left="6480" w:hanging="180"/>
      </w:pPr>
    </w:lvl>
  </w:abstractNum>
  <w:abstractNum w:abstractNumId="21" w15:restartNumberingAfterBreak="0">
    <w:nsid w:val="528C0A00"/>
    <w:multiLevelType w:val="hybridMultilevel"/>
    <w:tmpl w:val="6010D7B4"/>
    <w:lvl w:ilvl="0" w:tplc="C2EC499E">
      <w:start w:val="1"/>
      <w:numFmt w:val="upperLetter"/>
      <w:lvlText w:val="%1."/>
      <w:lvlJc w:val="left"/>
      <w:pPr>
        <w:ind w:left="720" w:hanging="360"/>
      </w:pPr>
      <w:rPr>
        <w:rFonts w:hint="default"/>
      </w:rPr>
    </w:lvl>
    <w:lvl w:ilvl="1" w:tplc="8ADEFE72" w:tentative="1">
      <w:start w:val="1"/>
      <w:numFmt w:val="lowerLetter"/>
      <w:lvlText w:val="%2."/>
      <w:lvlJc w:val="left"/>
      <w:pPr>
        <w:ind w:left="1440" w:hanging="360"/>
      </w:pPr>
    </w:lvl>
    <w:lvl w:ilvl="2" w:tplc="E8B63D6A" w:tentative="1">
      <w:start w:val="1"/>
      <w:numFmt w:val="lowerRoman"/>
      <w:lvlText w:val="%3."/>
      <w:lvlJc w:val="right"/>
      <w:pPr>
        <w:ind w:left="2160" w:hanging="180"/>
      </w:pPr>
    </w:lvl>
    <w:lvl w:ilvl="3" w:tplc="9C003F44" w:tentative="1">
      <w:start w:val="1"/>
      <w:numFmt w:val="decimal"/>
      <w:lvlText w:val="%4."/>
      <w:lvlJc w:val="left"/>
      <w:pPr>
        <w:ind w:left="2880" w:hanging="360"/>
      </w:pPr>
    </w:lvl>
    <w:lvl w:ilvl="4" w:tplc="5D143C84" w:tentative="1">
      <w:start w:val="1"/>
      <w:numFmt w:val="lowerLetter"/>
      <w:lvlText w:val="%5."/>
      <w:lvlJc w:val="left"/>
      <w:pPr>
        <w:ind w:left="3600" w:hanging="360"/>
      </w:pPr>
    </w:lvl>
    <w:lvl w:ilvl="5" w:tplc="EB5E1A28" w:tentative="1">
      <w:start w:val="1"/>
      <w:numFmt w:val="lowerRoman"/>
      <w:lvlText w:val="%6."/>
      <w:lvlJc w:val="right"/>
      <w:pPr>
        <w:ind w:left="4320" w:hanging="180"/>
      </w:pPr>
    </w:lvl>
    <w:lvl w:ilvl="6" w:tplc="CAFCB706" w:tentative="1">
      <w:start w:val="1"/>
      <w:numFmt w:val="decimal"/>
      <w:lvlText w:val="%7."/>
      <w:lvlJc w:val="left"/>
      <w:pPr>
        <w:ind w:left="5040" w:hanging="360"/>
      </w:pPr>
    </w:lvl>
    <w:lvl w:ilvl="7" w:tplc="E412445C" w:tentative="1">
      <w:start w:val="1"/>
      <w:numFmt w:val="lowerLetter"/>
      <w:lvlText w:val="%8."/>
      <w:lvlJc w:val="left"/>
      <w:pPr>
        <w:ind w:left="5760" w:hanging="360"/>
      </w:pPr>
    </w:lvl>
    <w:lvl w:ilvl="8" w:tplc="0060D3EA" w:tentative="1">
      <w:start w:val="1"/>
      <w:numFmt w:val="lowerRoman"/>
      <w:lvlText w:val="%9."/>
      <w:lvlJc w:val="right"/>
      <w:pPr>
        <w:ind w:left="6480" w:hanging="180"/>
      </w:pPr>
    </w:lvl>
  </w:abstractNum>
  <w:abstractNum w:abstractNumId="22" w15:restartNumberingAfterBreak="0">
    <w:nsid w:val="59E9784D"/>
    <w:multiLevelType w:val="hybridMultilevel"/>
    <w:tmpl w:val="686C8858"/>
    <w:lvl w:ilvl="0" w:tplc="CCE856EA">
      <w:start w:val="1"/>
      <w:numFmt w:val="lowerLetter"/>
      <w:lvlText w:val="(%1)"/>
      <w:lvlJc w:val="left"/>
      <w:pPr>
        <w:ind w:left="720" w:hanging="360"/>
      </w:pPr>
      <w:rPr>
        <w:rFonts w:hint="default"/>
      </w:rPr>
    </w:lvl>
    <w:lvl w:ilvl="1" w:tplc="DDF0BAD0" w:tentative="1">
      <w:start w:val="1"/>
      <w:numFmt w:val="lowerLetter"/>
      <w:lvlText w:val="%2."/>
      <w:lvlJc w:val="left"/>
      <w:pPr>
        <w:ind w:left="1440" w:hanging="360"/>
      </w:pPr>
    </w:lvl>
    <w:lvl w:ilvl="2" w:tplc="4A529844" w:tentative="1">
      <w:start w:val="1"/>
      <w:numFmt w:val="lowerRoman"/>
      <w:lvlText w:val="%3."/>
      <w:lvlJc w:val="right"/>
      <w:pPr>
        <w:ind w:left="2160" w:hanging="180"/>
      </w:pPr>
    </w:lvl>
    <w:lvl w:ilvl="3" w:tplc="E3D02600" w:tentative="1">
      <w:start w:val="1"/>
      <w:numFmt w:val="decimal"/>
      <w:lvlText w:val="%4."/>
      <w:lvlJc w:val="left"/>
      <w:pPr>
        <w:ind w:left="2880" w:hanging="360"/>
      </w:pPr>
    </w:lvl>
    <w:lvl w:ilvl="4" w:tplc="101C5268" w:tentative="1">
      <w:start w:val="1"/>
      <w:numFmt w:val="lowerLetter"/>
      <w:lvlText w:val="%5."/>
      <w:lvlJc w:val="left"/>
      <w:pPr>
        <w:ind w:left="3600" w:hanging="360"/>
      </w:pPr>
    </w:lvl>
    <w:lvl w:ilvl="5" w:tplc="C94AA872" w:tentative="1">
      <w:start w:val="1"/>
      <w:numFmt w:val="lowerRoman"/>
      <w:lvlText w:val="%6."/>
      <w:lvlJc w:val="right"/>
      <w:pPr>
        <w:ind w:left="4320" w:hanging="180"/>
      </w:pPr>
    </w:lvl>
    <w:lvl w:ilvl="6" w:tplc="9626D134" w:tentative="1">
      <w:start w:val="1"/>
      <w:numFmt w:val="decimal"/>
      <w:lvlText w:val="%7."/>
      <w:lvlJc w:val="left"/>
      <w:pPr>
        <w:ind w:left="5040" w:hanging="360"/>
      </w:pPr>
    </w:lvl>
    <w:lvl w:ilvl="7" w:tplc="48E83F00" w:tentative="1">
      <w:start w:val="1"/>
      <w:numFmt w:val="lowerLetter"/>
      <w:lvlText w:val="%8."/>
      <w:lvlJc w:val="left"/>
      <w:pPr>
        <w:ind w:left="5760" w:hanging="360"/>
      </w:pPr>
    </w:lvl>
    <w:lvl w:ilvl="8" w:tplc="310059BC" w:tentative="1">
      <w:start w:val="1"/>
      <w:numFmt w:val="lowerRoman"/>
      <w:lvlText w:val="%9."/>
      <w:lvlJc w:val="right"/>
      <w:pPr>
        <w:ind w:left="6480" w:hanging="180"/>
      </w:pPr>
    </w:lvl>
  </w:abstractNum>
  <w:abstractNum w:abstractNumId="23" w15:restartNumberingAfterBreak="0">
    <w:nsid w:val="59F55BE1"/>
    <w:multiLevelType w:val="hybridMultilevel"/>
    <w:tmpl w:val="A720EC9E"/>
    <w:lvl w:ilvl="0" w:tplc="C8805EB2">
      <w:start w:val="1"/>
      <w:numFmt w:val="decimal"/>
      <w:lvlText w:val="%1."/>
      <w:lvlJc w:val="left"/>
      <w:pPr>
        <w:ind w:left="360" w:hanging="360"/>
      </w:pPr>
      <w:rPr>
        <w:rFonts w:hint="default"/>
        <w:b/>
      </w:rPr>
    </w:lvl>
    <w:lvl w:ilvl="1" w:tplc="369A0A6A" w:tentative="1">
      <w:start w:val="1"/>
      <w:numFmt w:val="lowerLetter"/>
      <w:lvlText w:val="%2."/>
      <w:lvlJc w:val="left"/>
      <w:pPr>
        <w:ind w:left="1440" w:hanging="360"/>
      </w:pPr>
    </w:lvl>
    <w:lvl w:ilvl="2" w:tplc="C80CF9A2" w:tentative="1">
      <w:start w:val="1"/>
      <w:numFmt w:val="lowerRoman"/>
      <w:lvlText w:val="%3."/>
      <w:lvlJc w:val="right"/>
      <w:pPr>
        <w:ind w:left="2160" w:hanging="180"/>
      </w:pPr>
    </w:lvl>
    <w:lvl w:ilvl="3" w:tplc="6E38C698" w:tentative="1">
      <w:start w:val="1"/>
      <w:numFmt w:val="decimal"/>
      <w:lvlText w:val="%4."/>
      <w:lvlJc w:val="left"/>
      <w:pPr>
        <w:ind w:left="2880" w:hanging="360"/>
      </w:pPr>
    </w:lvl>
    <w:lvl w:ilvl="4" w:tplc="353CB44E" w:tentative="1">
      <w:start w:val="1"/>
      <w:numFmt w:val="lowerLetter"/>
      <w:lvlText w:val="%5."/>
      <w:lvlJc w:val="left"/>
      <w:pPr>
        <w:ind w:left="3600" w:hanging="360"/>
      </w:pPr>
    </w:lvl>
    <w:lvl w:ilvl="5" w:tplc="90FEFDC0" w:tentative="1">
      <w:start w:val="1"/>
      <w:numFmt w:val="lowerRoman"/>
      <w:lvlText w:val="%6."/>
      <w:lvlJc w:val="right"/>
      <w:pPr>
        <w:ind w:left="4320" w:hanging="180"/>
      </w:pPr>
    </w:lvl>
    <w:lvl w:ilvl="6" w:tplc="7A56C208" w:tentative="1">
      <w:start w:val="1"/>
      <w:numFmt w:val="decimal"/>
      <w:lvlText w:val="%7."/>
      <w:lvlJc w:val="left"/>
      <w:pPr>
        <w:ind w:left="5040" w:hanging="360"/>
      </w:pPr>
    </w:lvl>
    <w:lvl w:ilvl="7" w:tplc="4A10AFD0" w:tentative="1">
      <w:start w:val="1"/>
      <w:numFmt w:val="lowerLetter"/>
      <w:lvlText w:val="%8."/>
      <w:lvlJc w:val="left"/>
      <w:pPr>
        <w:ind w:left="5760" w:hanging="360"/>
      </w:pPr>
    </w:lvl>
    <w:lvl w:ilvl="8" w:tplc="6896B7BA" w:tentative="1">
      <w:start w:val="1"/>
      <w:numFmt w:val="lowerRoman"/>
      <w:lvlText w:val="%9."/>
      <w:lvlJc w:val="right"/>
      <w:pPr>
        <w:ind w:left="6480" w:hanging="180"/>
      </w:pPr>
    </w:lvl>
  </w:abstractNum>
  <w:abstractNum w:abstractNumId="24" w15:restartNumberingAfterBreak="0">
    <w:nsid w:val="5BED5DEF"/>
    <w:multiLevelType w:val="hybridMultilevel"/>
    <w:tmpl w:val="37B68D36"/>
    <w:lvl w:ilvl="0" w:tplc="6DA253D2">
      <w:start w:val="1"/>
      <w:numFmt w:val="lowerLetter"/>
      <w:lvlText w:val="%1)"/>
      <w:lvlJc w:val="left"/>
      <w:pPr>
        <w:ind w:left="1571" w:hanging="360"/>
      </w:pPr>
      <w:rPr>
        <w:rFonts w:hint="default"/>
      </w:rPr>
    </w:lvl>
    <w:lvl w:ilvl="1" w:tplc="1DEADF68" w:tentative="1">
      <w:start w:val="1"/>
      <w:numFmt w:val="lowerLetter"/>
      <w:lvlText w:val="%2."/>
      <w:lvlJc w:val="left"/>
      <w:pPr>
        <w:ind w:left="2291" w:hanging="360"/>
      </w:pPr>
    </w:lvl>
    <w:lvl w:ilvl="2" w:tplc="36C47882" w:tentative="1">
      <w:start w:val="1"/>
      <w:numFmt w:val="lowerRoman"/>
      <w:lvlText w:val="%3."/>
      <w:lvlJc w:val="right"/>
      <w:pPr>
        <w:ind w:left="3011" w:hanging="180"/>
      </w:pPr>
    </w:lvl>
    <w:lvl w:ilvl="3" w:tplc="829AE0B4" w:tentative="1">
      <w:start w:val="1"/>
      <w:numFmt w:val="decimal"/>
      <w:lvlText w:val="%4."/>
      <w:lvlJc w:val="left"/>
      <w:pPr>
        <w:ind w:left="3731" w:hanging="360"/>
      </w:pPr>
    </w:lvl>
    <w:lvl w:ilvl="4" w:tplc="0CACA4B6" w:tentative="1">
      <w:start w:val="1"/>
      <w:numFmt w:val="lowerLetter"/>
      <w:lvlText w:val="%5."/>
      <w:lvlJc w:val="left"/>
      <w:pPr>
        <w:ind w:left="4451" w:hanging="360"/>
      </w:pPr>
    </w:lvl>
    <w:lvl w:ilvl="5" w:tplc="7BD89772" w:tentative="1">
      <w:start w:val="1"/>
      <w:numFmt w:val="lowerRoman"/>
      <w:lvlText w:val="%6."/>
      <w:lvlJc w:val="right"/>
      <w:pPr>
        <w:ind w:left="5171" w:hanging="180"/>
      </w:pPr>
    </w:lvl>
    <w:lvl w:ilvl="6" w:tplc="76425A86" w:tentative="1">
      <w:start w:val="1"/>
      <w:numFmt w:val="decimal"/>
      <w:lvlText w:val="%7."/>
      <w:lvlJc w:val="left"/>
      <w:pPr>
        <w:ind w:left="5891" w:hanging="360"/>
      </w:pPr>
    </w:lvl>
    <w:lvl w:ilvl="7" w:tplc="262262B2" w:tentative="1">
      <w:start w:val="1"/>
      <w:numFmt w:val="lowerLetter"/>
      <w:lvlText w:val="%8."/>
      <w:lvlJc w:val="left"/>
      <w:pPr>
        <w:ind w:left="6611" w:hanging="360"/>
      </w:pPr>
    </w:lvl>
    <w:lvl w:ilvl="8" w:tplc="A066D00C" w:tentative="1">
      <w:start w:val="1"/>
      <w:numFmt w:val="lowerRoman"/>
      <w:lvlText w:val="%9."/>
      <w:lvlJc w:val="right"/>
      <w:pPr>
        <w:ind w:left="7331" w:hanging="180"/>
      </w:pPr>
    </w:lvl>
  </w:abstractNum>
  <w:abstractNum w:abstractNumId="25" w15:restartNumberingAfterBreak="0">
    <w:nsid w:val="5F977B1E"/>
    <w:multiLevelType w:val="hybridMultilevel"/>
    <w:tmpl w:val="1F7C2F98"/>
    <w:lvl w:ilvl="0" w:tplc="940400BE">
      <w:numFmt w:val="bullet"/>
      <w:lvlText w:val="-"/>
      <w:lvlJc w:val="left"/>
      <w:pPr>
        <w:ind w:left="720" w:hanging="360"/>
      </w:pPr>
      <w:rPr>
        <w:rFonts w:ascii="Aptos" w:eastAsiaTheme="minorHAnsi" w:hAnsi="Aptos" w:cstheme="minorBidi" w:hint="default"/>
      </w:rPr>
    </w:lvl>
    <w:lvl w:ilvl="1" w:tplc="E29C3C52" w:tentative="1">
      <w:start w:val="1"/>
      <w:numFmt w:val="bullet"/>
      <w:lvlText w:val="o"/>
      <w:lvlJc w:val="left"/>
      <w:pPr>
        <w:ind w:left="1440" w:hanging="360"/>
      </w:pPr>
      <w:rPr>
        <w:rFonts w:ascii="Courier New" w:hAnsi="Courier New" w:cs="Courier New" w:hint="default"/>
      </w:rPr>
    </w:lvl>
    <w:lvl w:ilvl="2" w:tplc="A53802D4" w:tentative="1">
      <w:start w:val="1"/>
      <w:numFmt w:val="bullet"/>
      <w:lvlText w:val=""/>
      <w:lvlJc w:val="left"/>
      <w:pPr>
        <w:ind w:left="2160" w:hanging="360"/>
      </w:pPr>
      <w:rPr>
        <w:rFonts w:ascii="Wingdings" w:hAnsi="Wingdings" w:hint="default"/>
      </w:rPr>
    </w:lvl>
    <w:lvl w:ilvl="3" w:tplc="E6BC384C" w:tentative="1">
      <w:start w:val="1"/>
      <w:numFmt w:val="bullet"/>
      <w:lvlText w:val=""/>
      <w:lvlJc w:val="left"/>
      <w:pPr>
        <w:ind w:left="2880" w:hanging="360"/>
      </w:pPr>
      <w:rPr>
        <w:rFonts w:ascii="Symbol" w:hAnsi="Symbol" w:hint="default"/>
      </w:rPr>
    </w:lvl>
    <w:lvl w:ilvl="4" w:tplc="275AF04E" w:tentative="1">
      <w:start w:val="1"/>
      <w:numFmt w:val="bullet"/>
      <w:lvlText w:val="o"/>
      <w:lvlJc w:val="left"/>
      <w:pPr>
        <w:ind w:left="3600" w:hanging="360"/>
      </w:pPr>
      <w:rPr>
        <w:rFonts w:ascii="Courier New" w:hAnsi="Courier New" w:cs="Courier New" w:hint="default"/>
      </w:rPr>
    </w:lvl>
    <w:lvl w:ilvl="5" w:tplc="8A7AD98A" w:tentative="1">
      <w:start w:val="1"/>
      <w:numFmt w:val="bullet"/>
      <w:lvlText w:val=""/>
      <w:lvlJc w:val="left"/>
      <w:pPr>
        <w:ind w:left="4320" w:hanging="360"/>
      </w:pPr>
      <w:rPr>
        <w:rFonts w:ascii="Wingdings" w:hAnsi="Wingdings" w:hint="default"/>
      </w:rPr>
    </w:lvl>
    <w:lvl w:ilvl="6" w:tplc="FBF47144" w:tentative="1">
      <w:start w:val="1"/>
      <w:numFmt w:val="bullet"/>
      <w:lvlText w:val=""/>
      <w:lvlJc w:val="left"/>
      <w:pPr>
        <w:ind w:left="5040" w:hanging="360"/>
      </w:pPr>
      <w:rPr>
        <w:rFonts w:ascii="Symbol" w:hAnsi="Symbol" w:hint="default"/>
      </w:rPr>
    </w:lvl>
    <w:lvl w:ilvl="7" w:tplc="AA34F6F4" w:tentative="1">
      <w:start w:val="1"/>
      <w:numFmt w:val="bullet"/>
      <w:lvlText w:val="o"/>
      <w:lvlJc w:val="left"/>
      <w:pPr>
        <w:ind w:left="5760" w:hanging="360"/>
      </w:pPr>
      <w:rPr>
        <w:rFonts w:ascii="Courier New" w:hAnsi="Courier New" w:cs="Courier New" w:hint="default"/>
      </w:rPr>
    </w:lvl>
    <w:lvl w:ilvl="8" w:tplc="B1C8C630" w:tentative="1">
      <w:start w:val="1"/>
      <w:numFmt w:val="bullet"/>
      <w:lvlText w:val=""/>
      <w:lvlJc w:val="left"/>
      <w:pPr>
        <w:ind w:left="6480" w:hanging="360"/>
      </w:pPr>
      <w:rPr>
        <w:rFonts w:ascii="Wingdings" w:hAnsi="Wingdings" w:hint="default"/>
      </w:rPr>
    </w:lvl>
  </w:abstractNum>
  <w:abstractNum w:abstractNumId="26" w15:restartNumberingAfterBreak="0">
    <w:nsid w:val="61D608C6"/>
    <w:multiLevelType w:val="hybridMultilevel"/>
    <w:tmpl w:val="1974F628"/>
    <w:lvl w:ilvl="0" w:tplc="C652E366">
      <w:start w:val="1"/>
      <w:numFmt w:val="upperRoman"/>
      <w:lvlText w:val="%1."/>
      <w:lvlJc w:val="left"/>
      <w:pPr>
        <w:ind w:left="1080" w:hanging="720"/>
      </w:pPr>
      <w:rPr>
        <w:rFonts w:eastAsiaTheme="minorEastAsia" w:hint="default"/>
        <w:b/>
        <w:color w:val="auto"/>
      </w:rPr>
    </w:lvl>
    <w:lvl w:ilvl="1" w:tplc="6CCADDBA" w:tentative="1">
      <w:start w:val="1"/>
      <w:numFmt w:val="lowerLetter"/>
      <w:lvlText w:val="%2."/>
      <w:lvlJc w:val="left"/>
      <w:pPr>
        <w:ind w:left="1440" w:hanging="360"/>
      </w:pPr>
    </w:lvl>
    <w:lvl w:ilvl="2" w:tplc="C93229FE" w:tentative="1">
      <w:start w:val="1"/>
      <w:numFmt w:val="lowerRoman"/>
      <w:lvlText w:val="%3."/>
      <w:lvlJc w:val="right"/>
      <w:pPr>
        <w:ind w:left="2160" w:hanging="180"/>
      </w:pPr>
    </w:lvl>
    <w:lvl w:ilvl="3" w:tplc="65689D2C" w:tentative="1">
      <w:start w:val="1"/>
      <w:numFmt w:val="decimal"/>
      <w:lvlText w:val="%4."/>
      <w:lvlJc w:val="left"/>
      <w:pPr>
        <w:ind w:left="2880" w:hanging="360"/>
      </w:pPr>
    </w:lvl>
    <w:lvl w:ilvl="4" w:tplc="3C366A36" w:tentative="1">
      <w:start w:val="1"/>
      <w:numFmt w:val="lowerLetter"/>
      <w:lvlText w:val="%5."/>
      <w:lvlJc w:val="left"/>
      <w:pPr>
        <w:ind w:left="3600" w:hanging="360"/>
      </w:pPr>
    </w:lvl>
    <w:lvl w:ilvl="5" w:tplc="3AA4F0FC" w:tentative="1">
      <w:start w:val="1"/>
      <w:numFmt w:val="lowerRoman"/>
      <w:lvlText w:val="%6."/>
      <w:lvlJc w:val="right"/>
      <w:pPr>
        <w:ind w:left="4320" w:hanging="180"/>
      </w:pPr>
    </w:lvl>
    <w:lvl w:ilvl="6" w:tplc="B2B44BD4" w:tentative="1">
      <w:start w:val="1"/>
      <w:numFmt w:val="decimal"/>
      <w:lvlText w:val="%7."/>
      <w:lvlJc w:val="left"/>
      <w:pPr>
        <w:ind w:left="5040" w:hanging="360"/>
      </w:pPr>
    </w:lvl>
    <w:lvl w:ilvl="7" w:tplc="9C4EDC46" w:tentative="1">
      <w:start w:val="1"/>
      <w:numFmt w:val="lowerLetter"/>
      <w:lvlText w:val="%8."/>
      <w:lvlJc w:val="left"/>
      <w:pPr>
        <w:ind w:left="5760" w:hanging="360"/>
      </w:pPr>
    </w:lvl>
    <w:lvl w:ilvl="8" w:tplc="2724E734" w:tentative="1">
      <w:start w:val="1"/>
      <w:numFmt w:val="lowerRoman"/>
      <w:lvlText w:val="%9."/>
      <w:lvlJc w:val="right"/>
      <w:pPr>
        <w:ind w:left="6480" w:hanging="180"/>
      </w:pPr>
    </w:lvl>
  </w:abstractNum>
  <w:abstractNum w:abstractNumId="27" w15:restartNumberingAfterBreak="0">
    <w:nsid w:val="65A11C4A"/>
    <w:multiLevelType w:val="hybridMultilevel"/>
    <w:tmpl w:val="ECD66910"/>
    <w:lvl w:ilvl="0" w:tplc="F9922180">
      <w:start w:val="1"/>
      <w:numFmt w:val="lowerLetter"/>
      <w:lvlText w:val="(%1)"/>
      <w:lvlJc w:val="left"/>
      <w:pPr>
        <w:ind w:left="1647" w:hanging="360"/>
      </w:pPr>
      <w:rPr>
        <w:rFonts w:ascii="Times New Roman" w:eastAsia="Times New Roman" w:hAnsi="Times New Roman" w:cs="Times New Roman" w:hint="default"/>
      </w:rPr>
    </w:lvl>
    <w:lvl w:ilvl="1" w:tplc="8C10DDE6" w:tentative="1">
      <w:start w:val="1"/>
      <w:numFmt w:val="lowerLetter"/>
      <w:lvlText w:val="%2."/>
      <w:lvlJc w:val="left"/>
      <w:pPr>
        <w:ind w:left="1440" w:hanging="360"/>
      </w:pPr>
    </w:lvl>
    <w:lvl w:ilvl="2" w:tplc="592A069C" w:tentative="1">
      <w:start w:val="1"/>
      <w:numFmt w:val="lowerRoman"/>
      <w:lvlText w:val="%3."/>
      <w:lvlJc w:val="right"/>
      <w:pPr>
        <w:ind w:left="2160" w:hanging="180"/>
      </w:pPr>
    </w:lvl>
    <w:lvl w:ilvl="3" w:tplc="0DDE44BE" w:tentative="1">
      <w:start w:val="1"/>
      <w:numFmt w:val="decimal"/>
      <w:lvlText w:val="%4."/>
      <w:lvlJc w:val="left"/>
      <w:pPr>
        <w:ind w:left="2880" w:hanging="360"/>
      </w:pPr>
    </w:lvl>
    <w:lvl w:ilvl="4" w:tplc="85241DDE" w:tentative="1">
      <w:start w:val="1"/>
      <w:numFmt w:val="lowerLetter"/>
      <w:lvlText w:val="%5."/>
      <w:lvlJc w:val="left"/>
      <w:pPr>
        <w:ind w:left="3600" w:hanging="360"/>
      </w:pPr>
    </w:lvl>
    <w:lvl w:ilvl="5" w:tplc="0F6C050A" w:tentative="1">
      <w:start w:val="1"/>
      <w:numFmt w:val="lowerRoman"/>
      <w:lvlText w:val="%6."/>
      <w:lvlJc w:val="right"/>
      <w:pPr>
        <w:ind w:left="4320" w:hanging="180"/>
      </w:pPr>
    </w:lvl>
    <w:lvl w:ilvl="6" w:tplc="A13633F8" w:tentative="1">
      <w:start w:val="1"/>
      <w:numFmt w:val="decimal"/>
      <w:lvlText w:val="%7."/>
      <w:lvlJc w:val="left"/>
      <w:pPr>
        <w:ind w:left="5040" w:hanging="360"/>
      </w:pPr>
    </w:lvl>
    <w:lvl w:ilvl="7" w:tplc="31C4956A" w:tentative="1">
      <w:start w:val="1"/>
      <w:numFmt w:val="lowerLetter"/>
      <w:lvlText w:val="%8."/>
      <w:lvlJc w:val="left"/>
      <w:pPr>
        <w:ind w:left="5760" w:hanging="360"/>
      </w:pPr>
    </w:lvl>
    <w:lvl w:ilvl="8" w:tplc="A03C9E24" w:tentative="1">
      <w:start w:val="1"/>
      <w:numFmt w:val="lowerRoman"/>
      <w:lvlText w:val="%9."/>
      <w:lvlJc w:val="right"/>
      <w:pPr>
        <w:ind w:left="6480" w:hanging="180"/>
      </w:pPr>
    </w:lvl>
  </w:abstractNum>
  <w:abstractNum w:abstractNumId="28" w15:restartNumberingAfterBreak="0">
    <w:nsid w:val="66807DA1"/>
    <w:multiLevelType w:val="hybridMultilevel"/>
    <w:tmpl w:val="1B38A11E"/>
    <w:lvl w:ilvl="0" w:tplc="F2068AD6">
      <w:start w:val="1"/>
      <w:numFmt w:val="lowerLetter"/>
      <w:lvlText w:val="%1)"/>
      <w:lvlJc w:val="left"/>
      <w:pPr>
        <w:ind w:left="0" w:hanging="360"/>
      </w:pPr>
      <w:rPr>
        <w:rFonts w:hint="default"/>
      </w:rPr>
    </w:lvl>
    <w:lvl w:ilvl="1" w:tplc="B50E767A" w:tentative="1">
      <w:start w:val="1"/>
      <w:numFmt w:val="lowerLetter"/>
      <w:lvlText w:val="%2."/>
      <w:lvlJc w:val="left"/>
      <w:pPr>
        <w:ind w:left="720" w:hanging="360"/>
      </w:pPr>
    </w:lvl>
    <w:lvl w:ilvl="2" w:tplc="8EA85170" w:tentative="1">
      <w:start w:val="1"/>
      <w:numFmt w:val="lowerRoman"/>
      <w:lvlText w:val="%3."/>
      <w:lvlJc w:val="right"/>
      <w:pPr>
        <w:ind w:left="1440" w:hanging="180"/>
      </w:pPr>
    </w:lvl>
    <w:lvl w:ilvl="3" w:tplc="A384997C" w:tentative="1">
      <w:start w:val="1"/>
      <w:numFmt w:val="decimal"/>
      <w:lvlText w:val="%4."/>
      <w:lvlJc w:val="left"/>
      <w:pPr>
        <w:ind w:left="2160" w:hanging="360"/>
      </w:pPr>
    </w:lvl>
    <w:lvl w:ilvl="4" w:tplc="9FBEC962" w:tentative="1">
      <w:start w:val="1"/>
      <w:numFmt w:val="lowerLetter"/>
      <w:lvlText w:val="%5."/>
      <w:lvlJc w:val="left"/>
      <w:pPr>
        <w:ind w:left="2880" w:hanging="360"/>
      </w:pPr>
    </w:lvl>
    <w:lvl w:ilvl="5" w:tplc="27EC092C" w:tentative="1">
      <w:start w:val="1"/>
      <w:numFmt w:val="lowerRoman"/>
      <w:lvlText w:val="%6."/>
      <w:lvlJc w:val="right"/>
      <w:pPr>
        <w:ind w:left="3600" w:hanging="180"/>
      </w:pPr>
    </w:lvl>
    <w:lvl w:ilvl="6" w:tplc="3C9CAC48" w:tentative="1">
      <w:start w:val="1"/>
      <w:numFmt w:val="decimal"/>
      <w:lvlText w:val="%7."/>
      <w:lvlJc w:val="left"/>
      <w:pPr>
        <w:ind w:left="4320" w:hanging="360"/>
      </w:pPr>
    </w:lvl>
    <w:lvl w:ilvl="7" w:tplc="F2B4ADCE" w:tentative="1">
      <w:start w:val="1"/>
      <w:numFmt w:val="lowerLetter"/>
      <w:lvlText w:val="%8."/>
      <w:lvlJc w:val="left"/>
      <w:pPr>
        <w:ind w:left="5040" w:hanging="360"/>
      </w:pPr>
    </w:lvl>
    <w:lvl w:ilvl="8" w:tplc="5E0E9580" w:tentative="1">
      <w:start w:val="1"/>
      <w:numFmt w:val="lowerRoman"/>
      <w:lvlText w:val="%9."/>
      <w:lvlJc w:val="right"/>
      <w:pPr>
        <w:ind w:left="5760" w:hanging="180"/>
      </w:pPr>
    </w:lvl>
  </w:abstractNum>
  <w:abstractNum w:abstractNumId="29" w15:restartNumberingAfterBreak="0">
    <w:nsid w:val="68303700"/>
    <w:multiLevelType w:val="hybridMultilevel"/>
    <w:tmpl w:val="173475DC"/>
    <w:lvl w:ilvl="0" w:tplc="49908FC6">
      <w:start w:val="1"/>
      <w:numFmt w:val="bullet"/>
      <w:lvlText w:val=""/>
      <w:lvlJc w:val="left"/>
      <w:pPr>
        <w:ind w:left="720" w:hanging="360"/>
      </w:pPr>
      <w:rPr>
        <w:rFonts w:ascii="Symbol" w:hAnsi="Symbol" w:hint="default"/>
      </w:rPr>
    </w:lvl>
    <w:lvl w:ilvl="1" w:tplc="0994C05E">
      <w:start w:val="1"/>
      <w:numFmt w:val="bullet"/>
      <w:lvlText w:val="o"/>
      <w:lvlJc w:val="left"/>
      <w:pPr>
        <w:ind w:left="1440" w:hanging="360"/>
      </w:pPr>
      <w:rPr>
        <w:rFonts w:ascii="Courier New" w:hAnsi="Courier New" w:cs="Courier New" w:hint="default"/>
      </w:rPr>
    </w:lvl>
    <w:lvl w:ilvl="2" w:tplc="48D462E0">
      <w:start w:val="1"/>
      <w:numFmt w:val="bullet"/>
      <w:lvlText w:val=""/>
      <w:lvlJc w:val="left"/>
      <w:pPr>
        <w:ind w:left="2160" w:hanging="360"/>
      </w:pPr>
      <w:rPr>
        <w:rFonts w:ascii="Wingdings" w:hAnsi="Wingdings" w:hint="default"/>
      </w:rPr>
    </w:lvl>
    <w:lvl w:ilvl="3" w:tplc="C608D3E4">
      <w:start w:val="1"/>
      <w:numFmt w:val="bullet"/>
      <w:lvlText w:val=""/>
      <w:lvlJc w:val="left"/>
      <w:pPr>
        <w:ind w:left="2880" w:hanging="360"/>
      </w:pPr>
      <w:rPr>
        <w:rFonts w:ascii="Symbol" w:hAnsi="Symbol" w:hint="default"/>
      </w:rPr>
    </w:lvl>
    <w:lvl w:ilvl="4" w:tplc="8F8A42CC">
      <w:start w:val="1"/>
      <w:numFmt w:val="bullet"/>
      <w:lvlText w:val="o"/>
      <w:lvlJc w:val="left"/>
      <w:pPr>
        <w:ind w:left="3600" w:hanging="360"/>
      </w:pPr>
      <w:rPr>
        <w:rFonts w:ascii="Courier New" w:hAnsi="Courier New" w:cs="Courier New" w:hint="default"/>
      </w:rPr>
    </w:lvl>
    <w:lvl w:ilvl="5" w:tplc="DE527A6C">
      <w:start w:val="1"/>
      <w:numFmt w:val="bullet"/>
      <w:lvlText w:val=""/>
      <w:lvlJc w:val="left"/>
      <w:pPr>
        <w:ind w:left="4320" w:hanging="360"/>
      </w:pPr>
      <w:rPr>
        <w:rFonts w:ascii="Wingdings" w:hAnsi="Wingdings" w:hint="default"/>
      </w:rPr>
    </w:lvl>
    <w:lvl w:ilvl="6" w:tplc="1D60426E">
      <w:start w:val="1"/>
      <w:numFmt w:val="bullet"/>
      <w:lvlText w:val=""/>
      <w:lvlJc w:val="left"/>
      <w:pPr>
        <w:ind w:left="5040" w:hanging="360"/>
      </w:pPr>
      <w:rPr>
        <w:rFonts w:ascii="Symbol" w:hAnsi="Symbol" w:hint="default"/>
      </w:rPr>
    </w:lvl>
    <w:lvl w:ilvl="7" w:tplc="04E41E32">
      <w:start w:val="1"/>
      <w:numFmt w:val="bullet"/>
      <w:lvlText w:val="o"/>
      <w:lvlJc w:val="left"/>
      <w:pPr>
        <w:ind w:left="5760" w:hanging="360"/>
      </w:pPr>
      <w:rPr>
        <w:rFonts w:ascii="Courier New" w:hAnsi="Courier New" w:cs="Courier New" w:hint="default"/>
      </w:rPr>
    </w:lvl>
    <w:lvl w:ilvl="8" w:tplc="CBF86ACE">
      <w:start w:val="1"/>
      <w:numFmt w:val="bullet"/>
      <w:lvlText w:val=""/>
      <w:lvlJc w:val="left"/>
      <w:pPr>
        <w:ind w:left="6480" w:hanging="360"/>
      </w:pPr>
      <w:rPr>
        <w:rFonts w:ascii="Wingdings" w:hAnsi="Wingdings" w:hint="default"/>
      </w:rPr>
    </w:lvl>
  </w:abstractNum>
  <w:abstractNum w:abstractNumId="30" w15:restartNumberingAfterBreak="0">
    <w:nsid w:val="68E723ED"/>
    <w:multiLevelType w:val="hybridMultilevel"/>
    <w:tmpl w:val="E94CA180"/>
    <w:lvl w:ilvl="0" w:tplc="DDEAE134">
      <w:start w:val="1"/>
      <w:numFmt w:val="lowerLetter"/>
      <w:lvlText w:val="(%1)"/>
      <w:lvlJc w:val="left"/>
      <w:pPr>
        <w:ind w:left="360" w:hanging="720"/>
      </w:pPr>
      <w:rPr>
        <w:rFonts w:hint="default"/>
      </w:rPr>
    </w:lvl>
    <w:lvl w:ilvl="1" w:tplc="24704102" w:tentative="1">
      <w:start w:val="1"/>
      <w:numFmt w:val="lowerLetter"/>
      <w:lvlText w:val="%2."/>
      <w:lvlJc w:val="left"/>
      <w:pPr>
        <w:ind w:left="720" w:hanging="360"/>
      </w:pPr>
    </w:lvl>
    <w:lvl w:ilvl="2" w:tplc="4D9CE3BE" w:tentative="1">
      <w:start w:val="1"/>
      <w:numFmt w:val="lowerRoman"/>
      <w:lvlText w:val="%3."/>
      <w:lvlJc w:val="right"/>
      <w:pPr>
        <w:ind w:left="1440" w:hanging="180"/>
      </w:pPr>
    </w:lvl>
    <w:lvl w:ilvl="3" w:tplc="9A729D4A" w:tentative="1">
      <w:start w:val="1"/>
      <w:numFmt w:val="decimal"/>
      <w:lvlText w:val="%4."/>
      <w:lvlJc w:val="left"/>
      <w:pPr>
        <w:ind w:left="2160" w:hanging="360"/>
      </w:pPr>
    </w:lvl>
    <w:lvl w:ilvl="4" w:tplc="A1DCF250" w:tentative="1">
      <w:start w:val="1"/>
      <w:numFmt w:val="lowerLetter"/>
      <w:lvlText w:val="%5."/>
      <w:lvlJc w:val="left"/>
      <w:pPr>
        <w:ind w:left="2880" w:hanging="360"/>
      </w:pPr>
    </w:lvl>
    <w:lvl w:ilvl="5" w:tplc="A4C257BA" w:tentative="1">
      <w:start w:val="1"/>
      <w:numFmt w:val="lowerRoman"/>
      <w:lvlText w:val="%6."/>
      <w:lvlJc w:val="right"/>
      <w:pPr>
        <w:ind w:left="3600" w:hanging="180"/>
      </w:pPr>
    </w:lvl>
    <w:lvl w:ilvl="6" w:tplc="F152968A" w:tentative="1">
      <w:start w:val="1"/>
      <w:numFmt w:val="decimal"/>
      <w:lvlText w:val="%7."/>
      <w:lvlJc w:val="left"/>
      <w:pPr>
        <w:ind w:left="4320" w:hanging="360"/>
      </w:pPr>
    </w:lvl>
    <w:lvl w:ilvl="7" w:tplc="B142A272" w:tentative="1">
      <w:start w:val="1"/>
      <w:numFmt w:val="lowerLetter"/>
      <w:lvlText w:val="%8."/>
      <w:lvlJc w:val="left"/>
      <w:pPr>
        <w:ind w:left="5040" w:hanging="360"/>
      </w:pPr>
    </w:lvl>
    <w:lvl w:ilvl="8" w:tplc="9F1464E6" w:tentative="1">
      <w:start w:val="1"/>
      <w:numFmt w:val="lowerRoman"/>
      <w:lvlText w:val="%9."/>
      <w:lvlJc w:val="right"/>
      <w:pPr>
        <w:ind w:left="5760" w:hanging="180"/>
      </w:pPr>
    </w:lvl>
  </w:abstractNum>
  <w:abstractNum w:abstractNumId="31" w15:restartNumberingAfterBreak="0">
    <w:nsid w:val="72161749"/>
    <w:multiLevelType w:val="hybridMultilevel"/>
    <w:tmpl w:val="125A7CC0"/>
    <w:lvl w:ilvl="0" w:tplc="74B02910">
      <w:start w:val="1"/>
      <w:numFmt w:val="lowerLetter"/>
      <w:lvlText w:val="%1)"/>
      <w:lvlJc w:val="left"/>
      <w:pPr>
        <w:ind w:left="1170" w:hanging="360"/>
      </w:pPr>
    </w:lvl>
    <w:lvl w:ilvl="1" w:tplc="C50AC064" w:tentative="1">
      <w:start w:val="1"/>
      <w:numFmt w:val="lowerLetter"/>
      <w:lvlText w:val="%2."/>
      <w:lvlJc w:val="left"/>
      <w:pPr>
        <w:ind w:left="1890" w:hanging="360"/>
      </w:pPr>
    </w:lvl>
    <w:lvl w:ilvl="2" w:tplc="3B12B038" w:tentative="1">
      <w:start w:val="1"/>
      <w:numFmt w:val="lowerRoman"/>
      <w:lvlText w:val="%3."/>
      <w:lvlJc w:val="right"/>
      <w:pPr>
        <w:ind w:left="2610" w:hanging="180"/>
      </w:pPr>
    </w:lvl>
    <w:lvl w:ilvl="3" w:tplc="C9066DA0" w:tentative="1">
      <w:start w:val="1"/>
      <w:numFmt w:val="decimal"/>
      <w:lvlText w:val="%4."/>
      <w:lvlJc w:val="left"/>
      <w:pPr>
        <w:ind w:left="3330" w:hanging="360"/>
      </w:pPr>
    </w:lvl>
    <w:lvl w:ilvl="4" w:tplc="10085CF8" w:tentative="1">
      <w:start w:val="1"/>
      <w:numFmt w:val="lowerLetter"/>
      <w:lvlText w:val="%5."/>
      <w:lvlJc w:val="left"/>
      <w:pPr>
        <w:ind w:left="4050" w:hanging="360"/>
      </w:pPr>
    </w:lvl>
    <w:lvl w:ilvl="5" w:tplc="2138C312" w:tentative="1">
      <w:start w:val="1"/>
      <w:numFmt w:val="lowerRoman"/>
      <w:lvlText w:val="%6."/>
      <w:lvlJc w:val="right"/>
      <w:pPr>
        <w:ind w:left="4770" w:hanging="180"/>
      </w:pPr>
    </w:lvl>
    <w:lvl w:ilvl="6" w:tplc="29144CDA" w:tentative="1">
      <w:start w:val="1"/>
      <w:numFmt w:val="decimal"/>
      <w:lvlText w:val="%7."/>
      <w:lvlJc w:val="left"/>
      <w:pPr>
        <w:ind w:left="5490" w:hanging="360"/>
      </w:pPr>
    </w:lvl>
    <w:lvl w:ilvl="7" w:tplc="C5BC77D8" w:tentative="1">
      <w:start w:val="1"/>
      <w:numFmt w:val="lowerLetter"/>
      <w:lvlText w:val="%8."/>
      <w:lvlJc w:val="left"/>
      <w:pPr>
        <w:ind w:left="6210" w:hanging="360"/>
      </w:pPr>
    </w:lvl>
    <w:lvl w:ilvl="8" w:tplc="3F2C0B82" w:tentative="1">
      <w:start w:val="1"/>
      <w:numFmt w:val="lowerRoman"/>
      <w:lvlText w:val="%9."/>
      <w:lvlJc w:val="right"/>
      <w:pPr>
        <w:ind w:left="6930" w:hanging="180"/>
      </w:pPr>
    </w:lvl>
  </w:abstractNum>
  <w:abstractNum w:abstractNumId="32" w15:restartNumberingAfterBreak="0">
    <w:nsid w:val="76654BB6"/>
    <w:multiLevelType w:val="hybridMultilevel"/>
    <w:tmpl w:val="48E4A166"/>
    <w:lvl w:ilvl="0" w:tplc="B8BE05CC">
      <w:start w:val="1"/>
      <w:numFmt w:val="lowerLetter"/>
      <w:lvlText w:val="(%1)"/>
      <w:lvlJc w:val="left"/>
      <w:pPr>
        <w:ind w:left="585" w:hanging="585"/>
      </w:pPr>
      <w:rPr>
        <w:rFonts w:hint="default"/>
        <w:color w:val="000000" w:themeColor="text1"/>
      </w:rPr>
    </w:lvl>
    <w:lvl w:ilvl="1" w:tplc="E1E252D8" w:tentative="1">
      <w:start w:val="1"/>
      <w:numFmt w:val="lowerLetter"/>
      <w:lvlText w:val="%2."/>
      <w:lvlJc w:val="left"/>
      <w:pPr>
        <w:ind w:left="1350" w:hanging="360"/>
      </w:pPr>
    </w:lvl>
    <w:lvl w:ilvl="2" w:tplc="B3F43682" w:tentative="1">
      <w:start w:val="1"/>
      <w:numFmt w:val="lowerRoman"/>
      <w:lvlText w:val="%3."/>
      <w:lvlJc w:val="right"/>
      <w:pPr>
        <w:ind w:left="2070" w:hanging="180"/>
      </w:pPr>
    </w:lvl>
    <w:lvl w:ilvl="3" w:tplc="90C8D860" w:tentative="1">
      <w:start w:val="1"/>
      <w:numFmt w:val="decimal"/>
      <w:lvlText w:val="%4."/>
      <w:lvlJc w:val="left"/>
      <w:pPr>
        <w:ind w:left="2790" w:hanging="360"/>
      </w:pPr>
    </w:lvl>
    <w:lvl w:ilvl="4" w:tplc="5A7A5256" w:tentative="1">
      <w:start w:val="1"/>
      <w:numFmt w:val="lowerLetter"/>
      <w:lvlText w:val="%5."/>
      <w:lvlJc w:val="left"/>
      <w:pPr>
        <w:ind w:left="3510" w:hanging="360"/>
      </w:pPr>
    </w:lvl>
    <w:lvl w:ilvl="5" w:tplc="3E583A52" w:tentative="1">
      <w:start w:val="1"/>
      <w:numFmt w:val="lowerRoman"/>
      <w:lvlText w:val="%6."/>
      <w:lvlJc w:val="right"/>
      <w:pPr>
        <w:ind w:left="4230" w:hanging="180"/>
      </w:pPr>
    </w:lvl>
    <w:lvl w:ilvl="6" w:tplc="E50EC6FC" w:tentative="1">
      <w:start w:val="1"/>
      <w:numFmt w:val="decimal"/>
      <w:lvlText w:val="%7."/>
      <w:lvlJc w:val="left"/>
      <w:pPr>
        <w:ind w:left="4950" w:hanging="360"/>
      </w:pPr>
    </w:lvl>
    <w:lvl w:ilvl="7" w:tplc="41CA6E14" w:tentative="1">
      <w:start w:val="1"/>
      <w:numFmt w:val="lowerLetter"/>
      <w:lvlText w:val="%8."/>
      <w:lvlJc w:val="left"/>
      <w:pPr>
        <w:ind w:left="5670" w:hanging="360"/>
      </w:pPr>
    </w:lvl>
    <w:lvl w:ilvl="8" w:tplc="83D88AE8" w:tentative="1">
      <w:start w:val="1"/>
      <w:numFmt w:val="lowerRoman"/>
      <w:lvlText w:val="%9."/>
      <w:lvlJc w:val="right"/>
      <w:pPr>
        <w:ind w:left="6390" w:hanging="180"/>
      </w:pPr>
    </w:lvl>
  </w:abstractNum>
  <w:abstractNum w:abstractNumId="33" w15:restartNumberingAfterBreak="0">
    <w:nsid w:val="781054AB"/>
    <w:multiLevelType w:val="hybridMultilevel"/>
    <w:tmpl w:val="B4E2AFD2"/>
    <w:lvl w:ilvl="0" w:tplc="973C5D58">
      <w:start w:val="1"/>
      <w:numFmt w:val="lowerLetter"/>
      <w:lvlText w:val="%1)"/>
      <w:lvlJc w:val="left"/>
      <w:pPr>
        <w:ind w:left="643" w:hanging="360"/>
      </w:pPr>
      <w:rPr>
        <w:rFonts w:hint="default"/>
      </w:rPr>
    </w:lvl>
    <w:lvl w:ilvl="1" w:tplc="5E4E429E" w:tentative="1">
      <w:start w:val="1"/>
      <w:numFmt w:val="lowerLetter"/>
      <w:lvlText w:val="%2."/>
      <w:lvlJc w:val="left"/>
      <w:pPr>
        <w:ind w:left="1363" w:hanging="360"/>
      </w:pPr>
    </w:lvl>
    <w:lvl w:ilvl="2" w:tplc="2C3C64C4" w:tentative="1">
      <w:start w:val="1"/>
      <w:numFmt w:val="lowerRoman"/>
      <w:lvlText w:val="%3."/>
      <w:lvlJc w:val="right"/>
      <w:pPr>
        <w:ind w:left="2083" w:hanging="180"/>
      </w:pPr>
    </w:lvl>
    <w:lvl w:ilvl="3" w:tplc="16C8389C" w:tentative="1">
      <w:start w:val="1"/>
      <w:numFmt w:val="decimal"/>
      <w:lvlText w:val="%4."/>
      <w:lvlJc w:val="left"/>
      <w:pPr>
        <w:ind w:left="2803" w:hanging="360"/>
      </w:pPr>
    </w:lvl>
    <w:lvl w:ilvl="4" w:tplc="2E40CE24" w:tentative="1">
      <w:start w:val="1"/>
      <w:numFmt w:val="lowerLetter"/>
      <w:lvlText w:val="%5."/>
      <w:lvlJc w:val="left"/>
      <w:pPr>
        <w:ind w:left="3523" w:hanging="360"/>
      </w:pPr>
    </w:lvl>
    <w:lvl w:ilvl="5" w:tplc="E1D404E0" w:tentative="1">
      <w:start w:val="1"/>
      <w:numFmt w:val="lowerRoman"/>
      <w:lvlText w:val="%6."/>
      <w:lvlJc w:val="right"/>
      <w:pPr>
        <w:ind w:left="4243" w:hanging="180"/>
      </w:pPr>
    </w:lvl>
    <w:lvl w:ilvl="6" w:tplc="75C0CB5E" w:tentative="1">
      <w:start w:val="1"/>
      <w:numFmt w:val="decimal"/>
      <w:lvlText w:val="%7."/>
      <w:lvlJc w:val="left"/>
      <w:pPr>
        <w:ind w:left="4963" w:hanging="360"/>
      </w:pPr>
    </w:lvl>
    <w:lvl w:ilvl="7" w:tplc="634824DC" w:tentative="1">
      <w:start w:val="1"/>
      <w:numFmt w:val="lowerLetter"/>
      <w:lvlText w:val="%8."/>
      <w:lvlJc w:val="left"/>
      <w:pPr>
        <w:ind w:left="5683" w:hanging="360"/>
      </w:pPr>
    </w:lvl>
    <w:lvl w:ilvl="8" w:tplc="8AA69F8A" w:tentative="1">
      <w:start w:val="1"/>
      <w:numFmt w:val="lowerRoman"/>
      <w:lvlText w:val="%9."/>
      <w:lvlJc w:val="right"/>
      <w:pPr>
        <w:ind w:left="6403" w:hanging="180"/>
      </w:pPr>
    </w:lvl>
  </w:abstractNum>
  <w:abstractNum w:abstractNumId="34" w15:restartNumberingAfterBreak="0">
    <w:nsid w:val="7E391550"/>
    <w:multiLevelType w:val="hybridMultilevel"/>
    <w:tmpl w:val="F13C1094"/>
    <w:lvl w:ilvl="0" w:tplc="EB384F6A">
      <w:start w:val="1"/>
      <w:numFmt w:val="upperLetter"/>
      <w:lvlText w:val="%1."/>
      <w:lvlJc w:val="left"/>
      <w:pPr>
        <w:ind w:left="90" w:hanging="450"/>
      </w:pPr>
      <w:rPr>
        <w:rFonts w:hint="default"/>
      </w:rPr>
    </w:lvl>
    <w:lvl w:ilvl="1" w:tplc="F2EE3DBE" w:tentative="1">
      <w:start w:val="1"/>
      <w:numFmt w:val="lowerLetter"/>
      <w:lvlText w:val="%2."/>
      <w:lvlJc w:val="left"/>
      <w:pPr>
        <w:ind w:left="720" w:hanging="360"/>
      </w:pPr>
    </w:lvl>
    <w:lvl w:ilvl="2" w:tplc="0530555E" w:tentative="1">
      <w:start w:val="1"/>
      <w:numFmt w:val="lowerRoman"/>
      <w:lvlText w:val="%3."/>
      <w:lvlJc w:val="right"/>
      <w:pPr>
        <w:ind w:left="1440" w:hanging="180"/>
      </w:pPr>
    </w:lvl>
    <w:lvl w:ilvl="3" w:tplc="4DBA3B84" w:tentative="1">
      <w:start w:val="1"/>
      <w:numFmt w:val="decimal"/>
      <w:lvlText w:val="%4."/>
      <w:lvlJc w:val="left"/>
      <w:pPr>
        <w:ind w:left="2160" w:hanging="360"/>
      </w:pPr>
    </w:lvl>
    <w:lvl w:ilvl="4" w:tplc="91FAD24A" w:tentative="1">
      <w:start w:val="1"/>
      <w:numFmt w:val="lowerLetter"/>
      <w:lvlText w:val="%5."/>
      <w:lvlJc w:val="left"/>
      <w:pPr>
        <w:ind w:left="2880" w:hanging="360"/>
      </w:pPr>
    </w:lvl>
    <w:lvl w:ilvl="5" w:tplc="083C3B00" w:tentative="1">
      <w:start w:val="1"/>
      <w:numFmt w:val="lowerRoman"/>
      <w:lvlText w:val="%6."/>
      <w:lvlJc w:val="right"/>
      <w:pPr>
        <w:ind w:left="3600" w:hanging="180"/>
      </w:pPr>
    </w:lvl>
    <w:lvl w:ilvl="6" w:tplc="B90CA8C0" w:tentative="1">
      <w:start w:val="1"/>
      <w:numFmt w:val="decimal"/>
      <w:lvlText w:val="%7."/>
      <w:lvlJc w:val="left"/>
      <w:pPr>
        <w:ind w:left="4320" w:hanging="360"/>
      </w:pPr>
    </w:lvl>
    <w:lvl w:ilvl="7" w:tplc="3B56D1B8" w:tentative="1">
      <w:start w:val="1"/>
      <w:numFmt w:val="lowerLetter"/>
      <w:lvlText w:val="%8."/>
      <w:lvlJc w:val="left"/>
      <w:pPr>
        <w:ind w:left="5040" w:hanging="360"/>
      </w:pPr>
    </w:lvl>
    <w:lvl w:ilvl="8" w:tplc="41722F9C" w:tentative="1">
      <w:start w:val="1"/>
      <w:numFmt w:val="lowerRoman"/>
      <w:lvlText w:val="%9."/>
      <w:lvlJc w:val="right"/>
      <w:pPr>
        <w:ind w:left="5760" w:hanging="180"/>
      </w:pPr>
    </w:lvl>
  </w:abstractNum>
  <w:abstractNum w:abstractNumId="35" w15:restartNumberingAfterBreak="0">
    <w:nsid w:val="7F3A2FD2"/>
    <w:multiLevelType w:val="hybridMultilevel"/>
    <w:tmpl w:val="ABD23980"/>
    <w:lvl w:ilvl="0" w:tplc="96ACCD4C">
      <w:start w:val="1"/>
      <w:numFmt w:val="lowerLetter"/>
      <w:lvlText w:val="(%1)"/>
      <w:lvlJc w:val="left"/>
      <w:pPr>
        <w:ind w:left="885" w:hanging="525"/>
      </w:pPr>
      <w:rPr>
        <w:rFonts w:hint="default"/>
      </w:rPr>
    </w:lvl>
    <w:lvl w:ilvl="1" w:tplc="95C88D46" w:tentative="1">
      <w:start w:val="1"/>
      <w:numFmt w:val="lowerLetter"/>
      <w:lvlText w:val="%2."/>
      <w:lvlJc w:val="left"/>
      <w:pPr>
        <w:ind w:left="1440" w:hanging="360"/>
      </w:pPr>
    </w:lvl>
    <w:lvl w:ilvl="2" w:tplc="3F6EA912" w:tentative="1">
      <w:start w:val="1"/>
      <w:numFmt w:val="lowerRoman"/>
      <w:lvlText w:val="%3."/>
      <w:lvlJc w:val="right"/>
      <w:pPr>
        <w:ind w:left="2160" w:hanging="180"/>
      </w:pPr>
    </w:lvl>
    <w:lvl w:ilvl="3" w:tplc="ADA4E9F6" w:tentative="1">
      <w:start w:val="1"/>
      <w:numFmt w:val="decimal"/>
      <w:lvlText w:val="%4."/>
      <w:lvlJc w:val="left"/>
      <w:pPr>
        <w:ind w:left="2880" w:hanging="360"/>
      </w:pPr>
    </w:lvl>
    <w:lvl w:ilvl="4" w:tplc="2054A99E" w:tentative="1">
      <w:start w:val="1"/>
      <w:numFmt w:val="lowerLetter"/>
      <w:lvlText w:val="%5."/>
      <w:lvlJc w:val="left"/>
      <w:pPr>
        <w:ind w:left="3600" w:hanging="360"/>
      </w:pPr>
    </w:lvl>
    <w:lvl w:ilvl="5" w:tplc="9404FA8C" w:tentative="1">
      <w:start w:val="1"/>
      <w:numFmt w:val="lowerRoman"/>
      <w:lvlText w:val="%6."/>
      <w:lvlJc w:val="right"/>
      <w:pPr>
        <w:ind w:left="4320" w:hanging="180"/>
      </w:pPr>
    </w:lvl>
    <w:lvl w:ilvl="6" w:tplc="72360956" w:tentative="1">
      <w:start w:val="1"/>
      <w:numFmt w:val="decimal"/>
      <w:lvlText w:val="%7."/>
      <w:lvlJc w:val="left"/>
      <w:pPr>
        <w:ind w:left="5040" w:hanging="360"/>
      </w:pPr>
    </w:lvl>
    <w:lvl w:ilvl="7" w:tplc="A96879DA" w:tentative="1">
      <w:start w:val="1"/>
      <w:numFmt w:val="lowerLetter"/>
      <w:lvlText w:val="%8."/>
      <w:lvlJc w:val="left"/>
      <w:pPr>
        <w:ind w:left="5760" w:hanging="360"/>
      </w:pPr>
    </w:lvl>
    <w:lvl w:ilvl="8" w:tplc="0E8ED122" w:tentative="1">
      <w:start w:val="1"/>
      <w:numFmt w:val="lowerRoman"/>
      <w:lvlText w:val="%9."/>
      <w:lvlJc w:val="right"/>
      <w:pPr>
        <w:ind w:left="6480" w:hanging="180"/>
      </w:pPr>
    </w:lvl>
  </w:abstractNum>
  <w:abstractNum w:abstractNumId="36" w15:restartNumberingAfterBreak="0">
    <w:nsid w:val="7FAE0B33"/>
    <w:multiLevelType w:val="hybridMultilevel"/>
    <w:tmpl w:val="10668F04"/>
    <w:lvl w:ilvl="0" w:tplc="52E44C26">
      <w:start w:val="1"/>
      <w:numFmt w:val="decimal"/>
      <w:lvlText w:val="%1."/>
      <w:lvlJc w:val="left"/>
      <w:pPr>
        <w:ind w:left="720" w:hanging="360"/>
      </w:pPr>
      <w:rPr>
        <w:rFonts w:hint="default"/>
        <w:b/>
      </w:rPr>
    </w:lvl>
    <w:lvl w:ilvl="1" w:tplc="BFAEEC72" w:tentative="1">
      <w:start w:val="1"/>
      <w:numFmt w:val="lowerLetter"/>
      <w:lvlText w:val="%2."/>
      <w:lvlJc w:val="left"/>
      <w:pPr>
        <w:ind w:left="1440" w:hanging="360"/>
      </w:pPr>
    </w:lvl>
    <w:lvl w:ilvl="2" w:tplc="8A4E666C" w:tentative="1">
      <w:start w:val="1"/>
      <w:numFmt w:val="lowerRoman"/>
      <w:lvlText w:val="%3."/>
      <w:lvlJc w:val="right"/>
      <w:pPr>
        <w:ind w:left="2160" w:hanging="180"/>
      </w:pPr>
    </w:lvl>
    <w:lvl w:ilvl="3" w:tplc="989E6C16" w:tentative="1">
      <w:start w:val="1"/>
      <w:numFmt w:val="decimal"/>
      <w:lvlText w:val="%4."/>
      <w:lvlJc w:val="left"/>
      <w:pPr>
        <w:ind w:left="2880" w:hanging="360"/>
      </w:pPr>
    </w:lvl>
    <w:lvl w:ilvl="4" w:tplc="08EC7EBC" w:tentative="1">
      <w:start w:val="1"/>
      <w:numFmt w:val="lowerLetter"/>
      <w:lvlText w:val="%5."/>
      <w:lvlJc w:val="left"/>
      <w:pPr>
        <w:ind w:left="3600" w:hanging="360"/>
      </w:pPr>
    </w:lvl>
    <w:lvl w:ilvl="5" w:tplc="8F264AB0" w:tentative="1">
      <w:start w:val="1"/>
      <w:numFmt w:val="lowerRoman"/>
      <w:lvlText w:val="%6."/>
      <w:lvlJc w:val="right"/>
      <w:pPr>
        <w:ind w:left="4320" w:hanging="180"/>
      </w:pPr>
    </w:lvl>
    <w:lvl w:ilvl="6" w:tplc="BF98E3AA" w:tentative="1">
      <w:start w:val="1"/>
      <w:numFmt w:val="decimal"/>
      <w:lvlText w:val="%7."/>
      <w:lvlJc w:val="left"/>
      <w:pPr>
        <w:ind w:left="5040" w:hanging="360"/>
      </w:pPr>
    </w:lvl>
    <w:lvl w:ilvl="7" w:tplc="7E78546C" w:tentative="1">
      <w:start w:val="1"/>
      <w:numFmt w:val="lowerLetter"/>
      <w:lvlText w:val="%8."/>
      <w:lvlJc w:val="left"/>
      <w:pPr>
        <w:ind w:left="5760" w:hanging="360"/>
      </w:pPr>
    </w:lvl>
    <w:lvl w:ilvl="8" w:tplc="29DA0572" w:tentative="1">
      <w:start w:val="1"/>
      <w:numFmt w:val="lowerRoman"/>
      <w:lvlText w:val="%9."/>
      <w:lvlJc w:val="right"/>
      <w:pPr>
        <w:ind w:left="6480" w:hanging="180"/>
      </w:pPr>
    </w:lvl>
  </w:abstractNum>
  <w:num w:numId="1">
    <w:abstractNumId w:val="34"/>
  </w:num>
  <w:num w:numId="2">
    <w:abstractNumId w:val="12"/>
  </w:num>
  <w:num w:numId="3">
    <w:abstractNumId w:val="27"/>
  </w:num>
  <w:num w:numId="4">
    <w:abstractNumId w:val="0"/>
  </w:num>
  <w:num w:numId="5">
    <w:abstractNumId w:val="9"/>
  </w:num>
  <w:num w:numId="6">
    <w:abstractNumId w:val="22"/>
  </w:num>
  <w:num w:numId="7">
    <w:abstractNumId w:val="1"/>
  </w:num>
  <w:num w:numId="8">
    <w:abstractNumId w:val="30"/>
  </w:num>
  <w:num w:numId="9">
    <w:abstractNumId w:val="32"/>
  </w:num>
  <w:num w:numId="10">
    <w:abstractNumId w:val="14"/>
  </w:num>
  <w:num w:numId="11">
    <w:abstractNumId w:val="7"/>
  </w:num>
  <w:num w:numId="12">
    <w:abstractNumId w:val="35"/>
  </w:num>
  <w:num w:numId="13">
    <w:abstractNumId w:val="10"/>
  </w:num>
  <w:num w:numId="14">
    <w:abstractNumId w:val="24"/>
  </w:num>
  <w:num w:numId="15">
    <w:abstractNumId w:val="6"/>
  </w:num>
  <w:num w:numId="16">
    <w:abstractNumId w:val="21"/>
  </w:num>
  <w:num w:numId="17">
    <w:abstractNumId w:val="29"/>
  </w:num>
  <w:num w:numId="18">
    <w:abstractNumId w:val="13"/>
  </w:num>
  <w:num w:numId="19">
    <w:abstractNumId w:val="8"/>
  </w:num>
  <w:num w:numId="20">
    <w:abstractNumId w:val="28"/>
  </w:num>
  <w:num w:numId="21">
    <w:abstractNumId w:val="16"/>
  </w:num>
  <w:num w:numId="22">
    <w:abstractNumId w:val="2"/>
  </w:num>
  <w:num w:numId="23">
    <w:abstractNumId w:val="11"/>
  </w:num>
  <w:num w:numId="24">
    <w:abstractNumId w:val="20"/>
  </w:num>
  <w:num w:numId="25">
    <w:abstractNumId w:val="36"/>
  </w:num>
  <w:num w:numId="26">
    <w:abstractNumId w:val="23"/>
  </w:num>
  <w:num w:numId="27">
    <w:abstractNumId w:val="25"/>
  </w:num>
  <w:num w:numId="28">
    <w:abstractNumId w:val="3"/>
  </w:num>
  <w:num w:numId="29">
    <w:abstractNumId w:val="15"/>
  </w:num>
  <w:num w:numId="30">
    <w:abstractNumId w:val="26"/>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9"/>
  </w:num>
  <w:num w:numId="34">
    <w:abstractNumId w:val="5"/>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647"/>
    <w:rsid w:val="00001F60"/>
    <w:rsid w:val="000048D9"/>
    <w:rsid w:val="000051E0"/>
    <w:rsid w:val="000060F2"/>
    <w:rsid w:val="0000686F"/>
    <w:rsid w:val="0000702B"/>
    <w:rsid w:val="0001206B"/>
    <w:rsid w:val="000128B6"/>
    <w:rsid w:val="00012B7C"/>
    <w:rsid w:val="000131CC"/>
    <w:rsid w:val="0001426B"/>
    <w:rsid w:val="00014FF0"/>
    <w:rsid w:val="00016410"/>
    <w:rsid w:val="00016878"/>
    <w:rsid w:val="00017B82"/>
    <w:rsid w:val="0002027A"/>
    <w:rsid w:val="00020602"/>
    <w:rsid w:val="00023273"/>
    <w:rsid w:val="00024CD6"/>
    <w:rsid w:val="00025BB1"/>
    <w:rsid w:val="00026A42"/>
    <w:rsid w:val="000309E8"/>
    <w:rsid w:val="00034BA6"/>
    <w:rsid w:val="000366DC"/>
    <w:rsid w:val="00042AE9"/>
    <w:rsid w:val="0004363A"/>
    <w:rsid w:val="00044257"/>
    <w:rsid w:val="0004495D"/>
    <w:rsid w:val="00045C7A"/>
    <w:rsid w:val="00047E41"/>
    <w:rsid w:val="00051427"/>
    <w:rsid w:val="0005352D"/>
    <w:rsid w:val="00056652"/>
    <w:rsid w:val="000607C7"/>
    <w:rsid w:val="00061F72"/>
    <w:rsid w:val="00063E77"/>
    <w:rsid w:val="00063F3F"/>
    <w:rsid w:val="000650CB"/>
    <w:rsid w:val="0006561E"/>
    <w:rsid w:val="000668A3"/>
    <w:rsid w:val="00070178"/>
    <w:rsid w:val="00070339"/>
    <w:rsid w:val="00071246"/>
    <w:rsid w:val="000716BF"/>
    <w:rsid w:val="00071B9A"/>
    <w:rsid w:val="000748D1"/>
    <w:rsid w:val="00075B8D"/>
    <w:rsid w:val="00080E0C"/>
    <w:rsid w:val="00081408"/>
    <w:rsid w:val="00081517"/>
    <w:rsid w:val="000815D2"/>
    <w:rsid w:val="00082ACA"/>
    <w:rsid w:val="00082B04"/>
    <w:rsid w:val="00083696"/>
    <w:rsid w:val="00084013"/>
    <w:rsid w:val="00086C14"/>
    <w:rsid w:val="0008755E"/>
    <w:rsid w:val="0009055B"/>
    <w:rsid w:val="000906B5"/>
    <w:rsid w:val="00093BD0"/>
    <w:rsid w:val="00094E8C"/>
    <w:rsid w:val="00095272"/>
    <w:rsid w:val="00095F3D"/>
    <w:rsid w:val="000A1548"/>
    <w:rsid w:val="000A2006"/>
    <w:rsid w:val="000A25B5"/>
    <w:rsid w:val="000A5837"/>
    <w:rsid w:val="000A6054"/>
    <w:rsid w:val="000B158B"/>
    <w:rsid w:val="000B30F2"/>
    <w:rsid w:val="000B3A1C"/>
    <w:rsid w:val="000B5698"/>
    <w:rsid w:val="000B7977"/>
    <w:rsid w:val="000C13D2"/>
    <w:rsid w:val="000C4ADD"/>
    <w:rsid w:val="000C559C"/>
    <w:rsid w:val="000C7ADD"/>
    <w:rsid w:val="000C7BC7"/>
    <w:rsid w:val="000D00F4"/>
    <w:rsid w:val="000D0468"/>
    <w:rsid w:val="000D1FDD"/>
    <w:rsid w:val="000D307E"/>
    <w:rsid w:val="000D4199"/>
    <w:rsid w:val="000D4336"/>
    <w:rsid w:val="000D5438"/>
    <w:rsid w:val="000D5F93"/>
    <w:rsid w:val="000D6181"/>
    <w:rsid w:val="000D7622"/>
    <w:rsid w:val="000E1A9A"/>
    <w:rsid w:val="000E56B3"/>
    <w:rsid w:val="000E581F"/>
    <w:rsid w:val="000E59D5"/>
    <w:rsid w:val="000E723A"/>
    <w:rsid w:val="000F0CA3"/>
    <w:rsid w:val="000F5D0B"/>
    <w:rsid w:val="000F66E8"/>
    <w:rsid w:val="000F6EB7"/>
    <w:rsid w:val="000F712F"/>
    <w:rsid w:val="00101EA2"/>
    <w:rsid w:val="0010414A"/>
    <w:rsid w:val="00111F22"/>
    <w:rsid w:val="001140C3"/>
    <w:rsid w:val="00114EB4"/>
    <w:rsid w:val="001176FF"/>
    <w:rsid w:val="00117CEB"/>
    <w:rsid w:val="00117D83"/>
    <w:rsid w:val="001238E1"/>
    <w:rsid w:val="00123CAF"/>
    <w:rsid w:val="001241BE"/>
    <w:rsid w:val="001253A7"/>
    <w:rsid w:val="00126123"/>
    <w:rsid w:val="00126E2A"/>
    <w:rsid w:val="001310C9"/>
    <w:rsid w:val="00132494"/>
    <w:rsid w:val="00133C92"/>
    <w:rsid w:val="00134640"/>
    <w:rsid w:val="00134E48"/>
    <w:rsid w:val="00136418"/>
    <w:rsid w:val="00136FB8"/>
    <w:rsid w:val="001408DD"/>
    <w:rsid w:val="00141584"/>
    <w:rsid w:val="001419A5"/>
    <w:rsid w:val="00141B65"/>
    <w:rsid w:val="00142952"/>
    <w:rsid w:val="00143D2C"/>
    <w:rsid w:val="00143FCA"/>
    <w:rsid w:val="001461FB"/>
    <w:rsid w:val="0014734A"/>
    <w:rsid w:val="00150D15"/>
    <w:rsid w:val="00151691"/>
    <w:rsid w:val="0015317E"/>
    <w:rsid w:val="00154068"/>
    <w:rsid w:val="0015433F"/>
    <w:rsid w:val="001546D1"/>
    <w:rsid w:val="001551A5"/>
    <w:rsid w:val="00157B14"/>
    <w:rsid w:val="00160032"/>
    <w:rsid w:val="00160A69"/>
    <w:rsid w:val="00160A6C"/>
    <w:rsid w:val="00161854"/>
    <w:rsid w:val="0016340C"/>
    <w:rsid w:val="00164DE3"/>
    <w:rsid w:val="00165512"/>
    <w:rsid w:val="00166E40"/>
    <w:rsid w:val="00167CE8"/>
    <w:rsid w:val="001701E3"/>
    <w:rsid w:val="00170D4A"/>
    <w:rsid w:val="00171798"/>
    <w:rsid w:val="00171CE7"/>
    <w:rsid w:val="0017416D"/>
    <w:rsid w:val="001766C0"/>
    <w:rsid w:val="001767DA"/>
    <w:rsid w:val="00177AEE"/>
    <w:rsid w:val="00181934"/>
    <w:rsid w:val="00182662"/>
    <w:rsid w:val="0018398E"/>
    <w:rsid w:val="00184541"/>
    <w:rsid w:val="001864D9"/>
    <w:rsid w:val="001867E9"/>
    <w:rsid w:val="00187F30"/>
    <w:rsid w:val="00191135"/>
    <w:rsid w:val="00191EA0"/>
    <w:rsid w:val="00193F9C"/>
    <w:rsid w:val="0019419D"/>
    <w:rsid w:val="001A0A6B"/>
    <w:rsid w:val="001A284A"/>
    <w:rsid w:val="001A356A"/>
    <w:rsid w:val="001A3AD7"/>
    <w:rsid w:val="001A479C"/>
    <w:rsid w:val="001A4D55"/>
    <w:rsid w:val="001A5D90"/>
    <w:rsid w:val="001A5F7B"/>
    <w:rsid w:val="001A6235"/>
    <w:rsid w:val="001A629F"/>
    <w:rsid w:val="001A6D00"/>
    <w:rsid w:val="001B2209"/>
    <w:rsid w:val="001B2AC0"/>
    <w:rsid w:val="001B3E59"/>
    <w:rsid w:val="001B4070"/>
    <w:rsid w:val="001B4CAF"/>
    <w:rsid w:val="001B52BA"/>
    <w:rsid w:val="001B6FC3"/>
    <w:rsid w:val="001C16D9"/>
    <w:rsid w:val="001C29C9"/>
    <w:rsid w:val="001C4015"/>
    <w:rsid w:val="001C487B"/>
    <w:rsid w:val="001C5230"/>
    <w:rsid w:val="001C64E4"/>
    <w:rsid w:val="001C711A"/>
    <w:rsid w:val="001C786B"/>
    <w:rsid w:val="001D0A3A"/>
    <w:rsid w:val="001D0AA8"/>
    <w:rsid w:val="001D2950"/>
    <w:rsid w:val="001D467A"/>
    <w:rsid w:val="001D6412"/>
    <w:rsid w:val="001E0330"/>
    <w:rsid w:val="001E6201"/>
    <w:rsid w:val="001E633D"/>
    <w:rsid w:val="001E6AB1"/>
    <w:rsid w:val="001F3D82"/>
    <w:rsid w:val="001F4F51"/>
    <w:rsid w:val="001F5C39"/>
    <w:rsid w:val="001F78E3"/>
    <w:rsid w:val="002021DA"/>
    <w:rsid w:val="00204524"/>
    <w:rsid w:val="002053DD"/>
    <w:rsid w:val="002076BD"/>
    <w:rsid w:val="00210662"/>
    <w:rsid w:val="00210901"/>
    <w:rsid w:val="0021103E"/>
    <w:rsid w:val="00211133"/>
    <w:rsid w:val="0021115C"/>
    <w:rsid w:val="00215F27"/>
    <w:rsid w:val="00216780"/>
    <w:rsid w:val="002215B4"/>
    <w:rsid w:val="00222743"/>
    <w:rsid w:val="00222B21"/>
    <w:rsid w:val="00222D05"/>
    <w:rsid w:val="002248CB"/>
    <w:rsid w:val="00231881"/>
    <w:rsid w:val="00231BE0"/>
    <w:rsid w:val="0023244F"/>
    <w:rsid w:val="00232895"/>
    <w:rsid w:val="00232A9B"/>
    <w:rsid w:val="002330E5"/>
    <w:rsid w:val="00233955"/>
    <w:rsid w:val="002339BD"/>
    <w:rsid w:val="002357EB"/>
    <w:rsid w:val="00235A8C"/>
    <w:rsid w:val="00235DF4"/>
    <w:rsid w:val="00237A01"/>
    <w:rsid w:val="00241D54"/>
    <w:rsid w:val="00242DCC"/>
    <w:rsid w:val="00243D19"/>
    <w:rsid w:val="00244786"/>
    <w:rsid w:val="002449A8"/>
    <w:rsid w:val="00244C1E"/>
    <w:rsid w:val="0024520E"/>
    <w:rsid w:val="00245277"/>
    <w:rsid w:val="00245499"/>
    <w:rsid w:val="002500E9"/>
    <w:rsid w:val="00250545"/>
    <w:rsid w:val="00252140"/>
    <w:rsid w:val="00252388"/>
    <w:rsid w:val="00252850"/>
    <w:rsid w:val="002539DA"/>
    <w:rsid w:val="00253B49"/>
    <w:rsid w:val="00254649"/>
    <w:rsid w:val="00261567"/>
    <w:rsid w:val="00262C13"/>
    <w:rsid w:val="00263E49"/>
    <w:rsid w:val="00265D8A"/>
    <w:rsid w:val="00265F81"/>
    <w:rsid w:val="00271760"/>
    <w:rsid w:val="002726DC"/>
    <w:rsid w:val="002747D3"/>
    <w:rsid w:val="0027572F"/>
    <w:rsid w:val="00275BB5"/>
    <w:rsid w:val="00280E6B"/>
    <w:rsid w:val="00282591"/>
    <w:rsid w:val="00282F1B"/>
    <w:rsid w:val="00283327"/>
    <w:rsid w:val="00287A02"/>
    <w:rsid w:val="0029121D"/>
    <w:rsid w:val="00291A8D"/>
    <w:rsid w:val="00292A98"/>
    <w:rsid w:val="00293CB4"/>
    <w:rsid w:val="0029426C"/>
    <w:rsid w:val="00296500"/>
    <w:rsid w:val="00296B2B"/>
    <w:rsid w:val="0029730D"/>
    <w:rsid w:val="0029756F"/>
    <w:rsid w:val="002975B3"/>
    <w:rsid w:val="00297CB8"/>
    <w:rsid w:val="002A0467"/>
    <w:rsid w:val="002A0D65"/>
    <w:rsid w:val="002A31FC"/>
    <w:rsid w:val="002A4448"/>
    <w:rsid w:val="002A4E94"/>
    <w:rsid w:val="002A56B6"/>
    <w:rsid w:val="002B269D"/>
    <w:rsid w:val="002B4224"/>
    <w:rsid w:val="002B55D0"/>
    <w:rsid w:val="002B634F"/>
    <w:rsid w:val="002B6DD1"/>
    <w:rsid w:val="002C03A7"/>
    <w:rsid w:val="002C2C40"/>
    <w:rsid w:val="002C331C"/>
    <w:rsid w:val="002C70B2"/>
    <w:rsid w:val="002D08B3"/>
    <w:rsid w:val="002D0D5F"/>
    <w:rsid w:val="002D243C"/>
    <w:rsid w:val="002D2FA3"/>
    <w:rsid w:val="002D4192"/>
    <w:rsid w:val="002D558B"/>
    <w:rsid w:val="002D5AF6"/>
    <w:rsid w:val="002E4710"/>
    <w:rsid w:val="002E5746"/>
    <w:rsid w:val="002E5F5F"/>
    <w:rsid w:val="002E7BBC"/>
    <w:rsid w:val="002F14E8"/>
    <w:rsid w:val="002F2A1C"/>
    <w:rsid w:val="002F7058"/>
    <w:rsid w:val="002F7463"/>
    <w:rsid w:val="00300499"/>
    <w:rsid w:val="00302508"/>
    <w:rsid w:val="00302D01"/>
    <w:rsid w:val="00302D55"/>
    <w:rsid w:val="00304B56"/>
    <w:rsid w:val="00304F1D"/>
    <w:rsid w:val="00305449"/>
    <w:rsid w:val="0030649D"/>
    <w:rsid w:val="00312381"/>
    <w:rsid w:val="003123A4"/>
    <w:rsid w:val="00313134"/>
    <w:rsid w:val="0031622D"/>
    <w:rsid w:val="00316B53"/>
    <w:rsid w:val="00317256"/>
    <w:rsid w:val="00320455"/>
    <w:rsid w:val="0032176D"/>
    <w:rsid w:val="00321830"/>
    <w:rsid w:val="003224EB"/>
    <w:rsid w:val="00322D87"/>
    <w:rsid w:val="00322DD4"/>
    <w:rsid w:val="00322FA7"/>
    <w:rsid w:val="0033191A"/>
    <w:rsid w:val="00331970"/>
    <w:rsid w:val="00331D1D"/>
    <w:rsid w:val="0033210C"/>
    <w:rsid w:val="0033396D"/>
    <w:rsid w:val="003345F1"/>
    <w:rsid w:val="00335859"/>
    <w:rsid w:val="00335E27"/>
    <w:rsid w:val="00340A70"/>
    <w:rsid w:val="003435AA"/>
    <w:rsid w:val="0034363A"/>
    <w:rsid w:val="0034371B"/>
    <w:rsid w:val="00343CBD"/>
    <w:rsid w:val="00344B74"/>
    <w:rsid w:val="003472DB"/>
    <w:rsid w:val="00347A0A"/>
    <w:rsid w:val="00347C68"/>
    <w:rsid w:val="003501DE"/>
    <w:rsid w:val="00350CF8"/>
    <w:rsid w:val="00350FE9"/>
    <w:rsid w:val="0035175F"/>
    <w:rsid w:val="00353169"/>
    <w:rsid w:val="00353C1D"/>
    <w:rsid w:val="00354243"/>
    <w:rsid w:val="00354576"/>
    <w:rsid w:val="00354840"/>
    <w:rsid w:val="00355118"/>
    <w:rsid w:val="00355599"/>
    <w:rsid w:val="003562A6"/>
    <w:rsid w:val="00356EE2"/>
    <w:rsid w:val="00360598"/>
    <w:rsid w:val="00360CEE"/>
    <w:rsid w:val="003618B2"/>
    <w:rsid w:val="0036248B"/>
    <w:rsid w:val="00362EA8"/>
    <w:rsid w:val="00363134"/>
    <w:rsid w:val="003635EB"/>
    <w:rsid w:val="0036521B"/>
    <w:rsid w:val="00365A87"/>
    <w:rsid w:val="0036688B"/>
    <w:rsid w:val="00370086"/>
    <w:rsid w:val="003722AC"/>
    <w:rsid w:val="0037294C"/>
    <w:rsid w:val="00373F87"/>
    <w:rsid w:val="00374B22"/>
    <w:rsid w:val="003779CC"/>
    <w:rsid w:val="00377F44"/>
    <w:rsid w:val="00377FF6"/>
    <w:rsid w:val="00382136"/>
    <w:rsid w:val="003829A4"/>
    <w:rsid w:val="003857D9"/>
    <w:rsid w:val="0038585C"/>
    <w:rsid w:val="00386332"/>
    <w:rsid w:val="0038645F"/>
    <w:rsid w:val="00387433"/>
    <w:rsid w:val="003903C1"/>
    <w:rsid w:val="003905F0"/>
    <w:rsid w:val="003912C3"/>
    <w:rsid w:val="00394171"/>
    <w:rsid w:val="00395DD7"/>
    <w:rsid w:val="00397A77"/>
    <w:rsid w:val="003A0BB4"/>
    <w:rsid w:val="003A231C"/>
    <w:rsid w:val="003A2E0E"/>
    <w:rsid w:val="003A3E19"/>
    <w:rsid w:val="003A5512"/>
    <w:rsid w:val="003A7A89"/>
    <w:rsid w:val="003B1E5A"/>
    <w:rsid w:val="003B214A"/>
    <w:rsid w:val="003B693A"/>
    <w:rsid w:val="003B7F83"/>
    <w:rsid w:val="003C086E"/>
    <w:rsid w:val="003C0C34"/>
    <w:rsid w:val="003C0EC0"/>
    <w:rsid w:val="003C3647"/>
    <w:rsid w:val="003C40BF"/>
    <w:rsid w:val="003C420E"/>
    <w:rsid w:val="003C5E76"/>
    <w:rsid w:val="003C6DCB"/>
    <w:rsid w:val="003D49A8"/>
    <w:rsid w:val="003D4A3F"/>
    <w:rsid w:val="003E23D1"/>
    <w:rsid w:val="003E2471"/>
    <w:rsid w:val="003E2EFF"/>
    <w:rsid w:val="003E3011"/>
    <w:rsid w:val="003E40EE"/>
    <w:rsid w:val="003E5694"/>
    <w:rsid w:val="003E60F2"/>
    <w:rsid w:val="003E6913"/>
    <w:rsid w:val="003E6FD0"/>
    <w:rsid w:val="003F1261"/>
    <w:rsid w:val="003F42A2"/>
    <w:rsid w:val="003F5E2A"/>
    <w:rsid w:val="00400995"/>
    <w:rsid w:val="00401434"/>
    <w:rsid w:val="00401D25"/>
    <w:rsid w:val="00403E87"/>
    <w:rsid w:val="004043ED"/>
    <w:rsid w:val="00404B16"/>
    <w:rsid w:val="00404B97"/>
    <w:rsid w:val="00404CC0"/>
    <w:rsid w:val="0040677A"/>
    <w:rsid w:val="00407F32"/>
    <w:rsid w:val="00411EC5"/>
    <w:rsid w:val="00412C8D"/>
    <w:rsid w:val="00413388"/>
    <w:rsid w:val="00414C41"/>
    <w:rsid w:val="00415031"/>
    <w:rsid w:val="004172CB"/>
    <w:rsid w:val="00420156"/>
    <w:rsid w:val="00420534"/>
    <w:rsid w:val="0042249A"/>
    <w:rsid w:val="004237C3"/>
    <w:rsid w:val="00424A83"/>
    <w:rsid w:val="00424D11"/>
    <w:rsid w:val="00424FD8"/>
    <w:rsid w:val="0042520A"/>
    <w:rsid w:val="00426744"/>
    <w:rsid w:val="00427064"/>
    <w:rsid w:val="00427AA9"/>
    <w:rsid w:val="004318B0"/>
    <w:rsid w:val="00432B80"/>
    <w:rsid w:val="004346E7"/>
    <w:rsid w:val="0043522E"/>
    <w:rsid w:val="004376C0"/>
    <w:rsid w:val="0044210E"/>
    <w:rsid w:val="00445BC8"/>
    <w:rsid w:val="004501AF"/>
    <w:rsid w:val="00450DC1"/>
    <w:rsid w:val="00453243"/>
    <w:rsid w:val="00456362"/>
    <w:rsid w:val="00456575"/>
    <w:rsid w:val="00461B14"/>
    <w:rsid w:val="004635E5"/>
    <w:rsid w:val="00465B43"/>
    <w:rsid w:val="004677A8"/>
    <w:rsid w:val="00467C75"/>
    <w:rsid w:val="004704FA"/>
    <w:rsid w:val="00471196"/>
    <w:rsid w:val="004716FC"/>
    <w:rsid w:val="00472011"/>
    <w:rsid w:val="004812E7"/>
    <w:rsid w:val="00483B5F"/>
    <w:rsid w:val="00484726"/>
    <w:rsid w:val="00491ABE"/>
    <w:rsid w:val="004925CF"/>
    <w:rsid w:val="004926F2"/>
    <w:rsid w:val="00493876"/>
    <w:rsid w:val="004944FA"/>
    <w:rsid w:val="004950D9"/>
    <w:rsid w:val="0049767E"/>
    <w:rsid w:val="00497777"/>
    <w:rsid w:val="004A2F46"/>
    <w:rsid w:val="004A3208"/>
    <w:rsid w:val="004A33C1"/>
    <w:rsid w:val="004A4D52"/>
    <w:rsid w:val="004B05E7"/>
    <w:rsid w:val="004B122D"/>
    <w:rsid w:val="004B1688"/>
    <w:rsid w:val="004B2B4C"/>
    <w:rsid w:val="004B46EA"/>
    <w:rsid w:val="004B6E95"/>
    <w:rsid w:val="004B70FD"/>
    <w:rsid w:val="004B78E2"/>
    <w:rsid w:val="004C1F31"/>
    <w:rsid w:val="004C7501"/>
    <w:rsid w:val="004D4993"/>
    <w:rsid w:val="004D7FC4"/>
    <w:rsid w:val="004E10CD"/>
    <w:rsid w:val="004E26DA"/>
    <w:rsid w:val="004E2FCA"/>
    <w:rsid w:val="004E3CC9"/>
    <w:rsid w:val="004E3D37"/>
    <w:rsid w:val="004E3F7F"/>
    <w:rsid w:val="004F2E90"/>
    <w:rsid w:val="004F555C"/>
    <w:rsid w:val="004F5716"/>
    <w:rsid w:val="004F5DA6"/>
    <w:rsid w:val="004F651A"/>
    <w:rsid w:val="004F7323"/>
    <w:rsid w:val="005021D3"/>
    <w:rsid w:val="005031DF"/>
    <w:rsid w:val="00504D8A"/>
    <w:rsid w:val="00504DEA"/>
    <w:rsid w:val="00505672"/>
    <w:rsid w:val="0051112E"/>
    <w:rsid w:val="00511870"/>
    <w:rsid w:val="00513DB3"/>
    <w:rsid w:val="005141DD"/>
    <w:rsid w:val="00517E74"/>
    <w:rsid w:val="005215B2"/>
    <w:rsid w:val="00521F40"/>
    <w:rsid w:val="00521F52"/>
    <w:rsid w:val="005230E7"/>
    <w:rsid w:val="0052557F"/>
    <w:rsid w:val="00525997"/>
    <w:rsid w:val="00526A42"/>
    <w:rsid w:val="00527833"/>
    <w:rsid w:val="0052785F"/>
    <w:rsid w:val="0053015B"/>
    <w:rsid w:val="005310DB"/>
    <w:rsid w:val="00532B13"/>
    <w:rsid w:val="00532F79"/>
    <w:rsid w:val="005342DA"/>
    <w:rsid w:val="0053602B"/>
    <w:rsid w:val="00536568"/>
    <w:rsid w:val="00537409"/>
    <w:rsid w:val="00541E4D"/>
    <w:rsid w:val="00543816"/>
    <w:rsid w:val="0054472A"/>
    <w:rsid w:val="00545018"/>
    <w:rsid w:val="00546773"/>
    <w:rsid w:val="00547388"/>
    <w:rsid w:val="005525B5"/>
    <w:rsid w:val="00553B59"/>
    <w:rsid w:val="00553E6C"/>
    <w:rsid w:val="005544A5"/>
    <w:rsid w:val="00554881"/>
    <w:rsid w:val="00556CBF"/>
    <w:rsid w:val="0055719E"/>
    <w:rsid w:val="00557E06"/>
    <w:rsid w:val="00560F1D"/>
    <w:rsid w:val="00562E54"/>
    <w:rsid w:val="00564E11"/>
    <w:rsid w:val="00566BA4"/>
    <w:rsid w:val="00567359"/>
    <w:rsid w:val="0057009E"/>
    <w:rsid w:val="005712C6"/>
    <w:rsid w:val="0057434C"/>
    <w:rsid w:val="00574FDF"/>
    <w:rsid w:val="005758D3"/>
    <w:rsid w:val="0057670C"/>
    <w:rsid w:val="00576AC0"/>
    <w:rsid w:val="0058030F"/>
    <w:rsid w:val="00580E4D"/>
    <w:rsid w:val="005812EA"/>
    <w:rsid w:val="005831D1"/>
    <w:rsid w:val="005842D8"/>
    <w:rsid w:val="00584417"/>
    <w:rsid w:val="00585B26"/>
    <w:rsid w:val="00586EE0"/>
    <w:rsid w:val="00590351"/>
    <w:rsid w:val="00591A42"/>
    <w:rsid w:val="005923D6"/>
    <w:rsid w:val="005951CC"/>
    <w:rsid w:val="005A04E8"/>
    <w:rsid w:val="005A1A8D"/>
    <w:rsid w:val="005A4535"/>
    <w:rsid w:val="005A5476"/>
    <w:rsid w:val="005A54DA"/>
    <w:rsid w:val="005A57B5"/>
    <w:rsid w:val="005A6545"/>
    <w:rsid w:val="005A6AD3"/>
    <w:rsid w:val="005A6CE2"/>
    <w:rsid w:val="005A6D67"/>
    <w:rsid w:val="005A77B3"/>
    <w:rsid w:val="005B06F4"/>
    <w:rsid w:val="005B1A47"/>
    <w:rsid w:val="005B2457"/>
    <w:rsid w:val="005B33A3"/>
    <w:rsid w:val="005B34FE"/>
    <w:rsid w:val="005B3ECE"/>
    <w:rsid w:val="005C3B21"/>
    <w:rsid w:val="005C3D9D"/>
    <w:rsid w:val="005C4301"/>
    <w:rsid w:val="005C60D2"/>
    <w:rsid w:val="005C6BCE"/>
    <w:rsid w:val="005C7C50"/>
    <w:rsid w:val="005D1039"/>
    <w:rsid w:val="005D2927"/>
    <w:rsid w:val="005D29AB"/>
    <w:rsid w:val="005D2EE4"/>
    <w:rsid w:val="005D44E9"/>
    <w:rsid w:val="005D59E0"/>
    <w:rsid w:val="005D6525"/>
    <w:rsid w:val="005D7577"/>
    <w:rsid w:val="005E295D"/>
    <w:rsid w:val="005E2976"/>
    <w:rsid w:val="005E38D0"/>
    <w:rsid w:val="005E3D1E"/>
    <w:rsid w:val="005E4930"/>
    <w:rsid w:val="005E56D1"/>
    <w:rsid w:val="005E600F"/>
    <w:rsid w:val="005E6AFF"/>
    <w:rsid w:val="005F1757"/>
    <w:rsid w:val="005F2115"/>
    <w:rsid w:val="005F2772"/>
    <w:rsid w:val="005F370E"/>
    <w:rsid w:val="005F3D3C"/>
    <w:rsid w:val="005F6A83"/>
    <w:rsid w:val="005F7D9E"/>
    <w:rsid w:val="005F7DA3"/>
    <w:rsid w:val="00601274"/>
    <w:rsid w:val="00601A7A"/>
    <w:rsid w:val="00606397"/>
    <w:rsid w:val="00606993"/>
    <w:rsid w:val="0061101D"/>
    <w:rsid w:val="00611ECD"/>
    <w:rsid w:val="00613F7F"/>
    <w:rsid w:val="0061615C"/>
    <w:rsid w:val="00617DD5"/>
    <w:rsid w:val="00623113"/>
    <w:rsid w:val="0062368A"/>
    <w:rsid w:val="006243F9"/>
    <w:rsid w:val="00625785"/>
    <w:rsid w:val="00625BA5"/>
    <w:rsid w:val="00627C31"/>
    <w:rsid w:val="006302C7"/>
    <w:rsid w:val="00631B3B"/>
    <w:rsid w:val="006335E8"/>
    <w:rsid w:val="00633981"/>
    <w:rsid w:val="00635F77"/>
    <w:rsid w:val="00636851"/>
    <w:rsid w:val="00636882"/>
    <w:rsid w:val="006411BB"/>
    <w:rsid w:val="00641641"/>
    <w:rsid w:val="006424C4"/>
    <w:rsid w:val="00642B4A"/>
    <w:rsid w:val="00642BC7"/>
    <w:rsid w:val="00646D7C"/>
    <w:rsid w:val="006475AB"/>
    <w:rsid w:val="00647DDC"/>
    <w:rsid w:val="00647FA5"/>
    <w:rsid w:val="00647FEC"/>
    <w:rsid w:val="006511CB"/>
    <w:rsid w:val="00651F7E"/>
    <w:rsid w:val="006542A6"/>
    <w:rsid w:val="006563E2"/>
    <w:rsid w:val="0065769A"/>
    <w:rsid w:val="0066295E"/>
    <w:rsid w:val="00664782"/>
    <w:rsid w:val="00666BA6"/>
    <w:rsid w:val="00667169"/>
    <w:rsid w:val="0066779A"/>
    <w:rsid w:val="00667B0B"/>
    <w:rsid w:val="006716DC"/>
    <w:rsid w:val="00671C90"/>
    <w:rsid w:val="00671E35"/>
    <w:rsid w:val="00671E37"/>
    <w:rsid w:val="006729B9"/>
    <w:rsid w:val="00672B4F"/>
    <w:rsid w:val="006735AF"/>
    <w:rsid w:val="00673A1F"/>
    <w:rsid w:val="00674B1A"/>
    <w:rsid w:val="006756F1"/>
    <w:rsid w:val="00676119"/>
    <w:rsid w:val="0068078F"/>
    <w:rsid w:val="00680848"/>
    <w:rsid w:val="00681E3F"/>
    <w:rsid w:val="00681EB3"/>
    <w:rsid w:val="00681FA0"/>
    <w:rsid w:val="00683122"/>
    <w:rsid w:val="006847DC"/>
    <w:rsid w:val="006854C8"/>
    <w:rsid w:val="00687DB8"/>
    <w:rsid w:val="00690404"/>
    <w:rsid w:val="00690B71"/>
    <w:rsid w:val="00691BFF"/>
    <w:rsid w:val="0069210D"/>
    <w:rsid w:val="00692513"/>
    <w:rsid w:val="00692A7F"/>
    <w:rsid w:val="00692F9D"/>
    <w:rsid w:val="00694A94"/>
    <w:rsid w:val="00694BFF"/>
    <w:rsid w:val="00697C10"/>
    <w:rsid w:val="006A0187"/>
    <w:rsid w:val="006A0C0E"/>
    <w:rsid w:val="006A30A6"/>
    <w:rsid w:val="006A3D92"/>
    <w:rsid w:val="006A4880"/>
    <w:rsid w:val="006A5287"/>
    <w:rsid w:val="006A5357"/>
    <w:rsid w:val="006A69D7"/>
    <w:rsid w:val="006A7583"/>
    <w:rsid w:val="006A7DB2"/>
    <w:rsid w:val="006B032B"/>
    <w:rsid w:val="006B03E1"/>
    <w:rsid w:val="006B37A1"/>
    <w:rsid w:val="006B56B8"/>
    <w:rsid w:val="006B5E8C"/>
    <w:rsid w:val="006B6854"/>
    <w:rsid w:val="006C090E"/>
    <w:rsid w:val="006C334D"/>
    <w:rsid w:val="006C39B8"/>
    <w:rsid w:val="006C58D3"/>
    <w:rsid w:val="006C5F34"/>
    <w:rsid w:val="006D5293"/>
    <w:rsid w:val="006D5E97"/>
    <w:rsid w:val="006D66E4"/>
    <w:rsid w:val="006D780F"/>
    <w:rsid w:val="006E1B78"/>
    <w:rsid w:val="006E4506"/>
    <w:rsid w:val="006E4F1C"/>
    <w:rsid w:val="006E560A"/>
    <w:rsid w:val="006E712F"/>
    <w:rsid w:val="006E7C65"/>
    <w:rsid w:val="006F0235"/>
    <w:rsid w:val="006F0F4D"/>
    <w:rsid w:val="006F209D"/>
    <w:rsid w:val="006F4AC5"/>
    <w:rsid w:val="007005B1"/>
    <w:rsid w:val="00704487"/>
    <w:rsid w:val="00704C20"/>
    <w:rsid w:val="00705481"/>
    <w:rsid w:val="00705AAA"/>
    <w:rsid w:val="0070619E"/>
    <w:rsid w:val="007067F3"/>
    <w:rsid w:val="00707C0A"/>
    <w:rsid w:val="007101A8"/>
    <w:rsid w:val="00710255"/>
    <w:rsid w:val="007109DE"/>
    <w:rsid w:val="00714CFE"/>
    <w:rsid w:val="007156EA"/>
    <w:rsid w:val="007157A4"/>
    <w:rsid w:val="007173A1"/>
    <w:rsid w:val="00721A49"/>
    <w:rsid w:val="007226B0"/>
    <w:rsid w:val="00722FD0"/>
    <w:rsid w:val="007233BC"/>
    <w:rsid w:val="00723ABE"/>
    <w:rsid w:val="007256B8"/>
    <w:rsid w:val="007315F6"/>
    <w:rsid w:val="00731F84"/>
    <w:rsid w:val="007324B8"/>
    <w:rsid w:val="00733EA3"/>
    <w:rsid w:val="007344B3"/>
    <w:rsid w:val="00735A1D"/>
    <w:rsid w:val="00735AF3"/>
    <w:rsid w:val="0073683D"/>
    <w:rsid w:val="0073763B"/>
    <w:rsid w:val="00740CF4"/>
    <w:rsid w:val="00747749"/>
    <w:rsid w:val="00752900"/>
    <w:rsid w:val="0075352E"/>
    <w:rsid w:val="007559C4"/>
    <w:rsid w:val="00756983"/>
    <w:rsid w:val="007611A2"/>
    <w:rsid w:val="00767065"/>
    <w:rsid w:val="007702B8"/>
    <w:rsid w:val="007728F8"/>
    <w:rsid w:val="00772A45"/>
    <w:rsid w:val="00772C70"/>
    <w:rsid w:val="00775801"/>
    <w:rsid w:val="00776D9D"/>
    <w:rsid w:val="00777551"/>
    <w:rsid w:val="00780F5C"/>
    <w:rsid w:val="00782ABA"/>
    <w:rsid w:val="00782BDD"/>
    <w:rsid w:val="0078370B"/>
    <w:rsid w:val="00783A40"/>
    <w:rsid w:val="007845AA"/>
    <w:rsid w:val="00785B60"/>
    <w:rsid w:val="00790EFA"/>
    <w:rsid w:val="00793E96"/>
    <w:rsid w:val="0079413A"/>
    <w:rsid w:val="00795F4F"/>
    <w:rsid w:val="00797EE2"/>
    <w:rsid w:val="007A07D3"/>
    <w:rsid w:val="007A2D72"/>
    <w:rsid w:val="007A3393"/>
    <w:rsid w:val="007A71C4"/>
    <w:rsid w:val="007A723F"/>
    <w:rsid w:val="007B0E9D"/>
    <w:rsid w:val="007B11C5"/>
    <w:rsid w:val="007B34E9"/>
    <w:rsid w:val="007B3C1D"/>
    <w:rsid w:val="007B5326"/>
    <w:rsid w:val="007B68CB"/>
    <w:rsid w:val="007B6AF9"/>
    <w:rsid w:val="007B7143"/>
    <w:rsid w:val="007B74BD"/>
    <w:rsid w:val="007C122A"/>
    <w:rsid w:val="007C3342"/>
    <w:rsid w:val="007C533F"/>
    <w:rsid w:val="007C571F"/>
    <w:rsid w:val="007D00F6"/>
    <w:rsid w:val="007D0783"/>
    <w:rsid w:val="007D0E27"/>
    <w:rsid w:val="007D4BBF"/>
    <w:rsid w:val="007D64F3"/>
    <w:rsid w:val="007D6B87"/>
    <w:rsid w:val="007D6EFC"/>
    <w:rsid w:val="007F1B1F"/>
    <w:rsid w:val="007F1EFE"/>
    <w:rsid w:val="007F5577"/>
    <w:rsid w:val="007F56FB"/>
    <w:rsid w:val="007F6C08"/>
    <w:rsid w:val="00804486"/>
    <w:rsid w:val="00807C87"/>
    <w:rsid w:val="00807ED9"/>
    <w:rsid w:val="00810DDF"/>
    <w:rsid w:val="00810F1D"/>
    <w:rsid w:val="00811747"/>
    <w:rsid w:val="00811B58"/>
    <w:rsid w:val="0081241B"/>
    <w:rsid w:val="00812E95"/>
    <w:rsid w:val="008153A9"/>
    <w:rsid w:val="008163FC"/>
    <w:rsid w:val="00817527"/>
    <w:rsid w:val="00817A60"/>
    <w:rsid w:val="00821066"/>
    <w:rsid w:val="00822DD4"/>
    <w:rsid w:val="00825470"/>
    <w:rsid w:val="008255BD"/>
    <w:rsid w:val="00831DCC"/>
    <w:rsid w:val="008322A9"/>
    <w:rsid w:val="00832DC4"/>
    <w:rsid w:val="00833C13"/>
    <w:rsid w:val="00833F9A"/>
    <w:rsid w:val="0083569E"/>
    <w:rsid w:val="00837194"/>
    <w:rsid w:val="00842F29"/>
    <w:rsid w:val="00843F64"/>
    <w:rsid w:val="00845AEF"/>
    <w:rsid w:val="00850858"/>
    <w:rsid w:val="00851E8B"/>
    <w:rsid w:val="00852231"/>
    <w:rsid w:val="00852B2C"/>
    <w:rsid w:val="00853803"/>
    <w:rsid w:val="00853B98"/>
    <w:rsid w:val="00853D8D"/>
    <w:rsid w:val="00854464"/>
    <w:rsid w:val="00854636"/>
    <w:rsid w:val="00855D92"/>
    <w:rsid w:val="00855E02"/>
    <w:rsid w:val="00860460"/>
    <w:rsid w:val="008607B6"/>
    <w:rsid w:val="008625F8"/>
    <w:rsid w:val="00863A60"/>
    <w:rsid w:val="0086694A"/>
    <w:rsid w:val="00871212"/>
    <w:rsid w:val="00871567"/>
    <w:rsid w:val="00871FBD"/>
    <w:rsid w:val="008729A9"/>
    <w:rsid w:val="0087316F"/>
    <w:rsid w:val="00873A21"/>
    <w:rsid w:val="00873CB8"/>
    <w:rsid w:val="008746CE"/>
    <w:rsid w:val="008749EF"/>
    <w:rsid w:val="00875785"/>
    <w:rsid w:val="00877FF5"/>
    <w:rsid w:val="00880FF9"/>
    <w:rsid w:val="008817F8"/>
    <w:rsid w:val="00882BF3"/>
    <w:rsid w:val="00882FAC"/>
    <w:rsid w:val="00883B10"/>
    <w:rsid w:val="008840B7"/>
    <w:rsid w:val="00885863"/>
    <w:rsid w:val="00887145"/>
    <w:rsid w:val="008900DF"/>
    <w:rsid w:val="0089044E"/>
    <w:rsid w:val="00890AC6"/>
    <w:rsid w:val="008919B2"/>
    <w:rsid w:val="00891FC8"/>
    <w:rsid w:val="0089438A"/>
    <w:rsid w:val="0089642A"/>
    <w:rsid w:val="00896D45"/>
    <w:rsid w:val="00897C77"/>
    <w:rsid w:val="008A145E"/>
    <w:rsid w:val="008A20F0"/>
    <w:rsid w:val="008A36BC"/>
    <w:rsid w:val="008A38EF"/>
    <w:rsid w:val="008A3BCD"/>
    <w:rsid w:val="008A5CC9"/>
    <w:rsid w:val="008B0019"/>
    <w:rsid w:val="008B17A4"/>
    <w:rsid w:val="008B2819"/>
    <w:rsid w:val="008B2B7B"/>
    <w:rsid w:val="008B419A"/>
    <w:rsid w:val="008B62CA"/>
    <w:rsid w:val="008B7523"/>
    <w:rsid w:val="008C207D"/>
    <w:rsid w:val="008C731A"/>
    <w:rsid w:val="008D4CF9"/>
    <w:rsid w:val="008D6762"/>
    <w:rsid w:val="008D67D6"/>
    <w:rsid w:val="008D6FA4"/>
    <w:rsid w:val="008D7B1A"/>
    <w:rsid w:val="008E4216"/>
    <w:rsid w:val="008E59FF"/>
    <w:rsid w:val="008E73D0"/>
    <w:rsid w:val="008E7D4C"/>
    <w:rsid w:val="008E7F7C"/>
    <w:rsid w:val="008F396B"/>
    <w:rsid w:val="008F4B65"/>
    <w:rsid w:val="008F5742"/>
    <w:rsid w:val="00900A28"/>
    <w:rsid w:val="00902C60"/>
    <w:rsid w:val="009054C1"/>
    <w:rsid w:val="00907224"/>
    <w:rsid w:val="009106C6"/>
    <w:rsid w:val="0091331E"/>
    <w:rsid w:val="00913FBC"/>
    <w:rsid w:val="00915DE4"/>
    <w:rsid w:val="009163EA"/>
    <w:rsid w:val="009165BD"/>
    <w:rsid w:val="00917088"/>
    <w:rsid w:val="00922423"/>
    <w:rsid w:val="00922F69"/>
    <w:rsid w:val="009250A2"/>
    <w:rsid w:val="00926B50"/>
    <w:rsid w:val="00931A7D"/>
    <w:rsid w:val="00934E24"/>
    <w:rsid w:val="009354EC"/>
    <w:rsid w:val="00935951"/>
    <w:rsid w:val="00935E2B"/>
    <w:rsid w:val="00937FAC"/>
    <w:rsid w:val="00940745"/>
    <w:rsid w:val="009479A3"/>
    <w:rsid w:val="009502A7"/>
    <w:rsid w:val="009528C0"/>
    <w:rsid w:val="00954B11"/>
    <w:rsid w:val="00961454"/>
    <w:rsid w:val="00961DA4"/>
    <w:rsid w:val="009625E0"/>
    <w:rsid w:val="00963C83"/>
    <w:rsid w:val="00964616"/>
    <w:rsid w:val="00966082"/>
    <w:rsid w:val="00967581"/>
    <w:rsid w:val="009701D1"/>
    <w:rsid w:val="009702DE"/>
    <w:rsid w:val="009707B2"/>
    <w:rsid w:val="0097188F"/>
    <w:rsid w:val="00971949"/>
    <w:rsid w:val="00971B29"/>
    <w:rsid w:val="00973D8C"/>
    <w:rsid w:val="00977AAF"/>
    <w:rsid w:val="009806C2"/>
    <w:rsid w:val="00981867"/>
    <w:rsid w:val="00981EFB"/>
    <w:rsid w:val="009830B1"/>
    <w:rsid w:val="00983CC9"/>
    <w:rsid w:val="009844EC"/>
    <w:rsid w:val="009865FF"/>
    <w:rsid w:val="00986BD2"/>
    <w:rsid w:val="00990D9B"/>
    <w:rsid w:val="0099188D"/>
    <w:rsid w:val="00993076"/>
    <w:rsid w:val="00993ADA"/>
    <w:rsid w:val="009A100B"/>
    <w:rsid w:val="009A24B6"/>
    <w:rsid w:val="009A26B3"/>
    <w:rsid w:val="009A40E7"/>
    <w:rsid w:val="009A4F35"/>
    <w:rsid w:val="009A5253"/>
    <w:rsid w:val="009A550A"/>
    <w:rsid w:val="009A57E8"/>
    <w:rsid w:val="009A5EB0"/>
    <w:rsid w:val="009A6AF0"/>
    <w:rsid w:val="009A6B73"/>
    <w:rsid w:val="009A78A9"/>
    <w:rsid w:val="009A7BD6"/>
    <w:rsid w:val="009B06B8"/>
    <w:rsid w:val="009B0D63"/>
    <w:rsid w:val="009B20F9"/>
    <w:rsid w:val="009B3CCD"/>
    <w:rsid w:val="009B53D5"/>
    <w:rsid w:val="009B7EC5"/>
    <w:rsid w:val="009C03C0"/>
    <w:rsid w:val="009C237A"/>
    <w:rsid w:val="009C3DF0"/>
    <w:rsid w:val="009D0E2E"/>
    <w:rsid w:val="009D11A3"/>
    <w:rsid w:val="009D26C3"/>
    <w:rsid w:val="009D2C23"/>
    <w:rsid w:val="009D3580"/>
    <w:rsid w:val="009D475E"/>
    <w:rsid w:val="009E0690"/>
    <w:rsid w:val="009E1B48"/>
    <w:rsid w:val="009E2C82"/>
    <w:rsid w:val="009E3186"/>
    <w:rsid w:val="009E6869"/>
    <w:rsid w:val="009E7628"/>
    <w:rsid w:val="009E7B31"/>
    <w:rsid w:val="009E7E66"/>
    <w:rsid w:val="009F0514"/>
    <w:rsid w:val="009F07F8"/>
    <w:rsid w:val="009F0C14"/>
    <w:rsid w:val="009F1015"/>
    <w:rsid w:val="009F2CF5"/>
    <w:rsid w:val="009F4333"/>
    <w:rsid w:val="009F5DCF"/>
    <w:rsid w:val="00A0163F"/>
    <w:rsid w:val="00A0463A"/>
    <w:rsid w:val="00A1023A"/>
    <w:rsid w:val="00A10DCB"/>
    <w:rsid w:val="00A11863"/>
    <w:rsid w:val="00A13142"/>
    <w:rsid w:val="00A136C6"/>
    <w:rsid w:val="00A13CEA"/>
    <w:rsid w:val="00A15608"/>
    <w:rsid w:val="00A15B88"/>
    <w:rsid w:val="00A174B8"/>
    <w:rsid w:val="00A2271A"/>
    <w:rsid w:val="00A233E2"/>
    <w:rsid w:val="00A24073"/>
    <w:rsid w:val="00A251C8"/>
    <w:rsid w:val="00A2738E"/>
    <w:rsid w:val="00A27B08"/>
    <w:rsid w:val="00A27DBD"/>
    <w:rsid w:val="00A3155F"/>
    <w:rsid w:val="00A33172"/>
    <w:rsid w:val="00A34C1D"/>
    <w:rsid w:val="00A35881"/>
    <w:rsid w:val="00A37540"/>
    <w:rsid w:val="00A40BED"/>
    <w:rsid w:val="00A4301C"/>
    <w:rsid w:val="00A4304D"/>
    <w:rsid w:val="00A44C8B"/>
    <w:rsid w:val="00A472C7"/>
    <w:rsid w:val="00A47684"/>
    <w:rsid w:val="00A516E5"/>
    <w:rsid w:val="00A530AB"/>
    <w:rsid w:val="00A5379A"/>
    <w:rsid w:val="00A5393B"/>
    <w:rsid w:val="00A543FB"/>
    <w:rsid w:val="00A54C53"/>
    <w:rsid w:val="00A56162"/>
    <w:rsid w:val="00A63644"/>
    <w:rsid w:val="00A64CE7"/>
    <w:rsid w:val="00A733E2"/>
    <w:rsid w:val="00A73F41"/>
    <w:rsid w:val="00A7589B"/>
    <w:rsid w:val="00A75C7B"/>
    <w:rsid w:val="00A820D8"/>
    <w:rsid w:val="00A870DE"/>
    <w:rsid w:val="00A87EA8"/>
    <w:rsid w:val="00A91425"/>
    <w:rsid w:val="00A94A67"/>
    <w:rsid w:val="00A95999"/>
    <w:rsid w:val="00AA0803"/>
    <w:rsid w:val="00AA10EA"/>
    <w:rsid w:val="00AA1DFC"/>
    <w:rsid w:val="00AA1ED2"/>
    <w:rsid w:val="00AA2104"/>
    <w:rsid w:val="00AA48EB"/>
    <w:rsid w:val="00AA79E1"/>
    <w:rsid w:val="00AA7A05"/>
    <w:rsid w:val="00AA7C98"/>
    <w:rsid w:val="00AB076B"/>
    <w:rsid w:val="00AB10A1"/>
    <w:rsid w:val="00AB1925"/>
    <w:rsid w:val="00AB4787"/>
    <w:rsid w:val="00AB5DDB"/>
    <w:rsid w:val="00AB68FB"/>
    <w:rsid w:val="00AB699C"/>
    <w:rsid w:val="00AB6BD3"/>
    <w:rsid w:val="00AB75E6"/>
    <w:rsid w:val="00AC06C4"/>
    <w:rsid w:val="00AC409B"/>
    <w:rsid w:val="00AC4E30"/>
    <w:rsid w:val="00AC66F9"/>
    <w:rsid w:val="00AC6F69"/>
    <w:rsid w:val="00AC772A"/>
    <w:rsid w:val="00AC7DE9"/>
    <w:rsid w:val="00AD2155"/>
    <w:rsid w:val="00AD2CCE"/>
    <w:rsid w:val="00AD31F6"/>
    <w:rsid w:val="00AD4D39"/>
    <w:rsid w:val="00AD645A"/>
    <w:rsid w:val="00AD6534"/>
    <w:rsid w:val="00AD77B9"/>
    <w:rsid w:val="00AE6AFA"/>
    <w:rsid w:val="00AE6C66"/>
    <w:rsid w:val="00AF0EB9"/>
    <w:rsid w:val="00AF13A5"/>
    <w:rsid w:val="00AF1598"/>
    <w:rsid w:val="00AF5286"/>
    <w:rsid w:val="00AF5346"/>
    <w:rsid w:val="00AF56E7"/>
    <w:rsid w:val="00AF6081"/>
    <w:rsid w:val="00AF6167"/>
    <w:rsid w:val="00AF7441"/>
    <w:rsid w:val="00AF7E7D"/>
    <w:rsid w:val="00B001AC"/>
    <w:rsid w:val="00B05312"/>
    <w:rsid w:val="00B07C3B"/>
    <w:rsid w:val="00B122B8"/>
    <w:rsid w:val="00B129D3"/>
    <w:rsid w:val="00B12D76"/>
    <w:rsid w:val="00B13F60"/>
    <w:rsid w:val="00B14C3F"/>
    <w:rsid w:val="00B158AB"/>
    <w:rsid w:val="00B16BCA"/>
    <w:rsid w:val="00B2013B"/>
    <w:rsid w:val="00B23F79"/>
    <w:rsid w:val="00B259B6"/>
    <w:rsid w:val="00B26426"/>
    <w:rsid w:val="00B310EA"/>
    <w:rsid w:val="00B339F4"/>
    <w:rsid w:val="00B34148"/>
    <w:rsid w:val="00B3473E"/>
    <w:rsid w:val="00B34AD7"/>
    <w:rsid w:val="00B34B32"/>
    <w:rsid w:val="00B35C6F"/>
    <w:rsid w:val="00B35E28"/>
    <w:rsid w:val="00B35EAC"/>
    <w:rsid w:val="00B363D4"/>
    <w:rsid w:val="00B36694"/>
    <w:rsid w:val="00B402BB"/>
    <w:rsid w:val="00B425A1"/>
    <w:rsid w:val="00B42C49"/>
    <w:rsid w:val="00B46945"/>
    <w:rsid w:val="00B51072"/>
    <w:rsid w:val="00B513C1"/>
    <w:rsid w:val="00B52DC6"/>
    <w:rsid w:val="00B5373C"/>
    <w:rsid w:val="00B5553F"/>
    <w:rsid w:val="00B61055"/>
    <w:rsid w:val="00B62F79"/>
    <w:rsid w:val="00B63A1E"/>
    <w:rsid w:val="00B64647"/>
    <w:rsid w:val="00B667FA"/>
    <w:rsid w:val="00B67413"/>
    <w:rsid w:val="00B70754"/>
    <w:rsid w:val="00B73D3B"/>
    <w:rsid w:val="00B745F7"/>
    <w:rsid w:val="00B756E3"/>
    <w:rsid w:val="00B81BD8"/>
    <w:rsid w:val="00B82D02"/>
    <w:rsid w:val="00B835E1"/>
    <w:rsid w:val="00B874F4"/>
    <w:rsid w:val="00B87CBD"/>
    <w:rsid w:val="00B90CD3"/>
    <w:rsid w:val="00B90F2D"/>
    <w:rsid w:val="00B933AF"/>
    <w:rsid w:val="00B94D44"/>
    <w:rsid w:val="00B969EE"/>
    <w:rsid w:val="00BA0FDB"/>
    <w:rsid w:val="00BA24B1"/>
    <w:rsid w:val="00BA72B7"/>
    <w:rsid w:val="00BA7663"/>
    <w:rsid w:val="00BA796A"/>
    <w:rsid w:val="00BB06A2"/>
    <w:rsid w:val="00BB08C6"/>
    <w:rsid w:val="00BB4B25"/>
    <w:rsid w:val="00BB7205"/>
    <w:rsid w:val="00BB7417"/>
    <w:rsid w:val="00BB7DF0"/>
    <w:rsid w:val="00BC0DC5"/>
    <w:rsid w:val="00BC1EFB"/>
    <w:rsid w:val="00BC3A5E"/>
    <w:rsid w:val="00BC4EBC"/>
    <w:rsid w:val="00BC67F4"/>
    <w:rsid w:val="00BC6A26"/>
    <w:rsid w:val="00BC6D24"/>
    <w:rsid w:val="00BD2559"/>
    <w:rsid w:val="00BD3C21"/>
    <w:rsid w:val="00BD54D0"/>
    <w:rsid w:val="00BD64B8"/>
    <w:rsid w:val="00BD6615"/>
    <w:rsid w:val="00BD6B1C"/>
    <w:rsid w:val="00BD70B5"/>
    <w:rsid w:val="00BD71E8"/>
    <w:rsid w:val="00BD7659"/>
    <w:rsid w:val="00BE03ED"/>
    <w:rsid w:val="00BE2261"/>
    <w:rsid w:val="00BE26FF"/>
    <w:rsid w:val="00BE2BC9"/>
    <w:rsid w:val="00BE332B"/>
    <w:rsid w:val="00BE4D78"/>
    <w:rsid w:val="00BE4F68"/>
    <w:rsid w:val="00BE7919"/>
    <w:rsid w:val="00BF2D8D"/>
    <w:rsid w:val="00BF3C5A"/>
    <w:rsid w:val="00BF4712"/>
    <w:rsid w:val="00BF5A66"/>
    <w:rsid w:val="00C00A5E"/>
    <w:rsid w:val="00C012B2"/>
    <w:rsid w:val="00C0197B"/>
    <w:rsid w:val="00C044F9"/>
    <w:rsid w:val="00C05516"/>
    <w:rsid w:val="00C05B0D"/>
    <w:rsid w:val="00C10098"/>
    <w:rsid w:val="00C1457F"/>
    <w:rsid w:val="00C14708"/>
    <w:rsid w:val="00C14BFC"/>
    <w:rsid w:val="00C174A1"/>
    <w:rsid w:val="00C175C7"/>
    <w:rsid w:val="00C17DF6"/>
    <w:rsid w:val="00C23BDA"/>
    <w:rsid w:val="00C256A4"/>
    <w:rsid w:val="00C30590"/>
    <w:rsid w:val="00C305E5"/>
    <w:rsid w:val="00C35A44"/>
    <w:rsid w:val="00C43892"/>
    <w:rsid w:val="00C454D1"/>
    <w:rsid w:val="00C463AE"/>
    <w:rsid w:val="00C504AB"/>
    <w:rsid w:val="00C507D2"/>
    <w:rsid w:val="00C50B19"/>
    <w:rsid w:val="00C52343"/>
    <w:rsid w:val="00C53E1C"/>
    <w:rsid w:val="00C54094"/>
    <w:rsid w:val="00C55EBC"/>
    <w:rsid w:val="00C574ED"/>
    <w:rsid w:val="00C61AEA"/>
    <w:rsid w:val="00C6309F"/>
    <w:rsid w:val="00C6320A"/>
    <w:rsid w:val="00C65F68"/>
    <w:rsid w:val="00C674A0"/>
    <w:rsid w:val="00C71158"/>
    <w:rsid w:val="00C71BE8"/>
    <w:rsid w:val="00C72524"/>
    <w:rsid w:val="00C76997"/>
    <w:rsid w:val="00C76B2E"/>
    <w:rsid w:val="00C80010"/>
    <w:rsid w:val="00C811C3"/>
    <w:rsid w:val="00C82455"/>
    <w:rsid w:val="00C84B96"/>
    <w:rsid w:val="00C84E3F"/>
    <w:rsid w:val="00C86849"/>
    <w:rsid w:val="00C8732A"/>
    <w:rsid w:val="00C8790D"/>
    <w:rsid w:val="00C90DB4"/>
    <w:rsid w:val="00C92D67"/>
    <w:rsid w:val="00C93219"/>
    <w:rsid w:val="00C93B09"/>
    <w:rsid w:val="00C93EF9"/>
    <w:rsid w:val="00C94467"/>
    <w:rsid w:val="00C95C33"/>
    <w:rsid w:val="00CA05BC"/>
    <w:rsid w:val="00CA2737"/>
    <w:rsid w:val="00CA2959"/>
    <w:rsid w:val="00CA2998"/>
    <w:rsid w:val="00CA3429"/>
    <w:rsid w:val="00CA44DE"/>
    <w:rsid w:val="00CA4E62"/>
    <w:rsid w:val="00CA6324"/>
    <w:rsid w:val="00CA7603"/>
    <w:rsid w:val="00CA7633"/>
    <w:rsid w:val="00CA7A2A"/>
    <w:rsid w:val="00CB0809"/>
    <w:rsid w:val="00CB1E9E"/>
    <w:rsid w:val="00CB23BA"/>
    <w:rsid w:val="00CB3261"/>
    <w:rsid w:val="00CC176C"/>
    <w:rsid w:val="00CC430F"/>
    <w:rsid w:val="00CC501F"/>
    <w:rsid w:val="00CC5489"/>
    <w:rsid w:val="00CC5CE4"/>
    <w:rsid w:val="00CC5DEF"/>
    <w:rsid w:val="00CC7199"/>
    <w:rsid w:val="00CC7BEC"/>
    <w:rsid w:val="00CD0EA8"/>
    <w:rsid w:val="00CD2B6A"/>
    <w:rsid w:val="00CD641B"/>
    <w:rsid w:val="00CD6ED4"/>
    <w:rsid w:val="00CE2315"/>
    <w:rsid w:val="00CE3C52"/>
    <w:rsid w:val="00CE4113"/>
    <w:rsid w:val="00CE61B5"/>
    <w:rsid w:val="00CE75F3"/>
    <w:rsid w:val="00CF171D"/>
    <w:rsid w:val="00CF18BE"/>
    <w:rsid w:val="00CF3E41"/>
    <w:rsid w:val="00CF3F60"/>
    <w:rsid w:val="00CF66A9"/>
    <w:rsid w:val="00CF67FE"/>
    <w:rsid w:val="00CF7D1F"/>
    <w:rsid w:val="00D00FB0"/>
    <w:rsid w:val="00D01677"/>
    <w:rsid w:val="00D04E01"/>
    <w:rsid w:val="00D053BB"/>
    <w:rsid w:val="00D05795"/>
    <w:rsid w:val="00D05F01"/>
    <w:rsid w:val="00D06470"/>
    <w:rsid w:val="00D112F3"/>
    <w:rsid w:val="00D12390"/>
    <w:rsid w:val="00D1470C"/>
    <w:rsid w:val="00D14DEF"/>
    <w:rsid w:val="00D21A0B"/>
    <w:rsid w:val="00D22851"/>
    <w:rsid w:val="00D264BF"/>
    <w:rsid w:val="00D27532"/>
    <w:rsid w:val="00D30DB2"/>
    <w:rsid w:val="00D313A8"/>
    <w:rsid w:val="00D33F9F"/>
    <w:rsid w:val="00D34AA4"/>
    <w:rsid w:val="00D371B8"/>
    <w:rsid w:val="00D375E0"/>
    <w:rsid w:val="00D40AB0"/>
    <w:rsid w:val="00D44CA6"/>
    <w:rsid w:val="00D46A63"/>
    <w:rsid w:val="00D51C4E"/>
    <w:rsid w:val="00D52097"/>
    <w:rsid w:val="00D534A8"/>
    <w:rsid w:val="00D54308"/>
    <w:rsid w:val="00D54F2E"/>
    <w:rsid w:val="00D55F70"/>
    <w:rsid w:val="00D56675"/>
    <w:rsid w:val="00D5770A"/>
    <w:rsid w:val="00D6036A"/>
    <w:rsid w:val="00D618E1"/>
    <w:rsid w:val="00D644EA"/>
    <w:rsid w:val="00D70A82"/>
    <w:rsid w:val="00D71797"/>
    <w:rsid w:val="00D725E6"/>
    <w:rsid w:val="00D73476"/>
    <w:rsid w:val="00D73EC6"/>
    <w:rsid w:val="00D740A8"/>
    <w:rsid w:val="00D740BD"/>
    <w:rsid w:val="00D7488F"/>
    <w:rsid w:val="00D767FF"/>
    <w:rsid w:val="00D81199"/>
    <w:rsid w:val="00D82FD5"/>
    <w:rsid w:val="00D83FB2"/>
    <w:rsid w:val="00D853D0"/>
    <w:rsid w:val="00D9138F"/>
    <w:rsid w:val="00D93018"/>
    <w:rsid w:val="00D94D27"/>
    <w:rsid w:val="00D96BA5"/>
    <w:rsid w:val="00D97252"/>
    <w:rsid w:val="00DA1CAD"/>
    <w:rsid w:val="00DA2625"/>
    <w:rsid w:val="00DA4DEE"/>
    <w:rsid w:val="00DB24C8"/>
    <w:rsid w:val="00DB2AB6"/>
    <w:rsid w:val="00DB2EC3"/>
    <w:rsid w:val="00DB468E"/>
    <w:rsid w:val="00DB76EB"/>
    <w:rsid w:val="00DC1E07"/>
    <w:rsid w:val="00DC49CA"/>
    <w:rsid w:val="00DD065A"/>
    <w:rsid w:val="00DD2B5C"/>
    <w:rsid w:val="00DD632C"/>
    <w:rsid w:val="00DD6520"/>
    <w:rsid w:val="00DD7205"/>
    <w:rsid w:val="00DE6880"/>
    <w:rsid w:val="00DF07AA"/>
    <w:rsid w:val="00DF11F0"/>
    <w:rsid w:val="00DF21C8"/>
    <w:rsid w:val="00DF4B23"/>
    <w:rsid w:val="00DF545F"/>
    <w:rsid w:val="00DF5BE1"/>
    <w:rsid w:val="00DF63F2"/>
    <w:rsid w:val="00E00D31"/>
    <w:rsid w:val="00E0203F"/>
    <w:rsid w:val="00E124B4"/>
    <w:rsid w:val="00E13ACD"/>
    <w:rsid w:val="00E13EA5"/>
    <w:rsid w:val="00E153D4"/>
    <w:rsid w:val="00E153F9"/>
    <w:rsid w:val="00E15823"/>
    <w:rsid w:val="00E15C7D"/>
    <w:rsid w:val="00E163DD"/>
    <w:rsid w:val="00E17015"/>
    <w:rsid w:val="00E202F0"/>
    <w:rsid w:val="00E233BD"/>
    <w:rsid w:val="00E2395E"/>
    <w:rsid w:val="00E240EB"/>
    <w:rsid w:val="00E26259"/>
    <w:rsid w:val="00E26EE6"/>
    <w:rsid w:val="00E26FBF"/>
    <w:rsid w:val="00E30207"/>
    <w:rsid w:val="00E30946"/>
    <w:rsid w:val="00E30A14"/>
    <w:rsid w:val="00E30E03"/>
    <w:rsid w:val="00E31BC6"/>
    <w:rsid w:val="00E31DF7"/>
    <w:rsid w:val="00E32366"/>
    <w:rsid w:val="00E3450E"/>
    <w:rsid w:val="00E34BF3"/>
    <w:rsid w:val="00E351F5"/>
    <w:rsid w:val="00E35A96"/>
    <w:rsid w:val="00E4094A"/>
    <w:rsid w:val="00E40FFE"/>
    <w:rsid w:val="00E41BCB"/>
    <w:rsid w:val="00E43F83"/>
    <w:rsid w:val="00E43FEF"/>
    <w:rsid w:val="00E44F9F"/>
    <w:rsid w:val="00E47DA5"/>
    <w:rsid w:val="00E50974"/>
    <w:rsid w:val="00E53BA4"/>
    <w:rsid w:val="00E56324"/>
    <w:rsid w:val="00E573D8"/>
    <w:rsid w:val="00E57A6F"/>
    <w:rsid w:val="00E57AC6"/>
    <w:rsid w:val="00E57C2B"/>
    <w:rsid w:val="00E6050F"/>
    <w:rsid w:val="00E6187F"/>
    <w:rsid w:val="00E649B5"/>
    <w:rsid w:val="00E71AE2"/>
    <w:rsid w:val="00E73EF2"/>
    <w:rsid w:val="00E77BE6"/>
    <w:rsid w:val="00E77FBC"/>
    <w:rsid w:val="00E81BE5"/>
    <w:rsid w:val="00E8238A"/>
    <w:rsid w:val="00E82C73"/>
    <w:rsid w:val="00E831D2"/>
    <w:rsid w:val="00E83228"/>
    <w:rsid w:val="00E900FB"/>
    <w:rsid w:val="00E9017F"/>
    <w:rsid w:val="00E91F4F"/>
    <w:rsid w:val="00E923C8"/>
    <w:rsid w:val="00E94655"/>
    <w:rsid w:val="00E94D72"/>
    <w:rsid w:val="00E94EA7"/>
    <w:rsid w:val="00E94F7D"/>
    <w:rsid w:val="00E9538C"/>
    <w:rsid w:val="00E965FB"/>
    <w:rsid w:val="00E972E6"/>
    <w:rsid w:val="00E97332"/>
    <w:rsid w:val="00E97AD5"/>
    <w:rsid w:val="00EA00F7"/>
    <w:rsid w:val="00EA03FF"/>
    <w:rsid w:val="00EA27FF"/>
    <w:rsid w:val="00EA369D"/>
    <w:rsid w:val="00EA7DC7"/>
    <w:rsid w:val="00EB08CB"/>
    <w:rsid w:val="00EB4183"/>
    <w:rsid w:val="00EB44BA"/>
    <w:rsid w:val="00EB63BC"/>
    <w:rsid w:val="00EB740C"/>
    <w:rsid w:val="00EB78C2"/>
    <w:rsid w:val="00EC4594"/>
    <w:rsid w:val="00EC4751"/>
    <w:rsid w:val="00EC6603"/>
    <w:rsid w:val="00EC7B33"/>
    <w:rsid w:val="00ED0D8D"/>
    <w:rsid w:val="00EE0E83"/>
    <w:rsid w:val="00EE367E"/>
    <w:rsid w:val="00EE4576"/>
    <w:rsid w:val="00EF05E7"/>
    <w:rsid w:val="00EF1E5E"/>
    <w:rsid w:val="00EF322F"/>
    <w:rsid w:val="00EF545E"/>
    <w:rsid w:val="00EF573B"/>
    <w:rsid w:val="00EF72B1"/>
    <w:rsid w:val="00F0198B"/>
    <w:rsid w:val="00F0263D"/>
    <w:rsid w:val="00F03E8A"/>
    <w:rsid w:val="00F05A92"/>
    <w:rsid w:val="00F10408"/>
    <w:rsid w:val="00F104EC"/>
    <w:rsid w:val="00F13F71"/>
    <w:rsid w:val="00F155F1"/>
    <w:rsid w:val="00F160A6"/>
    <w:rsid w:val="00F171F7"/>
    <w:rsid w:val="00F17FC4"/>
    <w:rsid w:val="00F237C4"/>
    <w:rsid w:val="00F23AAC"/>
    <w:rsid w:val="00F2644C"/>
    <w:rsid w:val="00F272CF"/>
    <w:rsid w:val="00F27AEC"/>
    <w:rsid w:val="00F3146A"/>
    <w:rsid w:val="00F334B3"/>
    <w:rsid w:val="00F33D11"/>
    <w:rsid w:val="00F355C6"/>
    <w:rsid w:val="00F372AF"/>
    <w:rsid w:val="00F4043A"/>
    <w:rsid w:val="00F40D8E"/>
    <w:rsid w:val="00F41672"/>
    <w:rsid w:val="00F42088"/>
    <w:rsid w:val="00F4240E"/>
    <w:rsid w:val="00F45B95"/>
    <w:rsid w:val="00F47456"/>
    <w:rsid w:val="00F47511"/>
    <w:rsid w:val="00F533B9"/>
    <w:rsid w:val="00F553C0"/>
    <w:rsid w:val="00F606C0"/>
    <w:rsid w:val="00F6167B"/>
    <w:rsid w:val="00F62445"/>
    <w:rsid w:val="00F6364D"/>
    <w:rsid w:val="00F64746"/>
    <w:rsid w:val="00F660E6"/>
    <w:rsid w:val="00F668CC"/>
    <w:rsid w:val="00F66A60"/>
    <w:rsid w:val="00F70A44"/>
    <w:rsid w:val="00F80568"/>
    <w:rsid w:val="00F8087D"/>
    <w:rsid w:val="00F81FDA"/>
    <w:rsid w:val="00F82817"/>
    <w:rsid w:val="00F82843"/>
    <w:rsid w:val="00F83203"/>
    <w:rsid w:val="00F84123"/>
    <w:rsid w:val="00F91514"/>
    <w:rsid w:val="00F93D4A"/>
    <w:rsid w:val="00F9512C"/>
    <w:rsid w:val="00F95477"/>
    <w:rsid w:val="00F955AC"/>
    <w:rsid w:val="00F96CDD"/>
    <w:rsid w:val="00FA164E"/>
    <w:rsid w:val="00FA3EC3"/>
    <w:rsid w:val="00FA49E1"/>
    <w:rsid w:val="00FA4EFA"/>
    <w:rsid w:val="00FA5FE6"/>
    <w:rsid w:val="00FA70B0"/>
    <w:rsid w:val="00FB049E"/>
    <w:rsid w:val="00FB14C0"/>
    <w:rsid w:val="00FB1855"/>
    <w:rsid w:val="00FB1EE1"/>
    <w:rsid w:val="00FB2E52"/>
    <w:rsid w:val="00FB37BA"/>
    <w:rsid w:val="00FB4174"/>
    <w:rsid w:val="00FB5359"/>
    <w:rsid w:val="00FB571E"/>
    <w:rsid w:val="00FB7F7B"/>
    <w:rsid w:val="00FC0319"/>
    <w:rsid w:val="00FC43A8"/>
    <w:rsid w:val="00FC5A1B"/>
    <w:rsid w:val="00FC67D0"/>
    <w:rsid w:val="00FC7609"/>
    <w:rsid w:val="00FD63BF"/>
    <w:rsid w:val="00FD717A"/>
    <w:rsid w:val="00FE036E"/>
    <w:rsid w:val="00FE1FF4"/>
    <w:rsid w:val="00FE402E"/>
    <w:rsid w:val="00FE4E11"/>
    <w:rsid w:val="00FE5327"/>
    <w:rsid w:val="00FE6F38"/>
    <w:rsid w:val="00FE7952"/>
    <w:rsid w:val="00FF0894"/>
    <w:rsid w:val="00FF122A"/>
    <w:rsid w:val="00FF1E32"/>
    <w:rsid w:val="00FF3275"/>
    <w:rsid w:val="00FF4208"/>
    <w:rsid w:val="00FF456B"/>
    <w:rsid w:val="00FF555D"/>
    <w:rsid w:val="00FF6255"/>
    <w:rsid w:val="00FF629F"/>
    <w:rsid w:val="0290F24C"/>
    <w:rsid w:val="12FBDD72"/>
    <w:rsid w:val="1A5000FC"/>
    <w:rsid w:val="1F4FB157"/>
    <w:rsid w:val="2071FF89"/>
    <w:rsid w:val="21911BC2"/>
    <w:rsid w:val="24DD4907"/>
    <w:rsid w:val="2548E1E9"/>
    <w:rsid w:val="2D6E90F9"/>
    <w:rsid w:val="3B842E57"/>
    <w:rsid w:val="3C9B7A6B"/>
    <w:rsid w:val="3E222B03"/>
    <w:rsid w:val="3E28BFCA"/>
    <w:rsid w:val="3E477906"/>
    <w:rsid w:val="3ED87D51"/>
    <w:rsid w:val="40B69E58"/>
    <w:rsid w:val="4199116D"/>
    <w:rsid w:val="43974071"/>
    <w:rsid w:val="4727386A"/>
    <w:rsid w:val="4DF727E2"/>
    <w:rsid w:val="4F15E3A5"/>
    <w:rsid w:val="555BA4E1"/>
    <w:rsid w:val="59EF3E1D"/>
    <w:rsid w:val="5B7D3753"/>
    <w:rsid w:val="6251E5EE"/>
    <w:rsid w:val="64B48855"/>
    <w:rsid w:val="656F41AA"/>
    <w:rsid w:val="680E33D5"/>
    <w:rsid w:val="694BCB0B"/>
    <w:rsid w:val="6E734806"/>
    <w:rsid w:val="6ECB686C"/>
    <w:rsid w:val="70315D5A"/>
    <w:rsid w:val="71E2DC35"/>
    <w:rsid w:val="7F0C8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673BC5-C491-40BC-B3AE-B1895FCB8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FD0"/>
  </w:style>
  <w:style w:type="paragraph" w:styleId="Heading4">
    <w:name w:val="heading 4"/>
    <w:basedOn w:val="Normal"/>
    <w:next w:val="Normal"/>
    <w:link w:val="Heading4Char"/>
    <w:uiPriority w:val="9"/>
    <w:semiHidden/>
    <w:unhideWhenUsed/>
    <w:qFormat/>
    <w:rsid w:val="00EC475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4647"/>
  </w:style>
  <w:style w:type="paragraph" w:styleId="ListParagraph">
    <w:name w:val="List Paragraph"/>
    <w:basedOn w:val="Normal"/>
    <w:link w:val="ListParagraphChar"/>
    <w:uiPriority w:val="34"/>
    <w:qFormat/>
    <w:rsid w:val="00B64647"/>
    <w:pPr>
      <w:ind w:left="720"/>
      <w:contextualSpacing/>
    </w:pPr>
  </w:style>
  <w:style w:type="paragraph" w:customStyle="1" w:styleId="SingleTxtG">
    <w:name w:val="_ Single Txt_G"/>
    <w:basedOn w:val="Normal"/>
    <w:link w:val="SingleTxtGChar"/>
    <w:qFormat/>
    <w:rsid w:val="00537409"/>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FootnoteReference">
    <w:name w:val="footnote reference"/>
    <w:aliases w:val="4_G,BVI fnr,Fago Fußnotenzeichen,Footnote Reference Number,Footnote Refernece,Fußnotenzeichen_Raxen,callout"/>
    <w:rsid w:val="00537409"/>
    <w:rPr>
      <w:rFonts w:ascii="Times New Roman" w:hAnsi="Times New Roman"/>
      <w:sz w:val="18"/>
      <w:vertAlign w:val="superscript"/>
    </w:rPr>
  </w:style>
  <w:style w:type="paragraph" w:customStyle="1" w:styleId="H23G">
    <w:name w:val="_ H_2/3_G"/>
    <w:basedOn w:val="Normal"/>
    <w:next w:val="Normal"/>
    <w:rsid w:val="0053740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SingleTxtGChar">
    <w:name w:val="_ Single Txt_G Char"/>
    <w:link w:val="SingleTxtG"/>
    <w:locked/>
    <w:rsid w:val="00537409"/>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FF1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E32"/>
  </w:style>
  <w:style w:type="paragraph" w:styleId="Footer">
    <w:name w:val="footer"/>
    <w:basedOn w:val="Normal"/>
    <w:link w:val="FooterChar"/>
    <w:uiPriority w:val="99"/>
    <w:unhideWhenUsed/>
    <w:rsid w:val="00FF1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E32"/>
  </w:style>
  <w:style w:type="paragraph" w:styleId="FootnoteText">
    <w:name w:val="footnote text"/>
    <w:basedOn w:val="Normal"/>
    <w:link w:val="FootnoteTextChar"/>
    <w:uiPriority w:val="99"/>
    <w:semiHidden/>
    <w:unhideWhenUsed/>
    <w:rsid w:val="003123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23A4"/>
    <w:rPr>
      <w:sz w:val="20"/>
      <w:szCs w:val="20"/>
    </w:rPr>
  </w:style>
  <w:style w:type="paragraph" w:customStyle="1" w:styleId="T30X">
    <w:name w:val="T30X"/>
    <w:basedOn w:val="Normal"/>
    <w:uiPriority w:val="99"/>
    <w:rsid w:val="00853D8D"/>
    <w:pPr>
      <w:autoSpaceDE w:val="0"/>
      <w:autoSpaceDN w:val="0"/>
      <w:adjustRightInd w:val="0"/>
      <w:spacing w:before="60" w:after="60" w:line="240" w:lineRule="auto"/>
      <w:ind w:firstLine="283"/>
      <w:jc w:val="both"/>
    </w:pPr>
    <w:rPr>
      <w:rFonts w:ascii="Times New Roman" w:hAnsi="Times New Roman" w:cs="Times New Roman"/>
      <w:color w:val="000000"/>
    </w:rPr>
  </w:style>
  <w:style w:type="paragraph" w:styleId="NormalWeb">
    <w:name w:val="Normal (Web)"/>
    <w:basedOn w:val="Normal"/>
    <w:uiPriority w:val="99"/>
    <w:unhideWhenUsed/>
    <w:rsid w:val="00F66A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53">
    <w:name w:val="p453"/>
    <w:basedOn w:val="Normal"/>
    <w:rsid w:val="001419A5"/>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A3208"/>
    <w:pPr>
      <w:spacing w:after="0" w:line="240" w:lineRule="auto"/>
      <w:jc w:val="both"/>
    </w:pPr>
    <w:rPr>
      <w:rFonts w:ascii="Times New Roman" w:eastAsia="Times New Roman" w:hAnsi="Times New Roman" w:cs="Times New Roman"/>
      <w:bCs/>
      <w:sz w:val="24"/>
      <w:szCs w:val="24"/>
    </w:rPr>
  </w:style>
  <w:style w:type="character" w:customStyle="1" w:styleId="BodyText3Char">
    <w:name w:val="Body Text 3 Char"/>
    <w:basedOn w:val="DefaultParagraphFont"/>
    <w:link w:val="BodyText3"/>
    <w:uiPriority w:val="99"/>
    <w:rsid w:val="004A3208"/>
    <w:rPr>
      <w:rFonts w:ascii="Times New Roman" w:eastAsia="Times New Roman" w:hAnsi="Times New Roman" w:cs="Times New Roman"/>
      <w:bCs/>
      <w:sz w:val="24"/>
      <w:szCs w:val="24"/>
    </w:rPr>
  </w:style>
  <w:style w:type="character" w:styleId="CommentReference">
    <w:name w:val="annotation reference"/>
    <w:basedOn w:val="DefaultParagraphFont"/>
    <w:uiPriority w:val="99"/>
    <w:semiHidden/>
    <w:unhideWhenUsed/>
    <w:rsid w:val="00287A02"/>
    <w:rPr>
      <w:sz w:val="16"/>
      <w:szCs w:val="16"/>
    </w:rPr>
  </w:style>
  <w:style w:type="paragraph" w:styleId="CommentText">
    <w:name w:val="annotation text"/>
    <w:basedOn w:val="Normal"/>
    <w:link w:val="CommentTextChar"/>
    <w:uiPriority w:val="99"/>
    <w:unhideWhenUsed/>
    <w:rsid w:val="00287A02"/>
    <w:pPr>
      <w:spacing w:line="240" w:lineRule="auto"/>
    </w:pPr>
    <w:rPr>
      <w:sz w:val="20"/>
      <w:szCs w:val="20"/>
    </w:rPr>
  </w:style>
  <w:style w:type="character" w:customStyle="1" w:styleId="CommentTextChar">
    <w:name w:val="Comment Text Char"/>
    <w:basedOn w:val="DefaultParagraphFont"/>
    <w:link w:val="CommentText"/>
    <w:uiPriority w:val="99"/>
    <w:rsid w:val="00287A02"/>
    <w:rPr>
      <w:sz w:val="20"/>
      <w:szCs w:val="20"/>
    </w:rPr>
  </w:style>
  <w:style w:type="paragraph" w:styleId="CommentSubject">
    <w:name w:val="annotation subject"/>
    <w:basedOn w:val="CommentText"/>
    <w:next w:val="CommentText"/>
    <w:link w:val="CommentSubjectChar"/>
    <w:uiPriority w:val="99"/>
    <w:semiHidden/>
    <w:unhideWhenUsed/>
    <w:rsid w:val="00287A02"/>
    <w:rPr>
      <w:b/>
      <w:bCs/>
    </w:rPr>
  </w:style>
  <w:style w:type="character" w:customStyle="1" w:styleId="CommentSubjectChar">
    <w:name w:val="Comment Subject Char"/>
    <w:basedOn w:val="CommentTextChar"/>
    <w:link w:val="CommentSubject"/>
    <w:uiPriority w:val="99"/>
    <w:semiHidden/>
    <w:rsid w:val="00287A02"/>
    <w:rPr>
      <w:b/>
      <w:bCs/>
      <w:sz w:val="20"/>
      <w:szCs w:val="20"/>
    </w:rPr>
  </w:style>
  <w:style w:type="paragraph" w:styleId="BalloonText">
    <w:name w:val="Balloon Text"/>
    <w:basedOn w:val="Normal"/>
    <w:link w:val="BalloonTextChar"/>
    <w:uiPriority w:val="99"/>
    <w:semiHidden/>
    <w:unhideWhenUsed/>
    <w:rsid w:val="00287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A02"/>
    <w:rPr>
      <w:rFonts w:ascii="Segoe UI" w:hAnsi="Segoe UI" w:cs="Segoe UI"/>
      <w:sz w:val="18"/>
      <w:szCs w:val="18"/>
    </w:rPr>
  </w:style>
  <w:style w:type="paragraph" w:customStyle="1" w:styleId="7podnas">
    <w:name w:val="_7podnas"/>
    <w:basedOn w:val="Normal"/>
    <w:rsid w:val="007F1E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clan">
    <w:name w:val="_4clan"/>
    <w:basedOn w:val="Normal"/>
    <w:rsid w:val="007F1E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tekst">
    <w:name w:val="_1tekst"/>
    <w:basedOn w:val="Normal"/>
    <w:rsid w:val="007F1EF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57C2B"/>
    <w:pPr>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BD6615"/>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241D54"/>
    <w:rPr>
      <w:color w:val="666666"/>
    </w:rPr>
  </w:style>
  <w:style w:type="paragraph" w:styleId="Revision">
    <w:name w:val="Revision"/>
    <w:hidden/>
    <w:uiPriority w:val="99"/>
    <w:semiHidden/>
    <w:rsid w:val="00C54094"/>
    <w:pPr>
      <w:spacing w:after="0" w:line="240" w:lineRule="auto"/>
    </w:pPr>
  </w:style>
  <w:style w:type="character" w:styleId="Hyperlink">
    <w:name w:val="Hyperlink"/>
    <w:basedOn w:val="DefaultParagraphFont"/>
    <w:uiPriority w:val="99"/>
    <w:unhideWhenUsed/>
    <w:rsid w:val="00FF555D"/>
    <w:rPr>
      <w:color w:val="0000FF" w:themeColor="hyperlink"/>
      <w:u w:val="single"/>
    </w:rPr>
  </w:style>
  <w:style w:type="character" w:customStyle="1" w:styleId="UnresolvedMention1">
    <w:name w:val="Unresolved Mention1"/>
    <w:basedOn w:val="DefaultParagraphFont"/>
    <w:uiPriority w:val="99"/>
    <w:semiHidden/>
    <w:unhideWhenUsed/>
    <w:rsid w:val="00FF555D"/>
    <w:rPr>
      <w:color w:val="605E5C"/>
      <w:shd w:val="clear" w:color="auto" w:fill="E1DFDD"/>
    </w:rPr>
  </w:style>
  <w:style w:type="character" w:customStyle="1" w:styleId="Heading4Char">
    <w:name w:val="Heading 4 Char"/>
    <w:basedOn w:val="DefaultParagraphFont"/>
    <w:link w:val="Heading4"/>
    <w:uiPriority w:val="9"/>
    <w:semiHidden/>
    <w:rsid w:val="00EC4751"/>
    <w:rPr>
      <w:rFonts w:asciiTheme="majorHAnsi" w:eastAsiaTheme="majorEastAsia" w:hAnsiTheme="majorHAnsi" w:cstheme="majorBidi"/>
      <w:i/>
      <w:iCs/>
      <w:color w:val="365F91" w:themeColor="accent1" w:themeShade="BF"/>
    </w:rPr>
  </w:style>
  <w:style w:type="character" w:customStyle="1" w:styleId="ListParagraphChar">
    <w:name w:val="List Paragraph Char"/>
    <w:link w:val="ListParagraph"/>
    <w:uiPriority w:val="34"/>
    <w:locked/>
    <w:rsid w:val="005E295D"/>
  </w:style>
  <w:style w:type="paragraph" w:styleId="NoSpacing">
    <w:name w:val="No Spacing"/>
    <w:uiPriority w:val="99"/>
    <w:qFormat/>
    <w:rsid w:val="00562E54"/>
    <w:pPr>
      <w:spacing w:after="0" w:line="240" w:lineRule="auto"/>
    </w:pPr>
    <w:rPr>
      <w:rFonts w:eastAsiaTheme="minorHAnsi"/>
    </w:rPr>
  </w:style>
  <w:style w:type="character" w:customStyle="1" w:styleId="flex">
    <w:name w:val="flex"/>
    <w:basedOn w:val="DefaultParagraphFont"/>
    <w:rsid w:val="00562E54"/>
  </w:style>
  <w:style w:type="paragraph" w:customStyle="1" w:styleId="3mesto">
    <w:name w:val="_3mesto"/>
    <w:basedOn w:val="Normal"/>
    <w:rsid w:val="00252388"/>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590351"/>
    <w:pPr>
      <w:spacing w:after="120"/>
    </w:pPr>
  </w:style>
  <w:style w:type="character" w:customStyle="1" w:styleId="BodyTextChar">
    <w:name w:val="Body Text Char"/>
    <w:basedOn w:val="DefaultParagraphFont"/>
    <w:link w:val="BodyText"/>
    <w:uiPriority w:val="99"/>
    <w:rsid w:val="00590351"/>
  </w:style>
  <w:style w:type="paragraph" w:styleId="Caption">
    <w:name w:val="caption"/>
    <w:basedOn w:val="Normal"/>
    <w:next w:val="Normal"/>
    <w:uiPriority w:val="35"/>
    <w:unhideWhenUsed/>
    <w:qFormat/>
    <w:rsid w:val="005E600F"/>
    <w:pPr>
      <w:spacing w:line="240" w:lineRule="auto"/>
    </w:pPr>
    <w:rPr>
      <w:i/>
      <w:iCs/>
      <w:color w:val="1F497D" w:themeColor="text2"/>
      <w:sz w:val="18"/>
      <w:szCs w:val="18"/>
    </w:rPr>
  </w:style>
  <w:style w:type="table" w:customStyle="1" w:styleId="ListTable1Light1">
    <w:name w:val="List Table 1 Light1"/>
    <w:basedOn w:val="TableNormal"/>
    <w:uiPriority w:val="46"/>
    <w:rsid w:val="008746CE"/>
    <w:pPr>
      <w:spacing w:after="0" w:line="240" w:lineRule="auto"/>
    </w:pPr>
    <w:rPr>
      <w:rFonts w:ascii="Calibri" w:eastAsia="Times New Roman" w:hAnsi="Calibri" w:cs="Times New Roman"/>
      <w:sz w:val="24"/>
      <w:szCs w:val="24"/>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HTMLPreformatted">
    <w:name w:val="HTML Preformatted"/>
    <w:basedOn w:val="Normal"/>
    <w:link w:val="HTMLPreformattedChar"/>
    <w:uiPriority w:val="99"/>
    <w:semiHidden/>
    <w:unhideWhenUsed/>
    <w:rsid w:val="005D29A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29A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eb6b7aa-b3e9-4746-bd27-3634f5bdf43e">
      <Terms xmlns="http://schemas.microsoft.com/office/infopath/2007/PartnerControls"/>
    </lcf76f155ced4ddcb4097134ff3c332f>
    <Document_x0020_Date xmlns="985ec44e-1bab-4c0b-9df0-6ba128686fc9">2026-03-17T16:21:59+00:00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2D1E6-D59F-4E6B-B58D-2D9268815939}">
  <ds:schemaRefs>
    <ds:schemaRef ds:uri="http://schemas.microsoft.com/office/2006/metadata/properties"/>
    <ds:schemaRef ds:uri="http://schemas.microsoft.com/office/infopath/2007/PartnerControls"/>
    <ds:schemaRef ds:uri="4b197ada-0883-454a-ab81-eac2bd756f58"/>
    <ds:schemaRef ds:uri="985ec44e-1bab-4c0b-9df0-6ba128686fc9"/>
  </ds:schemaRefs>
</ds:datastoreItem>
</file>

<file path=customXml/itemProps2.xml><?xml version="1.0" encoding="utf-8"?>
<ds:datastoreItem xmlns:ds="http://schemas.openxmlformats.org/officeDocument/2006/customXml" ds:itemID="{AD87E560-F72D-4305-9729-F06831811A13}"/>
</file>

<file path=customXml/itemProps3.xml><?xml version="1.0" encoding="utf-8"?>
<ds:datastoreItem xmlns:ds="http://schemas.openxmlformats.org/officeDocument/2006/customXml" ds:itemID="{2319F56A-28D2-4AB5-A805-A6558FABE090}">
  <ds:schemaRefs>
    <ds:schemaRef ds:uri="http://schemas.microsoft.com/sharepoint/v3/contenttype/forms"/>
  </ds:schemaRefs>
</ds:datastoreItem>
</file>

<file path=customXml/itemProps4.xml><?xml version="1.0" encoding="utf-8"?>
<ds:datastoreItem xmlns:ds="http://schemas.openxmlformats.org/officeDocument/2006/customXml" ds:itemID="{8A4401CF-C7EE-4C23-8670-0D40E218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21347</Words>
  <Characters>121681</Characters>
  <Application>Microsoft Office Word</Application>
  <DocSecurity>0</DocSecurity>
  <Lines>1014</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Seven</dc:creator>
  <cp:lastModifiedBy>Srdjan Orlandic</cp:lastModifiedBy>
  <cp:revision>2</cp:revision>
  <cp:lastPrinted>2026-02-16T07:54:00Z</cp:lastPrinted>
  <dcterms:created xsi:type="dcterms:W3CDTF">2026-03-17T14:55:00Z</dcterms:created>
  <dcterms:modified xsi:type="dcterms:W3CDTF">2026-03-17T14:55:00Z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