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header1.xml" ContentType="application/vnd.openxmlformats-officedocument.wordprocessingml.header+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b/>
          <w:b/>
          <w:sz w:val="28"/>
          <w:szCs w:val="28"/>
        </w:rPr>
      </w:pPr>
      <w:r>
        <w:rPr>
          <w:rFonts w:cs="Times New Roman" w:ascii="Times New Roman" w:hAnsi="Times New Roman"/>
          <w:b/>
          <w:sz w:val="28"/>
          <w:szCs w:val="28"/>
        </w:rPr>
      </w:r>
      <w:bookmarkStart w:id="0" w:name="_GoBack"/>
      <w:bookmarkStart w:id="1" w:name="_GoBack"/>
      <w:bookmarkEnd w:id="1"/>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Вступительное слово главы российской делегации</w:t>
      </w:r>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на 95-й сессии Комитета по правам ребенка</w:t>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Уважаемая госпожа Председатель!</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 xml:space="preserve">Уважаемые члены Комитета! </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Дамы и господа!</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Для меня большая честь выступить сегодня перед уважаемыми экспертами Комитета по правам ребенка в связи с рассмотрением объединенных шестого и седьмого периодических докладов Российской Федерации о выполнении Конвенции о правах ребенка. Нашу делегацию представляют коллеги из следующих</w:t>
      </w:r>
      <w:r>
        <w:rPr>
          <w:rFonts w:cs="Times New Roman" w:ascii="Times New Roman" w:hAnsi="Times New Roman"/>
          <w:b/>
          <w:sz w:val="32"/>
          <w:szCs w:val="32"/>
        </w:rPr>
        <w:t xml:space="preserve"> </w:t>
      </w:r>
      <w:r>
        <w:rPr>
          <w:rFonts w:cs="Times New Roman" w:ascii="Times New Roman" w:hAnsi="Times New Roman"/>
          <w:sz w:val="32"/>
          <w:szCs w:val="32"/>
        </w:rPr>
        <w:t>ведомств: министерств просвещения, образования и науки, здравоохранения, юстиции, труда и социальной защиты, цифрового развития, связи и массовых коммуникаций, внутренних дел, иностранных дел, а также</w:t>
      </w:r>
      <w:r>
        <w:rPr>
          <w:rFonts w:cs="Times New Roman" w:ascii="Times New Roman" w:hAnsi="Times New Roman"/>
          <w:b/>
          <w:sz w:val="32"/>
          <w:szCs w:val="32"/>
        </w:rPr>
        <w:t xml:space="preserve"> </w:t>
      </w:r>
      <w:r>
        <w:rPr>
          <w:rFonts w:cs="Times New Roman" w:ascii="Times New Roman" w:hAnsi="Times New Roman"/>
          <w:sz w:val="32"/>
          <w:szCs w:val="32"/>
        </w:rPr>
        <w:t>Генеральной прокуратуры, Следственного комитета и Федерального агентства по делам национальностей.</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 xml:space="preserve">Хотел бы прежде всего подчеркнуть, что </w:t>
      </w:r>
      <w:r>
        <w:rPr>
          <w:rFonts w:cs="Times New Roman" w:ascii="Times New Roman" w:hAnsi="Times New Roman"/>
          <w:b/>
          <w:sz w:val="32"/>
          <w:szCs w:val="32"/>
        </w:rPr>
        <w:t>обеспечение благополучного и защищенного детства</w:t>
      </w:r>
      <w:r>
        <w:rPr>
          <w:rFonts w:cs="Times New Roman" w:ascii="Times New Roman" w:hAnsi="Times New Roman"/>
          <w:sz w:val="32"/>
          <w:szCs w:val="32"/>
        </w:rPr>
        <w:t xml:space="preserve"> в России является одним из важнейших направлений социальной политики и ее постоянным приоритетом. </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 xml:space="preserve">Именно поэтому за последние 10 лет было принято несколько важнейших государственных документов: Концепция государственной семейной политики, два плана по реализации до 2027 года Десятилетия детства, Стратегия комплексной безопасности детей на период до 2030 года. </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В Конституции Российской Федерации, начиная с 2020 года, впервые закреплена защита семьи, материнства, отцовства и детства, как одна из гарантий социального государства.</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Документы стратегического планирования направлены на:</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 сбережение детей и укрепление благополучия семей с детьми;</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 xml:space="preserve">- развитие современной безопасной инфраструктуры для детей; </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 создание условий для активного участия детей, включая детей-инвалидов, в жизни общества;</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 формирование безопасной информационной среды;</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 укрепление института семьи и защиту традиционных семейных ценностей.</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 xml:space="preserve">Несмотря на те вызовы и ограничения, с которыми пришлось столкнуться в период пандемии, растет объем консолидированного детского бюджета, вводятся новые меры поддержки семей с детьми, развиваются социальные сервисы и инфраструктура в интересах семей с детьми. </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С 2021 года консолидированный детский бюджет увеличился почти на 24%, составив в 2022 году 7,8 трлн рублей (2021 г. – 6,3 трлн рублей).</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Улучшается материальное положение семей с детьми. По итогам 2022 года в Российской Федерации 14,3 млн граждан относились к категории малообеспеченных, что в 1,2 раза меньше по сравнению с 2020 годом (17,7 млн человек). Планомерно снижается число малообеспеченных домохозяйств с детьми в общей численности малообеспеченного населения (с 6,4 млн до 5,3 млн).</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На улучшение материального положения повлияло повышение минимального размера оплаты труда, рост заработных плат, содействие занятости родителей, проведение адресной социальной политики.</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Существенный вклад в снижение уровня бедности семей с детьми внесла целостная система их поддержки. В прошедшем 2023 году было введено единое пособие для беременных женщин и семей с низкими доходами, воспитывающих детей до 17 лет. Это позволило поддержать родителей 10,9 млн детей и 400 тыс. беременных женщин.</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b/>
          <w:sz w:val="32"/>
          <w:szCs w:val="32"/>
        </w:rPr>
        <w:t>Особое внимание</w:t>
      </w:r>
      <w:r>
        <w:rPr>
          <w:rFonts w:cs="Times New Roman" w:ascii="Times New Roman" w:hAnsi="Times New Roman"/>
          <w:sz w:val="32"/>
          <w:szCs w:val="32"/>
        </w:rPr>
        <w:t xml:space="preserve"> в проводимой государством политике занимает </w:t>
      </w:r>
      <w:r>
        <w:rPr>
          <w:rFonts w:cs="Times New Roman" w:ascii="Times New Roman" w:hAnsi="Times New Roman"/>
          <w:b/>
          <w:sz w:val="32"/>
          <w:szCs w:val="32"/>
        </w:rPr>
        <w:t>защита и укрепление института семьи, профилактика социального сиротства</w:t>
      </w:r>
      <w:r>
        <w:rPr>
          <w:rFonts w:cs="Times New Roman" w:ascii="Times New Roman" w:hAnsi="Times New Roman"/>
          <w:sz w:val="32"/>
          <w:szCs w:val="32"/>
        </w:rPr>
        <w:t>.</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 xml:space="preserve">За последние годы был учрежден День отца, возрождено почетное звание «Мать-героиня», которое присваивается женщинам, родившим и воспитавшим 10 и более детей, увеличены размеры единовременных денежных поощрений для родителей, награжденных государственными наградами за заслуги в воспитании детей. </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Указом Президента Российской Федерации 2024 год в России объявлен Годом семьи, в</w:t>
      </w:r>
      <w:r>
        <w:rPr>
          <w:rFonts w:cs="Times New Roman" w:ascii="Times New Roman" w:hAnsi="Times New Roman"/>
          <w:b/>
          <w:sz w:val="32"/>
          <w:szCs w:val="32"/>
        </w:rPr>
        <w:t xml:space="preserve"> </w:t>
      </w:r>
      <w:r>
        <w:rPr>
          <w:rFonts w:cs="Times New Roman" w:ascii="Times New Roman" w:hAnsi="Times New Roman"/>
          <w:sz w:val="32"/>
          <w:szCs w:val="32"/>
        </w:rPr>
        <w:t>течение которого планируем провести ряд всероссийских мероприятий и масштабную работу по разработке Стратегии государственной демографической и семенной политики.</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 xml:space="preserve">Важным направлением социальной политики Российской Федерации является </w:t>
      </w:r>
      <w:r>
        <w:rPr>
          <w:rFonts w:cs="Times New Roman" w:ascii="Times New Roman" w:hAnsi="Times New Roman"/>
          <w:b/>
          <w:sz w:val="32"/>
          <w:szCs w:val="32"/>
        </w:rPr>
        <w:t>предупреждение социального сиротства</w:t>
      </w:r>
      <w:r>
        <w:rPr>
          <w:rFonts w:cs="Times New Roman" w:ascii="Times New Roman" w:hAnsi="Times New Roman"/>
          <w:sz w:val="32"/>
          <w:szCs w:val="32"/>
        </w:rPr>
        <w:t>.</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В этом направлении продолжается реализация федерального и региональных межведомственных планов мероприятий по профилактике социального сиротства. Результатами их реализации стало сокращение случаев лишения родительских прав (на 2,2%), отобраний детей у родителей при непосредственной угрозе их жизни и здоровью (на 12,6%).</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За последние 10 лет число детей-сирот, находящихся в организациях, сократилось на 66% (со 106 тыс. в 2013 году до 35 тыс. в 2023 году). Общая численность детей-сирот сократилась на 24% (с 491,5 тыс. в 2013 году до 375,7 тыс. в 2023 году).</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Ведется работа по совершенствованию законодательства в сфере семейного устройства детей-сирот. Правительством Российской Федерации разработан законопроект, которым совершенствуется система подбора и подготовки граждан, желающих принять ребенка на воспитание в семью, включая близких родственников, закрепляется обязанность органов опеки и попечительства по сопровождению опекунов и детей-сирот.</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 xml:space="preserve">Для сохранения детей в кровных семьях развивается оказание социальных услуг семьям в трудной жизненной ситуации. За счет проводимых мероприятий планомерно снижается количество семей в трудной жизненной ситуации: с 3,9 млн в 2020 году до 3,6 млн в 2022 году. </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С 2022 года в Российских регионах создаются организации для семей с детьми, где семья получает помощь по различным вопросам в одном месте, в формате «одного окна». За 2 года было открыто 55 таких Семейных многофункциональных центров.</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b/>
          <w:sz w:val="32"/>
          <w:szCs w:val="32"/>
        </w:rPr>
        <w:t>Одним из приоритетов</w:t>
      </w:r>
      <w:r>
        <w:rPr>
          <w:rFonts w:cs="Times New Roman" w:ascii="Times New Roman" w:hAnsi="Times New Roman"/>
          <w:sz w:val="32"/>
          <w:szCs w:val="32"/>
        </w:rPr>
        <w:t xml:space="preserve"> государственной политики также является </w:t>
      </w:r>
      <w:r>
        <w:rPr>
          <w:rFonts w:cs="Times New Roman" w:ascii="Times New Roman" w:hAnsi="Times New Roman"/>
          <w:b/>
          <w:sz w:val="32"/>
          <w:szCs w:val="32"/>
        </w:rPr>
        <w:t>сохранение здоровья детей</w:t>
      </w:r>
      <w:r>
        <w:rPr>
          <w:rFonts w:cs="Times New Roman" w:ascii="Times New Roman" w:hAnsi="Times New Roman"/>
          <w:sz w:val="32"/>
          <w:szCs w:val="32"/>
        </w:rPr>
        <w:t>.</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Начато проведение массового обследования новорожденных на врожденные и наследственные заболевания. Для этого в 2022 году созданы 10 региональных центров расширенного неонатального скрининга, работа которых позволяет диагностировать более 40 врожденных и наследственных заболеваний в самом начале их развития и своевременно назначать лечение детям. Охват неонатальным скринингом в настоящее время составляет более 99% детей от общего числа новорожденных, поступивших под наблюдение медицинской организации.</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Для сохранения и укрепления здоровья детей проводятся ежегодные профилактические осмотры, которыми охвачено почти 94% всех детей (25,7 млн детей).</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Особое внимание уделяется профилактике суицидов среди детей. Так, до 2025 года реализуется комплекс мероприятий, направленных на их предотвращение. Одним из важных инструментов работы является детский телефон доверия, функционирующий на территории всей страны. В 79 регионах помощь оказывается в круглосуточном режиме.</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Для повышения доступности и качества медицинской помощи в рамках национального проекта «Здравоохранение» ведется обучение детских специалистов, открываются новые детские больницы, закупается оборудование, сроки ожидания консультаций у специалистов не могут превышать 14 дней.</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В целях профилактики детской инвалидности продолжается развитие системы ранней помощи детям и их семьям.</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Особое внимание уделяется детям с тяжелыми жизнеугрожающими и хроническими, в том числе редкими, заболеваниями, приводящими к ранней инвалидности и сокращению продолжительности жизни. С 2021 года создан Фонд «Круг добра», обеспечивающий таких детей лекарственными препаратами и медицинскими изделиями, техническими средствами реабилитации. За 3 года помощь получили более 23 тыс. детей.</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В Российской Федерации продолжается работа по обеспечению семей с детьми дошкольным образованием. В 2022 году дошкольным образованием было охвачено 6,8 млн детей, а доступность этой ступени образования для детей в возрасте от 3 до 7 лет близка к 100% (составляет 99,6%).</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Создается и улучшается инфраструктура образования. За 5 лет в эксплуатацию введены почти 789 тыс. новых мест в школах. Создано 265,5 тыс. дополнительных мест в дошкольных образовательных организациях за счет строительства более полутора тысяч детских садов, а также ввода 18,6 тыс. мест в негосударственных дошкольных учреждениях.</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Уделяется большое внимание гармонизации отношений между всеми участниками учебно-воспитательного процесса. Важная роль в этом отведена деятельности служб школьной медиации и примирения, которых в 2023 году насчитывалось более 33 тыс.</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В системе школьного образования продолжает развиваться инклюзивный подход. Ежегодно увеличивается число обучающихся, получающих инклюзивное образование. В 2022 году насчитывалось почти 542 тыс. таких обучающихся, что на 7,5% больше по сравнению с 2021 годом.</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Создаются условия для получения образования несовершеннолетними иностранными гражданами. В 2022 году был утвержден Комплекс мер по социализации и психологической адаптации таких граждан.</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В прошедшем году также были внесены изменения, расширившие возможность получения образования в привычной среде для детей коренных малочисленных народов Севера, Сибири и Дальнего Востока России.</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С учетом темпов развития информационных технологий особую актуальность приобретают вопросы</w:t>
      </w:r>
      <w:r>
        <w:rPr>
          <w:rFonts w:cs="Times New Roman" w:ascii="Times New Roman" w:hAnsi="Times New Roman"/>
          <w:b/>
          <w:sz w:val="32"/>
          <w:szCs w:val="32"/>
        </w:rPr>
        <w:t xml:space="preserve"> безопасности детей в информационном пространстве</w:t>
      </w:r>
      <w:r>
        <w:rPr>
          <w:rFonts w:cs="Times New Roman" w:ascii="Times New Roman" w:hAnsi="Times New Roman"/>
          <w:sz w:val="32"/>
          <w:szCs w:val="32"/>
        </w:rPr>
        <w:t>.</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В 2023 году была актуализирована Концепция информационной безопасности детей, мероприятия которой направлены на повышение грамотности детей, защиту от деструктивного информационно-психологического воздействия, обеспечение защиты персональных данных детей, предупреждение социально опасного поведения детей, воспитания у детей ответственности, толерантности, уважения к традиционным ценностям.</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 xml:space="preserve">Планомерно развивается процессуальное законодательство в сфере </w:t>
      </w:r>
      <w:r>
        <w:rPr>
          <w:rFonts w:cs="Times New Roman" w:ascii="Times New Roman" w:hAnsi="Times New Roman"/>
          <w:b/>
          <w:sz w:val="32"/>
          <w:szCs w:val="32"/>
        </w:rPr>
        <w:t>обеспечения дружественного к ребенку правосудия</w:t>
      </w:r>
      <w:r>
        <w:rPr>
          <w:rFonts w:cs="Times New Roman" w:ascii="Times New Roman" w:hAnsi="Times New Roman"/>
          <w:sz w:val="32"/>
          <w:szCs w:val="32"/>
        </w:rPr>
        <w:t>. В 2022 году установлено обязательное участие педагога или психолога при допросе потерпевших и свидетелей в возрасте до 16 лет. Разработан проект федерального закона о неприменении к несовершеннолетним меры пресечения в виде заключения под стражу за преступления небольшой тяжести и ненасильственные преступления средней тяжести.</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 xml:space="preserve">Продолжена работа по </w:t>
      </w:r>
      <w:r>
        <w:rPr>
          <w:rFonts w:cs="Times New Roman" w:ascii="Times New Roman" w:hAnsi="Times New Roman"/>
          <w:b/>
          <w:sz w:val="32"/>
          <w:szCs w:val="32"/>
        </w:rPr>
        <w:t>укреплению гарантий прав</w:t>
      </w:r>
      <w:r>
        <w:rPr>
          <w:rFonts w:cs="Times New Roman" w:ascii="Times New Roman" w:hAnsi="Times New Roman"/>
          <w:sz w:val="32"/>
          <w:szCs w:val="32"/>
        </w:rPr>
        <w:t xml:space="preserve"> детей в сфере </w:t>
      </w:r>
      <w:r>
        <w:rPr>
          <w:rFonts w:cs="Times New Roman" w:ascii="Times New Roman" w:hAnsi="Times New Roman"/>
          <w:b/>
          <w:sz w:val="32"/>
          <w:szCs w:val="32"/>
        </w:rPr>
        <w:t>защиты от преступлений</w:t>
      </w:r>
      <w:r>
        <w:rPr>
          <w:rFonts w:cs="Times New Roman" w:ascii="Times New Roman" w:hAnsi="Times New Roman"/>
          <w:sz w:val="32"/>
          <w:szCs w:val="32"/>
        </w:rPr>
        <w:t>. Усилена ответственность за понуждение детей к действиям сексуального характера. Введена ответственность за укрывательство тяжких преступлений в отношении детей. С 2022 года совершение насильственных действий сексуального характера в отношении детей в возрасте 14 лет и старше наказывается пожизненным лишением свободы.</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Наша цель – следование существующим международным стандартам в области прав ребенка, которые не противоречат нормам Конституции нашей страны, о чем свидетельствуют проводимые нами мероприятия. Хочу подчеркнуть, что прошедшие за время последней защиты докладов законодательные изменения принимаются при активном участии гражданского общества.</w:t>
      </w:r>
    </w:p>
    <w:p>
      <w:pPr>
        <w:pStyle w:val="ListParagraph"/>
        <w:spacing w:lineRule="auto" w:line="360" w:before="0" w:after="0"/>
        <w:ind w:left="0" w:firstLine="709"/>
        <w:contextualSpacing/>
        <w:jc w:val="both"/>
        <w:rPr>
          <w:rFonts w:ascii="Times New Roman" w:hAnsi="Times New Roman" w:cs="Times New Roman"/>
          <w:sz w:val="32"/>
          <w:szCs w:val="32"/>
        </w:rPr>
      </w:pPr>
      <w:r>
        <w:rPr>
          <w:rFonts w:cs="Times New Roman" w:ascii="Times New Roman" w:hAnsi="Times New Roman"/>
          <w:sz w:val="32"/>
          <w:szCs w:val="32"/>
        </w:rPr>
        <w:t>Члены нашей делегации готовы ответить на ваши вопросы и</w:t>
      </w:r>
      <w:r>
        <w:rPr>
          <w:rFonts w:cs="Times New Roman" w:ascii="Times New Roman" w:hAnsi="Times New Roman"/>
          <w:b/>
          <w:sz w:val="32"/>
          <w:szCs w:val="32"/>
        </w:rPr>
        <w:t xml:space="preserve"> </w:t>
      </w:r>
      <w:r>
        <w:rPr>
          <w:rFonts w:cs="Times New Roman" w:ascii="Times New Roman" w:hAnsi="Times New Roman"/>
          <w:sz w:val="32"/>
          <w:szCs w:val="32"/>
        </w:rPr>
        <w:t xml:space="preserve">выслушать рекомендации. </w:t>
      </w:r>
    </w:p>
    <w:p>
      <w:pPr>
        <w:pStyle w:val="ListParagraph"/>
        <w:spacing w:lineRule="auto" w:line="360" w:before="0" w:after="0"/>
        <w:ind w:left="0" w:firstLine="709"/>
        <w:contextualSpacing/>
        <w:jc w:val="both"/>
        <w:rPr/>
      </w:pPr>
      <w:r>
        <w:rPr>
          <w:rFonts w:cs="Times New Roman" w:ascii="Times New Roman" w:hAnsi="Times New Roman"/>
          <w:sz w:val="32"/>
          <w:szCs w:val="32"/>
        </w:rPr>
        <w:t>Благодарю за внимание.</w:t>
      </w:r>
    </w:p>
    <w:sectPr>
      <w:headerReference w:type="default" r:id="rId2"/>
      <w:type w:val="nextPage"/>
      <w:pgSz w:w="11906" w:h="16838"/>
      <w:pgMar w:left="1134" w:right="566" w:header="708" w:top="765" w:footer="0" w:bottom="1134" w:gutter="0"/>
      <w:pgNumType w:fmt="decimal"/>
      <w:formProt w:val="false"/>
      <w:titlePg/>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Segoe UI">
    <w:charset w:val="01"/>
    <w:family w:val="roman"/>
    <w:pitch w:val="variable"/>
  </w:font>
  <w:font w:name="Arial">
    <w:charset w:val="01"/>
    <w:family w:val="roman"/>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907423349"/>
    </w:sdtPr>
    <w:sdtContent>
      <w:p>
        <w:pPr>
          <w:pStyle w:val="Style24"/>
          <w:jc w:val="center"/>
          <w:rPr/>
        </w:pPr>
        <w:r>
          <w:rPr/>
          <w:fldChar w:fldCharType="begin"/>
        </w:r>
        <w:r>
          <w:rPr/>
          <w:instrText> PAGE </w:instrText>
        </w:r>
        <w:r>
          <w:rPr/>
          <w:fldChar w:fldCharType="separate"/>
        </w:r>
        <w:r>
          <w:rPr/>
          <w:t>8</w:t>
        </w:r>
        <w:r>
          <w:rPr/>
          <w:fldChar w:fldCharType="end"/>
        </w:r>
      </w:p>
    </w:sdtContent>
  </w:sdt>
  <w:p>
    <w:pPr>
      <w:pStyle w:val="Style24"/>
      <w:rPr/>
    </w:pPr>
    <w:r>
      <w:rPr/>
    </w:r>
  </w:p>
</w:hdr>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uiPriority w:val="99"/>
    <w:qFormat/>
    <w:rsid w:val="00d0796a"/>
    <w:rPr/>
  </w:style>
  <w:style w:type="character" w:styleId="Style15" w:customStyle="1">
    <w:name w:val="Нижний колонтитул Знак"/>
    <w:basedOn w:val="DefaultParagraphFont"/>
    <w:uiPriority w:val="99"/>
    <w:qFormat/>
    <w:rsid w:val="00d0796a"/>
    <w:rPr/>
  </w:style>
  <w:style w:type="character" w:styleId="Annotationreference">
    <w:name w:val="annotation reference"/>
    <w:basedOn w:val="DefaultParagraphFont"/>
    <w:uiPriority w:val="99"/>
    <w:semiHidden/>
    <w:unhideWhenUsed/>
    <w:qFormat/>
    <w:rsid w:val="00b61ae4"/>
    <w:rPr>
      <w:sz w:val="16"/>
      <w:szCs w:val="16"/>
    </w:rPr>
  </w:style>
  <w:style w:type="character" w:styleId="Style16" w:customStyle="1">
    <w:name w:val="Текст примечания Знак"/>
    <w:basedOn w:val="DefaultParagraphFont"/>
    <w:uiPriority w:val="99"/>
    <w:semiHidden/>
    <w:qFormat/>
    <w:rsid w:val="00b61ae4"/>
    <w:rPr>
      <w:sz w:val="20"/>
      <w:szCs w:val="20"/>
    </w:rPr>
  </w:style>
  <w:style w:type="character" w:styleId="Style17" w:customStyle="1">
    <w:name w:val="Тема примечания Знак"/>
    <w:basedOn w:val="Style16"/>
    <w:uiPriority w:val="99"/>
    <w:semiHidden/>
    <w:qFormat/>
    <w:rsid w:val="00b61ae4"/>
    <w:rPr>
      <w:b/>
      <w:bCs/>
      <w:sz w:val="20"/>
      <w:szCs w:val="20"/>
    </w:rPr>
  </w:style>
  <w:style w:type="character" w:styleId="Style18" w:customStyle="1">
    <w:name w:val="Текст выноски Знак"/>
    <w:basedOn w:val="DefaultParagraphFont"/>
    <w:uiPriority w:val="99"/>
    <w:semiHidden/>
    <w:qFormat/>
    <w:rsid w:val="00b61ae4"/>
    <w:rPr>
      <w:rFonts w:ascii="Segoe UI" w:hAnsi="Segoe UI" w:cs="Segoe UI"/>
      <w:sz w:val="18"/>
      <w:szCs w:val="18"/>
    </w:rPr>
  </w:style>
  <w:style w:type="paragraph" w:styleId="Style19" w:customStyle="1">
    <w:name w:val="Заголовок"/>
    <w:basedOn w:val="Normal"/>
    <w:next w:val="Style20"/>
    <w:qFormat/>
    <w:pPr>
      <w:keepNext w:val="true"/>
      <w:spacing w:before="240" w:after="120"/>
    </w:pPr>
    <w:rPr>
      <w:rFonts w:ascii="Arial" w:hAnsi="Arial" w:eastAsia="Tahoma" w:cs="Lohit Hindi"/>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cs="Lohit Hindi"/>
    </w:rPr>
  </w:style>
  <w:style w:type="paragraph" w:styleId="Style22">
    <w:name w:val="Caption"/>
    <w:basedOn w:val="Normal"/>
    <w:qFormat/>
    <w:pPr>
      <w:suppressLineNumbers/>
      <w:spacing w:before="120" w:after="120"/>
    </w:pPr>
    <w:rPr>
      <w:rFonts w:cs="DejaVu Sans"/>
      <w:i/>
      <w:iCs/>
      <w:sz w:val="24"/>
      <w:szCs w:val="24"/>
    </w:rPr>
  </w:style>
  <w:style w:type="paragraph" w:styleId="Style23">
    <w:name w:val="Указатель"/>
    <w:basedOn w:val="Normal"/>
    <w:qFormat/>
    <w:pPr>
      <w:suppressLineNumbers/>
    </w:pPr>
    <w:rPr>
      <w:rFonts w:cs="DejaVu Sans"/>
    </w:rPr>
  </w:style>
  <w:style w:type="paragraph" w:styleId="Caption">
    <w:name w:val="caption"/>
    <w:basedOn w:val="Normal"/>
    <w:qFormat/>
    <w:pPr>
      <w:suppressLineNumbers/>
      <w:spacing w:before="120" w:after="120"/>
    </w:pPr>
    <w:rPr>
      <w:rFonts w:cs="Lohit Hindi"/>
      <w:i/>
      <w:iCs/>
      <w:sz w:val="24"/>
      <w:szCs w:val="24"/>
    </w:rPr>
  </w:style>
  <w:style w:type="paragraph" w:styleId="Indexheading">
    <w:name w:val="index heading"/>
    <w:basedOn w:val="Normal"/>
    <w:qFormat/>
    <w:pPr>
      <w:suppressLineNumbers/>
    </w:pPr>
    <w:rPr>
      <w:rFonts w:cs="Lohit Hindi"/>
    </w:rPr>
  </w:style>
  <w:style w:type="paragraph" w:styleId="ListParagraph">
    <w:name w:val="List Paragraph"/>
    <w:basedOn w:val="Normal"/>
    <w:uiPriority w:val="34"/>
    <w:qFormat/>
    <w:rsid w:val="0019794a"/>
    <w:pPr>
      <w:spacing w:before="0" w:after="160"/>
      <w:ind w:left="720" w:hanging="0"/>
      <w:contextualSpacing/>
    </w:pPr>
    <w:rPr/>
  </w:style>
  <w:style w:type="paragraph" w:styleId="Style24">
    <w:name w:val="Header"/>
    <w:basedOn w:val="Normal"/>
    <w:uiPriority w:val="99"/>
    <w:unhideWhenUsed/>
    <w:rsid w:val="00d0796a"/>
    <w:pPr>
      <w:tabs>
        <w:tab w:val="clear" w:pos="708"/>
        <w:tab w:val="center" w:pos="4677" w:leader="none"/>
        <w:tab w:val="right" w:pos="9355" w:leader="none"/>
      </w:tabs>
      <w:spacing w:lineRule="auto" w:line="240" w:before="0" w:after="0"/>
    </w:pPr>
    <w:rPr/>
  </w:style>
  <w:style w:type="paragraph" w:styleId="Style25">
    <w:name w:val="Footer"/>
    <w:basedOn w:val="Normal"/>
    <w:uiPriority w:val="99"/>
    <w:unhideWhenUsed/>
    <w:rsid w:val="00d0796a"/>
    <w:pPr>
      <w:tabs>
        <w:tab w:val="clear" w:pos="708"/>
        <w:tab w:val="center" w:pos="4677" w:leader="none"/>
        <w:tab w:val="right" w:pos="9355" w:leader="none"/>
      </w:tabs>
      <w:spacing w:lineRule="auto" w:line="240" w:before="0" w:after="0"/>
    </w:pPr>
    <w:rPr/>
  </w:style>
  <w:style w:type="paragraph" w:styleId="NormalWeb">
    <w:name w:val="Normal (Web)"/>
    <w:basedOn w:val="Normal"/>
    <w:uiPriority w:val="99"/>
    <w:semiHidden/>
    <w:unhideWhenUsed/>
    <w:qFormat/>
    <w:rsid w:val="00bc631f"/>
    <w:pPr>
      <w:spacing w:lineRule="auto" w:line="240" w:beforeAutospacing="1" w:afterAutospacing="1"/>
    </w:pPr>
    <w:rPr>
      <w:rFonts w:ascii="Times New Roman" w:hAnsi="Times New Roman" w:eastAsia="Times New Roman" w:cs="Times New Roman"/>
      <w:sz w:val="24"/>
      <w:szCs w:val="24"/>
      <w:lang w:eastAsia="ru-RU"/>
    </w:rPr>
  </w:style>
  <w:style w:type="paragraph" w:styleId="Annotationtext">
    <w:name w:val="annotation text"/>
    <w:basedOn w:val="Normal"/>
    <w:uiPriority w:val="99"/>
    <w:semiHidden/>
    <w:unhideWhenUsed/>
    <w:qFormat/>
    <w:rsid w:val="00b61ae4"/>
    <w:pPr>
      <w:spacing w:lineRule="auto" w:line="240"/>
    </w:pPr>
    <w:rPr>
      <w:sz w:val="20"/>
      <w:szCs w:val="20"/>
    </w:rPr>
  </w:style>
  <w:style w:type="paragraph" w:styleId="Annotationsubject">
    <w:name w:val="annotation subject"/>
    <w:basedOn w:val="Annotationtext"/>
    <w:next w:val="Annotationtext"/>
    <w:uiPriority w:val="99"/>
    <w:semiHidden/>
    <w:unhideWhenUsed/>
    <w:qFormat/>
    <w:rsid w:val="00b61ae4"/>
    <w:pPr/>
    <w:rPr>
      <w:b/>
      <w:bCs/>
    </w:rPr>
  </w:style>
  <w:style w:type="paragraph" w:styleId="BalloonText">
    <w:name w:val="Balloon Text"/>
    <w:basedOn w:val="Normal"/>
    <w:uiPriority w:val="99"/>
    <w:semiHidden/>
    <w:unhideWhenUsed/>
    <w:qFormat/>
    <w:rsid w:val="00b61ae4"/>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Application>ZirkonOffice/6.1.4.69$Linux_X86_64 LibreOffice_project/47d75f130dc3b2f8215ce8b744f6b7537bc76fd1</Application>
  <Pages>3</Pages>
  <Words>1319</Words>
  <Characters>9042</Characters>
  <CharactersWithSpaces>10321</CharactersWithSpaces>
  <Paragraphs>50</Paragraphs>
  <Company>MID RF</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2024-01-18T15:56:00Z</dcterms:created>
  <dc:creator>Котова Евгения Олеговна</dc:creator>
  <dc:description/>
  <dc:language>ru-RU</dc:language>
  <cp:lastModifiedBy>User</cp:lastModifiedBy>
  <dcterms:modified xsi:type="dcterms:W3CDTF">2024-01-18T15:56:00Z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MID RF</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