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7B0CA" w14:textId="1D3CF3E5" w:rsidR="00090AA5" w:rsidRPr="00D366EA" w:rsidRDefault="00090AA5" w:rsidP="00D366EA">
      <w:pPr>
        <w:spacing w:after="0" w:line="240" w:lineRule="auto"/>
        <w:contextualSpacing/>
        <w:jc w:val="both"/>
        <w:rPr>
          <w:rFonts w:cstheme="minorHAnsi"/>
          <w:b/>
          <w:sz w:val="24"/>
          <w:szCs w:val="24"/>
        </w:rPr>
      </w:pPr>
      <w:r w:rsidRPr="00D366EA">
        <w:rPr>
          <w:rFonts w:cstheme="minorHAnsi"/>
          <w:b/>
          <w:sz w:val="24"/>
          <w:szCs w:val="24"/>
        </w:rPr>
        <w:t>Title: Shadow Report on the Implementation of Article 11 of the Convention on the Elimination of All Forms of Discrimination Against Women (CEDAW) in Albania</w:t>
      </w:r>
    </w:p>
    <w:p w14:paraId="1760B192" w14:textId="4D9EC07C" w:rsidR="006965D5" w:rsidRPr="00D366EA" w:rsidRDefault="00090AA5" w:rsidP="00D366EA">
      <w:pPr>
        <w:spacing w:after="0" w:line="240" w:lineRule="auto"/>
        <w:contextualSpacing/>
        <w:jc w:val="both"/>
        <w:rPr>
          <w:rFonts w:cstheme="minorHAnsi"/>
          <w:b/>
          <w:bCs/>
          <w:sz w:val="24"/>
          <w:szCs w:val="24"/>
        </w:rPr>
      </w:pPr>
      <w:r w:rsidRPr="00D366EA">
        <w:rPr>
          <w:rFonts w:cstheme="minorHAnsi"/>
          <w:b/>
          <w:bCs/>
          <w:sz w:val="24"/>
          <w:szCs w:val="24"/>
        </w:rPr>
        <w:t xml:space="preserve">Presented by the </w:t>
      </w:r>
      <w:r w:rsidR="004A55C5" w:rsidRPr="00D366EA">
        <w:rPr>
          <w:rFonts w:cstheme="minorHAnsi"/>
          <w:b/>
          <w:bCs/>
          <w:sz w:val="24"/>
          <w:szCs w:val="24"/>
        </w:rPr>
        <w:t xml:space="preserve">Gender Alliance for Development Centre representing </w:t>
      </w:r>
      <w:r w:rsidR="007F6308" w:rsidRPr="00D366EA">
        <w:rPr>
          <w:rFonts w:cstheme="minorHAnsi"/>
          <w:b/>
          <w:bCs/>
          <w:sz w:val="24"/>
          <w:szCs w:val="24"/>
        </w:rPr>
        <w:t xml:space="preserve">the </w:t>
      </w:r>
      <w:r w:rsidRPr="00D366EA">
        <w:rPr>
          <w:rFonts w:cstheme="minorHAnsi"/>
          <w:b/>
          <w:bCs/>
          <w:sz w:val="24"/>
          <w:szCs w:val="24"/>
        </w:rPr>
        <w:t xml:space="preserve">Albanian Coalition for </w:t>
      </w:r>
      <w:proofErr w:type="spellStart"/>
      <w:r w:rsidRPr="00D366EA">
        <w:rPr>
          <w:rFonts w:cstheme="minorHAnsi"/>
          <w:b/>
          <w:bCs/>
          <w:sz w:val="24"/>
          <w:szCs w:val="24"/>
        </w:rPr>
        <w:t>Labour</w:t>
      </w:r>
      <w:proofErr w:type="spellEnd"/>
      <w:r w:rsidRPr="00D366EA">
        <w:rPr>
          <w:rFonts w:cstheme="minorHAnsi"/>
          <w:b/>
          <w:bCs/>
          <w:sz w:val="24"/>
          <w:szCs w:val="24"/>
        </w:rPr>
        <w:t xml:space="preserve"> Rights</w:t>
      </w:r>
    </w:p>
    <w:p w14:paraId="4BFB4800" w14:textId="18E16B6E" w:rsidR="00090AA5" w:rsidRPr="00D366EA" w:rsidRDefault="00090AA5" w:rsidP="00D366EA">
      <w:pPr>
        <w:spacing w:after="0" w:line="240" w:lineRule="auto"/>
        <w:contextualSpacing/>
        <w:jc w:val="both"/>
        <w:rPr>
          <w:rFonts w:cstheme="minorHAnsi"/>
          <w:b/>
          <w:bCs/>
          <w:sz w:val="24"/>
          <w:szCs w:val="24"/>
        </w:rPr>
      </w:pPr>
      <w:r w:rsidRPr="00D366EA">
        <w:rPr>
          <w:rFonts w:cstheme="minorHAnsi"/>
          <w:b/>
          <w:bCs/>
          <w:sz w:val="24"/>
          <w:szCs w:val="24"/>
        </w:rPr>
        <w:t>To the Committee on the Elimination of Discrimination Against Women (CEDAW)</w:t>
      </w:r>
    </w:p>
    <w:p w14:paraId="1AE31376" w14:textId="146E47B3" w:rsidR="009A75E8" w:rsidRPr="00D366EA" w:rsidRDefault="009A75E8" w:rsidP="00D366EA">
      <w:pPr>
        <w:spacing w:after="0" w:line="240" w:lineRule="auto"/>
        <w:contextualSpacing/>
        <w:jc w:val="both"/>
        <w:rPr>
          <w:rFonts w:cstheme="minorHAnsi"/>
          <w:b/>
          <w:bCs/>
          <w:sz w:val="24"/>
          <w:szCs w:val="24"/>
        </w:rPr>
      </w:pPr>
    </w:p>
    <w:p w14:paraId="65C1497C" w14:textId="77777777" w:rsidR="009A75E8" w:rsidRPr="00D366EA" w:rsidRDefault="009A75E8" w:rsidP="00D366EA">
      <w:pPr>
        <w:spacing w:after="0" w:line="240" w:lineRule="auto"/>
        <w:contextualSpacing/>
        <w:jc w:val="both"/>
        <w:rPr>
          <w:rFonts w:cstheme="minorHAnsi"/>
          <w:b/>
          <w:bCs/>
          <w:sz w:val="24"/>
          <w:szCs w:val="24"/>
        </w:rPr>
      </w:pPr>
    </w:p>
    <w:p w14:paraId="4559532C" w14:textId="6F06CFEE" w:rsidR="00090AA5" w:rsidRPr="00D366EA" w:rsidRDefault="00090AA5" w:rsidP="00D366EA">
      <w:pPr>
        <w:spacing w:after="0" w:line="240" w:lineRule="auto"/>
        <w:contextualSpacing/>
        <w:jc w:val="both"/>
        <w:rPr>
          <w:rFonts w:cstheme="minorHAnsi"/>
          <w:sz w:val="24"/>
          <w:szCs w:val="24"/>
        </w:rPr>
      </w:pPr>
      <w:r w:rsidRPr="00D366EA">
        <w:rPr>
          <w:rFonts w:cstheme="minorHAnsi"/>
          <w:sz w:val="24"/>
          <w:szCs w:val="24"/>
        </w:rPr>
        <w:t xml:space="preserve">The Albanian Coalition for </w:t>
      </w:r>
      <w:proofErr w:type="spellStart"/>
      <w:r w:rsidRPr="00D366EA">
        <w:rPr>
          <w:rFonts w:cstheme="minorHAnsi"/>
          <w:sz w:val="24"/>
          <w:szCs w:val="24"/>
        </w:rPr>
        <w:t>Labour</w:t>
      </w:r>
      <w:proofErr w:type="spellEnd"/>
      <w:r w:rsidRPr="00D366EA">
        <w:rPr>
          <w:rFonts w:cstheme="minorHAnsi"/>
          <w:sz w:val="24"/>
          <w:szCs w:val="24"/>
        </w:rPr>
        <w:t xml:space="preserve"> Rights is a collaborative effort, uniting prominent organizations such as Centre for </w:t>
      </w:r>
      <w:proofErr w:type="spellStart"/>
      <w:r w:rsidRPr="00D366EA">
        <w:rPr>
          <w:rFonts w:cstheme="minorHAnsi"/>
          <w:sz w:val="24"/>
          <w:szCs w:val="24"/>
        </w:rPr>
        <w:t>Labour</w:t>
      </w:r>
      <w:proofErr w:type="spellEnd"/>
      <w:r w:rsidRPr="00D366EA">
        <w:rPr>
          <w:rFonts w:cstheme="minorHAnsi"/>
          <w:sz w:val="24"/>
          <w:szCs w:val="24"/>
        </w:rPr>
        <w:t xml:space="preserve"> Rights (CLR)</w:t>
      </w:r>
      <w:r w:rsidRPr="00D366EA">
        <w:rPr>
          <w:rStyle w:val="FootnoteReference"/>
          <w:rFonts w:cstheme="minorHAnsi"/>
          <w:sz w:val="24"/>
          <w:szCs w:val="24"/>
        </w:rPr>
        <w:footnoteReference w:id="1"/>
      </w:r>
      <w:r w:rsidRPr="00D366EA">
        <w:rPr>
          <w:rFonts w:cstheme="minorHAnsi"/>
          <w:sz w:val="24"/>
          <w:szCs w:val="24"/>
        </w:rPr>
        <w:t>, Gender Alliance for Development Center (GADC)</w:t>
      </w:r>
      <w:r w:rsidRPr="00D366EA">
        <w:rPr>
          <w:rStyle w:val="FootnoteReference"/>
          <w:rFonts w:cstheme="minorHAnsi"/>
          <w:sz w:val="24"/>
          <w:szCs w:val="24"/>
        </w:rPr>
        <w:footnoteReference w:id="2"/>
      </w:r>
      <w:r w:rsidRPr="00D366EA">
        <w:rPr>
          <w:rFonts w:cstheme="minorHAnsi"/>
          <w:sz w:val="24"/>
          <w:szCs w:val="24"/>
        </w:rPr>
        <w:t>; National Union of Call-Centre Operators (SKOT)</w:t>
      </w:r>
      <w:r w:rsidRPr="00D366EA">
        <w:rPr>
          <w:rStyle w:val="FootnoteReference"/>
          <w:rFonts w:cstheme="minorHAnsi"/>
          <w:sz w:val="24"/>
          <w:szCs w:val="24"/>
        </w:rPr>
        <w:footnoteReference w:id="3"/>
      </w:r>
      <w:r w:rsidRPr="00D366EA">
        <w:rPr>
          <w:rFonts w:cstheme="minorHAnsi"/>
          <w:sz w:val="24"/>
          <w:szCs w:val="24"/>
        </w:rPr>
        <w:t>; Union of Health Sector employees (SPSHSH)</w:t>
      </w:r>
      <w:r w:rsidRPr="00D366EA">
        <w:rPr>
          <w:rStyle w:val="FootnoteReference"/>
          <w:rFonts w:cstheme="minorHAnsi"/>
          <w:sz w:val="24"/>
          <w:szCs w:val="24"/>
        </w:rPr>
        <w:footnoteReference w:id="4"/>
      </w:r>
      <w:r w:rsidRPr="00D366EA">
        <w:rPr>
          <w:rFonts w:cstheme="minorHAnsi"/>
          <w:sz w:val="24"/>
          <w:szCs w:val="24"/>
        </w:rPr>
        <w:t>; Organization "Social Justice";</w:t>
      </w:r>
      <w:r w:rsidRPr="00D366EA">
        <w:rPr>
          <w:rStyle w:val="FootnoteReference"/>
          <w:rFonts w:cstheme="minorHAnsi"/>
          <w:sz w:val="24"/>
          <w:szCs w:val="24"/>
        </w:rPr>
        <w:footnoteReference w:id="5"/>
      </w:r>
      <w:r w:rsidRPr="00D366EA">
        <w:rPr>
          <w:rFonts w:cstheme="minorHAnsi"/>
          <w:sz w:val="24"/>
          <w:szCs w:val="24"/>
        </w:rPr>
        <w:t xml:space="preserve">  Egyptian, and Roma Youth Movement (LRER)</w:t>
      </w:r>
      <w:r w:rsidRPr="00D366EA">
        <w:rPr>
          <w:rStyle w:val="FootnoteReference"/>
          <w:rFonts w:cstheme="minorHAnsi"/>
          <w:sz w:val="24"/>
          <w:szCs w:val="24"/>
        </w:rPr>
        <w:footnoteReference w:id="6"/>
      </w:r>
      <w:r w:rsidRPr="00D366EA">
        <w:rPr>
          <w:rFonts w:cstheme="minorHAnsi"/>
          <w:sz w:val="24"/>
          <w:szCs w:val="24"/>
        </w:rPr>
        <w:t>. Our collective mission is to champion and protect the labor rights of Albania's workforce.</w:t>
      </w:r>
    </w:p>
    <w:p w14:paraId="7C6C424A" w14:textId="5DDA39A6" w:rsidR="005A4032" w:rsidRPr="00D366EA" w:rsidRDefault="005A4032" w:rsidP="00D366EA">
      <w:pPr>
        <w:spacing w:after="0" w:line="240" w:lineRule="auto"/>
        <w:contextualSpacing/>
        <w:jc w:val="both"/>
        <w:rPr>
          <w:rFonts w:cstheme="minorHAnsi"/>
          <w:sz w:val="24"/>
          <w:szCs w:val="24"/>
        </w:rPr>
      </w:pPr>
      <w:r w:rsidRPr="00D366EA">
        <w:rPr>
          <w:rFonts w:cstheme="minorHAnsi"/>
          <w:sz w:val="24"/>
          <w:szCs w:val="24"/>
        </w:rPr>
        <w:t xml:space="preserve">In presenting this report to the Committee on the Elimination of Discrimination Against Women (CEDAW), we seek to offer a comprehensive perspective on the employment situation in Albania, particularly in accordance with Article 11. While Albania's government aspires to align its legal and policy framework with international standards and European Union requirements, certain sectors, </w:t>
      </w:r>
      <w:r w:rsidR="00A863AD" w:rsidRPr="00D366EA">
        <w:rPr>
          <w:rFonts w:cstheme="minorHAnsi"/>
          <w:sz w:val="24"/>
          <w:szCs w:val="24"/>
        </w:rPr>
        <w:t xml:space="preserve">there are industries </w:t>
      </w:r>
      <w:r w:rsidRPr="00D366EA">
        <w:rPr>
          <w:rFonts w:cstheme="minorHAnsi"/>
          <w:sz w:val="24"/>
          <w:szCs w:val="24"/>
        </w:rPr>
        <w:t xml:space="preserve">such as clothing and footwear production, the cleaning sector, </w:t>
      </w:r>
      <w:r w:rsidR="00FE78E6" w:rsidRPr="00D366EA">
        <w:rPr>
          <w:rFonts w:cstheme="minorHAnsi"/>
          <w:sz w:val="24"/>
          <w:szCs w:val="24"/>
        </w:rPr>
        <w:t xml:space="preserve">call centers, health sector, and oil </w:t>
      </w:r>
      <w:r w:rsidR="00A863AD" w:rsidRPr="00D366EA">
        <w:rPr>
          <w:rFonts w:cstheme="minorHAnsi"/>
          <w:sz w:val="24"/>
          <w:szCs w:val="24"/>
        </w:rPr>
        <w:t>manufacturing that</w:t>
      </w:r>
      <w:r w:rsidR="00FE78E6" w:rsidRPr="00D366EA">
        <w:rPr>
          <w:rFonts w:cstheme="minorHAnsi"/>
          <w:sz w:val="24"/>
          <w:szCs w:val="24"/>
        </w:rPr>
        <w:t xml:space="preserve"> </w:t>
      </w:r>
      <w:r w:rsidRPr="00D366EA">
        <w:rPr>
          <w:rFonts w:cstheme="minorHAnsi"/>
          <w:sz w:val="24"/>
          <w:szCs w:val="24"/>
        </w:rPr>
        <w:t xml:space="preserve">still fall short in </w:t>
      </w:r>
      <w:r w:rsidR="00E24362" w:rsidRPr="00D366EA">
        <w:rPr>
          <w:rFonts w:cstheme="minorHAnsi"/>
          <w:sz w:val="24"/>
          <w:szCs w:val="24"/>
        </w:rPr>
        <w:t xml:space="preserve">providing </w:t>
      </w:r>
      <w:r w:rsidRPr="00D366EA">
        <w:rPr>
          <w:rFonts w:cstheme="minorHAnsi"/>
          <w:sz w:val="24"/>
          <w:szCs w:val="24"/>
        </w:rPr>
        <w:t>workers full rights and adequate protection from Albanian institutions.</w:t>
      </w:r>
    </w:p>
    <w:p w14:paraId="07D7D561" w14:textId="77777777" w:rsidR="005A4032" w:rsidRPr="00D366EA" w:rsidRDefault="005A4032" w:rsidP="00D366EA">
      <w:pPr>
        <w:spacing w:after="0" w:line="240" w:lineRule="auto"/>
        <w:contextualSpacing/>
        <w:jc w:val="both"/>
        <w:rPr>
          <w:rFonts w:cstheme="minorHAnsi"/>
          <w:sz w:val="24"/>
          <w:szCs w:val="24"/>
        </w:rPr>
      </w:pPr>
      <w:r w:rsidRPr="00D366EA">
        <w:rPr>
          <w:rFonts w:cstheme="minorHAnsi"/>
          <w:sz w:val="24"/>
          <w:szCs w:val="24"/>
        </w:rPr>
        <w:t>Collective agreements and labor unions, despite their presence, have struggled to ensure the practical realization of workers' rights. In the realm of compensation, many workers fail to attain a living wage, with most receiving only the official minimum wage or slightly more. The observance of paid leave rights is inconsistent, and an efficient mechanism for reporting these violations remains absent. What is clear is the imperative for heightened monitoring of working conditions and the full-scale implementation of the legal framework within these sectors.</w:t>
      </w:r>
    </w:p>
    <w:p w14:paraId="6C508694" w14:textId="242F593C" w:rsidR="00090AA5" w:rsidRPr="00D366EA" w:rsidRDefault="00090AA5" w:rsidP="00D366EA">
      <w:pPr>
        <w:spacing w:after="0" w:line="240" w:lineRule="auto"/>
        <w:contextualSpacing/>
        <w:jc w:val="both"/>
        <w:rPr>
          <w:rFonts w:cstheme="minorHAnsi"/>
          <w:b/>
          <w:bCs/>
          <w:sz w:val="24"/>
          <w:szCs w:val="24"/>
        </w:rPr>
      </w:pPr>
      <w:r w:rsidRPr="00D366EA">
        <w:rPr>
          <w:rFonts w:cstheme="minorHAnsi"/>
          <w:b/>
          <w:bCs/>
          <w:sz w:val="24"/>
          <w:szCs w:val="24"/>
        </w:rPr>
        <w:t>Overview of Progress</w:t>
      </w:r>
      <w:r w:rsidR="00D726A4" w:rsidRPr="00D366EA">
        <w:rPr>
          <w:rFonts w:cstheme="minorHAnsi"/>
          <w:b/>
          <w:bCs/>
          <w:sz w:val="24"/>
          <w:szCs w:val="24"/>
        </w:rPr>
        <w:t xml:space="preserve"> </w:t>
      </w:r>
    </w:p>
    <w:p w14:paraId="3B291964" w14:textId="77777777" w:rsidR="00F712D9" w:rsidRPr="00D366EA" w:rsidRDefault="00090AA5" w:rsidP="00D366EA">
      <w:pPr>
        <w:spacing w:after="0" w:line="240" w:lineRule="auto"/>
        <w:contextualSpacing/>
        <w:jc w:val="both"/>
        <w:rPr>
          <w:rFonts w:cstheme="minorHAnsi"/>
          <w:sz w:val="24"/>
          <w:szCs w:val="24"/>
        </w:rPr>
      </w:pPr>
      <w:r w:rsidRPr="00D366EA">
        <w:rPr>
          <w:rFonts w:cstheme="minorHAnsi"/>
          <w:sz w:val="24"/>
          <w:szCs w:val="24"/>
        </w:rPr>
        <w:t>Acknowledging certain progress made by Albania in implementing Article 11 of CEDAW concerning women's employment rights, there are several crucial considerations:</w:t>
      </w:r>
      <w:r w:rsidR="00F712D9" w:rsidRPr="00D366EA">
        <w:rPr>
          <w:rFonts w:cstheme="minorHAnsi"/>
          <w:sz w:val="24"/>
          <w:szCs w:val="24"/>
        </w:rPr>
        <w:t xml:space="preserve"> </w:t>
      </w:r>
    </w:p>
    <w:p w14:paraId="59E4F7A1" w14:textId="6AD9A8AE" w:rsidR="005A4032" w:rsidRPr="00D366EA" w:rsidRDefault="005A4032" w:rsidP="00D366EA">
      <w:pPr>
        <w:spacing w:after="0" w:line="240" w:lineRule="auto"/>
        <w:contextualSpacing/>
        <w:jc w:val="both"/>
        <w:rPr>
          <w:rFonts w:cstheme="minorHAnsi"/>
          <w:b/>
          <w:bCs/>
          <w:sz w:val="24"/>
          <w:szCs w:val="24"/>
        </w:rPr>
      </w:pPr>
      <w:r w:rsidRPr="00D366EA">
        <w:rPr>
          <w:rFonts w:cstheme="minorHAnsi"/>
          <w:b/>
          <w:bCs/>
          <w:sz w:val="24"/>
          <w:szCs w:val="24"/>
        </w:rPr>
        <w:t>Labor Force Statistics</w:t>
      </w:r>
    </w:p>
    <w:p w14:paraId="48B133FD" w14:textId="56349F46" w:rsidR="005A4032" w:rsidRPr="00D366EA" w:rsidRDefault="005A4032" w:rsidP="00D366EA">
      <w:pPr>
        <w:spacing w:after="0" w:line="240" w:lineRule="auto"/>
        <w:contextualSpacing/>
        <w:jc w:val="both"/>
        <w:rPr>
          <w:rFonts w:cstheme="minorHAnsi"/>
          <w:sz w:val="24"/>
          <w:szCs w:val="24"/>
        </w:rPr>
      </w:pPr>
      <w:r w:rsidRPr="00D366EA">
        <w:rPr>
          <w:rFonts w:cstheme="minorHAnsi"/>
          <w:sz w:val="24"/>
          <w:szCs w:val="24"/>
        </w:rPr>
        <w:t xml:space="preserve">According to the Institute of Statistics (INSTAT), </w:t>
      </w:r>
      <w:r w:rsidR="00F712D9" w:rsidRPr="00D366EA">
        <w:rPr>
          <w:rFonts w:cstheme="minorHAnsi"/>
          <w:sz w:val="24"/>
          <w:szCs w:val="24"/>
        </w:rPr>
        <w:t>in</w:t>
      </w:r>
      <w:r w:rsidRPr="00D366EA">
        <w:rPr>
          <w:rFonts w:cstheme="minorHAnsi"/>
          <w:sz w:val="24"/>
          <w:szCs w:val="24"/>
        </w:rPr>
        <w:t xml:space="preserve"> 2022, the labor force is estimated to be 1,457,959 persons, where males account for 53.7 % of the labor force and females 46.3 %. Employment is estimated at 1,298,380 persons, from which males account for 54.0 % and females 46.0 %. Compared to 2021, employment increased by 3.0 % while the unemployment rate (for 15-</w:t>
      </w:r>
      <w:r w:rsidR="00F712D9" w:rsidRPr="00D366EA">
        <w:rPr>
          <w:rFonts w:cstheme="minorHAnsi"/>
          <w:sz w:val="24"/>
          <w:szCs w:val="24"/>
        </w:rPr>
        <w:t>74-year-olds</w:t>
      </w:r>
      <w:r w:rsidRPr="00D366EA">
        <w:rPr>
          <w:rFonts w:cstheme="minorHAnsi"/>
          <w:sz w:val="24"/>
          <w:szCs w:val="24"/>
        </w:rPr>
        <w:t>) decreased by 0.6 percentage points.</w:t>
      </w:r>
      <w:r w:rsidRPr="00D366EA">
        <w:rPr>
          <w:rStyle w:val="FootnoteReference"/>
          <w:rFonts w:cstheme="minorHAnsi"/>
          <w:sz w:val="24"/>
          <w:szCs w:val="24"/>
        </w:rPr>
        <w:footnoteReference w:id="7"/>
      </w:r>
    </w:p>
    <w:p w14:paraId="7B222058" w14:textId="458675CB" w:rsidR="00F33D13" w:rsidRPr="00D366EA" w:rsidRDefault="001A673D" w:rsidP="00D366EA">
      <w:pPr>
        <w:pStyle w:val="ListParagraph"/>
        <w:numPr>
          <w:ilvl w:val="0"/>
          <w:numId w:val="6"/>
        </w:numPr>
        <w:spacing w:after="0" w:line="240" w:lineRule="auto"/>
        <w:jc w:val="both"/>
        <w:rPr>
          <w:rFonts w:cstheme="minorHAnsi"/>
          <w:sz w:val="24"/>
          <w:szCs w:val="24"/>
        </w:rPr>
      </w:pPr>
      <w:r w:rsidRPr="00D366EA">
        <w:rPr>
          <w:rFonts w:cstheme="minorHAnsi"/>
          <w:sz w:val="24"/>
          <w:szCs w:val="24"/>
        </w:rPr>
        <w:lastRenderedPageBreak/>
        <w:t>Although the labor market has significant demands for work, improved working conditions, higher wages, and increased job security, it has resulted in a reduction in the number of job seekers. This situation is also accompanied by labor force emigration to European countries, particularly to Germany.</w:t>
      </w:r>
    </w:p>
    <w:p w14:paraId="6FBF9F01"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National Skills and Employment Strategy (NSES)</w:t>
      </w:r>
    </w:p>
    <w:p w14:paraId="6EA96460" w14:textId="2E889D09" w:rsidR="0037575D"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 xml:space="preserve">The extension of the National Skills and Employment Strategy (NSES) </w:t>
      </w:r>
      <w:r w:rsidR="00B930F9" w:rsidRPr="00D366EA">
        <w:rPr>
          <w:rFonts w:cstheme="minorHAnsi"/>
          <w:sz w:val="24"/>
          <w:szCs w:val="24"/>
        </w:rPr>
        <w:t>2020-</w:t>
      </w:r>
      <w:r w:rsidRPr="00D366EA">
        <w:rPr>
          <w:rFonts w:cstheme="minorHAnsi"/>
          <w:sz w:val="24"/>
          <w:szCs w:val="24"/>
        </w:rPr>
        <w:t xml:space="preserve"> 20</w:t>
      </w:r>
      <w:r w:rsidR="00B930F9" w:rsidRPr="00D366EA">
        <w:rPr>
          <w:rFonts w:cstheme="minorHAnsi"/>
          <w:sz w:val="24"/>
          <w:szCs w:val="24"/>
        </w:rPr>
        <w:t>30</w:t>
      </w:r>
      <w:r w:rsidRPr="00D366EA">
        <w:rPr>
          <w:rFonts w:cstheme="minorHAnsi"/>
          <w:sz w:val="24"/>
          <w:szCs w:val="24"/>
        </w:rPr>
        <w:t xml:space="preserve"> is noted, but it is crucial to scrutinize the efficacy of these revisions. The mere inclusion of gender equality indicators does not necessarily translate into tangible improvements for women in the workforce. It's essential to evaluate the actual impact of these changes on women's employment opportunities and rights. </w:t>
      </w:r>
      <w:r w:rsidRPr="00D366EA">
        <w:rPr>
          <w:rStyle w:val="FootnoteReference"/>
          <w:rFonts w:cstheme="minorHAnsi"/>
          <w:sz w:val="24"/>
          <w:szCs w:val="24"/>
        </w:rPr>
        <w:footnoteReference w:id="8"/>
      </w:r>
    </w:p>
    <w:p w14:paraId="1F11985B" w14:textId="7BC0A4C8" w:rsidR="001A673D" w:rsidRPr="00D366EA" w:rsidRDefault="001A673D" w:rsidP="00D366EA">
      <w:pPr>
        <w:pStyle w:val="ListParagraph"/>
        <w:numPr>
          <w:ilvl w:val="0"/>
          <w:numId w:val="6"/>
        </w:numPr>
        <w:spacing w:after="0" w:line="240" w:lineRule="auto"/>
        <w:jc w:val="both"/>
        <w:rPr>
          <w:rFonts w:cstheme="minorHAnsi"/>
          <w:sz w:val="24"/>
          <w:szCs w:val="24"/>
        </w:rPr>
      </w:pPr>
      <w:r w:rsidRPr="00D366EA">
        <w:rPr>
          <w:rFonts w:cstheme="minorHAnsi"/>
          <w:b/>
          <w:bCs/>
          <w:sz w:val="24"/>
          <w:szCs w:val="24"/>
        </w:rPr>
        <w:t>Critical Examination of Revisions</w:t>
      </w:r>
      <w:r w:rsidRPr="00D366EA">
        <w:rPr>
          <w:rFonts w:cstheme="minorHAnsi"/>
          <w:sz w:val="24"/>
          <w:szCs w:val="24"/>
        </w:rPr>
        <w:t xml:space="preserve">: While extensions and updates to this strategy are positive steps, it's crucial to assess the effectiveness of these changes in achieving </w:t>
      </w:r>
      <w:r w:rsidR="000F38AD" w:rsidRPr="00D366EA">
        <w:rPr>
          <w:rFonts w:cstheme="minorHAnsi"/>
          <w:sz w:val="24"/>
          <w:szCs w:val="24"/>
        </w:rPr>
        <w:t xml:space="preserve">the </w:t>
      </w:r>
      <w:r w:rsidRPr="00D366EA">
        <w:rPr>
          <w:rFonts w:cstheme="minorHAnsi"/>
          <w:sz w:val="24"/>
          <w:szCs w:val="24"/>
        </w:rPr>
        <w:t>intended goals.</w:t>
      </w:r>
    </w:p>
    <w:p w14:paraId="1CE59F0C" w14:textId="4E32D056" w:rsidR="001A673D" w:rsidRPr="00D366EA" w:rsidRDefault="001A673D" w:rsidP="00D366EA">
      <w:pPr>
        <w:pStyle w:val="ListParagraph"/>
        <w:numPr>
          <w:ilvl w:val="0"/>
          <w:numId w:val="6"/>
        </w:numPr>
        <w:spacing w:after="0" w:line="240" w:lineRule="auto"/>
        <w:jc w:val="both"/>
        <w:rPr>
          <w:rFonts w:cstheme="minorHAnsi"/>
          <w:sz w:val="24"/>
          <w:szCs w:val="24"/>
        </w:rPr>
      </w:pPr>
      <w:r w:rsidRPr="00D366EA">
        <w:rPr>
          <w:rFonts w:cstheme="minorHAnsi"/>
          <w:b/>
          <w:bCs/>
          <w:sz w:val="24"/>
          <w:szCs w:val="24"/>
        </w:rPr>
        <w:t>Importance of Impact Evaluation</w:t>
      </w:r>
      <w:r w:rsidRPr="00D366EA">
        <w:rPr>
          <w:rFonts w:cstheme="minorHAnsi"/>
          <w:sz w:val="24"/>
          <w:szCs w:val="24"/>
        </w:rPr>
        <w:t>: To ensure the effectiveness of the strategy, it's essential to conduct rigorous impact evaluations. This means assessing whether the changes made to the strategy are leading to real-world improvements in women's access to employment, job conditions, and overall rights in the workforce.</w:t>
      </w:r>
    </w:p>
    <w:p w14:paraId="6FD22813" w14:textId="0E6F52EE" w:rsidR="001A673D" w:rsidRPr="00D366EA" w:rsidRDefault="001A673D" w:rsidP="00D366EA">
      <w:pPr>
        <w:pStyle w:val="ListParagraph"/>
        <w:numPr>
          <w:ilvl w:val="0"/>
          <w:numId w:val="6"/>
        </w:numPr>
        <w:spacing w:after="0" w:line="240" w:lineRule="auto"/>
        <w:jc w:val="both"/>
        <w:rPr>
          <w:rFonts w:cstheme="minorHAnsi"/>
          <w:sz w:val="24"/>
          <w:szCs w:val="24"/>
        </w:rPr>
      </w:pPr>
      <w:r w:rsidRPr="00D366EA">
        <w:rPr>
          <w:rFonts w:cstheme="minorHAnsi"/>
          <w:b/>
          <w:bCs/>
          <w:sz w:val="24"/>
          <w:szCs w:val="24"/>
        </w:rPr>
        <w:t>Monitoring and Accountability:</w:t>
      </w:r>
      <w:r w:rsidRPr="00D366EA">
        <w:rPr>
          <w:rFonts w:cstheme="minorHAnsi"/>
          <w:sz w:val="24"/>
          <w:szCs w:val="24"/>
        </w:rPr>
        <w:t xml:space="preserve"> Beyond just evaluation, monitoring progress over time and holding relevant stakeholders accountable for achieving gender equality goals is essential. This involves collecting and analyzing gender-disaggregated data to identify areas where progress is lacking and taking corrective actions as needed.</w:t>
      </w:r>
    </w:p>
    <w:p w14:paraId="1EBAEC64"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Quality of Employment</w:t>
      </w:r>
    </w:p>
    <w:p w14:paraId="5F6542BF" w14:textId="05502925" w:rsidR="0037575D"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While there has been an increase in women's employment rates, it is essential to delve deeper into the quality of employment. Are these jobs offering fair wages, decent working conditions, and opportunities for career growth? Mere statistical improvements in employment rates may not equate to meaningful advancements in women's lives.</w:t>
      </w:r>
    </w:p>
    <w:p w14:paraId="6F471827" w14:textId="30632960" w:rsidR="00B930F9" w:rsidRPr="00D366EA" w:rsidRDefault="00B930F9"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In the clothing and footwear industry, significant issues persist concerning working conditions, salaries, and the limited or nonexistent discussion of career advancement. Some women have remained in the same job position for over 10 years without experiencing any substantial salary increases.</w:t>
      </w:r>
    </w:p>
    <w:p w14:paraId="67370337" w14:textId="69D843BA" w:rsidR="00AE51D9" w:rsidRPr="00D366EA" w:rsidRDefault="00AE51D9"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 xml:space="preserve">The quality of employment in the call center sector in Albania presents a mixed picture, with several challenges impacting the work conditions of employees. </w:t>
      </w:r>
      <w:r w:rsidR="008B4E96" w:rsidRPr="00D366EA">
        <w:rPr>
          <w:rFonts w:cstheme="minorHAnsi"/>
          <w:sz w:val="24"/>
          <w:szCs w:val="24"/>
        </w:rPr>
        <w:t>M</w:t>
      </w:r>
      <w:r w:rsidRPr="00D366EA">
        <w:rPr>
          <w:rFonts w:cstheme="minorHAnsi"/>
          <w:sz w:val="24"/>
          <w:szCs w:val="24"/>
        </w:rPr>
        <w:t>any employees in Albanian call centers work on short-term contracts, leading to job insecurity. Additionally, the demanding nature of the job, which often involves night shifts and tight schedules, can affect work-life balance. There are concerns about relatively low wages and limited opportunities for career advancement, which can impact overall job satisfaction. Addressing these challenges and improving the quality of employment in the call center sector remains an important consideration for both employers and policymakers in Albania.</w:t>
      </w:r>
    </w:p>
    <w:p w14:paraId="28AB1A3A" w14:textId="17E26D93" w:rsidR="008B4E96" w:rsidRPr="00D366EA" w:rsidRDefault="008B4E96"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lastRenderedPageBreak/>
        <w:t>The quality of employment in the health sector in Albania is subject to various challenges, While the sector plays a critical role in delivering healthcare services, healthcare workers face issues related to wages, working conditions, and access to professional development. Low salaries for healthcare professionals, including doctors and nurses, are a significant concern which can lead to job dissatisfaction and even emigration in search of better opportunities. The work environment in some healthcare facilities may also be challenging, with issues related to equipment, overcrowding, and inadequate infrastructure. Moreover, healthcare workers may have limited access to training and development opportunities, hindering their career advancement. These challenges underscore the need for continued efforts to improve the quality of employment in the healthcare sector in Albania, ensuring that healthcare professionals are motivated, adequately compensated, and equipped to provide quality healthcare services to the population.</w:t>
      </w:r>
    </w:p>
    <w:p w14:paraId="366DEEE3" w14:textId="40A6D800" w:rsidR="00DF4E32" w:rsidRPr="00D366EA" w:rsidRDefault="00DF4E32"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The quality of employment in the oil sector in Albania faces several challenges, as indicated by various reports and analyses. The sector has struggled with issues such as job security, workplace safety, and environmental concerns. According to the Albanian Ministry of Infrastructure and Energy (2020), fluctuations in oil prices on the global market have led to job insecurity for workers in the sector, with periodic layoffs and uncertainties about the future. Additionally, concerns related to workplace safety have been raised, particularly in oil extraction and refining operations, emphasizing the need for strict adherence to safety regulations. Environmental challenges, including the impact of oil extraction on the natural environment, also play a role in shaping the quality of employment in the sector. Addressing these challenges and promoting sustainable practices within the oil sector in Albania are vital for ensuring the well-being of workers and the long-term viability of the industry.</w:t>
      </w:r>
    </w:p>
    <w:p w14:paraId="5BB95309" w14:textId="61BA80AA" w:rsidR="000916C8" w:rsidRPr="00D366EA" w:rsidRDefault="000916C8"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 xml:space="preserve">The quality of employment in the cleaning sector in Albania is very challenging.  The difficulties faced by this sector, which is one of the most vulnerable, greatly affects the working conditions of the employees, where the majority of them are girls and women.  The employees are not notified of the employment contract, which means that they are not informed about their rights and obligations.  The payment of employees is often below the minimum wage defined in Albanian legislation.  Employees work in shifts, where the night shift is not paid according to difficulty.  </w:t>
      </w:r>
      <w:r w:rsidR="00724598" w:rsidRPr="00D366EA">
        <w:rPr>
          <w:rFonts w:cstheme="minorHAnsi"/>
          <w:sz w:val="24"/>
          <w:szCs w:val="24"/>
        </w:rPr>
        <w:t>Moreover, the health and life of the employees is constantly at risk due to the nature of the work and lack of sufficient equipment.</w:t>
      </w:r>
      <w:r w:rsidRPr="00D366EA">
        <w:rPr>
          <w:rFonts w:cstheme="minorHAnsi"/>
          <w:sz w:val="24"/>
          <w:szCs w:val="24"/>
        </w:rPr>
        <w:t xml:space="preserve">  The right to weekly and annual holidays is not respected.  Employees are not provided with the necessary clothing and work tools.  There is also a lack of a communication mechanism between the employer and the employees, which makes it more difficult to address the challenges of the sector.  Improving the conditions and quality of employment in the cleaning sector remains an immediate need in Albania.</w:t>
      </w:r>
    </w:p>
    <w:p w14:paraId="0E0F15B4"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Clothing and Footwear Industry</w:t>
      </w:r>
    </w:p>
    <w:p w14:paraId="345663D3" w14:textId="22B4C428" w:rsidR="0037575D"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 xml:space="preserve">Also in a general overview, the number of active enterprises in Albania has increased over the past three years. Data indicates progressive development in the number of enterprises in the country over the last decade, with a decrease in registered enterprises in 2019 and an increase in the subsequent two years. This trend is also reflected in the clothing and footwear sector, which </w:t>
      </w:r>
      <w:r w:rsidRPr="00D366EA">
        <w:rPr>
          <w:rFonts w:cstheme="minorHAnsi"/>
          <w:sz w:val="24"/>
          <w:szCs w:val="24"/>
        </w:rPr>
        <w:lastRenderedPageBreak/>
        <w:t>experienced a decline in enterprises in 2019 and growth in 2021.</w:t>
      </w:r>
      <w:r w:rsidR="003820B4" w:rsidRPr="00D366EA">
        <w:rPr>
          <w:rStyle w:val="FootnoteReference"/>
          <w:rFonts w:cstheme="minorHAnsi"/>
          <w:sz w:val="24"/>
          <w:szCs w:val="24"/>
        </w:rPr>
        <w:footnoteReference w:id="9"/>
      </w:r>
      <w:r w:rsidRPr="00D366EA">
        <w:rPr>
          <w:rFonts w:cstheme="minorHAnsi"/>
          <w:sz w:val="24"/>
          <w:szCs w:val="24"/>
        </w:rPr>
        <w:t xml:space="preserve"> By the end of 2021, there were 591 enterprises producing clothing or parts thereof and 209 enterprises producing footwear or parts thereof.</w:t>
      </w:r>
      <w:r w:rsidR="003820B4" w:rsidRPr="00D366EA">
        <w:rPr>
          <w:rStyle w:val="FootnoteReference"/>
          <w:rFonts w:cstheme="minorHAnsi"/>
          <w:sz w:val="24"/>
          <w:szCs w:val="24"/>
        </w:rPr>
        <w:footnoteReference w:id="10"/>
      </w:r>
      <w:r w:rsidRPr="00D366EA">
        <w:rPr>
          <w:rFonts w:cstheme="minorHAnsi"/>
          <w:sz w:val="24"/>
          <w:szCs w:val="24"/>
        </w:rPr>
        <w:t xml:space="preserve"> According to data from the General Directorate of Taxes for 2021, about 26% of these enterprises are exclusively involved in "CMT" (Cut, Make, Trim) activities or are part of the Active Processing Regime.</w:t>
      </w:r>
      <w:r w:rsidR="003820B4" w:rsidRPr="00D366EA">
        <w:rPr>
          <w:rStyle w:val="FootnoteReference"/>
          <w:rFonts w:cstheme="minorHAnsi"/>
          <w:sz w:val="24"/>
          <w:szCs w:val="24"/>
        </w:rPr>
        <w:footnoteReference w:id="11"/>
      </w:r>
    </w:p>
    <w:p w14:paraId="55B13C64"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Gender Disparities in Employment</w:t>
      </w:r>
    </w:p>
    <w:p w14:paraId="315BEC10" w14:textId="76F14287" w:rsidR="00E5652F"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Despite some progress, significant gender disparities persist in employment rates. Women continue to lag behind men, both in terms of participation in paid employment and in facing a disproportionate burden of unpaid family work.</w:t>
      </w:r>
      <w:r w:rsidR="003820B4" w:rsidRPr="00D366EA">
        <w:rPr>
          <w:rFonts w:cstheme="minorHAnsi"/>
          <w:sz w:val="24"/>
          <w:szCs w:val="24"/>
        </w:rPr>
        <w:t xml:space="preserve"> According to a report by the Institute of Statistics, Albanian women spend an average of 38 hours per week on housework, cooking, and childcare, while men devote significantly less time, approximately 14.5 hours per week, to these tasks.</w:t>
      </w:r>
      <w:r w:rsidR="00C86478" w:rsidRPr="00D366EA">
        <w:rPr>
          <w:rFonts w:cstheme="minorHAnsi"/>
          <w:sz w:val="24"/>
          <w:szCs w:val="24"/>
        </w:rPr>
        <w:t xml:space="preserve"> </w:t>
      </w:r>
      <w:r w:rsidR="00701D0D" w:rsidRPr="00D366EA">
        <w:rPr>
          <w:rFonts w:cstheme="minorHAnsi"/>
          <w:sz w:val="24"/>
          <w:szCs w:val="24"/>
        </w:rPr>
        <w:t>The same report on gender indicators in Albania reveals that, on average, Albanian women dedicate 343 minutes to unpaid work per day, equivalent to 5 hours and 43 minutes, which is six times more than the amount of unpaid work performed by men.</w:t>
      </w:r>
      <w:r w:rsidR="00701D0D" w:rsidRPr="00D366EA">
        <w:rPr>
          <w:rStyle w:val="FootnoteReference"/>
          <w:rFonts w:cstheme="minorHAnsi"/>
          <w:sz w:val="24"/>
          <w:szCs w:val="24"/>
        </w:rPr>
        <w:footnoteReference w:id="12"/>
      </w:r>
      <w:r w:rsidRPr="00D366EA">
        <w:rPr>
          <w:rFonts w:cstheme="minorHAnsi"/>
          <w:sz w:val="24"/>
          <w:szCs w:val="24"/>
        </w:rPr>
        <w:t xml:space="preserve"> </w:t>
      </w:r>
      <w:r w:rsidR="00DF3E48" w:rsidRPr="00D366EA">
        <w:rPr>
          <w:rFonts w:cstheme="minorHAnsi"/>
          <w:sz w:val="24"/>
          <w:szCs w:val="24"/>
        </w:rPr>
        <w:t>Rather than celebrating modest improvements, a</w:t>
      </w:r>
      <w:r w:rsidRPr="00D366EA">
        <w:rPr>
          <w:rFonts w:cstheme="minorHAnsi"/>
          <w:sz w:val="24"/>
          <w:szCs w:val="24"/>
        </w:rPr>
        <w:t>ddressing these disparities should be a primary focus</w:t>
      </w:r>
      <w:r w:rsidR="00F712D9" w:rsidRPr="00D366EA">
        <w:rPr>
          <w:rFonts w:cstheme="minorHAnsi"/>
          <w:sz w:val="24"/>
          <w:szCs w:val="24"/>
        </w:rPr>
        <w:t>:</w:t>
      </w:r>
      <w:r w:rsidR="00E5652F" w:rsidRPr="00D366EA">
        <w:rPr>
          <w:rFonts w:cstheme="minorHAnsi"/>
          <w:sz w:val="24"/>
          <w:szCs w:val="24"/>
        </w:rPr>
        <w:t xml:space="preserve"> </w:t>
      </w:r>
    </w:p>
    <w:p w14:paraId="39F51548" w14:textId="13FE916E" w:rsidR="00E5652F" w:rsidRPr="00D366EA" w:rsidRDefault="00E5652F"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The respective laws should be implemented and </w:t>
      </w:r>
      <w:r w:rsidR="00F712D9" w:rsidRPr="00D366EA">
        <w:rPr>
          <w:rFonts w:cstheme="minorHAnsi"/>
          <w:sz w:val="24"/>
          <w:szCs w:val="24"/>
        </w:rPr>
        <w:t>enforced</w:t>
      </w:r>
    </w:p>
    <w:p w14:paraId="13C5E863" w14:textId="1E14358D" w:rsidR="00E5652F" w:rsidRPr="00D366EA" w:rsidRDefault="00E5652F"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Support for Work-Life </w:t>
      </w:r>
      <w:r w:rsidR="00F712D9" w:rsidRPr="00D366EA">
        <w:rPr>
          <w:rFonts w:cstheme="minorHAnsi"/>
          <w:sz w:val="24"/>
          <w:szCs w:val="24"/>
        </w:rPr>
        <w:t>Balance</w:t>
      </w:r>
    </w:p>
    <w:p w14:paraId="58CAC42B" w14:textId="77777777" w:rsidR="00E5652F" w:rsidRPr="00D366EA" w:rsidRDefault="00E5652F"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Education and Skills Development </w:t>
      </w:r>
    </w:p>
    <w:p w14:paraId="3A07E1E0" w14:textId="77777777" w:rsidR="00E5652F" w:rsidRPr="00D366EA" w:rsidRDefault="00E5652F"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Promotion of women in leadership</w:t>
      </w:r>
    </w:p>
    <w:p w14:paraId="52D177D8" w14:textId="100AC427" w:rsidR="00E5652F" w:rsidRPr="00D366EA" w:rsidRDefault="00F712D9"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Awareness</w:t>
      </w:r>
      <w:r w:rsidR="00E5652F" w:rsidRPr="00D366EA">
        <w:rPr>
          <w:rFonts w:cstheme="minorHAnsi"/>
          <w:sz w:val="24"/>
          <w:szCs w:val="24"/>
        </w:rPr>
        <w:t xml:space="preserve"> and Sensitization</w:t>
      </w:r>
    </w:p>
    <w:p w14:paraId="4340EAFA" w14:textId="44CD71A7" w:rsidR="00DF3E48" w:rsidRPr="00D366EA" w:rsidRDefault="00DF3E48"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Support for women entrepreneurs </w:t>
      </w:r>
    </w:p>
    <w:p w14:paraId="62174719" w14:textId="4A394FDE" w:rsidR="003820B4" w:rsidRPr="00D366EA" w:rsidRDefault="00DF3E48"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Functioning of the legal protection and complaint mechanisms </w:t>
      </w:r>
    </w:p>
    <w:p w14:paraId="4082EFCD" w14:textId="2482A5D3" w:rsidR="00DF3E48" w:rsidRPr="00D366EA" w:rsidRDefault="00DF3E48" w:rsidP="00D366EA">
      <w:pPr>
        <w:pStyle w:val="ListParagraph"/>
        <w:numPr>
          <w:ilvl w:val="0"/>
          <w:numId w:val="7"/>
        </w:numPr>
        <w:spacing w:after="0" w:line="240" w:lineRule="auto"/>
        <w:jc w:val="both"/>
        <w:rPr>
          <w:rFonts w:cstheme="minorHAnsi"/>
          <w:sz w:val="24"/>
          <w:szCs w:val="24"/>
        </w:rPr>
      </w:pPr>
      <w:r w:rsidRPr="00D366EA">
        <w:rPr>
          <w:rFonts w:cstheme="minorHAnsi"/>
          <w:sz w:val="24"/>
          <w:szCs w:val="24"/>
        </w:rPr>
        <w:t xml:space="preserve">Data collection and monitoring </w:t>
      </w:r>
    </w:p>
    <w:p w14:paraId="2D0C777C"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Labor Code and Legal Framework</w:t>
      </w:r>
    </w:p>
    <w:p w14:paraId="5BC0463E" w14:textId="77777777" w:rsidR="00F712D9" w:rsidRPr="00D366EA" w:rsidRDefault="0037575D" w:rsidP="00D366EA">
      <w:pPr>
        <w:spacing w:after="0" w:line="240" w:lineRule="auto"/>
        <w:contextualSpacing/>
        <w:jc w:val="both"/>
        <w:rPr>
          <w:rFonts w:cstheme="minorHAnsi"/>
          <w:sz w:val="24"/>
          <w:szCs w:val="24"/>
          <w:lang w:val="en-GB"/>
        </w:rPr>
      </w:pPr>
      <w:r w:rsidRPr="00D366EA">
        <w:rPr>
          <w:rFonts w:cstheme="minorHAnsi"/>
          <w:sz w:val="24"/>
          <w:szCs w:val="24"/>
        </w:rPr>
        <w:t>Albania's legal framework ostensibly provides equal rights and protection for workers across all industries. The Labor Code</w:t>
      </w:r>
      <w:r w:rsidR="00DF3E48" w:rsidRPr="00D366EA">
        <w:rPr>
          <w:rStyle w:val="FootnoteReference"/>
          <w:rFonts w:cstheme="minorHAnsi"/>
          <w:sz w:val="24"/>
          <w:szCs w:val="24"/>
        </w:rPr>
        <w:footnoteReference w:id="13"/>
      </w:r>
      <w:r w:rsidRPr="00D366EA">
        <w:rPr>
          <w:rFonts w:cstheme="minorHAnsi"/>
          <w:sz w:val="24"/>
          <w:szCs w:val="24"/>
        </w:rPr>
        <w:t xml:space="preserve"> has undergone substantial revisions in recent decades and ostensibly aligns with international standards and EU directives. </w:t>
      </w:r>
      <w:r w:rsidR="00390B7D" w:rsidRPr="00D366EA">
        <w:rPr>
          <w:rFonts w:cstheme="minorHAnsi"/>
          <w:sz w:val="24"/>
          <w:szCs w:val="24"/>
          <w:lang w:val="en-GB"/>
        </w:rPr>
        <w:t xml:space="preserve">Regarding labour law, the implementation of the amended Labour Code is </w:t>
      </w:r>
      <w:r w:rsidR="00F712D9" w:rsidRPr="00D366EA">
        <w:rPr>
          <w:rFonts w:cstheme="minorHAnsi"/>
          <w:sz w:val="24"/>
          <w:szCs w:val="24"/>
          <w:lang w:val="en-GB"/>
        </w:rPr>
        <w:t>underway</w:t>
      </w:r>
      <w:r w:rsidR="00390B7D" w:rsidRPr="00D366EA">
        <w:rPr>
          <w:rFonts w:cstheme="minorHAnsi"/>
          <w:sz w:val="24"/>
          <w:szCs w:val="24"/>
          <w:lang w:val="en-GB"/>
        </w:rPr>
        <w:t xml:space="preserve">. Twenty-five (25) EU regulations in the field of occupational safety and health have been transposed as well, covering areas such as safety at work, equal treatment between women and men etc. </w:t>
      </w:r>
      <w:r w:rsidR="001C3183" w:rsidRPr="00D366EA">
        <w:rPr>
          <w:rStyle w:val="FootnoteReference"/>
          <w:rFonts w:cstheme="minorHAnsi"/>
          <w:sz w:val="24"/>
          <w:szCs w:val="24"/>
          <w:lang w:val="en-GB"/>
        </w:rPr>
        <w:footnoteReference w:id="14"/>
      </w:r>
      <w:r w:rsidR="00AF4D93" w:rsidRPr="00D366EA">
        <w:rPr>
          <w:rFonts w:cstheme="minorHAnsi"/>
          <w:sz w:val="24"/>
          <w:szCs w:val="24"/>
          <w:lang w:val="en-GB"/>
        </w:rPr>
        <w:t xml:space="preserve"> </w:t>
      </w:r>
    </w:p>
    <w:p w14:paraId="1EA235EF" w14:textId="5F29A588" w:rsidR="00390B7D" w:rsidRPr="00D366EA" w:rsidRDefault="00AF4D93" w:rsidP="00D366EA">
      <w:pPr>
        <w:pStyle w:val="ListParagraph"/>
        <w:numPr>
          <w:ilvl w:val="0"/>
          <w:numId w:val="8"/>
        </w:numPr>
        <w:spacing w:after="0" w:line="240" w:lineRule="auto"/>
        <w:jc w:val="both"/>
        <w:rPr>
          <w:rFonts w:cstheme="minorHAnsi"/>
          <w:sz w:val="24"/>
          <w:szCs w:val="24"/>
        </w:rPr>
      </w:pPr>
      <w:r w:rsidRPr="00D366EA">
        <w:rPr>
          <w:rFonts w:cstheme="minorHAnsi"/>
          <w:sz w:val="24"/>
          <w:szCs w:val="24"/>
          <w:lang w:val="en-GB"/>
        </w:rPr>
        <w:t xml:space="preserve">On bipartite social dialogue, some progress was made with the ratification of the ILO Convention 190 on “Violence and Harassment in the World of Work”. </w:t>
      </w:r>
      <w:r w:rsidRPr="00D366EA">
        <w:rPr>
          <w:rStyle w:val="FootnoteReference"/>
          <w:rFonts w:cstheme="minorHAnsi"/>
          <w:sz w:val="24"/>
          <w:szCs w:val="24"/>
          <w:lang w:val="en-GB"/>
        </w:rPr>
        <w:footnoteReference w:id="15"/>
      </w:r>
      <w:r w:rsidR="00F712D9" w:rsidRPr="00D366EA">
        <w:rPr>
          <w:rFonts w:cstheme="minorHAnsi"/>
          <w:sz w:val="24"/>
          <w:szCs w:val="24"/>
          <w:lang w:val="en-GB"/>
        </w:rPr>
        <w:t xml:space="preserve"> </w:t>
      </w:r>
      <w:r w:rsidR="0037575D" w:rsidRPr="00D366EA">
        <w:rPr>
          <w:rFonts w:cstheme="minorHAnsi"/>
          <w:sz w:val="24"/>
          <w:szCs w:val="24"/>
        </w:rPr>
        <w:t xml:space="preserve">However, </w:t>
      </w:r>
      <w:r w:rsidR="0037575D" w:rsidRPr="00D366EA">
        <w:rPr>
          <w:rFonts w:cstheme="minorHAnsi"/>
          <w:sz w:val="24"/>
          <w:szCs w:val="24"/>
        </w:rPr>
        <w:lastRenderedPageBreak/>
        <w:t>challenges persist in enforcing these rights, particularly in areas concerning contract issues, overtime work</w:t>
      </w:r>
      <w:r w:rsidR="00701D0D" w:rsidRPr="00D366EA">
        <w:rPr>
          <w:rFonts w:cstheme="minorHAnsi"/>
          <w:sz w:val="24"/>
          <w:szCs w:val="24"/>
        </w:rPr>
        <w:t xml:space="preserve"> and </w:t>
      </w:r>
      <w:r w:rsidR="0037575D" w:rsidRPr="00D366EA">
        <w:rPr>
          <w:rFonts w:cstheme="minorHAnsi"/>
          <w:sz w:val="24"/>
          <w:szCs w:val="24"/>
        </w:rPr>
        <w:t>annual leave</w:t>
      </w:r>
      <w:r w:rsidR="00701D0D" w:rsidRPr="00D366EA">
        <w:rPr>
          <w:rFonts w:cstheme="minorHAnsi"/>
          <w:sz w:val="24"/>
          <w:szCs w:val="24"/>
        </w:rPr>
        <w:t xml:space="preserve"> etc.</w:t>
      </w:r>
    </w:p>
    <w:p w14:paraId="08018AA6" w14:textId="77777777" w:rsidR="00DF3E48" w:rsidRPr="00D366EA" w:rsidRDefault="00DF3E48"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Despite the enactment of the Law on Safety and Health at Workplace in 2010</w:t>
      </w:r>
      <w:r w:rsidRPr="00D366EA">
        <w:rPr>
          <w:rStyle w:val="FootnoteReference"/>
          <w:rFonts w:cstheme="minorHAnsi"/>
          <w:sz w:val="24"/>
          <w:szCs w:val="24"/>
        </w:rPr>
        <w:footnoteReference w:id="16"/>
      </w:r>
      <w:r w:rsidRPr="00D366EA">
        <w:rPr>
          <w:rFonts w:cstheme="minorHAnsi"/>
          <w:sz w:val="24"/>
          <w:szCs w:val="24"/>
        </w:rPr>
        <w:t>, its effective implementation remains a persistent challenge. Regulatory oversight and fines imposed through established procedures have struggled to ensure compliance with this law, particularly within industries such as manufacturing and construction.</w:t>
      </w:r>
    </w:p>
    <w:p w14:paraId="378F1ABD" w14:textId="6D052977" w:rsidR="00DF3E48" w:rsidRPr="00D366EA" w:rsidRDefault="00DF3E48"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The 2020 update to the Law on Protection from Discrimination in Albania</w:t>
      </w:r>
      <w:r w:rsidRPr="00D366EA">
        <w:rPr>
          <w:rStyle w:val="FootnoteReference"/>
          <w:rFonts w:cstheme="minorHAnsi"/>
          <w:sz w:val="24"/>
          <w:szCs w:val="24"/>
        </w:rPr>
        <w:footnoteReference w:id="17"/>
      </w:r>
      <w:r w:rsidRPr="00D366EA">
        <w:rPr>
          <w:rFonts w:cstheme="minorHAnsi"/>
          <w:sz w:val="24"/>
          <w:szCs w:val="24"/>
        </w:rPr>
        <w:t xml:space="preserve"> marked notable progress. Notably, the shift from the burden of proof previously resting on the accusing party, to now requiring the accused party to prove non-discrimination in the workplace, stands out as a significant achievement.</w:t>
      </w:r>
    </w:p>
    <w:p w14:paraId="2A5E5816" w14:textId="4D290CB9" w:rsidR="005D25A6" w:rsidRPr="00D366EA" w:rsidRDefault="005D25A6"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 xml:space="preserve">In the clothing and footwear industry, predominantly comprising women and girls, workers encounter issues related to their employment contracts. According to </w:t>
      </w:r>
      <w:r w:rsidR="00402CF7" w:rsidRPr="00D366EA">
        <w:rPr>
          <w:rFonts w:cstheme="minorHAnsi"/>
          <w:sz w:val="24"/>
          <w:szCs w:val="24"/>
        </w:rPr>
        <w:t>the data gathered</w:t>
      </w:r>
      <w:r w:rsidRPr="00D366EA">
        <w:rPr>
          <w:rFonts w:cstheme="minorHAnsi"/>
          <w:sz w:val="24"/>
          <w:szCs w:val="24"/>
        </w:rPr>
        <w:t>, a substantial number of them only sign these contracts without retaining a copy. Furthermore, they frequently face problems such as unpaid annual leave and occasional denials, while also adhering to current workload norms (repartition quotas).</w:t>
      </w:r>
      <w:r w:rsidR="00402CF7" w:rsidRPr="00D366EA">
        <w:rPr>
          <w:rStyle w:val="FootnoteReference"/>
          <w:rFonts w:cstheme="minorHAnsi"/>
          <w:sz w:val="24"/>
          <w:szCs w:val="24"/>
        </w:rPr>
        <w:footnoteReference w:id="18"/>
      </w:r>
    </w:p>
    <w:p w14:paraId="3AD9F604" w14:textId="77617A94" w:rsidR="00470AA3" w:rsidRPr="00D366EA" w:rsidRDefault="00470AA3" w:rsidP="00D366EA">
      <w:pPr>
        <w:pStyle w:val="ListParagraph"/>
        <w:numPr>
          <w:ilvl w:val="0"/>
          <w:numId w:val="2"/>
        </w:numPr>
        <w:spacing w:after="0" w:line="240" w:lineRule="auto"/>
        <w:jc w:val="both"/>
        <w:rPr>
          <w:rFonts w:cstheme="minorHAnsi"/>
          <w:sz w:val="24"/>
          <w:szCs w:val="24"/>
        </w:rPr>
      </w:pPr>
      <w:r w:rsidRPr="00D366EA">
        <w:rPr>
          <w:rFonts w:cstheme="minorHAnsi"/>
          <w:sz w:val="24"/>
          <w:szCs w:val="24"/>
        </w:rPr>
        <w:t>Discrimination and harassment based on gender is prevalent in call centers. Women experience sexism, gender-based comments, or even sexual harassment from colleagues or supervisors. The high-stress nature of call center work has negative effects on employees' physical and mental health, and women are more susceptible to these effects due to additional stressors such as caregiving responsibilities. Women in call centers face difficulties in organizing or joining labor unions to advocate for their rights due to employer resistance or fear of retaliation.</w:t>
      </w:r>
    </w:p>
    <w:p w14:paraId="2933D794" w14:textId="1416E8D8" w:rsidR="00523A20" w:rsidRPr="00D366EA" w:rsidRDefault="00523A20" w:rsidP="00D366EA">
      <w:pPr>
        <w:pStyle w:val="ListParagraph"/>
        <w:numPr>
          <w:ilvl w:val="0"/>
          <w:numId w:val="2"/>
        </w:numPr>
        <w:spacing w:after="0" w:line="240" w:lineRule="auto"/>
        <w:jc w:val="both"/>
        <w:rPr>
          <w:rFonts w:cstheme="minorHAnsi"/>
          <w:sz w:val="24"/>
          <w:szCs w:val="24"/>
          <w:lang w:val="en-GB"/>
        </w:rPr>
      </w:pPr>
      <w:r w:rsidRPr="00D366EA">
        <w:rPr>
          <w:rFonts w:cstheme="minorHAnsi"/>
          <w:sz w:val="24"/>
          <w:szCs w:val="24"/>
          <w:lang w:val="en-GB"/>
        </w:rPr>
        <w:t xml:space="preserve">Traditional gender roles and stereotypes persist, affecting the perception of women's abilities in certain medical specialties or leadership positions. Discrimination and harassment, including gender-based bias and sexual harassment, </w:t>
      </w:r>
      <w:r w:rsidR="00724598" w:rsidRPr="00D366EA">
        <w:rPr>
          <w:rFonts w:cstheme="minorHAnsi"/>
          <w:sz w:val="24"/>
          <w:szCs w:val="24"/>
          <w:lang w:val="en-GB"/>
        </w:rPr>
        <w:t>occur</w:t>
      </w:r>
      <w:r w:rsidRPr="00D366EA">
        <w:rPr>
          <w:rFonts w:cstheme="minorHAnsi"/>
          <w:sz w:val="24"/>
          <w:szCs w:val="24"/>
          <w:lang w:val="en-GB"/>
        </w:rPr>
        <w:t xml:space="preserve"> in healthcare settings.</w:t>
      </w:r>
      <w:r w:rsidRPr="00D366EA">
        <w:rPr>
          <w:rFonts w:cstheme="minorHAnsi"/>
          <w:color w:val="374151"/>
          <w:sz w:val="24"/>
          <w:szCs w:val="24"/>
          <w:shd w:val="clear" w:color="auto" w:fill="F7F7F8"/>
        </w:rPr>
        <w:t xml:space="preserve"> </w:t>
      </w:r>
      <w:r w:rsidRPr="00D366EA">
        <w:rPr>
          <w:rFonts w:cstheme="minorHAnsi"/>
          <w:sz w:val="24"/>
          <w:szCs w:val="24"/>
        </w:rPr>
        <w:t>The healthcare sector often demands long and irregular hours, which can be particularly challenging for women who also have family and caregiving responsibilities.</w:t>
      </w:r>
    </w:p>
    <w:p w14:paraId="572108DA" w14:textId="7323A188" w:rsidR="0056596F" w:rsidRPr="00D366EA" w:rsidRDefault="0056596F" w:rsidP="00D366EA">
      <w:pPr>
        <w:pStyle w:val="ListParagraph"/>
        <w:numPr>
          <w:ilvl w:val="0"/>
          <w:numId w:val="2"/>
        </w:numPr>
        <w:spacing w:after="0" w:line="240" w:lineRule="auto"/>
        <w:jc w:val="both"/>
        <w:rPr>
          <w:rFonts w:cstheme="minorHAnsi"/>
          <w:sz w:val="24"/>
          <w:szCs w:val="24"/>
          <w:lang w:val="en-GB"/>
        </w:rPr>
      </w:pPr>
      <w:r w:rsidRPr="00D366EA">
        <w:rPr>
          <w:rFonts w:cstheme="minorHAnsi"/>
          <w:sz w:val="24"/>
          <w:szCs w:val="24"/>
        </w:rPr>
        <w:t xml:space="preserve">Women and girls in the Security Prison sector are underrepresented following traditional stereotypes and beliefs. On the winning </w:t>
      </w:r>
      <w:r w:rsidR="00724598" w:rsidRPr="00D366EA">
        <w:rPr>
          <w:rFonts w:cstheme="minorHAnsi"/>
          <w:sz w:val="24"/>
          <w:szCs w:val="24"/>
        </w:rPr>
        <w:t>candidate's</w:t>
      </w:r>
      <w:r w:rsidRPr="00D366EA">
        <w:rPr>
          <w:rFonts w:cstheme="minorHAnsi"/>
          <w:sz w:val="24"/>
          <w:szCs w:val="24"/>
        </w:rPr>
        <w:t xml:space="preserve"> list published by the General Directory of Prisons for the role of Security Guard in 2022, there is a ratio of 80 % male and 20% female representation </w:t>
      </w:r>
      <w:r w:rsidRPr="00D366EA">
        <w:rPr>
          <w:rStyle w:val="FootnoteReference"/>
          <w:rFonts w:cstheme="minorHAnsi"/>
          <w:sz w:val="24"/>
          <w:szCs w:val="24"/>
        </w:rPr>
        <w:footnoteReference w:id="19"/>
      </w:r>
      <w:r w:rsidRPr="00D366EA">
        <w:rPr>
          <w:rFonts w:cstheme="minorHAnsi"/>
          <w:sz w:val="24"/>
          <w:szCs w:val="24"/>
        </w:rPr>
        <w:t xml:space="preserve"> highly affected by traditional gender roles. </w:t>
      </w:r>
    </w:p>
    <w:p w14:paraId="7A95E8A2"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Gender Pay Gap</w:t>
      </w:r>
    </w:p>
    <w:p w14:paraId="5012AB16" w14:textId="2F8EBF5C" w:rsidR="00884C0C" w:rsidRPr="00D366EA" w:rsidRDefault="00884C0C" w:rsidP="00D366EA">
      <w:pPr>
        <w:spacing w:after="0" w:line="240" w:lineRule="auto"/>
        <w:contextualSpacing/>
        <w:jc w:val="both"/>
        <w:rPr>
          <w:rFonts w:cstheme="minorHAnsi"/>
          <w:sz w:val="24"/>
          <w:szCs w:val="24"/>
        </w:rPr>
      </w:pPr>
      <w:r w:rsidRPr="00D366EA">
        <w:rPr>
          <w:rFonts w:cstheme="minorHAnsi"/>
          <w:sz w:val="24"/>
          <w:szCs w:val="24"/>
        </w:rPr>
        <w:lastRenderedPageBreak/>
        <w:t>In 2022, Albania witnessed a nearly 2-percentage-point increase in the gender pay gap, signifying deeper labor market inequality between women and men. According to INSTAT, this gap stood at 6.2% in 2021. The same report indicates that, on average, men earn 6.12% more than women in the workforce. The most significant disparity is found in the industrial sector, with a 27.2% gap, followed by the finance and insurance sector at 18.3%</w:t>
      </w:r>
      <w:r w:rsidRPr="00D366EA">
        <w:rPr>
          <w:rStyle w:val="FootnoteReference"/>
          <w:rFonts w:cstheme="minorHAnsi"/>
          <w:sz w:val="24"/>
          <w:szCs w:val="24"/>
        </w:rPr>
        <w:footnoteReference w:id="20"/>
      </w:r>
    </w:p>
    <w:p w14:paraId="0B236AA7" w14:textId="5BD5F26C" w:rsidR="00B23458"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The existence of a gender pay gap, especially in the manufacturing sector, is concerning. Albania must take concrete actions to close this gap and ensure equal pay for equal work. A 24.6% pay gap in the manufacturing sector underscores the systemic issues that women face in the labor market.</w:t>
      </w:r>
      <w:r w:rsidR="00884C0C" w:rsidRPr="00D366EA">
        <w:rPr>
          <w:rStyle w:val="FootnoteReference"/>
          <w:rFonts w:cstheme="minorHAnsi"/>
          <w:sz w:val="24"/>
          <w:szCs w:val="24"/>
        </w:rPr>
        <w:footnoteReference w:id="21"/>
      </w:r>
    </w:p>
    <w:p w14:paraId="13A613A2" w14:textId="5BFC1DFB" w:rsidR="00DF3E48" w:rsidRPr="00D366EA" w:rsidRDefault="009756ED" w:rsidP="00D366EA">
      <w:pPr>
        <w:spacing w:after="0" w:line="240" w:lineRule="auto"/>
        <w:contextualSpacing/>
        <w:jc w:val="both"/>
        <w:rPr>
          <w:rFonts w:cstheme="minorHAnsi"/>
          <w:sz w:val="24"/>
          <w:szCs w:val="24"/>
          <w:lang w:val="en-GB"/>
        </w:rPr>
      </w:pPr>
      <w:r w:rsidRPr="00D366EA">
        <w:rPr>
          <w:rFonts w:cstheme="minorHAnsi"/>
          <w:sz w:val="24"/>
          <w:szCs w:val="24"/>
          <w:lang w:val="en-GB"/>
        </w:rPr>
        <w:t xml:space="preserve">While lower than the average EU countries, Albania’s gender pay gap is also the result of women’s lower participation in the labour market, and it is higher in sectors where women are concentrated. The concentration of women and girls in the informal economy and in </w:t>
      </w:r>
      <w:r w:rsidR="000941FD" w:rsidRPr="00D366EA">
        <w:rPr>
          <w:rFonts w:cstheme="minorHAnsi"/>
          <w:sz w:val="24"/>
          <w:szCs w:val="24"/>
          <w:lang w:val="en-GB"/>
        </w:rPr>
        <w:t xml:space="preserve">a </w:t>
      </w:r>
      <w:r w:rsidRPr="00D366EA">
        <w:rPr>
          <w:rFonts w:cstheme="minorHAnsi"/>
          <w:sz w:val="24"/>
          <w:szCs w:val="24"/>
          <w:lang w:val="en-GB"/>
        </w:rPr>
        <w:t>few sectors also acts as a break on the overall economic growth of the country, when there is growing consensus that Albania needs to increase productivity and diversify employment and education opportunities (</w:t>
      </w:r>
      <w:proofErr w:type="gramStart"/>
      <w:r w:rsidRPr="00D366EA">
        <w:rPr>
          <w:rFonts w:cstheme="minorHAnsi"/>
          <w:sz w:val="24"/>
          <w:szCs w:val="24"/>
          <w:lang w:val="en-GB"/>
        </w:rPr>
        <w:t>e.g.</w:t>
      </w:r>
      <w:proofErr w:type="gramEnd"/>
      <w:r w:rsidRPr="00D366EA">
        <w:rPr>
          <w:rFonts w:cstheme="minorHAnsi"/>
          <w:sz w:val="24"/>
          <w:szCs w:val="24"/>
          <w:lang w:val="en-GB"/>
        </w:rPr>
        <w:t xml:space="preserve"> towards science, ITC, and entrepreneurship). </w:t>
      </w:r>
    </w:p>
    <w:p w14:paraId="2CEA6FDA" w14:textId="7B9EA19F" w:rsidR="00DF3E48" w:rsidRPr="00D366EA" w:rsidRDefault="000941FD" w:rsidP="00D366EA">
      <w:pPr>
        <w:spacing w:after="0" w:line="240" w:lineRule="auto"/>
        <w:contextualSpacing/>
        <w:jc w:val="both"/>
        <w:rPr>
          <w:rFonts w:cstheme="minorHAnsi"/>
          <w:sz w:val="24"/>
          <w:szCs w:val="24"/>
          <w:lang w:val="en-GB"/>
        </w:rPr>
      </w:pPr>
      <w:r w:rsidRPr="00D366EA">
        <w:rPr>
          <w:rFonts w:cstheme="minorHAnsi"/>
          <w:sz w:val="24"/>
          <w:szCs w:val="24"/>
          <w:lang w:val="en-GB"/>
        </w:rPr>
        <w:t>Women's</w:t>
      </w:r>
      <w:r w:rsidR="009756ED" w:rsidRPr="00D366EA">
        <w:rPr>
          <w:rFonts w:cstheme="minorHAnsi"/>
          <w:sz w:val="24"/>
          <w:szCs w:val="24"/>
          <w:lang w:val="en-GB"/>
        </w:rPr>
        <w:t xml:space="preserve"> participation in business increased during the last decade, with 25.4%. of women owning or managing a business. However, the majority of women’s enterprises are </w:t>
      </w:r>
      <w:r w:rsidRPr="00D366EA">
        <w:rPr>
          <w:rFonts w:cstheme="minorHAnsi"/>
          <w:sz w:val="24"/>
          <w:szCs w:val="24"/>
          <w:lang w:val="en-GB"/>
        </w:rPr>
        <w:t>undercapitalized</w:t>
      </w:r>
      <w:r w:rsidR="009756ED" w:rsidRPr="00D366EA">
        <w:rPr>
          <w:rFonts w:cstheme="minorHAnsi"/>
          <w:sz w:val="24"/>
          <w:szCs w:val="24"/>
          <w:lang w:val="en-GB"/>
        </w:rPr>
        <w:t xml:space="preserve"> micro/small businesses in mostly informal and lower value-added sectors (</w:t>
      </w:r>
      <w:proofErr w:type="gramStart"/>
      <w:r w:rsidR="009756ED" w:rsidRPr="00D366EA">
        <w:rPr>
          <w:rFonts w:cstheme="minorHAnsi"/>
          <w:sz w:val="24"/>
          <w:szCs w:val="24"/>
          <w:lang w:val="en-GB"/>
        </w:rPr>
        <w:t>e.g.</w:t>
      </w:r>
      <w:proofErr w:type="gramEnd"/>
      <w:r w:rsidR="009756ED" w:rsidRPr="00D366EA">
        <w:rPr>
          <w:rFonts w:cstheme="minorHAnsi"/>
          <w:sz w:val="24"/>
          <w:szCs w:val="24"/>
          <w:lang w:val="en-GB"/>
        </w:rPr>
        <w:t xml:space="preserve"> in manufacturing and agriculture). Women’s active participation in private sector development remains low, especially for women in rural areas, and the impact of discriminatory gender norms and </w:t>
      </w:r>
      <w:r w:rsidR="00724598" w:rsidRPr="00D366EA">
        <w:rPr>
          <w:rFonts w:cstheme="minorHAnsi"/>
          <w:sz w:val="24"/>
          <w:szCs w:val="24"/>
          <w:lang w:val="en-GB"/>
        </w:rPr>
        <w:t>behaviours</w:t>
      </w:r>
      <w:r w:rsidR="009756ED" w:rsidRPr="00D366EA">
        <w:rPr>
          <w:rFonts w:cstheme="minorHAnsi"/>
          <w:sz w:val="24"/>
          <w:szCs w:val="24"/>
          <w:lang w:val="en-GB"/>
        </w:rPr>
        <w:t xml:space="preserve"> is found at all levels. </w:t>
      </w:r>
    </w:p>
    <w:p w14:paraId="39C1F21A" w14:textId="288CEE7A" w:rsidR="009756ED" w:rsidRPr="00D366EA" w:rsidRDefault="009756ED" w:rsidP="00D366EA">
      <w:pPr>
        <w:spacing w:after="0" w:line="240" w:lineRule="auto"/>
        <w:contextualSpacing/>
        <w:jc w:val="both"/>
        <w:rPr>
          <w:rFonts w:cstheme="minorHAnsi"/>
          <w:sz w:val="24"/>
          <w:szCs w:val="24"/>
        </w:rPr>
      </w:pPr>
      <w:r w:rsidRPr="00D366EA">
        <w:rPr>
          <w:rFonts w:cstheme="minorHAnsi"/>
          <w:sz w:val="24"/>
          <w:szCs w:val="24"/>
          <w:lang w:val="en-GB"/>
        </w:rPr>
        <w:t xml:space="preserve">The gender gap in access to credit has not decreased over the years. In addition, while women formally enjoy equal rights to inheritance and ownership of land and property, over 80% of land titles remain in the name of the “head of household” (mainly husbands, fathers-in-law, brothers, fathers, grandfathers), thus limiting women’s entitlements to productive resources such as registering a business, credit, and extension services, as well as their options to leave </w:t>
      </w:r>
      <w:r w:rsidR="000941FD" w:rsidRPr="00D366EA">
        <w:rPr>
          <w:rFonts w:cstheme="minorHAnsi"/>
          <w:sz w:val="24"/>
          <w:szCs w:val="24"/>
          <w:lang w:val="en-GB"/>
        </w:rPr>
        <w:t xml:space="preserve">a </w:t>
      </w:r>
      <w:r w:rsidRPr="00D366EA">
        <w:rPr>
          <w:rFonts w:cstheme="minorHAnsi"/>
          <w:sz w:val="24"/>
          <w:szCs w:val="24"/>
          <w:lang w:val="en-GB"/>
        </w:rPr>
        <w:t>violent relationship.</w:t>
      </w:r>
      <w:r w:rsidRPr="00D366EA">
        <w:rPr>
          <w:rFonts w:cstheme="minorHAnsi"/>
          <w:sz w:val="24"/>
          <w:szCs w:val="24"/>
          <w:vertAlign w:val="superscript"/>
          <w:lang w:val="en-GB"/>
        </w:rPr>
        <w:footnoteReference w:id="22"/>
      </w:r>
    </w:p>
    <w:p w14:paraId="72D6B89B" w14:textId="77777777" w:rsidR="0037575D" w:rsidRPr="00D366EA" w:rsidRDefault="0037575D" w:rsidP="00D366EA">
      <w:pPr>
        <w:spacing w:after="0" w:line="240" w:lineRule="auto"/>
        <w:contextualSpacing/>
        <w:jc w:val="both"/>
        <w:rPr>
          <w:rFonts w:cstheme="minorHAnsi"/>
          <w:b/>
          <w:bCs/>
          <w:sz w:val="24"/>
          <w:szCs w:val="24"/>
        </w:rPr>
      </w:pPr>
      <w:r w:rsidRPr="00D366EA">
        <w:rPr>
          <w:rFonts w:cstheme="minorHAnsi"/>
          <w:b/>
          <w:bCs/>
          <w:sz w:val="24"/>
          <w:szCs w:val="24"/>
        </w:rPr>
        <w:t>Sectoral Analysis</w:t>
      </w:r>
    </w:p>
    <w:p w14:paraId="1F42EFB9" w14:textId="41A596A9" w:rsidR="0037575D" w:rsidRPr="00D366EA" w:rsidRDefault="0037575D" w:rsidP="00D366EA">
      <w:pPr>
        <w:spacing w:after="0" w:line="240" w:lineRule="auto"/>
        <w:contextualSpacing/>
        <w:jc w:val="both"/>
        <w:rPr>
          <w:rFonts w:cstheme="minorHAnsi"/>
          <w:sz w:val="24"/>
          <w:szCs w:val="24"/>
        </w:rPr>
      </w:pPr>
      <w:r w:rsidRPr="00D366EA">
        <w:rPr>
          <w:rFonts w:cstheme="minorHAnsi"/>
          <w:sz w:val="24"/>
          <w:szCs w:val="24"/>
        </w:rPr>
        <w:t>The coalition calls attention to the need for further analysis of employment trends in different sectors. While the agricultural sector's decline is noted, it's essential to assess the quality of jobs in growing sectors like the clothing and footwear industry. Are these jobs secure, and are they protected by fair labor practices?</w:t>
      </w:r>
    </w:p>
    <w:p w14:paraId="0891B128" w14:textId="77777777" w:rsidR="000941FD" w:rsidRPr="00D366EA" w:rsidRDefault="000941FD" w:rsidP="00D366EA">
      <w:pPr>
        <w:spacing w:after="0" w:line="240" w:lineRule="auto"/>
        <w:contextualSpacing/>
        <w:jc w:val="both"/>
        <w:rPr>
          <w:rFonts w:cstheme="minorHAnsi"/>
          <w:sz w:val="24"/>
          <w:szCs w:val="24"/>
        </w:rPr>
      </w:pPr>
    </w:p>
    <w:p w14:paraId="478FE307" w14:textId="77777777" w:rsidR="00286A52" w:rsidRPr="00D366EA" w:rsidRDefault="00286A52" w:rsidP="00D366EA">
      <w:pPr>
        <w:spacing w:after="0" w:line="240" w:lineRule="auto"/>
        <w:contextualSpacing/>
        <w:jc w:val="both"/>
        <w:rPr>
          <w:rFonts w:cstheme="minorHAnsi"/>
          <w:b/>
          <w:bCs/>
          <w:sz w:val="24"/>
          <w:szCs w:val="24"/>
        </w:rPr>
      </w:pPr>
      <w:r w:rsidRPr="00D366EA">
        <w:rPr>
          <w:rFonts w:cstheme="minorHAnsi"/>
          <w:b/>
          <w:bCs/>
          <w:sz w:val="24"/>
          <w:szCs w:val="24"/>
        </w:rPr>
        <w:t>Workplace Safety and Health</w:t>
      </w:r>
    </w:p>
    <w:p w14:paraId="23A0EB77" w14:textId="3BFD1214" w:rsidR="007B614D" w:rsidRPr="00D366EA" w:rsidRDefault="00286A52" w:rsidP="00D366EA">
      <w:pPr>
        <w:spacing w:after="0" w:line="240" w:lineRule="auto"/>
        <w:contextualSpacing/>
        <w:jc w:val="both"/>
        <w:rPr>
          <w:rFonts w:cstheme="minorHAnsi"/>
          <w:sz w:val="24"/>
          <w:szCs w:val="24"/>
        </w:rPr>
      </w:pPr>
      <w:r w:rsidRPr="00D366EA">
        <w:rPr>
          <w:rFonts w:cstheme="minorHAnsi"/>
          <w:sz w:val="24"/>
          <w:szCs w:val="24"/>
        </w:rPr>
        <w:lastRenderedPageBreak/>
        <w:t xml:space="preserve">Workers in clothing and footwear factories often grapple with safety and health-related issues. The absence of adequate heating and cooling systems creates a challenging work environment, </w:t>
      </w:r>
      <w:r w:rsidR="00FB09D8" w:rsidRPr="00D366EA">
        <w:rPr>
          <w:rFonts w:cstheme="minorHAnsi"/>
          <w:sz w:val="24"/>
          <w:szCs w:val="24"/>
        </w:rPr>
        <w:t>having</w:t>
      </w:r>
      <w:r w:rsidRPr="00D366EA">
        <w:rPr>
          <w:rFonts w:cstheme="minorHAnsi"/>
          <w:sz w:val="24"/>
          <w:szCs w:val="24"/>
        </w:rPr>
        <w:t xml:space="preserve"> extreme</w:t>
      </w:r>
      <w:r w:rsidR="00FB09D8" w:rsidRPr="00D366EA">
        <w:rPr>
          <w:rFonts w:cstheme="minorHAnsi"/>
          <w:sz w:val="24"/>
          <w:szCs w:val="24"/>
        </w:rPr>
        <w:t xml:space="preserve"> summer and winter</w:t>
      </w:r>
      <w:r w:rsidRPr="00D366EA">
        <w:rPr>
          <w:rFonts w:cstheme="minorHAnsi"/>
          <w:sz w:val="24"/>
          <w:szCs w:val="24"/>
        </w:rPr>
        <w:t xml:space="preserve"> temperatures in</w:t>
      </w:r>
      <w:r w:rsidR="00FB09D8" w:rsidRPr="00D366EA">
        <w:rPr>
          <w:rFonts w:cstheme="minorHAnsi"/>
          <w:sz w:val="24"/>
          <w:szCs w:val="24"/>
        </w:rPr>
        <w:t>side the workplace</w:t>
      </w:r>
      <w:r w:rsidRPr="00D366EA">
        <w:rPr>
          <w:rFonts w:cstheme="minorHAnsi"/>
          <w:sz w:val="24"/>
          <w:szCs w:val="24"/>
        </w:rPr>
        <w:t>. Exposure to chemical substances and direct contact with these agents frequently results in physical problems such as allergies or body pain. Female workers in these factories, in particular, face significant hazards and health concerns as a result of these conditions.</w:t>
      </w:r>
      <w:r w:rsidR="00DF4E32" w:rsidRPr="00D366EA">
        <w:rPr>
          <w:rFonts w:cstheme="minorHAnsi"/>
          <w:sz w:val="24"/>
          <w:szCs w:val="24"/>
        </w:rPr>
        <w:t xml:space="preserve"> </w:t>
      </w:r>
    </w:p>
    <w:p w14:paraId="6CCF3FF7" w14:textId="111DF859" w:rsidR="00DF4E32" w:rsidRPr="00D366EA" w:rsidRDefault="00DF4E32" w:rsidP="00D366EA">
      <w:pPr>
        <w:spacing w:after="0" w:line="240" w:lineRule="auto"/>
        <w:contextualSpacing/>
        <w:jc w:val="both"/>
        <w:rPr>
          <w:rFonts w:cstheme="minorHAnsi"/>
          <w:sz w:val="24"/>
          <w:szCs w:val="24"/>
        </w:rPr>
      </w:pPr>
      <w:r w:rsidRPr="00D366EA">
        <w:rPr>
          <w:rFonts w:cstheme="minorHAnsi"/>
          <w:sz w:val="24"/>
          <w:szCs w:val="24"/>
        </w:rPr>
        <w:t>For the workers in the call center sector</w:t>
      </w:r>
      <w:r w:rsidR="000941FD" w:rsidRPr="00D366EA">
        <w:rPr>
          <w:rFonts w:cstheme="minorHAnsi"/>
          <w:sz w:val="24"/>
          <w:szCs w:val="24"/>
        </w:rPr>
        <w:t>,</w:t>
      </w:r>
      <w:r w:rsidRPr="00D366EA">
        <w:rPr>
          <w:rFonts w:cstheme="minorHAnsi"/>
          <w:sz w:val="24"/>
          <w:szCs w:val="24"/>
        </w:rPr>
        <w:t xml:space="preserve"> the prolonged hours of sitting and repetitive tasks in </w:t>
      </w:r>
      <w:r w:rsidR="000941FD" w:rsidRPr="00D366EA">
        <w:rPr>
          <w:rFonts w:cstheme="minorHAnsi"/>
          <w:sz w:val="24"/>
          <w:szCs w:val="24"/>
        </w:rPr>
        <w:t xml:space="preserve">the </w:t>
      </w:r>
      <w:r w:rsidRPr="00D366EA">
        <w:rPr>
          <w:rFonts w:cstheme="minorHAnsi"/>
          <w:sz w:val="24"/>
          <w:szCs w:val="24"/>
        </w:rPr>
        <w:t xml:space="preserve">call center </w:t>
      </w:r>
      <w:r w:rsidR="007B614D" w:rsidRPr="00D366EA">
        <w:rPr>
          <w:rFonts w:cstheme="minorHAnsi"/>
          <w:sz w:val="24"/>
          <w:szCs w:val="24"/>
        </w:rPr>
        <w:t>led</w:t>
      </w:r>
      <w:r w:rsidRPr="00D366EA">
        <w:rPr>
          <w:rFonts w:cstheme="minorHAnsi"/>
          <w:sz w:val="24"/>
          <w:szCs w:val="24"/>
        </w:rPr>
        <w:t xml:space="preserve"> to ergonomic problems, including musculoskeletal disorders. High-stress environments, dealing with irate customers, and strict performance metrics can contribute to mental health issues such as stress, anxiety, and burnout. Constant talking and the use of headsets lead to voice strain and vocal health problems for call center employees. Irregular hours, including night shifts and weekends, disrupt work-life balance and affect overall well-being.</w:t>
      </w:r>
    </w:p>
    <w:p w14:paraId="6EC57FE5" w14:textId="59F84DD4" w:rsidR="00DF4E32" w:rsidRPr="00D366EA" w:rsidRDefault="00DF4E32" w:rsidP="00D366EA">
      <w:pPr>
        <w:spacing w:after="0" w:line="240" w:lineRule="auto"/>
        <w:contextualSpacing/>
        <w:jc w:val="both"/>
        <w:rPr>
          <w:rFonts w:cstheme="minorHAnsi"/>
          <w:sz w:val="24"/>
          <w:szCs w:val="24"/>
        </w:rPr>
      </w:pPr>
      <w:r w:rsidRPr="00D366EA">
        <w:rPr>
          <w:rFonts w:cstheme="minorHAnsi"/>
          <w:sz w:val="24"/>
          <w:szCs w:val="24"/>
        </w:rPr>
        <w:t>Healthcare workers, especially during pandemics, are at risk of exposure to infectious diseases, making infection control and prevention a top priority. Witnessing traumatic events, dealing with patient suffering, and working long hours contribute to high levels of stress, compassion fatigue, and burnout among healthcare workers. Some healthcare employees have also experienced violence from patients or visitors, posing a safety threat to employees.</w:t>
      </w:r>
    </w:p>
    <w:p w14:paraId="5E0723A0" w14:textId="22CBC30A" w:rsidR="00DF4E32" w:rsidRPr="00D366EA" w:rsidRDefault="00DF4E32" w:rsidP="00D366EA">
      <w:pPr>
        <w:spacing w:after="0" w:line="240" w:lineRule="auto"/>
        <w:contextualSpacing/>
        <w:jc w:val="both"/>
        <w:rPr>
          <w:rFonts w:cstheme="minorHAnsi"/>
          <w:sz w:val="24"/>
          <w:szCs w:val="24"/>
        </w:rPr>
      </w:pPr>
      <w:r w:rsidRPr="00D366EA">
        <w:rPr>
          <w:rFonts w:cstheme="minorHAnsi"/>
          <w:sz w:val="24"/>
          <w:szCs w:val="24"/>
        </w:rPr>
        <w:t>Workers in the oil industry are at risk of exposure to hazardous chemicals and materials, which can lead to long-term health issues. Oil extraction and refining operations involve physical risks, including fires, explosions, and accidents. Many oil industry jobs require employees to work in remote and isolated locations, which impacts mental health and access to medical care.</w:t>
      </w:r>
    </w:p>
    <w:p w14:paraId="1851B999" w14:textId="4737EC82" w:rsidR="00DF4E32" w:rsidRPr="00D366EA" w:rsidRDefault="00DF4E32" w:rsidP="00D366EA">
      <w:pPr>
        <w:spacing w:after="0" w:line="240" w:lineRule="auto"/>
        <w:contextualSpacing/>
        <w:jc w:val="both"/>
        <w:rPr>
          <w:rFonts w:cstheme="minorHAnsi"/>
          <w:sz w:val="24"/>
          <w:szCs w:val="24"/>
        </w:rPr>
      </w:pPr>
      <w:r w:rsidRPr="00D366EA">
        <w:rPr>
          <w:rFonts w:cstheme="minorHAnsi"/>
          <w:sz w:val="24"/>
          <w:szCs w:val="24"/>
        </w:rPr>
        <w:t>Corrections officers and prison staff face the risk of physical harm from inmates, making security a top priority</w:t>
      </w:r>
      <w:r w:rsidR="007B614D" w:rsidRPr="00D366EA">
        <w:rPr>
          <w:rFonts w:cstheme="minorHAnsi"/>
          <w:sz w:val="24"/>
          <w:szCs w:val="24"/>
        </w:rPr>
        <w:t xml:space="preserve">. </w:t>
      </w:r>
      <w:r w:rsidRPr="00D366EA">
        <w:rPr>
          <w:rFonts w:cstheme="minorHAnsi"/>
          <w:sz w:val="24"/>
          <w:szCs w:val="24"/>
        </w:rPr>
        <w:t>Working in a prison environment can be emotionally taxing, leading to high levels of stress, anxiety, and PTSD among staff.</w:t>
      </w:r>
      <w:r w:rsidR="007B614D" w:rsidRPr="00D366EA">
        <w:rPr>
          <w:rFonts w:cstheme="minorHAnsi"/>
          <w:sz w:val="24"/>
          <w:szCs w:val="24"/>
        </w:rPr>
        <w:t xml:space="preserve"> </w:t>
      </w:r>
      <w:r w:rsidRPr="00D366EA">
        <w:rPr>
          <w:rFonts w:cstheme="minorHAnsi"/>
          <w:sz w:val="24"/>
          <w:szCs w:val="24"/>
        </w:rPr>
        <w:t>Overcrowded prisons lead to heightened tension and increased safety concerns for prison workers.</w:t>
      </w:r>
    </w:p>
    <w:p w14:paraId="0D2E4CB8" w14:textId="68870FAC" w:rsidR="00540DF3" w:rsidRPr="00D366EA" w:rsidRDefault="00B22AE7" w:rsidP="00D366EA">
      <w:pPr>
        <w:spacing w:after="0" w:line="240" w:lineRule="auto"/>
        <w:contextualSpacing/>
        <w:jc w:val="both"/>
        <w:rPr>
          <w:rFonts w:cstheme="minorHAnsi"/>
          <w:sz w:val="24"/>
          <w:szCs w:val="24"/>
        </w:rPr>
      </w:pPr>
      <w:r w:rsidRPr="00D366EA">
        <w:rPr>
          <w:rFonts w:cstheme="minorHAnsi"/>
          <w:sz w:val="24"/>
          <w:szCs w:val="24"/>
        </w:rPr>
        <w:t>In some municipalities, the cleaning sector is managed by private companies, which sign contracts for the provision of the service. As a result of the lack of monitoring by the municipalities that have contracted them as well as by the labor inspectorate, the employees of the cleaning sector, most of whom are girls and women of the Roma and Egyptian minorities, are exploited by private companies, violating their basic rights. Female employees in this sector working non-stop throughout the year has negatively affected the work-life balance. Female employees also face risks and concerns of gender and racial discrimination, as well as sexual harassment by shift supervisors. This has caused problems of a psychological and social nature for female employees. Also, the very low and not dignified payment has affected the general well-being of their families, especially for women heads of families. Also, they are exposed to the risk of accidents and harassment of different natures from irresponsible persons. This risk is more pronounced during the night shift since the nature of the work is such that employees are exposed to the street</w:t>
      </w:r>
      <w:r w:rsidR="00540DF3" w:rsidRPr="00D366EA">
        <w:rPr>
          <w:rFonts w:cstheme="minorHAnsi"/>
          <w:sz w:val="24"/>
          <w:szCs w:val="24"/>
        </w:rPr>
        <w:t>.</w:t>
      </w:r>
    </w:p>
    <w:p w14:paraId="47792286" w14:textId="77777777" w:rsidR="00540DF3" w:rsidRPr="00D366EA" w:rsidRDefault="00540DF3" w:rsidP="00D366EA">
      <w:pPr>
        <w:spacing w:after="0" w:line="240" w:lineRule="auto"/>
        <w:contextualSpacing/>
        <w:jc w:val="both"/>
        <w:rPr>
          <w:rFonts w:cstheme="minorHAnsi"/>
          <w:sz w:val="24"/>
          <w:szCs w:val="24"/>
        </w:rPr>
      </w:pPr>
    </w:p>
    <w:p w14:paraId="5DD30D4C" w14:textId="77777777" w:rsidR="00286A52" w:rsidRPr="00D366EA" w:rsidRDefault="00286A52" w:rsidP="00D366EA">
      <w:pPr>
        <w:spacing w:after="0" w:line="240" w:lineRule="auto"/>
        <w:contextualSpacing/>
        <w:jc w:val="both"/>
        <w:rPr>
          <w:rFonts w:cstheme="minorHAnsi"/>
          <w:b/>
          <w:bCs/>
          <w:sz w:val="24"/>
          <w:szCs w:val="24"/>
        </w:rPr>
      </w:pPr>
      <w:r w:rsidRPr="00D366EA">
        <w:rPr>
          <w:rFonts w:cstheme="minorHAnsi"/>
          <w:b/>
          <w:bCs/>
          <w:sz w:val="24"/>
          <w:szCs w:val="24"/>
        </w:rPr>
        <w:t>Unemployment Rates and Public Employment Services</w:t>
      </w:r>
    </w:p>
    <w:p w14:paraId="09EA48A8" w14:textId="04B20058" w:rsidR="00286A52" w:rsidRPr="00D366EA" w:rsidRDefault="00286A52" w:rsidP="00D366EA">
      <w:pPr>
        <w:spacing w:after="0" w:line="240" w:lineRule="auto"/>
        <w:contextualSpacing/>
        <w:jc w:val="both"/>
        <w:rPr>
          <w:rFonts w:cstheme="minorHAnsi"/>
          <w:sz w:val="24"/>
          <w:szCs w:val="24"/>
        </w:rPr>
      </w:pPr>
      <w:r w:rsidRPr="00D366EA">
        <w:rPr>
          <w:rFonts w:cstheme="minorHAnsi"/>
          <w:sz w:val="24"/>
          <w:szCs w:val="24"/>
        </w:rPr>
        <w:t xml:space="preserve">Celebrating a reduction in unemployment rates is praiseworthy, but it's crucial to delve into the underlying causes of this decrease. Are women able to secure high-quality job opportunities, or are </w:t>
      </w:r>
      <w:r w:rsidRPr="00D366EA">
        <w:rPr>
          <w:rFonts w:cstheme="minorHAnsi"/>
          <w:sz w:val="24"/>
          <w:szCs w:val="24"/>
        </w:rPr>
        <w:lastRenderedPageBreak/>
        <w:t>they sometimes compelled to accept positions that fall short of fully utilizing their skills and qualifications? The provision of accessible public employment services is indeed a positive step. However, the coalition emphasizes the need for transparency and accountability in ensuring these services genuinely benefit disadvantaged groups, including women. Merely offering services is insufficient; their effectiveness must be rigorously assessed.</w:t>
      </w:r>
    </w:p>
    <w:p w14:paraId="002C0BC5" w14:textId="77777777" w:rsidR="00286A52" w:rsidRPr="00D366EA" w:rsidRDefault="00286A52" w:rsidP="00D366EA">
      <w:pPr>
        <w:spacing w:after="0" w:line="240" w:lineRule="auto"/>
        <w:contextualSpacing/>
        <w:jc w:val="both"/>
        <w:rPr>
          <w:rFonts w:cstheme="minorHAnsi"/>
          <w:b/>
          <w:bCs/>
          <w:sz w:val="24"/>
          <w:szCs w:val="24"/>
        </w:rPr>
      </w:pPr>
      <w:r w:rsidRPr="00D366EA">
        <w:rPr>
          <w:rFonts w:cstheme="minorHAnsi"/>
          <w:b/>
          <w:bCs/>
          <w:sz w:val="24"/>
          <w:szCs w:val="24"/>
        </w:rPr>
        <w:t>Unionization</w:t>
      </w:r>
    </w:p>
    <w:p w14:paraId="32B1BE0E" w14:textId="54479680" w:rsidR="00433AEA" w:rsidRPr="00D366EA" w:rsidRDefault="00F40626" w:rsidP="00D366EA">
      <w:pPr>
        <w:spacing w:after="0" w:line="240" w:lineRule="auto"/>
        <w:contextualSpacing/>
        <w:jc w:val="both"/>
        <w:rPr>
          <w:rFonts w:cstheme="minorHAnsi"/>
          <w:sz w:val="24"/>
          <w:szCs w:val="24"/>
        </w:rPr>
      </w:pPr>
      <w:r w:rsidRPr="00D366EA">
        <w:rPr>
          <w:rFonts w:cstheme="minorHAnsi"/>
          <w:sz w:val="24"/>
          <w:szCs w:val="24"/>
        </w:rPr>
        <w:t>Currently in Albania</w:t>
      </w:r>
      <w:r w:rsidR="00433AEA" w:rsidRPr="00D366EA">
        <w:rPr>
          <w:rFonts w:cstheme="minorHAnsi"/>
          <w:sz w:val="24"/>
          <w:szCs w:val="24"/>
        </w:rPr>
        <w:t xml:space="preserve"> there are no genuinely effective trade union organizations, particularly at the enterprise or sector levels. Consequently, they struggle to garner trust and support from disorganized workers and often fail to gain recognition from both state institutions and private employers.</w:t>
      </w:r>
    </w:p>
    <w:p w14:paraId="6BDDC1A0" w14:textId="77777777" w:rsidR="00433AEA" w:rsidRPr="00D366EA" w:rsidRDefault="00433AEA" w:rsidP="00D366EA">
      <w:pPr>
        <w:spacing w:after="0" w:line="240" w:lineRule="auto"/>
        <w:contextualSpacing/>
        <w:jc w:val="both"/>
        <w:rPr>
          <w:rFonts w:cstheme="minorHAnsi"/>
          <w:sz w:val="24"/>
          <w:szCs w:val="24"/>
        </w:rPr>
      </w:pPr>
      <w:r w:rsidRPr="00D366EA">
        <w:rPr>
          <w:rFonts w:cstheme="minorHAnsi"/>
          <w:sz w:val="24"/>
          <w:szCs w:val="24"/>
        </w:rPr>
        <w:t>However, over the past five years, we've witnessed the emergence and establishment of new labor unions. These unions are gradually addressing the pressing need for improved organization and more proactive roles for unions in general. This development instills a sense of hope for transformative change. Encouraging signs of collective organizing have surfaced in several sectors, including the oil and gas, telecommunications (including call centers), mining, and health sectors. These emerging initiatives can be seen as the seeds of a revitalized labor movement.</w:t>
      </w:r>
    </w:p>
    <w:p w14:paraId="5A3BA6EE" w14:textId="36320EEA" w:rsidR="00433AEA" w:rsidRPr="00D366EA" w:rsidRDefault="00433AEA" w:rsidP="00D366EA">
      <w:pPr>
        <w:spacing w:after="0" w:line="240" w:lineRule="auto"/>
        <w:contextualSpacing/>
        <w:jc w:val="both"/>
        <w:rPr>
          <w:rFonts w:cstheme="minorHAnsi"/>
          <w:sz w:val="24"/>
          <w:szCs w:val="24"/>
        </w:rPr>
      </w:pPr>
      <w:r w:rsidRPr="00D366EA">
        <w:rPr>
          <w:rFonts w:cstheme="minorHAnsi"/>
          <w:sz w:val="24"/>
          <w:szCs w:val="24"/>
        </w:rPr>
        <w:t>In the textile industry sector, there are currently four trade unions vying for representativeness. Two of them have been in existence for years, while the other two are relatively new additions. Despite the competitive landscape and the aspirations of these unions to represent the textile industry workforce, it's essential to acknowledge that the overall impact and positive change in terms of unionization within this sector remain limited. Union membership continues to represent a relatively small portion of the textile industry workforce. This suggests that while there is competition among unions for influence, the broader unionization efforts within the sector have not yet yielded significant results, and a considerable portion of the workforce remains unorganized.</w:t>
      </w:r>
    </w:p>
    <w:p w14:paraId="7CB468DD" w14:textId="7F898837" w:rsidR="00286A52" w:rsidRPr="00D366EA" w:rsidRDefault="00286A52" w:rsidP="00D366EA">
      <w:pPr>
        <w:spacing w:after="0" w:line="240" w:lineRule="auto"/>
        <w:contextualSpacing/>
        <w:jc w:val="both"/>
        <w:rPr>
          <w:rFonts w:cstheme="minorHAnsi"/>
          <w:b/>
          <w:bCs/>
          <w:sz w:val="24"/>
          <w:szCs w:val="24"/>
        </w:rPr>
      </w:pPr>
      <w:r w:rsidRPr="00D366EA">
        <w:rPr>
          <w:rFonts w:cstheme="minorHAnsi"/>
          <w:b/>
          <w:bCs/>
          <w:sz w:val="24"/>
          <w:szCs w:val="24"/>
        </w:rPr>
        <w:t>Vocational Training</w:t>
      </w:r>
    </w:p>
    <w:p w14:paraId="313523CB" w14:textId="71AF354D" w:rsidR="007100EE" w:rsidRPr="00D366EA" w:rsidRDefault="007100EE" w:rsidP="00D366EA">
      <w:pPr>
        <w:spacing w:after="0" w:line="240" w:lineRule="auto"/>
        <w:contextualSpacing/>
        <w:jc w:val="both"/>
        <w:rPr>
          <w:rFonts w:cstheme="minorHAnsi"/>
          <w:sz w:val="24"/>
          <w:szCs w:val="24"/>
        </w:rPr>
      </w:pPr>
      <w:r w:rsidRPr="00D366EA">
        <w:rPr>
          <w:rFonts w:cstheme="minorHAnsi"/>
          <w:sz w:val="24"/>
          <w:szCs w:val="24"/>
        </w:rPr>
        <w:t>While the enrollment of women in vocational training courses is encouraging, it is essential to monitor whether these programs actually increase women's employability and result in job placements that provide financial stability. Instruction no. 14, dated 27.05.2021 "On the way of organization and activity of educational and professional training institutions"</w:t>
      </w:r>
      <w:r w:rsidR="009F00FC" w:rsidRPr="00D366EA">
        <w:rPr>
          <w:rStyle w:val="FootnoteReference"/>
          <w:rFonts w:cstheme="minorHAnsi"/>
          <w:sz w:val="24"/>
          <w:szCs w:val="24"/>
        </w:rPr>
        <w:footnoteReference w:id="23"/>
      </w:r>
      <w:r w:rsidRPr="00D366EA">
        <w:rPr>
          <w:rFonts w:cstheme="minorHAnsi"/>
          <w:sz w:val="24"/>
          <w:szCs w:val="24"/>
        </w:rPr>
        <w:t xml:space="preserve"> discourages uneducated Roma/Egyptian girls from attending professional courses, as one of the main criteria is a 9-year education diploma. Meanwhile, Roma and Egyptian girls and women have not finished the 9-year school, but have abandoned education in the 4-5th grade.</w:t>
      </w:r>
    </w:p>
    <w:p w14:paraId="7782038D" w14:textId="66663C63" w:rsidR="00C229F5" w:rsidRPr="00D366EA" w:rsidRDefault="00C229F5" w:rsidP="00D366EA">
      <w:pPr>
        <w:spacing w:after="0" w:line="240" w:lineRule="auto"/>
        <w:contextualSpacing/>
        <w:jc w:val="both"/>
        <w:rPr>
          <w:rFonts w:cstheme="minorHAnsi"/>
          <w:b/>
          <w:bCs/>
          <w:sz w:val="24"/>
          <w:szCs w:val="24"/>
        </w:rPr>
      </w:pPr>
      <w:r w:rsidRPr="00D366EA">
        <w:rPr>
          <w:rFonts w:cstheme="minorHAnsi"/>
          <w:b/>
          <w:bCs/>
          <w:sz w:val="24"/>
          <w:szCs w:val="24"/>
        </w:rPr>
        <w:t>Encouraging the Provision of Supporting Social Services</w:t>
      </w:r>
    </w:p>
    <w:p w14:paraId="1F0F5311" w14:textId="1EC0CD62" w:rsidR="00C229F5" w:rsidRPr="00D366EA" w:rsidRDefault="00C229F5" w:rsidP="00D366EA">
      <w:pPr>
        <w:spacing w:after="0" w:line="240" w:lineRule="auto"/>
        <w:contextualSpacing/>
        <w:jc w:val="both"/>
        <w:rPr>
          <w:rFonts w:cstheme="minorHAnsi"/>
          <w:sz w:val="24"/>
          <w:szCs w:val="24"/>
        </w:rPr>
      </w:pPr>
      <w:r w:rsidRPr="00D366EA">
        <w:rPr>
          <w:rFonts w:cstheme="minorHAnsi"/>
          <w:sz w:val="24"/>
          <w:szCs w:val="24"/>
        </w:rPr>
        <w:t xml:space="preserve">The aspiration for parents to effectively harmonize their family duties with their professional obligations and active participation in public life stands as a fundamental societal necessity. Regrettably, in Albania, the prevalence of such child-care amenities near the </w:t>
      </w:r>
      <w:r w:rsidR="000941FD" w:rsidRPr="00D366EA">
        <w:rPr>
          <w:rFonts w:cstheme="minorHAnsi"/>
          <w:sz w:val="24"/>
          <w:szCs w:val="24"/>
        </w:rPr>
        <w:t>workplace</w:t>
      </w:r>
      <w:r w:rsidRPr="00D366EA">
        <w:rPr>
          <w:rFonts w:cstheme="minorHAnsi"/>
          <w:sz w:val="24"/>
          <w:szCs w:val="24"/>
        </w:rPr>
        <w:t xml:space="preserve"> or put in function by the companies, remains disproportionately low, creating a substantial gap in their accessibility. This scarcity not only presents challenges for working parents but also constitutes an </w:t>
      </w:r>
      <w:r w:rsidRPr="00D366EA">
        <w:rPr>
          <w:rFonts w:cstheme="minorHAnsi"/>
          <w:sz w:val="24"/>
          <w:szCs w:val="24"/>
        </w:rPr>
        <w:lastRenderedPageBreak/>
        <w:t>impediment to the overarching pursuit of gender equality and the simultaneous fulfillment of familial and occupational responsibilities.</w:t>
      </w:r>
    </w:p>
    <w:p w14:paraId="55868D40" w14:textId="6593FA1F" w:rsidR="00C229F5" w:rsidRPr="00D366EA" w:rsidRDefault="00C229F5" w:rsidP="00D366EA">
      <w:pPr>
        <w:spacing w:after="0" w:line="240" w:lineRule="auto"/>
        <w:contextualSpacing/>
        <w:jc w:val="both"/>
        <w:rPr>
          <w:rFonts w:cstheme="minorHAnsi"/>
          <w:sz w:val="24"/>
          <w:szCs w:val="24"/>
        </w:rPr>
      </w:pPr>
      <w:r w:rsidRPr="00D366EA">
        <w:rPr>
          <w:rFonts w:cstheme="minorHAnsi"/>
          <w:sz w:val="24"/>
          <w:szCs w:val="24"/>
        </w:rPr>
        <w:t xml:space="preserve">To address this pressing gap and facilitate a more balanced work-life equilibrium for parents, it becomes imperative for Albania to take proactive measures that endorse and sustain the expansion of child-care facilities near </w:t>
      </w:r>
      <w:r w:rsidR="000941FD" w:rsidRPr="00D366EA">
        <w:rPr>
          <w:rFonts w:cstheme="minorHAnsi"/>
          <w:sz w:val="24"/>
          <w:szCs w:val="24"/>
        </w:rPr>
        <w:t xml:space="preserve">the </w:t>
      </w:r>
      <w:r w:rsidRPr="00D366EA">
        <w:rPr>
          <w:rFonts w:cstheme="minorHAnsi"/>
          <w:sz w:val="24"/>
          <w:szCs w:val="24"/>
        </w:rPr>
        <w:t>workplace. In doing so, the government can instigate an environment in which parents, particularly women, are better equipped to pursue their careers, engage in public life, and contribute to the country's development without having to compromise their family's well-being.</w:t>
      </w:r>
    </w:p>
    <w:p w14:paraId="319699A0" w14:textId="78EF6913" w:rsidR="009756ED" w:rsidRPr="00D366EA" w:rsidRDefault="009756ED" w:rsidP="00D366EA">
      <w:pPr>
        <w:spacing w:after="0" w:line="240" w:lineRule="auto"/>
        <w:contextualSpacing/>
        <w:jc w:val="both"/>
        <w:rPr>
          <w:rFonts w:cstheme="minorHAnsi"/>
          <w:sz w:val="24"/>
          <w:szCs w:val="24"/>
          <w:lang w:bidi="en-US"/>
        </w:rPr>
      </w:pPr>
      <w:r w:rsidRPr="00D366EA">
        <w:rPr>
          <w:rFonts w:cstheme="minorHAnsi"/>
          <w:sz w:val="24"/>
          <w:szCs w:val="24"/>
          <w:lang w:bidi="en-US"/>
        </w:rPr>
        <w:t>In terms of gender equality, the scenario where more women choose to work from home and more men return to the office can lead to greater gender inequality in the workplace and the reinforcement of stereotypical domestic roles. This, in turn, can hinder career potential for women – both in terms of income and career advancement. It is therefore necessary for women to have more flexible working hours, telecommuting options</w:t>
      </w:r>
      <w:r w:rsidR="000941FD" w:rsidRPr="00D366EA">
        <w:rPr>
          <w:rFonts w:cstheme="minorHAnsi"/>
          <w:sz w:val="24"/>
          <w:szCs w:val="24"/>
          <w:lang w:bidi="en-US"/>
        </w:rPr>
        <w:t>,</w:t>
      </w:r>
      <w:r w:rsidRPr="00D366EA">
        <w:rPr>
          <w:rFonts w:cstheme="minorHAnsi"/>
          <w:sz w:val="24"/>
          <w:szCs w:val="24"/>
          <w:lang w:bidi="en-US"/>
        </w:rPr>
        <w:t xml:space="preserve"> and other support to help them create a better work-life balance. Combining technology with changes in workplace structure can increase company productivity, as male and female employees can work remotely and at different times to optimize their focus and balance work with other responsibilities, thus improving personal productivity.</w:t>
      </w:r>
      <w:r w:rsidRPr="00D366EA">
        <w:rPr>
          <w:rStyle w:val="FootnoteReference"/>
          <w:rFonts w:cstheme="minorHAnsi"/>
          <w:sz w:val="24"/>
          <w:szCs w:val="24"/>
          <w:lang w:bidi="en-US"/>
        </w:rPr>
        <w:footnoteReference w:id="24"/>
      </w:r>
    </w:p>
    <w:p w14:paraId="119E2E6C" w14:textId="1DDB03C8" w:rsidR="00C229F5" w:rsidRPr="00D366EA" w:rsidRDefault="00C229F5" w:rsidP="00D366EA">
      <w:pPr>
        <w:spacing w:after="0" w:line="240" w:lineRule="auto"/>
        <w:contextualSpacing/>
        <w:jc w:val="both"/>
        <w:rPr>
          <w:rFonts w:cstheme="minorHAnsi"/>
          <w:sz w:val="24"/>
          <w:szCs w:val="24"/>
        </w:rPr>
      </w:pPr>
      <w:r w:rsidRPr="00D366EA">
        <w:rPr>
          <w:rFonts w:cstheme="minorHAnsi"/>
          <w:sz w:val="24"/>
          <w:szCs w:val="24"/>
        </w:rPr>
        <w:t>The investment in a comprehensive network of conveniently situated, high-caliber child-care facilities transcends being merely a workforce enhancement; it signifies Albania's unwavering commitment to nurturing gender parity and societal inclusivity.</w:t>
      </w:r>
    </w:p>
    <w:p w14:paraId="762CDDBB" w14:textId="1D5BB31F" w:rsidR="002315A7" w:rsidRPr="00D366EA" w:rsidRDefault="002315A7" w:rsidP="00D366EA">
      <w:pPr>
        <w:spacing w:after="0" w:line="240" w:lineRule="auto"/>
        <w:contextualSpacing/>
        <w:jc w:val="both"/>
        <w:rPr>
          <w:rFonts w:cstheme="minorHAnsi"/>
          <w:b/>
          <w:bCs/>
          <w:i/>
          <w:iCs/>
          <w:sz w:val="24"/>
          <w:szCs w:val="24"/>
        </w:rPr>
      </w:pPr>
      <w:bookmarkStart w:id="1" w:name="_Hlk145315353"/>
      <w:r w:rsidRPr="00D366EA">
        <w:rPr>
          <w:rFonts w:cstheme="minorHAnsi"/>
          <w:b/>
          <w:bCs/>
          <w:i/>
          <w:iCs/>
          <w:sz w:val="24"/>
          <w:szCs w:val="24"/>
        </w:rPr>
        <w:t xml:space="preserve">Based on the provided information, the main conclusions and recommendations from the Albanian Coalition for </w:t>
      </w:r>
      <w:proofErr w:type="spellStart"/>
      <w:r w:rsidRPr="00D366EA">
        <w:rPr>
          <w:rFonts w:cstheme="minorHAnsi"/>
          <w:b/>
          <w:bCs/>
          <w:i/>
          <w:iCs/>
          <w:sz w:val="24"/>
          <w:szCs w:val="24"/>
        </w:rPr>
        <w:t>Labour</w:t>
      </w:r>
      <w:proofErr w:type="spellEnd"/>
      <w:r w:rsidRPr="00D366EA">
        <w:rPr>
          <w:rFonts w:cstheme="minorHAnsi"/>
          <w:b/>
          <w:bCs/>
          <w:i/>
          <w:iCs/>
          <w:sz w:val="24"/>
          <w:szCs w:val="24"/>
        </w:rPr>
        <w:t xml:space="preserve"> Rights in the report to the Committee on the Elimination of Discrimination Against Women (CEDAW) are summarized as follows:</w:t>
      </w:r>
    </w:p>
    <w:p w14:paraId="4D4B3101" w14:textId="48B1BC57" w:rsidR="001E59AD" w:rsidRPr="00D366EA" w:rsidRDefault="009E36D2" w:rsidP="00D366EA">
      <w:pPr>
        <w:spacing w:after="0" w:line="240" w:lineRule="auto"/>
        <w:contextualSpacing/>
        <w:jc w:val="both"/>
        <w:rPr>
          <w:rFonts w:cstheme="minorHAnsi"/>
          <w:b/>
          <w:bCs/>
          <w:sz w:val="24"/>
          <w:szCs w:val="24"/>
        </w:rPr>
      </w:pPr>
      <w:r w:rsidRPr="00D366EA">
        <w:rPr>
          <w:rFonts w:cstheme="minorHAnsi"/>
          <w:b/>
          <w:bCs/>
          <w:sz w:val="24"/>
          <w:szCs w:val="24"/>
        </w:rPr>
        <w:t xml:space="preserve">Main </w:t>
      </w:r>
      <w:r w:rsidR="001E59AD" w:rsidRPr="00D366EA">
        <w:rPr>
          <w:rFonts w:cstheme="minorHAnsi"/>
          <w:b/>
          <w:bCs/>
          <w:sz w:val="24"/>
          <w:szCs w:val="24"/>
        </w:rPr>
        <w:t xml:space="preserve">Conclusion </w:t>
      </w:r>
    </w:p>
    <w:p w14:paraId="3E7DE9BB" w14:textId="3D6648F5" w:rsidR="001E59AD" w:rsidRPr="00D366EA" w:rsidRDefault="001E59AD" w:rsidP="00D366EA">
      <w:pPr>
        <w:spacing w:after="0" w:line="240" w:lineRule="auto"/>
        <w:contextualSpacing/>
        <w:jc w:val="both"/>
        <w:rPr>
          <w:rFonts w:cstheme="minorHAnsi"/>
          <w:sz w:val="24"/>
          <w:szCs w:val="24"/>
        </w:rPr>
      </w:pPr>
      <w:r w:rsidRPr="00D366EA">
        <w:rPr>
          <w:rFonts w:cstheme="minorHAnsi"/>
          <w:b/>
          <w:bCs/>
          <w:sz w:val="24"/>
          <w:szCs w:val="24"/>
        </w:rPr>
        <w:t>Labor Rights and Protections</w:t>
      </w:r>
      <w:r w:rsidRPr="00D366EA">
        <w:rPr>
          <w:rFonts w:cstheme="minorHAnsi"/>
          <w:sz w:val="24"/>
          <w:szCs w:val="24"/>
        </w:rPr>
        <w:t xml:space="preserve">: Despite the Albanian government's attempts to bring its legal framework in line with international standards, shortcomings persist in various sectors, such as clothing and footwear manufacturing, the cleaning industry, call centers, healthcare, and the oil sector. </w:t>
      </w:r>
    </w:p>
    <w:p w14:paraId="63B16569" w14:textId="77777777" w:rsidR="001E59AD" w:rsidRPr="00D366EA" w:rsidRDefault="001E59AD" w:rsidP="00D366EA">
      <w:pPr>
        <w:spacing w:after="0" w:line="240" w:lineRule="auto"/>
        <w:contextualSpacing/>
        <w:jc w:val="both"/>
        <w:rPr>
          <w:rFonts w:cstheme="minorHAnsi"/>
          <w:sz w:val="24"/>
          <w:szCs w:val="24"/>
        </w:rPr>
      </w:pPr>
      <w:r w:rsidRPr="00D366EA">
        <w:rPr>
          <w:rFonts w:cstheme="minorHAnsi"/>
          <w:b/>
          <w:bCs/>
          <w:sz w:val="24"/>
          <w:szCs w:val="24"/>
        </w:rPr>
        <w:t>Gender Disparities in Employment</w:t>
      </w:r>
      <w:r w:rsidRPr="00D366EA">
        <w:rPr>
          <w:rFonts w:cstheme="minorHAnsi"/>
          <w:sz w:val="24"/>
          <w:szCs w:val="24"/>
        </w:rPr>
        <w:t>: Substantial gender disparities persist in employment rates, with women trailing behind men. Women also carry a disproportionate burden of unpaid family responsibilities. Gender-based discrimination and harassment are prevalent issues across different sectors, including call centers, healthcare, and correctional facilities.</w:t>
      </w:r>
    </w:p>
    <w:p w14:paraId="4B8083BC" w14:textId="46CE961C" w:rsidR="001E59AD" w:rsidRPr="00D366EA" w:rsidRDefault="001E59AD" w:rsidP="00D366EA">
      <w:pPr>
        <w:spacing w:after="0" w:line="240" w:lineRule="auto"/>
        <w:contextualSpacing/>
        <w:jc w:val="both"/>
        <w:rPr>
          <w:rFonts w:cstheme="minorHAnsi"/>
          <w:sz w:val="24"/>
          <w:szCs w:val="24"/>
        </w:rPr>
      </w:pPr>
      <w:r w:rsidRPr="00D366EA">
        <w:rPr>
          <w:rFonts w:cstheme="minorHAnsi"/>
          <w:b/>
          <w:bCs/>
          <w:sz w:val="24"/>
          <w:szCs w:val="24"/>
        </w:rPr>
        <w:t>Gender Pay Gap</w:t>
      </w:r>
      <w:r w:rsidRPr="00D366EA">
        <w:rPr>
          <w:rFonts w:cstheme="minorHAnsi"/>
          <w:sz w:val="24"/>
          <w:szCs w:val="24"/>
        </w:rPr>
        <w:t>: In 2022, Albania experienced an increase in the gender pay gap, revealing deeper gender inequality within the labor market. This disparity is most glaring in the industrial sector, highlighting systemic challenges that need addressing.</w:t>
      </w:r>
    </w:p>
    <w:p w14:paraId="7E617A46" w14:textId="266F6488" w:rsidR="001E59AD" w:rsidRPr="00D366EA" w:rsidRDefault="001E59AD" w:rsidP="00D366EA">
      <w:pPr>
        <w:spacing w:after="0" w:line="240" w:lineRule="auto"/>
        <w:contextualSpacing/>
        <w:jc w:val="both"/>
        <w:rPr>
          <w:rFonts w:cstheme="minorHAnsi"/>
          <w:sz w:val="24"/>
          <w:szCs w:val="24"/>
        </w:rPr>
      </w:pPr>
      <w:r w:rsidRPr="00D366EA">
        <w:rPr>
          <w:rFonts w:cstheme="minorHAnsi"/>
          <w:b/>
          <w:bCs/>
          <w:sz w:val="24"/>
          <w:szCs w:val="24"/>
        </w:rPr>
        <w:t>Safety and Health Challenges:</w:t>
      </w:r>
      <w:r w:rsidRPr="00D366EA">
        <w:rPr>
          <w:rFonts w:cstheme="minorHAnsi"/>
          <w:sz w:val="24"/>
          <w:szCs w:val="24"/>
        </w:rPr>
        <w:t xml:space="preserve"> Employees across various sectors contend with significant safety and health issues, encompassing extreme temperature conditions, exposure to harmful substances, ergonomic considerations, and mental well-being challenges. These particular </w:t>
      </w:r>
      <w:r w:rsidRPr="00D366EA">
        <w:rPr>
          <w:rFonts w:cstheme="minorHAnsi"/>
          <w:sz w:val="24"/>
          <w:szCs w:val="24"/>
        </w:rPr>
        <w:lastRenderedPageBreak/>
        <w:t>challenges have a more pronounced impact on women working in these fields, underscoring the urgency of addressing these critical concerns.</w:t>
      </w:r>
    </w:p>
    <w:p w14:paraId="2B7F00DA" w14:textId="2F6F82F0" w:rsidR="00286A52" w:rsidRPr="00D366EA" w:rsidRDefault="001E59AD" w:rsidP="00D366EA">
      <w:pPr>
        <w:spacing w:after="0" w:line="240" w:lineRule="auto"/>
        <w:contextualSpacing/>
        <w:jc w:val="both"/>
        <w:rPr>
          <w:rFonts w:cstheme="minorHAnsi"/>
          <w:sz w:val="24"/>
          <w:szCs w:val="24"/>
        </w:rPr>
      </w:pPr>
      <w:r w:rsidRPr="00D366EA">
        <w:rPr>
          <w:rFonts w:cstheme="minorHAnsi"/>
          <w:b/>
          <w:bCs/>
          <w:sz w:val="24"/>
          <w:szCs w:val="24"/>
        </w:rPr>
        <w:t>Quality of Employment:</w:t>
      </w:r>
      <w:r w:rsidRPr="00D366EA">
        <w:rPr>
          <w:rFonts w:cstheme="minorHAnsi"/>
          <w:sz w:val="24"/>
          <w:szCs w:val="24"/>
        </w:rPr>
        <w:t xml:space="preserve"> Employment quality varies across sectors, posing challenges related to working conditions, job security, salaries, and opportunities for career advancement. The clothing and footwear, call center, healthcare, oil, and cleaning sectors all exhibit concerning employment quality issues.</w:t>
      </w:r>
    </w:p>
    <w:p w14:paraId="63FF0541" w14:textId="3B922ED7" w:rsidR="009E36D2" w:rsidRPr="00D366EA" w:rsidRDefault="009E36D2" w:rsidP="00D366EA">
      <w:pPr>
        <w:spacing w:after="0" w:line="240" w:lineRule="auto"/>
        <w:contextualSpacing/>
        <w:jc w:val="both"/>
        <w:rPr>
          <w:rFonts w:cstheme="minorHAnsi"/>
          <w:sz w:val="24"/>
          <w:szCs w:val="24"/>
        </w:rPr>
      </w:pPr>
      <w:r w:rsidRPr="00D366EA">
        <w:rPr>
          <w:rFonts w:cstheme="minorHAnsi"/>
          <w:b/>
          <w:bCs/>
          <w:sz w:val="24"/>
          <w:szCs w:val="24"/>
        </w:rPr>
        <w:t>Unionization and Labor Movements:</w:t>
      </w:r>
      <w:r w:rsidRPr="00D366EA">
        <w:rPr>
          <w:rFonts w:cstheme="minorHAnsi"/>
          <w:sz w:val="24"/>
          <w:szCs w:val="24"/>
        </w:rPr>
        <w:t xml:space="preserve"> Albania faces a deficit of effective trade unions at both the enterprise and sector levels. Encouragingly, new labor unions are emerging, offering hope for revitalizing the labor movement. Notable progress is being made in sectors like oil and gas, telecommunications, mining, and healthcare, where collective organizing efforts are gaining traction.</w:t>
      </w:r>
    </w:p>
    <w:p w14:paraId="53FD5EAA" w14:textId="77777777" w:rsidR="009E36D2" w:rsidRPr="00D366EA" w:rsidRDefault="009E36D2" w:rsidP="00D366EA">
      <w:pPr>
        <w:spacing w:after="0" w:line="240" w:lineRule="auto"/>
        <w:contextualSpacing/>
        <w:jc w:val="both"/>
        <w:rPr>
          <w:rFonts w:cstheme="minorHAnsi"/>
          <w:b/>
          <w:bCs/>
          <w:sz w:val="24"/>
          <w:szCs w:val="24"/>
        </w:rPr>
      </w:pPr>
      <w:r w:rsidRPr="00D366EA">
        <w:rPr>
          <w:rFonts w:cstheme="minorHAnsi"/>
          <w:b/>
          <w:bCs/>
          <w:sz w:val="24"/>
          <w:szCs w:val="24"/>
        </w:rPr>
        <w:t>Recommendations:</w:t>
      </w:r>
    </w:p>
    <w:p w14:paraId="050B04A2" w14:textId="77777777"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Assessing NSES Impact:</w:t>
      </w:r>
      <w:r w:rsidRPr="00D366EA">
        <w:rPr>
          <w:rFonts w:cstheme="minorHAnsi"/>
          <w:sz w:val="24"/>
          <w:szCs w:val="24"/>
        </w:rPr>
        <w:t xml:space="preserve"> Conduct a comprehensive evaluation of the National Skills and Employment Strategy (NSES) to gauge its effectiveness in achieving gender equality goals. Ensure that the changes implemented translate into real-world enhancements in women's access to employment, job conditions, and overall rights.</w:t>
      </w:r>
    </w:p>
    <w:p w14:paraId="4D8659B0" w14:textId="498C9D96" w:rsidR="009E36D2"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Monitoring and Ensuring Accountability:</w:t>
      </w:r>
      <w:r w:rsidRPr="00D366EA">
        <w:rPr>
          <w:rFonts w:cstheme="minorHAnsi"/>
          <w:sz w:val="24"/>
          <w:szCs w:val="24"/>
        </w:rPr>
        <w:t xml:space="preserve"> Establish a robust monitoring system to track progress over time and hold stakeholders accountable for achieving gender equality objectives. Thoroughly analyze gender-disaggregated data to pinpoint areas requiring corrective actions</w:t>
      </w:r>
      <w:r w:rsidR="009E36D2" w:rsidRPr="00D366EA">
        <w:rPr>
          <w:rFonts w:cstheme="minorHAnsi"/>
          <w:sz w:val="24"/>
          <w:szCs w:val="24"/>
        </w:rPr>
        <w:t>.</w:t>
      </w:r>
    </w:p>
    <w:p w14:paraId="3EB5699D" w14:textId="675AD36B" w:rsidR="009E36D2"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Enhancing Employment Quality</w:t>
      </w:r>
      <w:r w:rsidRPr="00D366EA">
        <w:rPr>
          <w:rFonts w:cstheme="minorHAnsi"/>
          <w:sz w:val="24"/>
          <w:szCs w:val="24"/>
        </w:rPr>
        <w:t>: Place strong emphasis on improving the quality of employment across various sectors by addressing concerns related to working conditions, wages, job security, and career progression</w:t>
      </w:r>
      <w:r w:rsidR="009E36D2" w:rsidRPr="00D366EA">
        <w:rPr>
          <w:rFonts w:cstheme="minorHAnsi"/>
          <w:sz w:val="24"/>
          <w:szCs w:val="24"/>
        </w:rPr>
        <w:t>.</w:t>
      </w:r>
    </w:p>
    <w:p w14:paraId="76214D87" w14:textId="77777777"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Closing the Gender Pay Gap</w:t>
      </w:r>
      <w:r w:rsidRPr="00D366EA">
        <w:rPr>
          <w:rFonts w:cstheme="minorHAnsi"/>
          <w:sz w:val="24"/>
          <w:szCs w:val="24"/>
        </w:rPr>
        <w:t>: Implement concrete measures to narrow the gender pay gap, especially in sectors with a significant female workforce. Encourage women's participation in higher-paying sectors and facilitate their access to credit.</w:t>
      </w:r>
    </w:p>
    <w:p w14:paraId="5A75A78E" w14:textId="239BCBAA" w:rsidR="009E36D2"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Promoting Workplace Safety and Health:</w:t>
      </w:r>
      <w:r w:rsidRPr="00D366EA">
        <w:rPr>
          <w:rFonts w:cstheme="minorHAnsi"/>
          <w:sz w:val="24"/>
          <w:szCs w:val="24"/>
        </w:rPr>
        <w:t xml:space="preserve"> Vigorously enforce safety and health regulations, particularly in sectors prone to safety hazards. Prioritize the well-being of workers by addressing workplace safety issues.</w:t>
      </w:r>
    </w:p>
    <w:p w14:paraId="5B3C2EB5" w14:textId="41972D93"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Promoting Work-Life Harmony:</w:t>
      </w:r>
      <w:r w:rsidRPr="00D366EA">
        <w:rPr>
          <w:rFonts w:cstheme="minorHAnsi"/>
          <w:sz w:val="24"/>
          <w:szCs w:val="24"/>
        </w:rPr>
        <w:t xml:space="preserve"> Champion the cause of flexible work</w:t>
      </w:r>
      <w:r w:rsidR="003F4EC8" w:rsidRPr="00D366EA">
        <w:rPr>
          <w:rFonts w:cstheme="minorHAnsi"/>
          <w:sz w:val="24"/>
          <w:szCs w:val="24"/>
        </w:rPr>
        <w:t>ing</w:t>
      </w:r>
      <w:r w:rsidRPr="00D366EA">
        <w:rPr>
          <w:rFonts w:cstheme="minorHAnsi"/>
          <w:sz w:val="24"/>
          <w:szCs w:val="24"/>
        </w:rPr>
        <w:t xml:space="preserve"> hours and remote work</w:t>
      </w:r>
      <w:r w:rsidR="003F4EC8" w:rsidRPr="00D366EA">
        <w:rPr>
          <w:rFonts w:cstheme="minorHAnsi"/>
          <w:sz w:val="24"/>
          <w:szCs w:val="24"/>
        </w:rPr>
        <w:t>ing</w:t>
      </w:r>
      <w:r w:rsidRPr="00D366EA">
        <w:rPr>
          <w:rFonts w:cstheme="minorHAnsi"/>
          <w:sz w:val="24"/>
          <w:szCs w:val="24"/>
        </w:rPr>
        <w:t xml:space="preserve"> possibilities, facilitating women in attaining a more balanced work-life equilibrium. Additionally, commit resources to establish a widespread network of conveniently situated childcare facilities in proximity to workplaces, offering invaluable support to working parents.</w:t>
      </w:r>
    </w:p>
    <w:p w14:paraId="1388561B" w14:textId="77777777"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Strengthening Unionization</w:t>
      </w:r>
      <w:r w:rsidRPr="00D366EA">
        <w:rPr>
          <w:rFonts w:cstheme="minorHAnsi"/>
          <w:sz w:val="24"/>
          <w:szCs w:val="24"/>
        </w:rPr>
        <w:t>: Foster the growth of effective trade union organizations, particularly at the enterprise and sector levels, to safeguard workers' rights and interests.</w:t>
      </w:r>
    </w:p>
    <w:p w14:paraId="03AB3C26" w14:textId="77777777"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Sector-Specific Analysis</w:t>
      </w:r>
      <w:r w:rsidRPr="00D366EA">
        <w:rPr>
          <w:rFonts w:cstheme="minorHAnsi"/>
          <w:sz w:val="24"/>
          <w:szCs w:val="24"/>
        </w:rPr>
        <w:t>: Undertake in-depth analyses of employment trends across various sectors, evaluating the quality of jobs and their impact on women's employability and financial stability.</w:t>
      </w:r>
    </w:p>
    <w:p w14:paraId="3BC1D17E" w14:textId="53C19DED" w:rsidR="00BB77F3" w:rsidRPr="00D366EA" w:rsidRDefault="00BB77F3"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lastRenderedPageBreak/>
        <w:t>Improving Public Employment Services</w:t>
      </w:r>
      <w:r w:rsidRPr="00D366EA">
        <w:rPr>
          <w:rFonts w:cstheme="minorHAnsi"/>
          <w:sz w:val="24"/>
          <w:szCs w:val="24"/>
        </w:rPr>
        <w:t>: Ensure that public employment services genuinely benefit marginalized groups, including women, by providing transparent and accountable services.</w:t>
      </w:r>
    </w:p>
    <w:p w14:paraId="45D48103" w14:textId="45C07726" w:rsidR="006E64CA" w:rsidRPr="00D366EA" w:rsidRDefault="006E64CA"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Revision of the public procurement legislation</w:t>
      </w:r>
      <w:r w:rsidRPr="00D366EA">
        <w:rPr>
          <w:rFonts w:cstheme="minorHAnsi"/>
          <w:sz w:val="24"/>
          <w:szCs w:val="24"/>
        </w:rPr>
        <w:t>: Specifically, the determination as a criterion for disqualifying companies from the competition, if the municipality has information that does not respect the basic rights of employees, as well as to terminate the contract if violations of the basic rights of employees are found during the implementation of the contract.</w:t>
      </w:r>
    </w:p>
    <w:p w14:paraId="1DF8746C" w14:textId="1B9B05C3" w:rsidR="00BB77F3"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Eliminating Discrimination and Harassment:</w:t>
      </w:r>
      <w:r w:rsidRPr="00D366EA">
        <w:rPr>
          <w:rFonts w:cstheme="minorHAnsi"/>
          <w:sz w:val="24"/>
          <w:szCs w:val="24"/>
        </w:rPr>
        <w:t xml:space="preserve"> Implement and enforce anti-discrimination laws diligently, fostering secure work environments for women by proactively tackling concerns related to discrimination and harassment.</w:t>
      </w:r>
    </w:p>
    <w:p w14:paraId="2538BA9F" w14:textId="1EC9E000"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Investment in Education and Skill Enhancement</w:t>
      </w:r>
      <w:r w:rsidRPr="00D366EA">
        <w:rPr>
          <w:rFonts w:cstheme="minorHAnsi"/>
          <w:sz w:val="24"/>
          <w:szCs w:val="24"/>
        </w:rPr>
        <w:t>: Devote resources to educational and skill development initiatives designed to elevate women's employability and broaden their entry into higher-paying employment prospects.</w:t>
      </w:r>
    </w:p>
    <w:p w14:paraId="0D974C5D" w14:textId="288D2A93"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Uplifting Women Entrepreneurs</w:t>
      </w:r>
      <w:r w:rsidRPr="00D366EA">
        <w:rPr>
          <w:rFonts w:cstheme="minorHAnsi"/>
          <w:sz w:val="24"/>
          <w:szCs w:val="24"/>
        </w:rPr>
        <w:t>: Nurture and empower women entrepreneurs by streamlining their access to credit and furnishing essential resources to fuel the expansion of their enterprises.</w:t>
      </w:r>
    </w:p>
    <w:p w14:paraId="4C02D42A" w14:textId="77777777"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Advancing Gender Equity</w:t>
      </w:r>
      <w:r w:rsidRPr="00D366EA">
        <w:rPr>
          <w:rFonts w:cstheme="minorHAnsi"/>
          <w:sz w:val="24"/>
          <w:szCs w:val="24"/>
        </w:rPr>
        <w:t>: Promote awareness and sensitize society to the paramount significance of gender equality and women's rights within the professional sphere.</w:t>
      </w:r>
    </w:p>
    <w:p w14:paraId="4B9B7FC0" w14:textId="77777777"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Implementing Legal Frameworks</w:t>
      </w:r>
      <w:r w:rsidRPr="00D366EA">
        <w:rPr>
          <w:rFonts w:cstheme="minorHAnsi"/>
          <w:sz w:val="24"/>
          <w:szCs w:val="24"/>
        </w:rPr>
        <w:t>: Ensure the effective implementation of the amended Labor Code and other labor-related laws, especially concerning contract matters, overtime, and annual leave.</w:t>
      </w:r>
    </w:p>
    <w:p w14:paraId="3853CD82" w14:textId="77777777"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Equalizing Access to Credit:</w:t>
      </w:r>
      <w:r w:rsidRPr="00D366EA">
        <w:rPr>
          <w:rFonts w:cstheme="minorHAnsi"/>
          <w:sz w:val="24"/>
          <w:szCs w:val="24"/>
        </w:rPr>
        <w:t xml:space="preserve"> Address gender disparities in accessing credit and actively promote equal rights regarding inheritance, land ownership, and property rights.</w:t>
      </w:r>
    </w:p>
    <w:p w14:paraId="57881900" w14:textId="77777777"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Fostering Sectoral Growth</w:t>
      </w:r>
      <w:r w:rsidRPr="00D366EA">
        <w:rPr>
          <w:rFonts w:cstheme="minorHAnsi"/>
          <w:sz w:val="24"/>
          <w:szCs w:val="24"/>
        </w:rPr>
        <w:t>: Examine job quality in emerging sectors and uphold fair labor practices and job security.</w:t>
      </w:r>
    </w:p>
    <w:p w14:paraId="117703D7" w14:textId="6FDD7607"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Monitoring Vocational Training</w:t>
      </w:r>
      <w:r w:rsidRPr="00D366EA">
        <w:rPr>
          <w:rFonts w:cstheme="minorHAnsi"/>
          <w:sz w:val="24"/>
          <w:szCs w:val="24"/>
        </w:rPr>
        <w:t>: Continuously monitor the efficacy of vocational training programs in enhancing women's employability and securing job placements.</w:t>
      </w:r>
      <w:r w:rsidR="003C7066" w:rsidRPr="00D366EA">
        <w:rPr>
          <w:rFonts w:cstheme="minorHAnsi"/>
          <w:sz w:val="24"/>
          <w:szCs w:val="24"/>
        </w:rPr>
        <w:t xml:space="preserve"> Revising of the legislation for professional training, removing as a criterion the 9-year diploma in certain branches for uneducated Egyptian Roma girls-women.</w:t>
      </w:r>
    </w:p>
    <w:p w14:paraId="4033FDD7" w14:textId="3B74F8BB" w:rsidR="002315A7" w:rsidRPr="00D366EA" w:rsidRDefault="002315A7" w:rsidP="00D366EA">
      <w:pPr>
        <w:pStyle w:val="ListParagraph"/>
        <w:numPr>
          <w:ilvl w:val="0"/>
          <w:numId w:val="9"/>
        </w:numPr>
        <w:spacing w:after="0" w:line="240" w:lineRule="auto"/>
        <w:jc w:val="both"/>
        <w:rPr>
          <w:rFonts w:cstheme="minorHAnsi"/>
          <w:sz w:val="24"/>
          <w:szCs w:val="24"/>
        </w:rPr>
      </w:pPr>
      <w:r w:rsidRPr="00D366EA">
        <w:rPr>
          <w:rFonts w:cstheme="minorHAnsi"/>
          <w:b/>
          <w:bCs/>
          <w:sz w:val="24"/>
          <w:szCs w:val="24"/>
        </w:rPr>
        <w:t>Child-Care Facility Investment</w:t>
      </w:r>
      <w:r w:rsidRPr="00D366EA">
        <w:rPr>
          <w:rFonts w:cstheme="minorHAnsi"/>
          <w:sz w:val="24"/>
          <w:szCs w:val="24"/>
        </w:rPr>
        <w:t>: Invest in a widespread network of conveniently located childcare facilities near workplaces to provide essential support to working parents, particularly women.</w:t>
      </w:r>
    </w:p>
    <w:bookmarkEnd w:id="1"/>
    <w:p w14:paraId="4469F1EE" w14:textId="77777777" w:rsidR="00BB77F3" w:rsidRPr="00D366EA" w:rsidRDefault="00BB77F3" w:rsidP="00D366EA">
      <w:pPr>
        <w:spacing w:after="0" w:line="240" w:lineRule="auto"/>
        <w:contextualSpacing/>
        <w:jc w:val="both"/>
        <w:rPr>
          <w:rFonts w:cstheme="minorHAnsi"/>
          <w:sz w:val="24"/>
          <w:szCs w:val="24"/>
        </w:rPr>
      </w:pPr>
    </w:p>
    <w:p w14:paraId="1E0874CC" w14:textId="61F5BA51" w:rsidR="009A75E8" w:rsidRPr="00D366EA" w:rsidRDefault="007F6308" w:rsidP="00D366EA">
      <w:pPr>
        <w:spacing w:after="0" w:line="240" w:lineRule="auto"/>
        <w:contextualSpacing/>
        <w:jc w:val="both"/>
        <w:rPr>
          <w:rFonts w:cstheme="minorHAnsi"/>
          <w:b/>
          <w:bCs/>
          <w:sz w:val="24"/>
          <w:szCs w:val="24"/>
        </w:rPr>
      </w:pPr>
      <w:r w:rsidRPr="00D366EA">
        <w:rPr>
          <w:rFonts w:cstheme="minorHAnsi"/>
          <w:b/>
          <w:bCs/>
          <w:sz w:val="24"/>
          <w:szCs w:val="24"/>
        </w:rPr>
        <w:t xml:space="preserve">References </w:t>
      </w:r>
    </w:p>
    <w:p w14:paraId="592C8886" w14:textId="77777777" w:rsidR="00B32BA2" w:rsidRPr="00D366EA" w:rsidRDefault="00B32BA2" w:rsidP="00D366EA">
      <w:pPr>
        <w:spacing w:after="0" w:line="240" w:lineRule="auto"/>
        <w:contextualSpacing/>
        <w:jc w:val="both"/>
        <w:rPr>
          <w:rStyle w:val="Hyperlink"/>
          <w:rFonts w:cstheme="minorHAnsi"/>
          <w:sz w:val="24"/>
          <w:szCs w:val="24"/>
        </w:rPr>
      </w:pPr>
    </w:p>
    <w:p w14:paraId="509E3612" w14:textId="77777777"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lang w:val="en-GB"/>
        </w:rPr>
        <w:t>Advancing gender equality and the empowerment of all women and girls in Albania, A position paper by the United Nations in Albania:</w:t>
      </w:r>
      <w:r w:rsidRPr="00D366EA">
        <w:rPr>
          <w:rFonts w:cstheme="minorHAnsi"/>
          <w:sz w:val="24"/>
          <w:szCs w:val="24"/>
        </w:rPr>
        <w:t xml:space="preserve"> </w:t>
      </w:r>
      <w:hyperlink r:id="rId8" w:history="1">
        <w:r w:rsidRPr="00D366EA">
          <w:rPr>
            <w:rStyle w:val="Hyperlink"/>
            <w:rFonts w:cstheme="minorHAnsi"/>
            <w:sz w:val="24"/>
            <w:szCs w:val="24"/>
            <w:lang w:val="en-GB"/>
          </w:rPr>
          <w:t>https://albania.unwomen.org/sites/default/files/Field%20Office%20Albania/Attachments/Publications/2021/06/UN%20Albania_gender%20equality%20position%20paper_GEEW_final.pdf</w:t>
        </w:r>
      </w:hyperlink>
      <w:r w:rsidRPr="00D366EA">
        <w:rPr>
          <w:rFonts w:cstheme="minorHAnsi"/>
          <w:b/>
          <w:bCs/>
          <w:sz w:val="24"/>
          <w:szCs w:val="24"/>
          <w:lang w:val="en-GB"/>
        </w:rPr>
        <w:t xml:space="preserve">  </w:t>
      </w:r>
      <w:r w:rsidRPr="00D366EA">
        <w:rPr>
          <w:rFonts w:cstheme="minorHAnsi"/>
          <w:sz w:val="24"/>
          <w:szCs w:val="24"/>
        </w:rPr>
        <w:t xml:space="preserve"> </w:t>
      </w:r>
    </w:p>
    <w:p w14:paraId="608D3F95" w14:textId="77777777" w:rsidR="00B32BA2" w:rsidRPr="00D366EA" w:rsidRDefault="00B32BA2" w:rsidP="00D366EA">
      <w:pPr>
        <w:pStyle w:val="ListParagraph"/>
        <w:numPr>
          <w:ilvl w:val="0"/>
          <w:numId w:val="10"/>
        </w:numPr>
        <w:spacing w:after="0" w:line="240" w:lineRule="auto"/>
        <w:rPr>
          <w:rStyle w:val="Hyperlink"/>
          <w:rFonts w:cstheme="minorHAnsi"/>
          <w:color w:val="auto"/>
          <w:sz w:val="24"/>
          <w:szCs w:val="24"/>
          <w:u w:val="none"/>
          <w:lang w:val="de-DE"/>
        </w:rPr>
      </w:pPr>
      <w:r w:rsidRPr="00D366EA">
        <w:rPr>
          <w:rFonts w:cstheme="minorHAnsi"/>
          <w:sz w:val="24"/>
          <w:szCs w:val="24"/>
        </w:rPr>
        <w:lastRenderedPageBreak/>
        <w:t xml:space="preserve">Albanian </w:t>
      </w:r>
      <w:proofErr w:type="spellStart"/>
      <w:r w:rsidRPr="00D366EA">
        <w:rPr>
          <w:rFonts w:cstheme="minorHAnsi"/>
          <w:sz w:val="24"/>
          <w:szCs w:val="24"/>
        </w:rPr>
        <w:t>Labour</w:t>
      </w:r>
      <w:proofErr w:type="spellEnd"/>
      <w:r w:rsidRPr="00D366EA">
        <w:rPr>
          <w:rFonts w:cstheme="minorHAnsi"/>
          <w:sz w:val="24"/>
          <w:szCs w:val="24"/>
        </w:rPr>
        <w:t xml:space="preserve"> </w:t>
      </w:r>
      <w:proofErr w:type="spellStart"/>
      <w:r w:rsidRPr="00D366EA">
        <w:rPr>
          <w:rFonts w:cstheme="minorHAnsi"/>
          <w:sz w:val="24"/>
          <w:szCs w:val="24"/>
        </w:rPr>
        <w:t>Market_Instat</w:t>
      </w:r>
      <w:proofErr w:type="spellEnd"/>
      <w:r w:rsidRPr="00D366EA">
        <w:rPr>
          <w:rFonts w:cstheme="minorHAnsi"/>
          <w:sz w:val="24"/>
          <w:szCs w:val="24"/>
        </w:rPr>
        <w:t xml:space="preserve"> Report:  </w:t>
      </w:r>
      <w:hyperlink r:id="rId9" w:history="1">
        <w:r w:rsidRPr="00D366EA">
          <w:rPr>
            <w:rStyle w:val="Hyperlink"/>
            <w:rFonts w:cstheme="minorHAnsi"/>
            <w:sz w:val="24"/>
            <w:szCs w:val="24"/>
          </w:rPr>
          <w:t>https://www.instat.gov.al/media/11851/tregu-i-punes-2022.pdf</w:t>
        </w:r>
      </w:hyperlink>
    </w:p>
    <w:p w14:paraId="25CD1850" w14:textId="77777777" w:rsidR="00B32BA2" w:rsidRPr="00D366EA" w:rsidRDefault="00B32BA2" w:rsidP="00D366EA">
      <w:pPr>
        <w:pStyle w:val="FootnoteText"/>
        <w:numPr>
          <w:ilvl w:val="0"/>
          <w:numId w:val="10"/>
        </w:numPr>
        <w:contextualSpacing/>
        <w:rPr>
          <w:rStyle w:val="Hyperlink"/>
          <w:rFonts w:cstheme="minorHAnsi"/>
          <w:sz w:val="24"/>
          <w:szCs w:val="24"/>
        </w:rPr>
      </w:pPr>
      <w:r w:rsidRPr="00D366EA">
        <w:rPr>
          <w:rFonts w:cstheme="minorHAnsi"/>
          <w:sz w:val="24"/>
          <w:szCs w:val="24"/>
        </w:rPr>
        <w:t xml:space="preserve">Albanian National Skills and Employment Strategy </w:t>
      </w:r>
      <w:hyperlink r:id="rId10" w:history="1">
        <w:r w:rsidRPr="00D366EA">
          <w:rPr>
            <w:rStyle w:val="Hyperlink"/>
            <w:rFonts w:cstheme="minorHAnsi"/>
            <w:sz w:val="24"/>
            <w:szCs w:val="24"/>
          </w:rPr>
          <w:t>https://konsultimipublik.gov.al/Konsultime/GeneratePDF/561</w:t>
        </w:r>
      </w:hyperlink>
    </w:p>
    <w:p w14:paraId="482A7F17" w14:textId="77777777" w:rsidR="00B32BA2" w:rsidRPr="00D366EA" w:rsidRDefault="00B32BA2" w:rsidP="00D366EA">
      <w:pPr>
        <w:pStyle w:val="FootnoteText"/>
        <w:numPr>
          <w:ilvl w:val="0"/>
          <w:numId w:val="10"/>
        </w:numPr>
        <w:contextualSpacing/>
        <w:rPr>
          <w:rFonts w:cstheme="minorHAnsi"/>
          <w:sz w:val="24"/>
          <w:szCs w:val="24"/>
          <w:shd w:val="clear" w:color="auto" w:fill="FFFFFF"/>
        </w:rPr>
      </w:pPr>
      <w:r w:rsidRPr="00D366EA">
        <w:rPr>
          <w:rFonts w:cstheme="minorHAnsi"/>
          <w:sz w:val="24"/>
          <w:szCs w:val="24"/>
        </w:rPr>
        <w:t xml:space="preserve">Albanian unions and employers want collective agreement: </w:t>
      </w:r>
      <w:hyperlink r:id="rId11" w:history="1">
        <w:r w:rsidRPr="00D366EA">
          <w:rPr>
            <w:rStyle w:val="Hyperlink"/>
            <w:rFonts w:cstheme="minorHAnsi"/>
            <w:sz w:val="24"/>
            <w:szCs w:val="24"/>
          </w:rPr>
          <w:t>https://www.industriall-union.org/albanian-unions-and-employers-want-collective-agreement</w:t>
        </w:r>
      </w:hyperlink>
      <w:r w:rsidRPr="00D366EA">
        <w:rPr>
          <w:rFonts w:cstheme="minorHAnsi"/>
          <w:sz w:val="24"/>
          <w:szCs w:val="24"/>
        </w:rPr>
        <w:t xml:space="preserve"> </w:t>
      </w:r>
    </w:p>
    <w:p w14:paraId="215A80E1" w14:textId="77777777"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rPr>
        <w:t>Arqimandriti M/ 2023 Study Report: Analysis of the situation of employees in the clothing and footwear sector in Albania</w:t>
      </w:r>
    </w:p>
    <w:p w14:paraId="280F0451" w14:textId="77777777" w:rsidR="00B32BA2" w:rsidRPr="00D366EA" w:rsidRDefault="00B32BA2" w:rsidP="00D366EA">
      <w:pPr>
        <w:pStyle w:val="ListParagraph"/>
        <w:numPr>
          <w:ilvl w:val="0"/>
          <w:numId w:val="10"/>
        </w:numPr>
        <w:spacing w:after="0" w:line="240" w:lineRule="auto"/>
        <w:jc w:val="both"/>
        <w:rPr>
          <w:rFonts w:cstheme="minorHAnsi"/>
          <w:sz w:val="24"/>
          <w:szCs w:val="24"/>
        </w:rPr>
      </w:pPr>
      <w:proofErr w:type="spellStart"/>
      <w:r w:rsidRPr="00D366EA">
        <w:rPr>
          <w:rFonts w:cstheme="minorHAnsi"/>
          <w:sz w:val="24"/>
          <w:szCs w:val="24"/>
        </w:rPr>
        <w:t>Bajraba</w:t>
      </w:r>
      <w:proofErr w:type="spellEnd"/>
      <w:r w:rsidRPr="00D366EA">
        <w:rPr>
          <w:rFonts w:cstheme="minorHAnsi"/>
          <w:sz w:val="24"/>
          <w:szCs w:val="24"/>
        </w:rPr>
        <w:t xml:space="preserve">, K. (2018). Problems of Employment Aspects in the Active Processing Regime (Fason) in Albania through the Lens of Employees and Employers. Retrieved from: </w:t>
      </w:r>
      <w:hyperlink r:id="rId12" w:history="1">
        <w:r w:rsidRPr="00D366EA">
          <w:rPr>
            <w:rStyle w:val="Hyperlink"/>
            <w:rFonts w:cstheme="minorHAnsi"/>
            <w:sz w:val="24"/>
            <w:szCs w:val="24"/>
          </w:rPr>
          <w:t>https://www.esap.online/download/docs/12_Employment%20in%20the%20facon%20sector_PES_Albania.pdf/0ade48429a19c65806e016830c2ead9a.pdf</w:t>
        </w:r>
      </w:hyperlink>
      <w:r w:rsidRPr="00D366EA">
        <w:rPr>
          <w:rFonts w:cstheme="minorHAnsi"/>
          <w:sz w:val="24"/>
          <w:szCs w:val="24"/>
        </w:rPr>
        <w:t xml:space="preserve"> </w:t>
      </w:r>
    </w:p>
    <w:p w14:paraId="63256354" w14:textId="77777777" w:rsidR="00B32BA2" w:rsidRPr="00D366EA" w:rsidRDefault="00B32BA2" w:rsidP="00D366EA">
      <w:pPr>
        <w:pStyle w:val="ListParagraph"/>
        <w:numPr>
          <w:ilvl w:val="0"/>
          <w:numId w:val="10"/>
        </w:numPr>
        <w:spacing w:after="0" w:line="240" w:lineRule="auto"/>
        <w:rPr>
          <w:rFonts w:cstheme="minorHAnsi"/>
          <w:sz w:val="24"/>
          <w:szCs w:val="24"/>
        </w:rPr>
      </w:pPr>
      <w:r w:rsidRPr="00D366EA">
        <w:rPr>
          <w:rFonts w:cstheme="minorHAnsi"/>
          <w:sz w:val="24"/>
          <w:szCs w:val="24"/>
        </w:rPr>
        <w:t xml:space="preserve">Equal treatment, wage: </w:t>
      </w:r>
      <w:hyperlink r:id="rId13" w:history="1">
        <w:r w:rsidRPr="00D366EA">
          <w:rPr>
            <w:rStyle w:val="Hyperlink"/>
            <w:rFonts w:cstheme="minorHAnsi"/>
            <w:sz w:val="24"/>
            <w:szCs w:val="24"/>
          </w:rPr>
          <w:t>https://rrogaime.al/kodi-i-punes/trajtimi-i-barabarte</w:t>
        </w:r>
      </w:hyperlink>
      <w:r w:rsidRPr="00D366EA">
        <w:rPr>
          <w:rFonts w:cstheme="minorHAnsi"/>
          <w:sz w:val="24"/>
          <w:szCs w:val="24"/>
        </w:rPr>
        <w:t xml:space="preserve"> </w:t>
      </w:r>
    </w:p>
    <w:p w14:paraId="2C60676E" w14:textId="77777777" w:rsidR="00B32BA2" w:rsidRPr="00D366EA" w:rsidRDefault="00B32BA2" w:rsidP="00D366EA">
      <w:pPr>
        <w:pStyle w:val="ListParagraph"/>
        <w:numPr>
          <w:ilvl w:val="0"/>
          <w:numId w:val="10"/>
        </w:numPr>
        <w:spacing w:after="0" w:line="240" w:lineRule="auto"/>
        <w:rPr>
          <w:rStyle w:val="Hyperlink"/>
          <w:rFonts w:cstheme="minorHAnsi"/>
          <w:color w:val="auto"/>
          <w:sz w:val="24"/>
          <w:szCs w:val="24"/>
          <w:u w:val="none"/>
        </w:rPr>
      </w:pPr>
      <w:proofErr w:type="spellStart"/>
      <w:r w:rsidRPr="00D366EA">
        <w:rPr>
          <w:rFonts w:cstheme="minorHAnsi"/>
          <w:sz w:val="24"/>
          <w:szCs w:val="24"/>
          <w:lang w:val="es-ES"/>
        </w:rPr>
        <w:t>European</w:t>
      </w:r>
      <w:proofErr w:type="spellEnd"/>
      <w:r w:rsidRPr="00D366EA">
        <w:rPr>
          <w:rFonts w:cstheme="minorHAnsi"/>
          <w:sz w:val="24"/>
          <w:szCs w:val="24"/>
          <w:lang w:val="es-ES"/>
        </w:rPr>
        <w:t xml:space="preserve"> </w:t>
      </w:r>
      <w:proofErr w:type="spellStart"/>
      <w:r w:rsidRPr="00D366EA">
        <w:rPr>
          <w:rFonts w:cstheme="minorHAnsi"/>
          <w:sz w:val="24"/>
          <w:szCs w:val="24"/>
          <w:lang w:val="es-ES"/>
        </w:rPr>
        <w:t>union</w:t>
      </w:r>
      <w:proofErr w:type="spellEnd"/>
      <w:r w:rsidRPr="00D366EA">
        <w:rPr>
          <w:rFonts w:cstheme="minorHAnsi"/>
          <w:sz w:val="24"/>
          <w:szCs w:val="24"/>
          <w:lang w:val="es-ES"/>
        </w:rPr>
        <w:t xml:space="preserve">. </w:t>
      </w:r>
      <w:proofErr w:type="spellStart"/>
      <w:r w:rsidRPr="00D366EA">
        <w:rPr>
          <w:rFonts w:cstheme="minorHAnsi"/>
          <w:sz w:val="24"/>
          <w:szCs w:val="24"/>
          <w:lang w:val="es-ES"/>
        </w:rPr>
        <w:t>Progress</w:t>
      </w:r>
      <w:proofErr w:type="spellEnd"/>
      <w:r w:rsidRPr="00D366EA">
        <w:rPr>
          <w:rFonts w:cstheme="minorHAnsi"/>
          <w:sz w:val="24"/>
          <w:szCs w:val="24"/>
          <w:lang w:val="es-ES"/>
        </w:rPr>
        <w:t xml:space="preserve"> </w:t>
      </w:r>
      <w:proofErr w:type="spellStart"/>
      <w:r w:rsidRPr="00D366EA">
        <w:rPr>
          <w:rFonts w:cstheme="minorHAnsi"/>
          <w:sz w:val="24"/>
          <w:szCs w:val="24"/>
          <w:lang w:val="es-ES"/>
        </w:rPr>
        <w:t>Report</w:t>
      </w:r>
      <w:proofErr w:type="spellEnd"/>
      <w:r w:rsidRPr="00D366EA">
        <w:rPr>
          <w:rFonts w:cstheme="minorHAnsi"/>
          <w:sz w:val="24"/>
          <w:szCs w:val="24"/>
          <w:lang w:val="es-ES"/>
        </w:rPr>
        <w:t xml:space="preserve"> </w:t>
      </w:r>
      <w:proofErr w:type="spellStart"/>
      <w:r w:rsidRPr="00D366EA">
        <w:rPr>
          <w:rFonts w:cstheme="minorHAnsi"/>
          <w:sz w:val="24"/>
          <w:szCs w:val="24"/>
          <w:lang w:val="es-ES"/>
        </w:rPr>
        <w:t>of</w:t>
      </w:r>
      <w:proofErr w:type="spellEnd"/>
      <w:r w:rsidRPr="00D366EA">
        <w:rPr>
          <w:rFonts w:cstheme="minorHAnsi"/>
          <w:sz w:val="24"/>
          <w:szCs w:val="24"/>
          <w:lang w:val="es-ES"/>
        </w:rPr>
        <w:t xml:space="preserve"> Albania, 2021</w:t>
      </w:r>
      <w:r w:rsidRPr="00D366EA">
        <w:rPr>
          <w:rFonts w:cstheme="minorHAnsi"/>
          <w:sz w:val="24"/>
          <w:szCs w:val="24"/>
          <w:lang w:val="it-IT"/>
        </w:rPr>
        <w:t>:</w:t>
      </w:r>
      <w:r w:rsidRPr="00D366EA">
        <w:rPr>
          <w:rFonts w:cstheme="minorHAnsi"/>
          <w:sz w:val="24"/>
          <w:szCs w:val="24"/>
        </w:rPr>
        <w:t xml:space="preserve"> </w:t>
      </w:r>
      <w:hyperlink r:id="rId14" w:history="1">
        <w:r w:rsidRPr="00D366EA">
          <w:rPr>
            <w:rStyle w:val="Hyperlink"/>
            <w:rFonts w:cstheme="minorHAnsi"/>
            <w:sz w:val="24"/>
            <w:szCs w:val="24"/>
          </w:rPr>
          <w:t>https://neighbourhood-enlargement.ec.europa.eu/system/files/2021-10/Albania-Report-2021.pdf</w:t>
        </w:r>
      </w:hyperlink>
    </w:p>
    <w:p w14:paraId="096CBF9B" w14:textId="77777777" w:rsidR="00B32BA2" w:rsidRPr="00D366EA" w:rsidRDefault="00B32BA2" w:rsidP="00D366EA">
      <w:pPr>
        <w:pStyle w:val="ListParagraph"/>
        <w:numPr>
          <w:ilvl w:val="0"/>
          <w:numId w:val="10"/>
        </w:numPr>
        <w:spacing w:after="0" w:line="240" w:lineRule="auto"/>
        <w:jc w:val="both"/>
        <w:rPr>
          <w:rStyle w:val="Hyperlink"/>
          <w:rFonts w:cstheme="minorHAnsi"/>
          <w:color w:val="auto"/>
          <w:sz w:val="24"/>
          <w:szCs w:val="24"/>
          <w:u w:val="none"/>
          <w:lang w:val="it-IT"/>
        </w:rPr>
      </w:pPr>
      <w:r w:rsidRPr="00D366EA">
        <w:rPr>
          <w:rFonts w:cstheme="minorHAnsi"/>
          <w:sz w:val="24"/>
          <w:szCs w:val="24"/>
          <w:lang w:val="it-IT"/>
        </w:rPr>
        <w:t xml:space="preserve">GADC, 2019 and 2022. Gender-based discrimination and labour in Albania: </w:t>
      </w:r>
      <w:hyperlink r:id="rId15" w:history="1">
        <w:r w:rsidRPr="00D366EA">
          <w:rPr>
            <w:rStyle w:val="Hyperlink"/>
            <w:rFonts w:cstheme="minorHAnsi"/>
            <w:sz w:val="24"/>
            <w:szCs w:val="24"/>
          </w:rPr>
          <w:t>https://www.gadc.org.al/media/files/upload/GBD_in%20Labour%20Albania_AL_15.03.2022.pdf</w:t>
        </w:r>
      </w:hyperlink>
    </w:p>
    <w:p w14:paraId="2BFF4C37" w14:textId="77777777" w:rsidR="00B32BA2" w:rsidRPr="00D366EA" w:rsidRDefault="00B32BA2" w:rsidP="00D366EA">
      <w:pPr>
        <w:pStyle w:val="FootnoteText"/>
        <w:numPr>
          <w:ilvl w:val="0"/>
          <w:numId w:val="10"/>
        </w:numPr>
        <w:contextualSpacing/>
        <w:rPr>
          <w:rFonts w:cstheme="minorHAnsi"/>
          <w:color w:val="0563C1" w:themeColor="hyperlink"/>
          <w:sz w:val="24"/>
          <w:szCs w:val="24"/>
          <w:u w:val="single"/>
          <w:lang w:val="en-GB"/>
        </w:rPr>
      </w:pPr>
      <w:r w:rsidRPr="00D366EA">
        <w:rPr>
          <w:rFonts w:cstheme="minorHAnsi"/>
          <w:color w:val="0563C1" w:themeColor="hyperlink"/>
          <w:sz w:val="24"/>
          <w:szCs w:val="24"/>
          <w:u w:val="single"/>
          <w:lang w:val="en-GB"/>
        </w:rPr>
        <w:t xml:space="preserve">General Directory of Prisons Albania,  </w:t>
      </w:r>
      <w:hyperlink r:id="rId16" w:history="1">
        <w:r w:rsidRPr="00D366EA">
          <w:rPr>
            <w:rStyle w:val="Hyperlink"/>
            <w:rFonts w:cstheme="minorHAnsi"/>
            <w:sz w:val="24"/>
            <w:szCs w:val="24"/>
            <w:lang w:val="en-GB"/>
          </w:rPr>
          <w:t>https://dpbsh.gov.al/rezultatet-perfundimtare-te-testimit-te-kandidateve-per-punonjes-te-rolit-te-baze-ne-policine-e-burgjeve/</w:t>
        </w:r>
      </w:hyperlink>
    </w:p>
    <w:p w14:paraId="7C1BA894" w14:textId="77777777"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lang w:val="it-IT"/>
        </w:rPr>
        <w:t xml:space="preserve">INSTAT, 2020. Gender Equality Index for the Republic of Albania: </w:t>
      </w:r>
      <w:hyperlink r:id="rId17" w:history="1">
        <w:r w:rsidRPr="00D366EA">
          <w:rPr>
            <w:rStyle w:val="Hyperlink"/>
            <w:rFonts w:cstheme="minorHAnsi"/>
            <w:sz w:val="24"/>
            <w:szCs w:val="24"/>
          </w:rPr>
          <w:t>http://www.instat.gov.al/media/6661/gender_equality_index_for_the_republic_of_albania_2020.pdf</w:t>
        </w:r>
      </w:hyperlink>
      <w:r w:rsidRPr="00D366EA">
        <w:rPr>
          <w:rFonts w:cstheme="minorHAnsi"/>
          <w:sz w:val="24"/>
          <w:szCs w:val="24"/>
          <w:u w:val="single"/>
        </w:rPr>
        <w:t xml:space="preserve"> </w:t>
      </w:r>
    </w:p>
    <w:p w14:paraId="4C1F245C" w14:textId="77777777" w:rsidR="00B32BA2" w:rsidRPr="00D366EA" w:rsidRDefault="00B32BA2" w:rsidP="00D366EA">
      <w:pPr>
        <w:pStyle w:val="FootnoteText"/>
        <w:numPr>
          <w:ilvl w:val="0"/>
          <w:numId w:val="10"/>
        </w:numPr>
        <w:contextualSpacing/>
        <w:rPr>
          <w:rFonts w:cstheme="minorHAnsi"/>
          <w:sz w:val="24"/>
          <w:szCs w:val="24"/>
        </w:rPr>
      </w:pPr>
      <w:proofErr w:type="spellStart"/>
      <w:r w:rsidRPr="00D366EA">
        <w:rPr>
          <w:rFonts w:cstheme="minorHAnsi"/>
          <w:sz w:val="24"/>
          <w:szCs w:val="24"/>
        </w:rPr>
        <w:t>Instat</w:t>
      </w:r>
      <w:proofErr w:type="spellEnd"/>
      <w:r w:rsidRPr="00D366EA">
        <w:rPr>
          <w:rFonts w:cstheme="minorHAnsi"/>
          <w:sz w:val="24"/>
          <w:szCs w:val="24"/>
        </w:rPr>
        <w:t xml:space="preserve">, Albania in Numbers 2021: </w:t>
      </w:r>
      <w:hyperlink r:id="rId18" w:history="1">
        <w:r w:rsidRPr="00D366EA">
          <w:rPr>
            <w:rStyle w:val="Hyperlink"/>
            <w:rFonts w:cstheme="minorHAnsi"/>
            <w:sz w:val="24"/>
            <w:szCs w:val="24"/>
          </w:rPr>
          <w:t>https://www.instat.gov.al/media/10320/shqiperia-ne-shifra-2021.pdf</w:t>
        </w:r>
      </w:hyperlink>
      <w:r w:rsidRPr="00D366EA">
        <w:rPr>
          <w:rFonts w:cstheme="minorHAnsi"/>
          <w:sz w:val="24"/>
          <w:szCs w:val="24"/>
        </w:rPr>
        <w:t xml:space="preserve"> </w:t>
      </w:r>
    </w:p>
    <w:p w14:paraId="61C2BB28" w14:textId="77777777" w:rsidR="00B32BA2" w:rsidRPr="00D366EA" w:rsidRDefault="00B32BA2" w:rsidP="00D366EA">
      <w:pPr>
        <w:pStyle w:val="ListParagraph"/>
        <w:numPr>
          <w:ilvl w:val="0"/>
          <w:numId w:val="10"/>
        </w:numPr>
        <w:spacing w:after="0" w:line="240" w:lineRule="auto"/>
        <w:jc w:val="both"/>
        <w:rPr>
          <w:rFonts w:cstheme="minorHAnsi"/>
          <w:sz w:val="24"/>
          <w:szCs w:val="24"/>
        </w:rPr>
      </w:pPr>
      <w:proofErr w:type="spellStart"/>
      <w:r w:rsidRPr="00D366EA">
        <w:rPr>
          <w:rFonts w:cstheme="minorHAnsi"/>
          <w:sz w:val="24"/>
          <w:szCs w:val="24"/>
        </w:rPr>
        <w:t>Instat</w:t>
      </w:r>
      <w:proofErr w:type="spellEnd"/>
      <w:r w:rsidRPr="00D366EA">
        <w:rPr>
          <w:rFonts w:cstheme="minorHAnsi"/>
          <w:sz w:val="24"/>
          <w:szCs w:val="24"/>
        </w:rPr>
        <w:t xml:space="preserve">, Business Registers, 2021: </w:t>
      </w:r>
      <w:hyperlink r:id="rId19" w:history="1">
        <w:r w:rsidRPr="00D366EA">
          <w:rPr>
            <w:rStyle w:val="Hyperlink"/>
            <w:rFonts w:cstheme="minorHAnsi"/>
            <w:sz w:val="24"/>
            <w:szCs w:val="24"/>
          </w:rPr>
          <w:t>https://www.instat.gov.al/al/temat/industria-tregtia-dhe-sh%C3%ABrbimet/regjistrat-e-biznesit/publikimet/2022/regjistrat-e-biznesit-2021/</w:t>
        </w:r>
      </w:hyperlink>
      <w:r w:rsidRPr="00D366EA">
        <w:rPr>
          <w:rFonts w:cstheme="minorHAnsi"/>
          <w:sz w:val="24"/>
          <w:szCs w:val="24"/>
        </w:rPr>
        <w:t xml:space="preserve"> </w:t>
      </w:r>
    </w:p>
    <w:p w14:paraId="0692D04A" w14:textId="77777777" w:rsidR="00B32BA2" w:rsidRPr="00D366EA" w:rsidRDefault="00B32BA2" w:rsidP="00D366EA">
      <w:pPr>
        <w:pStyle w:val="FootnoteText"/>
        <w:numPr>
          <w:ilvl w:val="0"/>
          <w:numId w:val="10"/>
        </w:numPr>
        <w:contextualSpacing/>
        <w:rPr>
          <w:rFonts w:cstheme="minorHAnsi"/>
          <w:sz w:val="24"/>
          <w:szCs w:val="24"/>
        </w:rPr>
      </w:pPr>
      <w:proofErr w:type="spellStart"/>
      <w:r w:rsidRPr="00D366EA">
        <w:rPr>
          <w:rFonts w:cstheme="minorHAnsi"/>
          <w:sz w:val="24"/>
          <w:szCs w:val="24"/>
        </w:rPr>
        <w:t>Instat</w:t>
      </w:r>
      <w:proofErr w:type="spellEnd"/>
      <w:r w:rsidRPr="00D366EA">
        <w:rPr>
          <w:rFonts w:cstheme="minorHAnsi"/>
          <w:sz w:val="24"/>
          <w:szCs w:val="24"/>
        </w:rPr>
        <w:t xml:space="preserve">, Gender Equality Index for the Republic of Albania 2020: </w:t>
      </w:r>
      <w:hyperlink r:id="rId20" w:history="1">
        <w:r w:rsidRPr="00D366EA">
          <w:rPr>
            <w:rStyle w:val="Hyperlink"/>
            <w:rFonts w:cstheme="minorHAnsi"/>
            <w:sz w:val="24"/>
            <w:szCs w:val="24"/>
          </w:rPr>
          <w:t>https://www.instat.gov.al/media/6661/gender_equality_index_for_the_republic_of_albania_2020.pdf</w:t>
        </w:r>
      </w:hyperlink>
    </w:p>
    <w:p w14:paraId="494D69CB" w14:textId="77777777" w:rsidR="00B32BA2" w:rsidRPr="00D366EA" w:rsidRDefault="00B32BA2" w:rsidP="00D366EA">
      <w:pPr>
        <w:pStyle w:val="FootnoteText"/>
        <w:numPr>
          <w:ilvl w:val="0"/>
          <w:numId w:val="10"/>
        </w:numPr>
        <w:contextualSpacing/>
        <w:rPr>
          <w:rFonts w:cstheme="minorHAnsi"/>
          <w:sz w:val="24"/>
          <w:szCs w:val="24"/>
        </w:rPr>
      </w:pPr>
      <w:proofErr w:type="spellStart"/>
      <w:r w:rsidRPr="00D366EA">
        <w:rPr>
          <w:rFonts w:cstheme="minorHAnsi"/>
          <w:sz w:val="24"/>
          <w:szCs w:val="24"/>
        </w:rPr>
        <w:t>Instat</w:t>
      </w:r>
      <w:proofErr w:type="spellEnd"/>
      <w:r w:rsidRPr="00D366EA">
        <w:rPr>
          <w:rFonts w:cstheme="minorHAnsi"/>
          <w:sz w:val="24"/>
          <w:szCs w:val="24"/>
        </w:rPr>
        <w:t xml:space="preserve">, Women and Man in Albania 2021:  </w:t>
      </w:r>
      <w:hyperlink r:id="rId21" w:history="1">
        <w:r w:rsidRPr="00D366EA">
          <w:rPr>
            <w:rStyle w:val="Hyperlink"/>
            <w:rFonts w:cstheme="minorHAnsi"/>
            <w:sz w:val="24"/>
            <w:szCs w:val="24"/>
          </w:rPr>
          <w:t>https://www.instat.gov.al/media/8713/burra-dhe-gra.pdf</w:t>
        </w:r>
      </w:hyperlink>
      <w:r w:rsidRPr="00D366EA">
        <w:rPr>
          <w:rFonts w:cstheme="minorHAnsi"/>
          <w:sz w:val="24"/>
          <w:szCs w:val="24"/>
        </w:rPr>
        <w:t xml:space="preserve"> </w:t>
      </w:r>
    </w:p>
    <w:p w14:paraId="39E07274" w14:textId="77777777" w:rsidR="00B32BA2" w:rsidRPr="00D366EA" w:rsidRDefault="00B32BA2" w:rsidP="00D366EA">
      <w:pPr>
        <w:pStyle w:val="FootnoteText"/>
        <w:numPr>
          <w:ilvl w:val="0"/>
          <w:numId w:val="10"/>
        </w:numPr>
        <w:contextualSpacing/>
        <w:rPr>
          <w:rFonts w:cstheme="minorHAnsi"/>
          <w:sz w:val="24"/>
          <w:szCs w:val="24"/>
        </w:rPr>
      </w:pPr>
      <w:proofErr w:type="spellStart"/>
      <w:r w:rsidRPr="00D366EA">
        <w:rPr>
          <w:rFonts w:cstheme="minorHAnsi"/>
          <w:sz w:val="24"/>
          <w:szCs w:val="24"/>
        </w:rPr>
        <w:t>Instat</w:t>
      </w:r>
      <w:proofErr w:type="spellEnd"/>
      <w:r w:rsidRPr="00D366EA">
        <w:rPr>
          <w:rFonts w:cstheme="minorHAnsi"/>
          <w:sz w:val="24"/>
          <w:szCs w:val="24"/>
        </w:rPr>
        <w:t xml:space="preserve">, Women and Man in Albania 2022:  </w:t>
      </w:r>
      <w:hyperlink r:id="rId22" w:history="1">
        <w:r w:rsidRPr="00D366EA">
          <w:rPr>
            <w:rStyle w:val="Hyperlink"/>
            <w:rFonts w:cstheme="minorHAnsi"/>
            <w:sz w:val="24"/>
            <w:szCs w:val="24"/>
          </w:rPr>
          <w:t>https://www.instat.gov.al/media/11027/burra-dhe-gra-2022.pdf</w:t>
        </w:r>
      </w:hyperlink>
    </w:p>
    <w:p w14:paraId="7293A095" w14:textId="77777777" w:rsidR="00B32BA2" w:rsidRPr="00D366EA" w:rsidRDefault="00B32BA2" w:rsidP="00D366EA">
      <w:pPr>
        <w:pStyle w:val="ListParagraph"/>
        <w:numPr>
          <w:ilvl w:val="0"/>
          <w:numId w:val="10"/>
        </w:numPr>
        <w:spacing w:after="0" w:line="240" w:lineRule="auto"/>
        <w:jc w:val="both"/>
        <w:rPr>
          <w:rFonts w:cstheme="minorHAnsi"/>
          <w:sz w:val="24"/>
          <w:szCs w:val="24"/>
        </w:rPr>
      </w:pPr>
      <w:r w:rsidRPr="00D366EA">
        <w:rPr>
          <w:rFonts w:cstheme="minorHAnsi"/>
          <w:sz w:val="24"/>
          <w:szCs w:val="24"/>
          <w:lang w:val="it-IT"/>
        </w:rPr>
        <w:t>International Labor Organization, 2020. Overview of the informal economy in Albania:</w:t>
      </w:r>
      <w:r w:rsidRPr="00D366EA">
        <w:rPr>
          <w:rFonts w:cstheme="minorHAnsi"/>
          <w:sz w:val="24"/>
          <w:szCs w:val="24"/>
        </w:rPr>
        <w:t xml:space="preserve"> </w:t>
      </w:r>
      <w:hyperlink r:id="rId23" w:history="1">
        <w:r w:rsidRPr="00D366EA">
          <w:rPr>
            <w:rStyle w:val="Hyperlink"/>
            <w:rFonts w:cstheme="minorHAnsi"/>
            <w:sz w:val="24"/>
            <w:szCs w:val="24"/>
            <w:lang w:val="de-DE"/>
          </w:rPr>
          <w:t>https://www.ilo.org/ëcmsp5/groups/public/---europe/---ro-geneva/---sro-budapest/documents/genericdocument/wcms_751313.pdf</w:t>
        </w:r>
      </w:hyperlink>
      <w:r w:rsidRPr="00D366EA">
        <w:rPr>
          <w:rFonts w:cstheme="minorHAnsi"/>
          <w:sz w:val="24"/>
          <w:szCs w:val="24"/>
          <w:lang w:val="de-DE"/>
        </w:rPr>
        <w:t xml:space="preserve">. </w:t>
      </w:r>
    </w:p>
    <w:p w14:paraId="2484692B" w14:textId="77777777"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lang w:val="en-GB"/>
        </w:rPr>
        <w:t>International Labour Organization:</w:t>
      </w:r>
      <w:r w:rsidRPr="00D366EA">
        <w:rPr>
          <w:rFonts w:cstheme="minorHAnsi"/>
          <w:sz w:val="24"/>
          <w:szCs w:val="24"/>
        </w:rPr>
        <w:t xml:space="preserve"> </w:t>
      </w:r>
      <w:hyperlink r:id="rId24" w:history="1">
        <w:r w:rsidRPr="00D366EA">
          <w:rPr>
            <w:rStyle w:val="Hyperlink"/>
            <w:rFonts w:cstheme="minorHAnsi"/>
            <w:sz w:val="24"/>
            <w:szCs w:val="24"/>
            <w:lang w:val="en-GB"/>
          </w:rPr>
          <w:t>https://www.ilo.org/wcmsp5/groups/public/---europe/---ro-geneva/---sro-budapest/documents/publication/wcms_689355.pdf</w:t>
        </w:r>
      </w:hyperlink>
      <w:r w:rsidRPr="00D366EA">
        <w:rPr>
          <w:rFonts w:cstheme="minorHAnsi"/>
          <w:sz w:val="24"/>
          <w:szCs w:val="24"/>
          <w:lang w:val="en-GB"/>
        </w:rPr>
        <w:t xml:space="preserve"> </w:t>
      </w:r>
    </w:p>
    <w:p w14:paraId="06C365F9" w14:textId="77777777" w:rsidR="00B32BA2" w:rsidRPr="00D366EA" w:rsidRDefault="00B32BA2" w:rsidP="00D366EA">
      <w:pPr>
        <w:pStyle w:val="ListParagraph"/>
        <w:numPr>
          <w:ilvl w:val="0"/>
          <w:numId w:val="10"/>
        </w:numPr>
        <w:spacing w:after="0" w:line="240" w:lineRule="auto"/>
        <w:jc w:val="both"/>
        <w:rPr>
          <w:rFonts w:cstheme="minorHAnsi"/>
          <w:sz w:val="24"/>
          <w:szCs w:val="24"/>
          <w:lang w:val="de-DE"/>
        </w:rPr>
      </w:pPr>
      <w:r w:rsidRPr="00D366EA">
        <w:rPr>
          <w:rFonts w:cstheme="minorHAnsi"/>
          <w:sz w:val="24"/>
          <w:szCs w:val="24"/>
        </w:rPr>
        <w:t xml:space="preserve">Labor Inspectorate, annual report 2019: </w:t>
      </w:r>
      <w:hyperlink r:id="rId25" w:history="1">
        <w:r w:rsidRPr="00D366EA">
          <w:rPr>
            <w:rStyle w:val="Hyperlink"/>
            <w:rFonts w:cstheme="minorHAnsi"/>
            <w:sz w:val="24"/>
            <w:szCs w:val="24"/>
          </w:rPr>
          <w:t>https://inspektoriatipunes.gov.al/wp-content/uploads/2021/05/Raport-Vjetor-2019.pdf</w:t>
        </w:r>
      </w:hyperlink>
      <w:r w:rsidRPr="00D366EA">
        <w:rPr>
          <w:rFonts w:cstheme="minorHAnsi"/>
          <w:sz w:val="24"/>
          <w:szCs w:val="24"/>
        </w:rPr>
        <w:t xml:space="preserve"> </w:t>
      </w:r>
    </w:p>
    <w:p w14:paraId="112BC2A6" w14:textId="77777777" w:rsidR="00B32BA2" w:rsidRPr="00D366EA" w:rsidRDefault="00B32BA2" w:rsidP="00D366EA">
      <w:pPr>
        <w:pStyle w:val="FootnoteText"/>
        <w:numPr>
          <w:ilvl w:val="0"/>
          <w:numId w:val="10"/>
        </w:numPr>
        <w:contextualSpacing/>
        <w:rPr>
          <w:rStyle w:val="Hyperlink"/>
          <w:rFonts w:cstheme="minorHAnsi"/>
          <w:color w:val="auto"/>
          <w:sz w:val="24"/>
          <w:szCs w:val="24"/>
          <w:u w:val="none"/>
        </w:rPr>
      </w:pPr>
      <w:r w:rsidRPr="00D366EA">
        <w:rPr>
          <w:rFonts w:cstheme="minorHAnsi"/>
          <w:sz w:val="24"/>
          <w:szCs w:val="24"/>
        </w:rPr>
        <w:lastRenderedPageBreak/>
        <w:t xml:space="preserve">Labor Inspectorate, annual report 2020: </w:t>
      </w:r>
      <w:hyperlink r:id="rId26" w:history="1">
        <w:r w:rsidRPr="00D366EA">
          <w:rPr>
            <w:rStyle w:val="Hyperlink"/>
            <w:rFonts w:cstheme="minorHAnsi"/>
            <w:sz w:val="24"/>
            <w:szCs w:val="24"/>
            <w:shd w:val="clear" w:color="auto" w:fill="FFFFFF"/>
          </w:rPr>
          <w:t>https://inspektoriatipunes.gov.al/wp-content/uploads/2021/05/Raport-Vjetor-2020.pdf</w:t>
        </w:r>
      </w:hyperlink>
    </w:p>
    <w:p w14:paraId="56D70ED4" w14:textId="77777777"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rPr>
        <w:t xml:space="preserve">Labor Inspectorate, Statistical Analysis and Inspection Indicators: </w:t>
      </w:r>
      <w:hyperlink r:id="rId27" w:history="1">
        <w:r w:rsidRPr="00D366EA">
          <w:rPr>
            <w:rStyle w:val="Hyperlink"/>
            <w:rFonts w:cstheme="minorHAnsi"/>
            <w:sz w:val="24"/>
            <w:szCs w:val="24"/>
          </w:rPr>
          <w:t>https://inspektoriatipunes.gov.al/wp-content/uploads/2021/05/Raport-Vjetor-2019.pdf</w:t>
        </w:r>
      </w:hyperlink>
      <w:r w:rsidRPr="00D366EA">
        <w:rPr>
          <w:rFonts w:cstheme="minorHAnsi"/>
          <w:sz w:val="24"/>
          <w:szCs w:val="24"/>
        </w:rPr>
        <w:t xml:space="preserve"> </w:t>
      </w:r>
    </w:p>
    <w:p w14:paraId="1360C185" w14:textId="77777777" w:rsidR="00B32BA2" w:rsidRPr="00D366EA" w:rsidRDefault="00B32BA2" w:rsidP="00D366EA">
      <w:pPr>
        <w:pStyle w:val="FootnoteText"/>
        <w:numPr>
          <w:ilvl w:val="0"/>
          <w:numId w:val="10"/>
        </w:numPr>
        <w:contextualSpacing/>
        <w:rPr>
          <w:rStyle w:val="Hyperlink"/>
          <w:rFonts w:cstheme="minorHAnsi"/>
          <w:color w:val="auto"/>
          <w:sz w:val="24"/>
          <w:szCs w:val="24"/>
          <w:u w:val="none"/>
        </w:rPr>
      </w:pPr>
      <w:r w:rsidRPr="00D366EA">
        <w:rPr>
          <w:rFonts w:cstheme="minorHAnsi"/>
          <w:sz w:val="24"/>
          <w:szCs w:val="24"/>
        </w:rPr>
        <w:t xml:space="preserve">Labor market, education and wages:  </w:t>
      </w:r>
      <w:hyperlink r:id="rId28" w:history="1">
        <w:r w:rsidRPr="00D366EA">
          <w:rPr>
            <w:rStyle w:val="Hyperlink"/>
            <w:rFonts w:cstheme="minorHAnsi"/>
            <w:sz w:val="24"/>
            <w:szCs w:val="24"/>
          </w:rPr>
          <w:t>https://www.instat.gov.al/al/temat/tregu-i-pun%C3%ABs-dhe-arsimi/pagat/</w:t>
        </w:r>
      </w:hyperlink>
    </w:p>
    <w:p w14:paraId="01ECD161" w14:textId="77777777" w:rsidR="00B32BA2" w:rsidRPr="00D366EA" w:rsidRDefault="00B32BA2" w:rsidP="00D366EA">
      <w:pPr>
        <w:pStyle w:val="ListParagraph"/>
        <w:numPr>
          <w:ilvl w:val="0"/>
          <w:numId w:val="10"/>
        </w:numPr>
        <w:spacing w:after="0" w:line="240" w:lineRule="auto"/>
        <w:rPr>
          <w:rFonts w:cstheme="minorHAnsi"/>
          <w:sz w:val="24"/>
          <w:szCs w:val="24"/>
          <w:lang w:val="de-DE"/>
        </w:rPr>
      </w:pPr>
      <w:r w:rsidRPr="00D366EA">
        <w:rPr>
          <w:rFonts w:cstheme="minorHAnsi"/>
          <w:sz w:val="24"/>
          <w:szCs w:val="24"/>
          <w:lang w:val="de-DE"/>
        </w:rPr>
        <w:t xml:space="preserve">Law No. 10 221, dated 04.02.2010, ON PROTECTION AGAINST DISCRIMINATION (Amended by Law No. 124/2020) (Updated): </w:t>
      </w:r>
      <w:hyperlink r:id="rId29" w:history="1">
        <w:r w:rsidRPr="00D366EA">
          <w:rPr>
            <w:rStyle w:val="Hyperlink"/>
            <w:rFonts w:cstheme="minorHAnsi"/>
            <w:sz w:val="24"/>
            <w:szCs w:val="24"/>
            <w:lang w:val="de-DE"/>
          </w:rPr>
          <w:t>https://www.kmd.al/wp-content/uploads/2021/05/2.pdf</w:t>
        </w:r>
      </w:hyperlink>
      <w:r w:rsidRPr="00D366EA">
        <w:rPr>
          <w:rFonts w:cstheme="minorHAnsi"/>
          <w:sz w:val="24"/>
          <w:szCs w:val="24"/>
          <w:lang w:val="de-DE"/>
        </w:rPr>
        <w:t xml:space="preserve"> </w:t>
      </w:r>
    </w:p>
    <w:p w14:paraId="75292358" w14:textId="77777777" w:rsidR="00B32BA2" w:rsidRPr="00D366EA" w:rsidRDefault="00B32BA2" w:rsidP="00D366EA">
      <w:pPr>
        <w:pStyle w:val="ListParagraph"/>
        <w:numPr>
          <w:ilvl w:val="0"/>
          <w:numId w:val="10"/>
        </w:numPr>
        <w:spacing w:after="0" w:line="240" w:lineRule="auto"/>
        <w:rPr>
          <w:rFonts w:cstheme="minorHAnsi"/>
          <w:sz w:val="24"/>
          <w:szCs w:val="24"/>
          <w:lang w:val="de-DE"/>
        </w:rPr>
      </w:pPr>
      <w:r w:rsidRPr="00D366EA">
        <w:rPr>
          <w:rFonts w:cstheme="minorHAnsi"/>
          <w:sz w:val="24"/>
          <w:szCs w:val="24"/>
          <w:lang w:val="de-DE"/>
        </w:rPr>
        <w:t xml:space="preserve">Law No. 10 237, dated 18.2.2010, on health and  safety at work: </w:t>
      </w:r>
      <w:hyperlink r:id="rId30" w:history="1">
        <w:r w:rsidRPr="00D366EA">
          <w:rPr>
            <w:rStyle w:val="Hyperlink"/>
            <w:rFonts w:cstheme="minorHAnsi"/>
            <w:sz w:val="24"/>
            <w:szCs w:val="24"/>
            <w:lang w:val="de-DE"/>
          </w:rPr>
          <w:t>https://www.dpshtrr.al/sites/default/files/downloads/dokumente/Ligji%20Nr.10237%2C%20dat%C3%AB%2018.02.2010%20%E2%80%9CP%C3%ABr%20Sigurin%C3%AB%20dhe%20Sh%C3%ABndetin%20n%C3%AB%20Pun%C3%AB%E2%80%9C.pdf</w:t>
        </w:r>
      </w:hyperlink>
      <w:r w:rsidRPr="00D366EA">
        <w:rPr>
          <w:rFonts w:cstheme="minorHAnsi"/>
          <w:sz w:val="24"/>
          <w:szCs w:val="24"/>
          <w:lang w:val="de-DE"/>
        </w:rPr>
        <w:t xml:space="preserve"> </w:t>
      </w:r>
    </w:p>
    <w:p w14:paraId="463DCE26" w14:textId="77777777" w:rsidR="00B32BA2" w:rsidRPr="00D366EA" w:rsidRDefault="00B32BA2" w:rsidP="00D366EA">
      <w:pPr>
        <w:pStyle w:val="ListParagraph"/>
        <w:numPr>
          <w:ilvl w:val="0"/>
          <w:numId w:val="10"/>
        </w:numPr>
        <w:spacing w:after="0" w:line="240" w:lineRule="auto"/>
        <w:rPr>
          <w:rFonts w:cstheme="minorHAnsi"/>
          <w:sz w:val="24"/>
          <w:szCs w:val="24"/>
        </w:rPr>
      </w:pPr>
      <w:r w:rsidRPr="00D366EA">
        <w:rPr>
          <w:rFonts w:cstheme="minorHAnsi"/>
          <w:sz w:val="24"/>
          <w:szCs w:val="24"/>
        </w:rPr>
        <w:t xml:space="preserve">National Strategy for Employment and Skills 2019 – 2022: </w:t>
      </w:r>
      <w:hyperlink r:id="rId31" w:history="1">
        <w:r w:rsidRPr="00D366EA">
          <w:rPr>
            <w:rStyle w:val="Hyperlink"/>
            <w:rFonts w:cstheme="minorHAnsi"/>
            <w:sz w:val="24"/>
            <w:szCs w:val="24"/>
          </w:rPr>
          <w:t>https://financa.gov.al/wp-content/uploads/2020/10/Publikim_AL_Strategjia-Komb%C3%ABtare-p%C3%ABr-Pun%C3%ABsim-dhe-Aft%C3%ABsi-2019-2022.pdf</w:t>
        </w:r>
      </w:hyperlink>
      <w:r w:rsidRPr="00D366EA">
        <w:rPr>
          <w:rFonts w:cstheme="minorHAnsi"/>
          <w:sz w:val="24"/>
          <w:szCs w:val="24"/>
        </w:rPr>
        <w:t xml:space="preserve"> </w:t>
      </w:r>
    </w:p>
    <w:p w14:paraId="4C1A56DB" w14:textId="77777777" w:rsidR="00B32BA2" w:rsidRPr="00D366EA" w:rsidRDefault="00B32BA2" w:rsidP="00D366EA">
      <w:pPr>
        <w:pStyle w:val="ListParagraph"/>
        <w:numPr>
          <w:ilvl w:val="0"/>
          <w:numId w:val="10"/>
        </w:numPr>
        <w:spacing w:after="0" w:line="240" w:lineRule="auto"/>
        <w:rPr>
          <w:rFonts w:cstheme="minorHAnsi"/>
          <w:sz w:val="24"/>
          <w:szCs w:val="24"/>
          <w:lang w:val="de-DE"/>
        </w:rPr>
      </w:pPr>
      <w:r w:rsidRPr="00D366EA">
        <w:rPr>
          <w:rFonts w:cstheme="minorHAnsi"/>
          <w:sz w:val="24"/>
          <w:szCs w:val="24"/>
          <w:lang w:val="it-IT"/>
        </w:rPr>
        <w:t>National Strategy for Gender Equality 2021-2030:</w:t>
      </w:r>
      <w:r w:rsidRPr="00D366EA">
        <w:rPr>
          <w:rFonts w:cstheme="minorHAnsi"/>
          <w:sz w:val="24"/>
          <w:szCs w:val="24"/>
          <w:lang w:val="de-DE"/>
        </w:rPr>
        <w:t xml:space="preserve"> </w:t>
      </w:r>
      <w:hyperlink r:id="rId32" w:history="1">
        <w:r w:rsidRPr="00D366EA">
          <w:rPr>
            <w:rStyle w:val="Hyperlink"/>
            <w:rFonts w:cstheme="minorHAnsi"/>
            <w:sz w:val="24"/>
            <w:szCs w:val="24"/>
            <w:lang w:val="de-DE"/>
          </w:rPr>
          <w:t>https://shendetesia.gov.al/wp-content/uploads/2022/02/WEB_Strategjia-Kombëtare-AL.pdf</w:t>
        </w:r>
      </w:hyperlink>
      <w:r w:rsidRPr="00D366EA">
        <w:rPr>
          <w:rFonts w:cstheme="minorHAnsi"/>
          <w:sz w:val="24"/>
          <w:szCs w:val="24"/>
          <w:lang w:val="de-DE"/>
        </w:rPr>
        <w:t xml:space="preserve"> </w:t>
      </w:r>
    </w:p>
    <w:p w14:paraId="2982DB3D" w14:textId="77777777" w:rsidR="00B32BA2" w:rsidRPr="00D366EA" w:rsidRDefault="00B32BA2" w:rsidP="00D366EA">
      <w:pPr>
        <w:pStyle w:val="FootnoteText"/>
        <w:numPr>
          <w:ilvl w:val="0"/>
          <w:numId w:val="10"/>
        </w:numPr>
        <w:contextualSpacing/>
        <w:rPr>
          <w:rFonts w:cstheme="minorHAnsi"/>
          <w:sz w:val="24"/>
          <w:szCs w:val="24"/>
          <w:lang w:val="en-GB"/>
        </w:rPr>
      </w:pPr>
      <w:r w:rsidRPr="00D366EA">
        <w:rPr>
          <w:rFonts w:cstheme="minorHAnsi"/>
          <w:sz w:val="24"/>
          <w:szCs w:val="24"/>
        </w:rPr>
        <w:t xml:space="preserve">Progress Report Albania 2022, </w:t>
      </w:r>
      <w:proofErr w:type="spellStart"/>
      <w:r w:rsidRPr="00D366EA">
        <w:rPr>
          <w:rFonts w:cstheme="minorHAnsi"/>
          <w:sz w:val="24"/>
          <w:szCs w:val="24"/>
        </w:rPr>
        <w:t>Neighbourhood</w:t>
      </w:r>
      <w:proofErr w:type="spellEnd"/>
      <w:r w:rsidRPr="00D366EA">
        <w:rPr>
          <w:rFonts w:cstheme="minorHAnsi"/>
          <w:sz w:val="24"/>
          <w:szCs w:val="24"/>
        </w:rPr>
        <w:t xml:space="preserve"> and Enlargement, EU, pg. 91:</w:t>
      </w:r>
      <w:r w:rsidRPr="00D366EA">
        <w:rPr>
          <w:rFonts w:cstheme="minorHAnsi"/>
          <w:sz w:val="24"/>
          <w:szCs w:val="24"/>
          <w:lang w:val="en-GB"/>
        </w:rPr>
        <w:t xml:space="preserve"> </w:t>
      </w:r>
      <w:hyperlink r:id="rId33" w:history="1">
        <w:r w:rsidRPr="00D366EA">
          <w:rPr>
            <w:rStyle w:val="Hyperlink"/>
            <w:rFonts w:cstheme="minorHAnsi"/>
            <w:sz w:val="24"/>
            <w:szCs w:val="24"/>
          </w:rPr>
          <w:t>https://neighbourhood-enlargement.ec.europa.eu/system/files/2022-10/Albania%20Report%202022.pdf</w:t>
        </w:r>
      </w:hyperlink>
    </w:p>
    <w:p w14:paraId="71EE882A" w14:textId="77777777" w:rsidR="009F00FC" w:rsidRPr="00D366EA" w:rsidRDefault="00B32BA2" w:rsidP="00D366EA">
      <w:pPr>
        <w:pStyle w:val="ListParagraph"/>
        <w:numPr>
          <w:ilvl w:val="0"/>
          <w:numId w:val="10"/>
        </w:numPr>
        <w:tabs>
          <w:tab w:val="left" w:pos="7416"/>
        </w:tabs>
        <w:spacing w:after="0" w:line="240" w:lineRule="auto"/>
        <w:rPr>
          <w:rStyle w:val="Hyperlink"/>
          <w:rFonts w:cstheme="minorHAnsi"/>
          <w:sz w:val="24"/>
          <w:szCs w:val="24"/>
        </w:rPr>
      </w:pPr>
      <w:r w:rsidRPr="00D366EA">
        <w:rPr>
          <w:rFonts w:cstheme="minorHAnsi"/>
          <w:color w:val="0563C1" w:themeColor="hyperlink"/>
          <w:sz w:val="24"/>
          <w:szCs w:val="24"/>
          <w:u w:val="single"/>
        </w:rPr>
        <w:t xml:space="preserve">Recommendations and conclusions of the Regional Conference on Remote Work in the WB6: </w:t>
      </w:r>
      <w:hyperlink r:id="rId34" w:history="1">
        <w:r w:rsidRPr="00D366EA">
          <w:rPr>
            <w:rStyle w:val="Hyperlink"/>
            <w:rFonts w:cstheme="minorHAnsi"/>
            <w:sz w:val="24"/>
            <w:szCs w:val="24"/>
          </w:rPr>
          <w:t>http://clr.al/2022/11/4489/</w:t>
        </w:r>
      </w:hyperlink>
    </w:p>
    <w:p w14:paraId="1C21782C" w14:textId="3E53D161" w:rsidR="00B32BA2" w:rsidRPr="00D366EA" w:rsidRDefault="009F00FC" w:rsidP="00D366EA">
      <w:pPr>
        <w:pStyle w:val="ListParagraph"/>
        <w:numPr>
          <w:ilvl w:val="0"/>
          <w:numId w:val="10"/>
        </w:numPr>
        <w:tabs>
          <w:tab w:val="left" w:pos="7416"/>
        </w:tabs>
        <w:spacing w:after="0" w:line="240" w:lineRule="auto"/>
        <w:rPr>
          <w:rFonts w:cstheme="minorHAnsi"/>
          <w:color w:val="0563C1" w:themeColor="hyperlink"/>
          <w:sz w:val="24"/>
          <w:szCs w:val="24"/>
          <w:u w:val="single"/>
        </w:rPr>
      </w:pPr>
      <w:r w:rsidRPr="00D366EA">
        <w:rPr>
          <w:rFonts w:cstheme="minorHAnsi"/>
          <w:sz w:val="24"/>
          <w:szCs w:val="24"/>
        </w:rPr>
        <w:t xml:space="preserve">Schools of Pre-university Vocational Education: </w:t>
      </w:r>
      <w:hyperlink r:id="rId35" w:history="1">
        <w:r w:rsidRPr="00D366EA">
          <w:rPr>
            <w:rStyle w:val="Hyperlink"/>
            <w:rFonts w:cstheme="minorHAnsi"/>
            <w:sz w:val="24"/>
            <w:szCs w:val="24"/>
          </w:rPr>
          <w:t>https://csl.edu.al/wp-content/uploads/2023/05/udhezim-2021-05-27-14.pdf</w:t>
        </w:r>
      </w:hyperlink>
      <w:r w:rsidRPr="00D366EA">
        <w:rPr>
          <w:rFonts w:cstheme="minorHAnsi"/>
          <w:sz w:val="24"/>
          <w:szCs w:val="24"/>
        </w:rPr>
        <w:t xml:space="preserve"> </w:t>
      </w:r>
      <w:r w:rsidR="00B32BA2" w:rsidRPr="00D366EA">
        <w:rPr>
          <w:rFonts w:cstheme="minorHAnsi"/>
          <w:sz w:val="24"/>
          <w:szCs w:val="24"/>
        </w:rPr>
        <w:tab/>
      </w:r>
    </w:p>
    <w:p w14:paraId="4B0BEEA0" w14:textId="3C02C844" w:rsidR="00B32BA2" w:rsidRPr="00D366EA" w:rsidRDefault="00B32BA2" w:rsidP="00D366EA">
      <w:pPr>
        <w:pStyle w:val="FootnoteText"/>
        <w:numPr>
          <w:ilvl w:val="0"/>
          <w:numId w:val="10"/>
        </w:numPr>
        <w:contextualSpacing/>
        <w:rPr>
          <w:rFonts w:cstheme="minorHAnsi"/>
          <w:sz w:val="24"/>
          <w:szCs w:val="24"/>
        </w:rPr>
      </w:pPr>
      <w:r w:rsidRPr="00D366EA">
        <w:rPr>
          <w:rFonts w:cstheme="minorHAnsi"/>
          <w:sz w:val="24"/>
          <w:szCs w:val="24"/>
          <w:lang w:val="de-DE"/>
        </w:rPr>
        <w:t xml:space="preserve">The Labor Code of the Republic of Albania (Updated in 2015): </w:t>
      </w:r>
      <w:hyperlink r:id="rId36" w:history="1">
        <w:r w:rsidRPr="00D366EA">
          <w:rPr>
            <w:rStyle w:val="Hyperlink"/>
            <w:rFonts w:cstheme="minorHAnsi"/>
            <w:sz w:val="24"/>
            <w:szCs w:val="24"/>
            <w:lang w:val="de-DE"/>
          </w:rPr>
          <w:t>https://qbz.gov.al/preview/c1c18a6c-5f3e-457d-b931-de505b3c7ed0</w:t>
        </w:r>
      </w:hyperlink>
      <w:r w:rsidRPr="00D366EA">
        <w:rPr>
          <w:rFonts w:cstheme="minorHAnsi"/>
          <w:sz w:val="24"/>
          <w:szCs w:val="24"/>
          <w:lang w:val="de-DE"/>
        </w:rPr>
        <w:t xml:space="preserve"> </w:t>
      </w:r>
    </w:p>
    <w:p w14:paraId="51C9B1F1" w14:textId="41BC5134" w:rsidR="007C7266" w:rsidRPr="00D366EA" w:rsidRDefault="007C7266" w:rsidP="00D366EA">
      <w:pPr>
        <w:spacing w:after="0" w:line="240" w:lineRule="auto"/>
        <w:contextualSpacing/>
        <w:rPr>
          <w:rFonts w:cstheme="minorHAnsi"/>
          <w:sz w:val="24"/>
          <w:szCs w:val="24"/>
        </w:rPr>
      </w:pPr>
    </w:p>
    <w:p w14:paraId="70840BE2" w14:textId="23D6234F" w:rsidR="007C7266" w:rsidRPr="003E7E12" w:rsidRDefault="007C7266" w:rsidP="00D366EA">
      <w:pPr>
        <w:spacing w:after="0" w:line="240" w:lineRule="auto"/>
        <w:contextualSpacing/>
        <w:rPr>
          <w:rFonts w:cstheme="minorHAnsi"/>
          <w:b/>
          <w:bCs/>
        </w:rPr>
      </w:pPr>
      <w:r w:rsidRPr="003E7E12">
        <w:rPr>
          <w:rFonts w:cstheme="minorHAnsi"/>
          <w:b/>
          <w:bCs/>
        </w:rPr>
        <w:t xml:space="preserve">The Albanian Coalition for </w:t>
      </w:r>
      <w:proofErr w:type="spellStart"/>
      <w:r w:rsidRPr="003E7E12">
        <w:rPr>
          <w:rFonts w:cstheme="minorHAnsi"/>
          <w:b/>
          <w:bCs/>
        </w:rPr>
        <w:t>Labour</w:t>
      </w:r>
      <w:proofErr w:type="spellEnd"/>
      <w:r w:rsidRPr="003E7E12">
        <w:rPr>
          <w:rFonts w:cstheme="minorHAnsi"/>
          <w:b/>
          <w:bCs/>
        </w:rPr>
        <w:t xml:space="preserve"> Rights</w:t>
      </w:r>
    </w:p>
    <w:p w14:paraId="003454FB" w14:textId="77777777" w:rsidR="007C7266" w:rsidRPr="003E7E12" w:rsidRDefault="007C7266" w:rsidP="00D366EA">
      <w:pPr>
        <w:pStyle w:val="ListParagraph"/>
        <w:numPr>
          <w:ilvl w:val="0"/>
          <w:numId w:val="11"/>
        </w:numPr>
        <w:spacing w:after="0" w:line="240" w:lineRule="auto"/>
        <w:rPr>
          <w:rStyle w:val="Hyperlink"/>
          <w:rFonts w:cstheme="minorHAnsi"/>
        </w:rPr>
      </w:pPr>
      <w:r w:rsidRPr="003E7E12">
        <w:rPr>
          <w:rFonts w:cstheme="minorHAnsi"/>
        </w:rPr>
        <w:t xml:space="preserve">Centre for </w:t>
      </w:r>
      <w:proofErr w:type="spellStart"/>
      <w:r w:rsidRPr="003E7E12">
        <w:rPr>
          <w:rFonts w:cstheme="minorHAnsi"/>
        </w:rPr>
        <w:t>Labour</w:t>
      </w:r>
      <w:proofErr w:type="spellEnd"/>
      <w:r w:rsidRPr="003E7E12">
        <w:rPr>
          <w:rFonts w:cstheme="minorHAnsi"/>
        </w:rPr>
        <w:t xml:space="preserve"> Rights (CLR) - </w:t>
      </w:r>
      <w:hyperlink r:id="rId37" w:history="1">
        <w:r w:rsidRPr="003E7E12">
          <w:rPr>
            <w:rStyle w:val="Hyperlink"/>
            <w:rFonts w:cstheme="minorHAnsi"/>
          </w:rPr>
          <w:t>https://clr.al/</w:t>
        </w:r>
      </w:hyperlink>
    </w:p>
    <w:p w14:paraId="317EA984" w14:textId="77777777" w:rsidR="007C7266" w:rsidRPr="003E7E12" w:rsidRDefault="007C7266" w:rsidP="00D366EA">
      <w:pPr>
        <w:pStyle w:val="ListParagraph"/>
        <w:numPr>
          <w:ilvl w:val="0"/>
          <w:numId w:val="11"/>
        </w:numPr>
        <w:spacing w:after="0" w:line="240" w:lineRule="auto"/>
        <w:rPr>
          <w:rStyle w:val="Hyperlink"/>
          <w:rFonts w:cstheme="minorHAnsi"/>
        </w:rPr>
      </w:pPr>
      <w:r w:rsidRPr="003E7E12">
        <w:rPr>
          <w:rFonts w:cstheme="minorHAnsi"/>
        </w:rPr>
        <w:t xml:space="preserve">Gender Alliance for Development Center (GADC) - </w:t>
      </w:r>
      <w:hyperlink r:id="rId38" w:history="1">
        <w:r w:rsidRPr="003E7E12">
          <w:rPr>
            <w:rStyle w:val="Hyperlink"/>
            <w:rFonts w:cstheme="minorHAnsi"/>
          </w:rPr>
          <w:t>https://gadc.org.al/</w:t>
        </w:r>
      </w:hyperlink>
    </w:p>
    <w:p w14:paraId="6C560E92" w14:textId="77777777" w:rsidR="007C7266" w:rsidRPr="003E7E12" w:rsidRDefault="007C7266" w:rsidP="00D366EA">
      <w:pPr>
        <w:pStyle w:val="ListParagraph"/>
        <w:numPr>
          <w:ilvl w:val="0"/>
          <w:numId w:val="11"/>
        </w:numPr>
        <w:spacing w:after="0" w:line="240" w:lineRule="auto"/>
        <w:rPr>
          <w:rFonts w:cstheme="minorHAnsi"/>
        </w:rPr>
      </w:pPr>
      <w:r w:rsidRPr="003E7E12">
        <w:rPr>
          <w:rFonts w:cstheme="minorHAnsi"/>
        </w:rPr>
        <w:t xml:space="preserve">National Union of Call-Centre Operators (SKOT) - </w:t>
      </w:r>
      <w:hyperlink r:id="rId39" w:history="1">
        <w:r w:rsidRPr="003E7E12">
          <w:rPr>
            <w:rStyle w:val="Hyperlink"/>
            <w:rFonts w:cstheme="minorHAnsi"/>
          </w:rPr>
          <w:t>https://skot.al/</w:t>
        </w:r>
      </w:hyperlink>
      <w:r w:rsidRPr="003E7E12">
        <w:rPr>
          <w:rFonts w:cstheme="minorHAnsi"/>
        </w:rPr>
        <w:t xml:space="preserve"> </w:t>
      </w:r>
    </w:p>
    <w:p w14:paraId="190BA299" w14:textId="260473F8" w:rsidR="007C7266" w:rsidRPr="003E7E12" w:rsidRDefault="007C7266" w:rsidP="00D366EA">
      <w:pPr>
        <w:pStyle w:val="ListParagraph"/>
        <w:numPr>
          <w:ilvl w:val="0"/>
          <w:numId w:val="11"/>
        </w:numPr>
        <w:spacing w:after="0" w:line="240" w:lineRule="auto"/>
        <w:rPr>
          <w:rStyle w:val="Hyperlink"/>
          <w:rFonts w:cstheme="minorHAnsi"/>
        </w:rPr>
      </w:pPr>
      <w:r w:rsidRPr="003E7E12">
        <w:rPr>
          <w:rFonts w:cstheme="minorHAnsi"/>
        </w:rPr>
        <w:t xml:space="preserve">Union of Health Sector employees (SPSHSH)- </w:t>
      </w:r>
      <w:hyperlink r:id="rId40" w:history="1">
        <w:r w:rsidRPr="003E7E12">
          <w:rPr>
            <w:rStyle w:val="Hyperlink"/>
            <w:rFonts w:cstheme="minorHAnsi"/>
          </w:rPr>
          <w:t>https://www.facebook.com/profile.php?id=100069563514765</w:t>
        </w:r>
      </w:hyperlink>
      <w:r w:rsidRPr="003E7E12">
        <w:rPr>
          <w:rStyle w:val="Hyperlink"/>
          <w:rFonts w:cstheme="minorHAnsi"/>
        </w:rPr>
        <w:t xml:space="preserve"> </w:t>
      </w:r>
    </w:p>
    <w:p w14:paraId="75696693" w14:textId="77777777" w:rsidR="007C7266" w:rsidRPr="003E7E12" w:rsidRDefault="007C7266" w:rsidP="00D366EA">
      <w:pPr>
        <w:pStyle w:val="ListParagraph"/>
        <w:numPr>
          <w:ilvl w:val="0"/>
          <w:numId w:val="11"/>
        </w:numPr>
        <w:spacing w:after="0" w:line="240" w:lineRule="auto"/>
        <w:jc w:val="both"/>
        <w:rPr>
          <w:rFonts w:cstheme="minorHAnsi"/>
        </w:rPr>
      </w:pPr>
      <w:r w:rsidRPr="003E7E12">
        <w:rPr>
          <w:rFonts w:cstheme="minorHAnsi"/>
        </w:rPr>
        <w:t xml:space="preserve">Organization "Social Justice" - </w:t>
      </w:r>
      <w:hyperlink r:id="rId41" w:history="1">
        <w:r w:rsidRPr="003E7E12">
          <w:rPr>
            <w:rStyle w:val="Hyperlink"/>
            <w:rFonts w:cstheme="minorHAnsi"/>
          </w:rPr>
          <w:t>https://drejtesisociale.al/</w:t>
        </w:r>
      </w:hyperlink>
      <w:r w:rsidRPr="003E7E12">
        <w:rPr>
          <w:rFonts w:cstheme="minorHAnsi"/>
        </w:rPr>
        <w:t xml:space="preserve"> </w:t>
      </w:r>
    </w:p>
    <w:p w14:paraId="7D9D1029" w14:textId="5FA46045" w:rsidR="007C7266" w:rsidRPr="003E7E12" w:rsidRDefault="007C7266" w:rsidP="00D366EA">
      <w:pPr>
        <w:pStyle w:val="ListParagraph"/>
        <w:numPr>
          <w:ilvl w:val="0"/>
          <w:numId w:val="11"/>
        </w:numPr>
        <w:spacing w:after="0" w:line="240" w:lineRule="auto"/>
        <w:jc w:val="both"/>
        <w:rPr>
          <w:rFonts w:cstheme="minorHAnsi"/>
        </w:rPr>
      </w:pPr>
      <w:r w:rsidRPr="003E7E12">
        <w:rPr>
          <w:rFonts w:cstheme="minorHAnsi"/>
        </w:rPr>
        <w:t xml:space="preserve">Egyptian, and Roma Youth Movement (LRER) - </w:t>
      </w:r>
      <w:hyperlink r:id="rId42" w:history="1">
        <w:r w:rsidRPr="003E7E12">
          <w:rPr>
            <w:rStyle w:val="Hyperlink"/>
            <w:rFonts w:cstheme="minorHAnsi"/>
          </w:rPr>
          <w:t>https://lrer.org/</w:t>
        </w:r>
      </w:hyperlink>
      <w:r w:rsidRPr="003E7E12">
        <w:rPr>
          <w:rFonts w:cstheme="minorHAnsi"/>
        </w:rPr>
        <w:t xml:space="preserve">  </w:t>
      </w:r>
    </w:p>
    <w:p w14:paraId="1A1CABC1" w14:textId="77777777" w:rsidR="00363907" w:rsidRPr="003E7E12" w:rsidRDefault="00363907" w:rsidP="00D366EA">
      <w:pPr>
        <w:spacing w:after="0" w:line="240" w:lineRule="auto"/>
        <w:contextualSpacing/>
        <w:jc w:val="both"/>
        <w:rPr>
          <w:rFonts w:cstheme="minorHAnsi"/>
          <w:b/>
          <w:bCs/>
          <w:i/>
          <w:iCs/>
        </w:rPr>
      </w:pPr>
    </w:p>
    <w:p w14:paraId="154A3E77" w14:textId="54638AFB" w:rsidR="00363907" w:rsidRPr="003E7E12" w:rsidRDefault="00363907" w:rsidP="00D366EA">
      <w:pPr>
        <w:spacing w:after="0" w:line="240" w:lineRule="auto"/>
        <w:contextualSpacing/>
        <w:jc w:val="both"/>
        <w:rPr>
          <w:rFonts w:cstheme="minorHAnsi"/>
          <w:b/>
          <w:bCs/>
          <w:i/>
          <w:iCs/>
        </w:rPr>
      </w:pPr>
      <w:r w:rsidRPr="003E7E12">
        <w:rPr>
          <w:rFonts w:cstheme="minorHAnsi"/>
          <w:b/>
          <w:bCs/>
          <w:i/>
          <w:iCs/>
        </w:rPr>
        <w:t>Contact details:</w:t>
      </w:r>
    </w:p>
    <w:p w14:paraId="2DC8DBDB" w14:textId="190682E2" w:rsidR="00363907" w:rsidRPr="003E7E12" w:rsidRDefault="00363907" w:rsidP="00D366EA">
      <w:pPr>
        <w:spacing w:after="0" w:line="240" w:lineRule="auto"/>
        <w:contextualSpacing/>
        <w:jc w:val="both"/>
        <w:rPr>
          <w:rFonts w:cstheme="minorHAnsi"/>
          <w:b/>
          <w:bCs/>
          <w:i/>
          <w:iCs/>
        </w:rPr>
      </w:pPr>
      <w:r w:rsidRPr="003E7E12">
        <w:rPr>
          <w:rFonts w:cstheme="minorHAnsi"/>
          <w:b/>
          <w:bCs/>
          <w:i/>
          <w:iCs/>
        </w:rPr>
        <w:t>Mirela Arqimandriti</w:t>
      </w:r>
    </w:p>
    <w:p w14:paraId="56F19B34" w14:textId="1F0F9CAB" w:rsidR="00363907" w:rsidRPr="003E7E12" w:rsidRDefault="00363907" w:rsidP="00D366EA">
      <w:pPr>
        <w:spacing w:after="0" w:line="240" w:lineRule="auto"/>
        <w:contextualSpacing/>
        <w:jc w:val="both"/>
        <w:rPr>
          <w:rFonts w:cstheme="minorHAnsi"/>
          <w:b/>
          <w:bCs/>
          <w:i/>
          <w:iCs/>
        </w:rPr>
      </w:pPr>
      <w:r w:rsidRPr="003E7E12">
        <w:rPr>
          <w:rFonts w:cstheme="minorHAnsi"/>
          <w:b/>
          <w:bCs/>
          <w:i/>
          <w:iCs/>
        </w:rPr>
        <w:t>Executive Director</w:t>
      </w:r>
    </w:p>
    <w:p w14:paraId="79057D43" w14:textId="1B2712EF" w:rsidR="00363907" w:rsidRPr="003E7E12" w:rsidRDefault="00363907" w:rsidP="00D366EA">
      <w:pPr>
        <w:spacing w:after="0" w:line="240" w:lineRule="auto"/>
        <w:contextualSpacing/>
        <w:jc w:val="both"/>
        <w:rPr>
          <w:rFonts w:cstheme="minorHAnsi"/>
          <w:b/>
          <w:bCs/>
          <w:i/>
          <w:iCs/>
        </w:rPr>
      </w:pPr>
      <w:r w:rsidRPr="003E7E12">
        <w:rPr>
          <w:rFonts w:cstheme="minorHAnsi"/>
          <w:b/>
          <w:bCs/>
          <w:i/>
          <w:iCs/>
        </w:rPr>
        <w:t>Gender Alliance for Development Center</w:t>
      </w:r>
    </w:p>
    <w:p w14:paraId="4F15EC17" w14:textId="4A5FAEA0" w:rsidR="00D366EA" w:rsidRPr="003E7E12" w:rsidRDefault="00D366EA" w:rsidP="00D366EA">
      <w:pPr>
        <w:pStyle w:val="NormalWeb"/>
        <w:spacing w:before="0" w:beforeAutospacing="0" w:after="0" w:afterAutospacing="0"/>
        <w:contextualSpacing/>
        <w:rPr>
          <w:rFonts w:asciiTheme="minorHAnsi" w:hAnsiTheme="minorHAnsi" w:cstheme="minorHAnsi"/>
          <w:sz w:val="22"/>
          <w:szCs w:val="22"/>
        </w:rPr>
      </w:pPr>
      <w:r w:rsidRPr="003E7E12">
        <w:rPr>
          <w:rFonts w:asciiTheme="minorHAnsi" w:hAnsiTheme="minorHAnsi" w:cstheme="minorHAnsi"/>
          <w:color w:val="000000"/>
          <w:sz w:val="22"/>
          <w:szCs w:val="22"/>
        </w:rPr>
        <w:t xml:space="preserve">Web page: </w:t>
      </w:r>
      <w:hyperlink r:id="rId43" w:tgtFrame="_blank" w:history="1">
        <w:r w:rsidRPr="003E7E12">
          <w:rPr>
            <w:rStyle w:val="Hyperlink"/>
            <w:rFonts w:asciiTheme="minorHAnsi" w:hAnsiTheme="minorHAnsi" w:cstheme="minorHAnsi"/>
            <w:b/>
            <w:bCs/>
            <w:sz w:val="22"/>
            <w:szCs w:val="22"/>
          </w:rPr>
          <w:t>www.gadc.org.al</w:t>
        </w:r>
      </w:hyperlink>
    </w:p>
    <w:p w14:paraId="4C7C77BE" w14:textId="77777777" w:rsidR="00D366EA" w:rsidRPr="003E7E12" w:rsidRDefault="00D366EA" w:rsidP="00D366EA">
      <w:pPr>
        <w:pStyle w:val="NormalWeb"/>
        <w:spacing w:before="0" w:beforeAutospacing="0" w:after="0" w:afterAutospacing="0"/>
        <w:contextualSpacing/>
        <w:rPr>
          <w:rFonts w:asciiTheme="minorHAnsi" w:hAnsiTheme="minorHAnsi" w:cstheme="minorHAnsi"/>
          <w:color w:val="000000"/>
          <w:sz w:val="22"/>
          <w:szCs w:val="22"/>
        </w:rPr>
      </w:pPr>
      <w:r w:rsidRPr="003E7E12">
        <w:rPr>
          <w:rFonts w:asciiTheme="minorHAnsi" w:hAnsiTheme="minorHAnsi" w:cstheme="minorHAnsi"/>
          <w:color w:val="000000"/>
          <w:sz w:val="22"/>
          <w:szCs w:val="22"/>
        </w:rPr>
        <w:lastRenderedPageBreak/>
        <w:t>Mob: +355682059301                               </w:t>
      </w:r>
    </w:p>
    <w:p w14:paraId="170F1576" w14:textId="71337304" w:rsidR="00D366EA" w:rsidRPr="003E7E12" w:rsidRDefault="00D366EA" w:rsidP="00D366EA">
      <w:pPr>
        <w:pStyle w:val="NormalWeb"/>
        <w:spacing w:before="0" w:beforeAutospacing="0" w:after="0" w:afterAutospacing="0"/>
        <w:contextualSpacing/>
        <w:rPr>
          <w:rFonts w:asciiTheme="minorHAnsi" w:hAnsiTheme="minorHAnsi" w:cstheme="minorHAnsi"/>
          <w:sz w:val="22"/>
          <w:szCs w:val="22"/>
        </w:rPr>
      </w:pPr>
      <w:r w:rsidRPr="003E7E12">
        <w:rPr>
          <w:rFonts w:asciiTheme="minorHAnsi" w:hAnsiTheme="minorHAnsi" w:cstheme="minorHAnsi"/>
          <w:color w:val="000000"/>
          <w:sz w:val="22"/>
          <w:szCs w:val="22"/>
        </w:rPr>
        <w:t xml:space="preserve">Address: </w:t>
      </w:r>
      <w:r w:rsidRPr="003E7E12">
        <w:rPr>
          <w:rFonts w:asciiTheme="minorHAnsi" w:hAnsiTheme="minorHAnsi" w:cstheme="minorHAnsi"/>
          <w:color w:val="000000"/>
          <w:sz w:val="22"/>
          <w:szCs w:val="22"/>
        </w:rPr>
        <w:t>Rr."</w:t>
      </w:r>
      <w:proofErr w:type="spellStart"/>
      <w:r w:rsidRPr="003E7E12">
        <w:rPr>
          <w:rFonts w:asciiTheme="minorHAnsi" w:hAnsiTheme="minorHAnsi" w:cstheme="minorHAnsi"/>
          <w:color w:val="000000"/>
          <w:sz w:val="22"/>
          <w:szCs w:val="22"/>
        </w:rPr>
        <w:t>Abdyl</w:t>
      </w:r>
      <w:proofErr w:type="spellEnd"/>
      <w:r w:rsidRPr="003E7E12">
        <w:rPr>
          <w:rFonts w:asciiTheme="minorHAnsi" w:hAnsiTheme="minorHAnsi" w:cstheme="minorHAnsi"/>
          <w:color w:val="000000"/>
          <w:sz w:val="22"/>
          <w:szCs w:val="22"/>
        </w:rPr>
        <w:t xml:space="preserve"> </w:t>
      </w:r>
      <w:proofErr w:type="spellStart"/>
      <w:r w:rsidRPr="003E7E12">
        <w:rPr>
          <w:rFonts w:asciiTheme="minorHAnsi" w:hAnsiTheme="minorHAnsi" w:cstheme="minorHAnsi"/>
          <w:color w:val="000000"/>
          <w:sz w:val="22"/>
          <w:szCs w:val="22"/>
        </w:rPr>
        <w:t>Frasheri</w:t>
      </w:r>
      <w:proofErr w:type="spellEnd"/>
      <w:r w:rsidRPr="003E7E12">
        <w:rPr>
          <w:rFonts w:asciiTheme="minorHAnsi" w:hAnsiTheme="minorHAnsi" w:cstheme="minorHAnsi"/>
          <w:color w:val="000000"/>
          <w:sz w:val="22"/>
          <w:szCs w:val="22"/>
        </w:rPr>
        <w:t>”, P.10/1, Tirana, Albania │P.O. Box 2418</w:t>
      </w:r>
    </w:p>
    <w:p w14:paraId="5FAC1CC7" w14:textId="7A0DB1ED" w:rsidR="00D366EA" w:rsidRPr="003E7E12" w:rsidRDefault="00D366EA" w:rsidP="00D366EA">
      <w:pPr>
        <w:pStyle w:val="NormalWeb"/>
        <w:spacing w:before="0" w:beforeAutospacing="0" w:after="0" w:afterAutospacing="0"/>
        <w:contextualSpacing/>
        <w:rPr>
          <w:rFonts w:asciiTheme="minorHAnsi" w:hAnsiTheme="minorHAnsi" w:cstheme="minorHAnsi"/>
          <w:sz w:val="22"/>
          <w:szCs w:val="22"/>
        </w:rPr>
      </w:pPr>
      <w:r w:rsidRPr="003E7E12">
        <w:rPr>
          <w:rFonts w:asciiTheme="minorHAnsi" w:hAnsiTheme="minorHAnsi" w:cstheme="minorHAnsi"/>
          <w:color w:val="000000"/>
          <w:sz w:val="22"/>
          <w:szCs w:val="22"/>
        </w:rPr>
        <w:t xml:space="preserve">E-mail: </w:t>
      </w:r>
      <w:hyperlink r:id="rId44" w:tgtFrame="_blank" w:history="1">
        <w:r w:rsidRPr="003E7E12">
          <w:rPr>
            <w:rStyle w:val="Hyperlink"/>
            <w:rFonts w:asciiTheme="minorHAnsi" w:hAnsiTheme="minorHAnsi" w:cstheme="minorHAnsi"/>
            <w:sz w:val="22"/>
            <w:szCs w:val="22"/>
            <w:lang w:val="de-DE"/>
          </w:rPr>
          <w:t>marqimandriti@gadc.org.al</w:t>
        </w:r>
      </w:hyperlink>
      <w:r w:rsidRPr="003E7E12">
        <w:rPr>
          <w:rFonts w:asciiTheme="minorHAnsi" w:hAnsiTheme="minorHAnsi" w:cstheme="minorHAnsi"/>
          <w:color w:val="000000"/>
          <w:sz w:val="22"/>
          <w:szCs w:val="22"/>
          <w:lang w:val="de-DE"/>
        </w:rPr>
        <w:t xml:space="preserve">          </w:t>
      </w:r>
    </w:p>
    <w:p w14:paraId="798E3B95" w14:textId="77777777" w:rsidR="00D366EA" w:rsidRPr="003E7E12" w:rsidRDefault="00D366EA" w:rsidP="00D366EA">
      <w:pPr>
        <w:spacing w:after="0" w:line="240" w:lineRule="auto"/>
        <w:contextualSpacing/>
        <w:jc w:val="both"/>
        <w:rPr>
          <w:rFonts w:cstheme="minorHAnsi"/>
          <w:b/>
          <w:bCs/>
          <w:i/>
          <w:iCs/>
        </w:rPr>
      </w:pPr>
    </w:p>
    <w:p w14:paraId="372766BC" w14:textId="77777777" w:rsidR="007C7266" w:rsidRPr="003E7E12" w:rsidRDefault="007C7266" w:rsidP="00D366EA">
      <w:pPr>
        <w:spacing w:after="0" w:line="240" w:lineRule="auto"/>
        <w:contextualSpacing/>
        <w:rPr>
          <w:rFonts w:cstheme="minorHAnsi"/>
        </w:rPr>
      </w:pPr>
    </w:p>
    <w:sectPr w:rsidR="007C7266" w:rsidRPr="003E7E12" w:rsidSect="00F77105">
      <w:headerReference w:type="default" r:id="rId45"/>
      <w:footerReference w:type="default" r:id="rId46"/>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7C3E3" w14:textId="77777777" w:rsidR="008C32E0" w:rsidRDefault="008C32E0" w:rsidP="00090AA5">
      <w:pPr>
        <w:spacing w:after="0" w:line="240" w:lineRule="auto"/>
      </w:pPr>
      <w:r>
        <w:separator/>
      </w:r>
    </w:p>
  </w:endnote>
  <w:endnote w:type="continuationSeparator" w:id="0">
    <w:p w14:paraId="1005A569" w14:textId="77777777" w:rsidR="008C32E0" w:rsidRDefault="008C32E0" w:rsidP="00090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511936"/>
      <w:docPartObj>
        <w:docPartGallery w:val="Page Numbers (Bottom of Page)"/>
        <w:docPartUnique/>
      </w:docPartObj>
    </w:sdtPr>
    <w:sdtEndPr>
      <w:rPr>
        <w:noProof/>
      </w:rPr>
    </w:sdtEndPr>
    <w:sdtContent>
      <w:p w14:paraId="70C8C4D2" w14:textId="17224773" w:rsidR="003E7E12" w:rsidRDefault="003E7E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54C14C" w14:textId="77777777" w:rsidR="003E7E12" w:rsidRDefault="003E7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A253F" w14:textId="77777777" w:rsidR="008C32E0" w:rsidRDefault="008C32E0" w:rsidP="00090AA5">
      <w:pPr>
        <w:spacing w:after="0" w:line="240" w:lineRule="auto"/>
      </w:pPr>
      <w:r>
        <w:separator/>
      </w:r>
    </w:p>
  </w:footnote>
  <w:footnote w:type="continuationSeparator" w:id="0">
    <w:p w14:paraId="178BE0B1" w14:textId="77777777" w:rsidR="008C32E0" w:rsidRDefault="008C32E0" w:rsidP="00090AA5">
      <w:pPr>
        <w:spacing w:after="0" w:line="240" w:lineRule="auto"/>
      </w:pPr>
      <w:r>
        <w:continuationSeparator/>
      </w:r>
    </w:p>
  </w:footnote>
  <w:footnote w:id="1">
    <w:p w14:paraId="6C571235" w14:textId="77777777" w:rsidR="00090AA5" w:rsidRDefault="00090AA5" w:rsidP="00090AA5">
      <w:pPr>
        <w:pStyle w:val="FootnoteText"/>
      </w:pPr>
      <w:r>
        <w:rPr>
          <w:rStyle w:val="FootnoteReference"/>
        </w:rPr>
        <w:footnoteRef/>
      </w:r>
      <w:r>
        <w:t xml:space="preserve"> Official website: </w:t>
      </w:r>
      <w:hyperlink r:id="rId1" w:history="1">
        <w:r w:rsidRPr="0058046C">
          <w:rPr>
            <w:rStyle w:val="Hyperlink"/>
          </w:rPr>
          <w:t>https://clr.al/</w:t>
        </w:r>
      </w:hyperlink>
      <w:r>
        <w:t xml:space="preserve"> </w:t>
      </w:r>
    </w:p>
  </w:footnote>
  <w:footnote w:id="2">
    <w:p w14:paraId="63626DBE" w14:textId="77777777" w:rsidR="00090AA5" w:rsidRDefault="00090AA5" w:rsidP="00090AA5">
      <w:pPr>
        <w:pStyle w:val="FootnoteText"/>
      </w:pPr>
      <w:r>
        <w:rPr>
          <w:rStyle w:val="FootnoteReference"/>
        </w:rPr>
        <w:footnoteRef/>
      </w:r>
      <w:r>
        <w:t xml:space="preserve"> Official website: </w:t>
      </w:r>
      <w:hyperlink r:id="rId2" w:history="1">
        <w:r w:rsidRPr="0058046C">
          <w:rPr>
            <w:rStyle w:val="Hyperlink"/>
          </w:rPr>
          <w:t>https://gadc.org.al/</w:t>
        </w:r>
      </w:hyperlink>
      <w:r>
        <w:t xml:space="preserve"> </w:t>
      </w:r>
    </w:p>
  </w:footnote>
  <w:footnote w:id="3">
    <w:p w14:paraId="521900D7" w14:textId="77777777" w:rsidR="00090AA5" w:rsidRDefault="00090AA5" w:rsidP="00090AA5">
      <w:pPr>
        <w:pStyle w:val="FootnoteText"/>
      </w:pPr>
      <w:r>
        <w:rPr>
          <w:rStyle w:val="FootnoteReference"/>
        </w:rPr>
        <w:footnoteRef/>
      </w:r>
      <w:r>
        <w:t xml:space="preserve"> Official website: </w:t>
      </w:r>
      <w:hyperlink r:id="rId3" w:history="1">
        <w:r w:rsidRPr="0058046C">
          <w:rPr>
            <w:rStyle w:val="Hyperlink"/>
          </w:rPr>
          <w:t>https://skot.al/</w:t>
        </w:r>
      </w:hyperlink>
      <w:r>
        <w:t xml:space="preserve"> </w:t>
      </w:r>
    </w:p>
  </w:footnote>
  <w:footnote w:id="4">
    <w:p w14:paraId="24422ABF" w14:textId="77777777" w:rsidR="00090AA5" w:rsidRDefault="00090AA5" w:rsidP="00090AA5">
      <w:pPr>
        <w:pStyle w:val="FootnoteText"/>
      </w:pPr>
      <w:r>
        <w:rPr>
          <w:rStyle w:val="FootnoteReference"/>
        </w:rPr>
        <w:footnoteRef/>
      </w:r>
      <w:r>
        <w:t xml:space="preserve"> Official Facebook page: </w:t>
      </w:r>
      <w:hyperlink r:id="rId4" w:history="1">
        <w:r w:rsidRPr="0058046C">
          <w:rPr>
            <w:rStyle w:val="Hyperlink"/>
          </w:rPr>
          <w:t>https://www.facebook.com/profile.php?id=100069563514765</w:t>
        </w:r>
      </w:hyperlink>
      <w:r>
        <w:t xml:space="preserve"> </w:t>
      </w:r>
    </w:p>
  </w:footnote>
  <w:footnote w:id="5">
    <w:p w14:paraId="196EB7C8" w14:textId="77777777" w:rsidR="00090AA5" w:rsidRDefault="00090AA5" w:rsidP="00090AA5">
      <w:pPr>
        <w:pStyle w:val="FootnoteText"/>
      </w:pPr>
      <w:r>
        <w:rPr>
          <w:rStyle w:val="FootnoteReference"/>
        </w:rPr>
        <w:footnoteRef/>
      </w:r>
      <w:r>
        <w:t xml:space="preserve"> Official website: </w:t>
      </w:r>
      <w:hyperlink r:id="rId5" w:history="1">
        <w:r w:rsidRPr="0058046C">
          <w:rPr>
            <w:rStyle w:val="Hyperlink"/>
          </w:rPr>
          <w:t>https://drejtesisociale.al/</w:t>
        </w:r>
      </w:hyperlink>
      <w:r>
        <w:t xml:space="preserve"> </w:t>
      </w:r>
    </w:p>
  </w:footnote>
  <w:footnote w:id="6">
    <w:p w14:paraId="478D37B1" w14:textId="77777777" w:rsidR="00090AA5" w:rsidRDefault="00090AA5" w:rsidP="00090AA5">
      <w:pPr>
        <w:pStyle w:val="FootnoteText"/>
      </w:pPr>
      <w:r>
        <w:rPr>
          <w:rStyle w:val="FootnoteReference"/>
        </w:rPr>
        <w:footnoteRef/>
      </w:r>
      <w:r>
        <w:t xml:space="preserve"> Official website: </w:t>
      </w:r>
      <w:hyperlink r:id="rId6" w:history="1">
        <w:r w:rsidRPr="0058046C">
          <w:rPr>
            <w:rStyle w:val="Hyperlink"/>
          </w:rPr>
          <w:t>https://lrer.org/</w:t>
        </w:r>
      </w:hyperlink>
      <w:r>
        <w:t xml:space="preserve"> </w:t>
      </w:r>
    </w:p>
  </w:footnote>
  <w:footnote w:id="7">
    <w:p w14:paraId="5E8C44C8" w14:textId="29B83814" w:rsidR="005A4032" w:rsidRDefault="005A4032">
      <w:pPr>
        <w:pStyle w:val="FootnoteText"/>
      </w:pPr>
      <w:r>
        <w:rPr>
          <w:rStyle w:val="FootnoteReference"/>
        </w:rPr>
        <w:footnoteRef/>
      </w:r>
      <w:r>
        <w:t xml:space="preserve"> Albanian </w:t>
      </w:r>
      <w:r>
        <w:t xml:space="preserve">Labour Market_Instat Report: </w:t>
      </w:r>
      <w:hyperlink r:id="rId7" w:history="1">
        <w:r w:rsidRPr="0058046C">
          <w:rPr>
            <w:rStyle w:val="Hyperlink"/>
          </w:rPr>
          <w:t>https://www.instat.gov.al/media/11851/tregu-i-punes-2022.pdf</w:t>
        </w:r>
      </w:hyperlink>
    </w:p>
  </w:footnote>
  <w:footnote w:id="8">
    <w:p w14:paraId="3812FA70" w14:textId="5B0B8811" w:rsidR="0037575D" w:rsidRDefault="0037575D">
      <w:pPr>
        <w:pStyle w:val="FootnoteText"/>
      </w:pPr>
      <w:r>
        <w:rPr>
          <w:rStyle w:val="FootnoteReference"/>
        </w:rPr>
        <w:footnoteRef/>
      </w:r>
      <w:r>
        <w:t xml:space="preserve"> Albanian </w:t>
      </w:r>
      <w:r w:rsidRPr="00E36F0C">
        <w:t xml:space="preserve">National Skills and Employment Strategy </w:t>
      </w:r>
      <w:r>
        <w:t xml:space="preserve"> </w:t>
      </w:r>
      <w:hyperlink r:id="rId8" w:history="1">
        <w:r w:rsidR="00B930F9" w:rsidRPr="0058046C">
          <w:rPr>
            <w:rStyle w:val="Hyperlink"/>
          </w:rPr>
          <w:t>https://konsultimipublik.gov.al/Konsultime/GeneratePDF/561</w:t>
        </w:r>
      </w:hyperlink>
      <w:r w:rsidR="00B930F9">
        <w:t xml:space="preserve"> </w:t>
      </w:r>
    </w:p>
  </w:footnote>
  <w:footnote w:id="9">
    <w:p w14:paraId="29AEF91D" w14:textId="510A1AC6" w:rsidR="003820B4" w:rsidRDefault="003820B4">
      <w:pPr>
        <w:pStyle w:val="FootnoteText"/>
      </w:pPr>
      <w:r>
        <w:rPr>
          <w:rStyle w:val="FootnoteReference"/>
        </w:rPr>
        <w:footnoteRef/>
      </w:r>
      <w:r>
        <w:t xml:space="preserve"> </w:t>
      </w:r>
      <w:r w:rsidRPr="00E36F0C">
        <w:t>Business Registers</w:t>
      </w:r>
      <w:r>
        <w:t xml:space="preserve">: </w:t>
      </w:r>
      <w:bookmarkStart w:id="0" w:name="_Hlk144999843"/>
      <w:r w:rsidR="004949CC">
        <w:fldChar w:fldCharType="begin"/>
      </w:r>
      <w:r w:rsidR="004949CC">
        <w:instrText xml:space="preserve"> HYPERLINK "https://www.instat.gov.al/media/10065/regjistrat-e-biznesit-2021.pdf" </w:instrText>
      </w:r>
      <w:r w:rsidR="004949CC">
        <w:fldChar w:fldCharType="separate"/>
      </w:r>
      <w:r w:rsidRPr="0058046C">
        <w:rPr>
          <w:rStyle w:val="Hyperlink"/>
        </w:rPr>
        <w:t>https://www.instat.gov.al/media/10065/regjistrat-e-biznesit-2021.pdf</w:t>
      </w:r>
      <w:r w:rsidR="004949CC">
        <w:rPr>
          <w:rStyle w:val="Hyperlink"/>
        </w:rPr>
        <w:fldChar w:fldCharType="end"/>
      </w:r>
    </w:p>
    <w:bookmarkEnd w:id="0"/>
  </w:footnote>
  <w:footnote w:id="10">
    <w:p w14:paraId="19FDCAB1" w14:textId="7ECD3D47" w:rsidR="003820B4" w:rsidRDefault="003820B4">
      <w:pPr>
        <w:pStyle w:val="FootnoteText"/>
      </w:pPr>
      <w:r>
        <w:rPr>
          <w:rStyle w:val="FootnoteReference"/>
        </w:rPr>
        <w:footnoteRef/>
      </w:r>
      <w:r>
        <w:t xml:space="preserve"> IBID</w:t>
      </w:r>
    </w:p>
  </w:footnote>
  <w:footnote w:id="11">
    <w:p w14:paraId="0BD5F3A6" w14:textId="237C330F" w:rsidR="003820B4" w:rsidRDefault="003820B4">
      <w:pPr>
        <w:pStyle w:val="FootnoteText"/>
      </w:pPr>
      <w:r>
        <w:rPr>
          <w:rStyle w:val="FootnoteReference"/>
        </w:rPr>
        <w:footnoteRef/>
      </w:r>
      <w:r>
        <w:t xml:space="preserve"> </w:t>
      </w:r>
      <w:r w:rsidR="00701D0D">
        <w:t xml:space="preserve">Albania </w:t>
      </w:r>
      <w:r w:rsidRPr="00E36F0C">
        <w:t>Business Registers</w:t>
      </w:r>
      <w:r>
        <w:t xml:space="preserve">: </w:t>
      </w:r>
      <w:hyperlink r:id="rId9" w:history="1">
        <w:r w:rsidRPr="0058046C">
          <w:rPr>
            <w:rStyle w:val="Hyperlink"/>
          </w:rPr>
          <w:t>https://www.instat.gov.al/media/10065/regjistrat-e-biznesit-2021.pdf</w:t>
        </w:r>
      </w:hyperlink>
    </w:p>
  </w:footnote>
  <w:footnote w:id="12">
    <w:p w14:paraId="1ADD3AE7" w14:textId="6A29D889" w:rsidR="00701D0D" w:rsidRDefault="00701D0D">
      <w:pPr>
        <w:pStyle w:val="FootnoteText"/>
      </w:pPr>
      <w:r>
        <w:rPr>
          <w:rStyle w:val="FootnoteReference"/>
        </w:rPr>
        <w:footnoteRef/>
      </w:r>
      <w:r>
        <w:t xml:space="preserve"> </w:t>
      </w:r>
      <w:r>
        <w:t xml:space="preserve">Man and Women in Albania: </w:t>
      </w:r>
      <w:hyperlink r:id="rId10" w:history="1">
        <w:r w:rsidRPr="0058046C">
          <w:rPr>
            <w:rStyle w:val="Hyperlink"/>
          </w:rPr>
          <w:t>https://www.instat.gov.al/media/11027/burra-dhe-gra-2022.pdf</w:t>
        </w:r>
      </w:hyperlink>
      <w:r>
        <w:t xml:space="preserve"> </w:t>
      </w:r>
    </w:p>
  </w:footnote>
  <w:footnote w:id="13">
    <w:p w14:paraId="2ECF8DE6" w14:textId="387578A7" w:rsidR="00DF3E48" w:rsidRDefault="00DF3E48">
      <w:pPr>
        <w:pStyle w:val="FootnoteText"/>
      </w:pPr>
      <w:r>
        <w:rPr>
          <w:rStyle w:val="FootnoteReference"/>
        </w:rPr>
        <w:footnoteRef/>
      </w:r>
      <w:r>
        <w:t xml:space="preserve"> </w:t>
      </w:r>
      <w:r>
        <w:rPr>
          <w:rStyle w:val="FootnoteReference"/>
        </w:rPr>
        <w:footnoteRef/>
      </w:r>
      <w:r>
        <w:t xml:space="preserve"> </w:t>
      </w:r>
      <w:r>
        <w:t xml:space="preserve">Labour Code: </w:t>
      </w:r>
      <w:hyperlink r:id="rId11" w:history="1">
        <w:r w:rsidRPr="00980981">
          <w:rPr>
            <w:rStyle w:val="Hyperlink"/>
          </w:rPr>
          <w:t>https://qbz.gov.al/preview/c1c18a6c-5f3e-457d-b931-de505b3c7ed0</w:t>
        </w:r>
      </w:hyperlink>
      <w:r>
        <w:t xml:space="preserve"> </w:t>
      </w:r>
    </w:p>
  </w:footnote>
  <w:footnote w:id="14">
    <w:p w14:paraId="7F1A8BE2" w14:textId="1AA925F6" w:rsidR="001C3183" w:rsidRPr="001C3183" w:rsidRDefault="001C3183">
      <w:pPr>
        <w:pStyle w:val="FootnoteText"/>
        <w:rPr>
          <w:lang w:val="en-GB"/>
        </w:rPr>
      </w:pPr>
      <w:r>
        <w:rPr>
          <w:rStyle w:val="FootnoteReference"/>
        </w:rPr>
        <w:footnoteRef/>
      </w:r>
      <w:r>
        <w:t xml:space="preserve"> </w:t>
      </w:r>
      <w:r>
        <w:rPr>
          <w:lang w:val="en-GB"/>
        </w:rPr>
        <w:t xml:space="preserve">International Labour Organization, </w:t>
      </w:r>
      <w:hyperlink r:id="rId12" w:history="1">
        <w:r w:rsidRPr="00900552">
          <w:rPr>
            <w:rStyle w:val="Hyperlink"/>
            <w:lang w:val="en-GB"/>
          </w:rPr>
          <w:t>https://www.ilo.org/wcmsp5/groups/public/---</w:t>
        </w:r>
        <w:r w:rsidRPr="00900552">
          <w:rPr>
            <w:rStyle w:val="Hyperlink"/>
            <w:lang w:val="en-GB"/>
          </w:rPr>
          <w:t>europe/---ro-geneva/---sro-budapest/documents/publication/wcms_689355.pdf</w:t>
        </w:r>
      </w:hyperlink>
      <w:r>
        <w:rPr>
          <w:lang w:val="en-GB"/>
        </w:rPr>
        <w:t xml:space="preserve"> </w:t>
      </w:r>
    </w:p>
  </w:footnote>
  <w:footnote w:id="15">
    <w:p w14:paraId="367624F9" w14:textId="7A751959" w:rsidR="00AF4D93" w:rsidRPr="00AF4D93" w:rsidRDefault="00AF4D93">
      <w:pPr>
        <w:pStyle w:val="FootnoteText"/>
        <w:rPr>
          <w:lang w:val="en-GB"/>
        </w:rPr>
      </w:pPr>
      <w:r>
        <w:rPr>
          <w:rStyle w:val="FootnoteReference"/>
        </w:rPr>
        <w:footnoteRef/>
      </w:r>
      <w:r>
        <w:t xml:space="preserve"> </w:t>
      </w:r>
      <w:r w:rsidRPr="00AF4D93">
        <w:t xml:space="preserve">Progress Report Albania 2022, </w:t>
      </w:r>
      <w:r w:rsidRPr="00AF4D93">
        <w:t xml:space="preserve">Neighbourhood and Enlargement, EU, pg. 91 </w:t>
      </w:r>
      <w:hyperlink r:id="rId13" w:history="1">
        <w:r w:rsidR="00F712D9" w:rsidRPr="007E01E5">
          <w:rPr>
            <w:rStyle w:val="Hyperlink"/>
          </w:rPr>
          <w:t>https://neighbourhood-enlargement.ec.europa.eu/system/files/2022-10/Albania%20Report%202022.pdf</w:t>
        </w:r>
      </w:hyperlink>
      <w:r w:rsidR="00F712D9">
        <w:t xml:space="preserve"> </w:t>
      </w:r>
    </w:p>
  </w:footnote>
  <w:footnote w:id="16">
    <w:p w14:paraId="6BBAE259" w14:textId="77777777" w:rsidR="00DF3E48" w:rsidRDefault="00DF3E48" w:rsidP="00DF3E48">
      <w:pPr>
        <w:pStyle w:val="FootnoteText"/>
      </w:pPr>
      <w:r>
        <w:rPr>
          <w:rStyle w:val="FootnoteReference"/>
        </w:rPr>
        <w:footnoteRef/>
      </w:r>
      <w:r>
        <w:t xml:space="preserve"> Law on Safety and Health at Workplace: </w:t>
      </w:r>
      <w:hyperlink r:id="rId14" w:history="1">
        <w:r w:rsidRPr="00980981">
          <w:rPr>
            <w:rStyle w:val="Hyperlink"/>
          </w:rPr>
          <w:t>https://www.dpshtrr.al/sites/default/files/downloads/dokumente/Ligji%20Nr.10237%2C%20dat%C3%AB%2018.02.2010%20%E2%80%9CP%C3%ABr%20Sigurin%C3%AB%20dhe%20Sh%C3%ABndetin%20n%C3%AB%20Pun%C3%AB%E2%80%9C.pdf</w:t>
        </w:r>
      </w:hyperlink>
      <w:r>
        <w:t xml:space="preserve"> </w:t>
      </w:r>
    </w:p>
  </w:footnote>
  <w:footnote w:id="17">
    <w:p w14:paraId="7B8A4E5D" w14:textId="77777777" w:rsidR="00DF3E48" w:rsidRDefault="00DF3E48" w:rsidP="00DF3E48">
      <w:pPr>
        <w:pStyle w:val="FootnoteText"/>
      </w:pPr>
      <w:r>
        <w:rPr>
          <w:rStyle w:val="FootnoteReference"/>
        </w:rPr>
        <w:footnoteRef/>
      </w:r>
      <w:r>
        <w:t xml:space="preserve"> Law on Protection from Discrimination: </w:t>
      </w:r>
      <w:hyperlink r:id="rId15" w:history="1">
        <w:r w:rsidRPr="00980981">
          <w:rPr>
            <w:rStyle w:val="Hyperlink"/>
          </w:rPr>
          <w:t>https://www.kmd.al/%C3%ABp-content/uploads/2021/05/2.pdf</w:t>
        </w:r>
      </w:hyperlink>
      <w:r>
        <w:t xml:space="preserve"> </w:t>
      </w:r>
    </w:p>
  </w:footnote>
  <w:footnote w:id="18">
    <w:p w14:paraId="204D774F" w14:textId="195389BD" w:rsidR="00402CF7" w:rsidRDefault="00402CF7">
      <w:pPr>
        <w:pStyle w:val="FootnoteText"/>
      </w:pPr>
      <w:r>
        <w:rPr>
          <w:rStyle w:val="FootnoteReference"/>
        </w:rPr>
        <w:footnoteRef/>
      </w:r>
      <w:r>
        <w:t xml:space="preserve"> </w:t>
      </w:r>
      <w:r>
        <w:t xml:space="preserve">Arqimandriti M/ 2023 Study Report: </w:t>
      </w:r>
      <w:r w:rsidRPr="00402CF7">
        <w:t>Analysis of the situation of employees in the clothing and footwear sector in Albania</w:t>
      </w:r>
    </w:p>
  </w:footnote>
  <w:footnote w:id="19">
    <w:p w14:paraId="306D035F" w14:textId="0FC051F9" w:rsidR="0056596F" w:rsidRPr="0056596F" w:rsidRDefault="0056596F">
      <w:pPr>
        <w:pStyle w:val="FootnoteText"/>
        <w:rPr>
          <w:lang w:val="en-GB"/>
        </w:rPr>
      </w:pPr>
      <w:r>
        <w:rPr>
          <w:rStyle w:val="FootnoteReference"/>
        </w:rPr>
        <w:footnoteRef/>
      </w:r>
      <w:r>
        <w:t xml:space="preserve"> </w:t>
      </w:r>
      <w:r w:rsidR="00F72582">
        <w:rPr>
          <w:lang w:val="en-GB"/>
        </w:rPr>
        <w:t>G</w:t>
      </w:r>
      <w:r>
        <w:rPr>
          <w:lang w:val="en-GB"/>
        </w:rPr>
        <w:t xml:space="preserve">eneral Directory of Prisons Albania, </w:t>
      </w:r>
      <w:hyperlink r:id="rId16" w:history="1">
        <w:r w:rsidRPr="00900552">
          <w:rPr>
            <w:rStyle w:val="Hyperlink"/>
            <w:lang w:val="en-GB"/>
          </w:rPr>
          <w:t>https://dpbsh.gov.al/rezultatet-perfundimtare-te-testimit-te-kandidateve-per-punonjes-te-rolit-te-baze-ne-policine-e-burgjeve/</w:t>
        </w:r>
      </w:hyperlink>
      <w:r>
        <w:rPr>
          <w:lang w:val="en-GB"/>
        </w:rPr>
        <w:t xml:space="preserve"> </w:t>
      </w:r>
    </w:p>
  </w:footnote>
  <w:footnote w:id="20">
    <w:p w14:paraId="12500763" w14:textId="7FD0EB5D" w:rsidR="00884C0C" w:rsidRDefault="00884C0C">
      <w:pPr>
        <w:pStyle w:val="FootnoteText"/>
      </w:pPr>
      <w:r>
        <w:rPr>
          <w:rStyle w:val="FootnoteReference"/>
        </w:rPr>
        <w:footnoteRef/>
      </w:r>
      <w:r>
        <w:t xml:space="preserve"> </w:t>
      </w:r>
      <w:r w:rsidRPr="00884C0C">
        <w:t>Labor market, education and wages</w:t>
      </w:r>
      <w:r>
        <w:t xml:space="preserve">: </w:t>
      </w:r>
      <w:hyperlink r:id="rId17" w:history="1">
        <w:r w:rsidRPr="0058046C">
          <w:rPr>
            <w:rStyle w:val="Hyperlink"/>
          </w:rPr>
          <w:t>https://www.instat.gov.al/al/temat/tregu-i-pun%C3%ABs-dhe-arsimi/pagat/</w:t>
        </w:r>
      </w:hyperlink>
      <w:r>
        <w:t xml:space="preserve"> </w:t>
      </w:r>
    </w:p>
  </w:footnote>
  <w:footnote w:id="21">
    <w:p w14:paraId="5E091398" w14:textId="2548F442" w:rsidR="00884C0C" w:rsidRDefault="00884C0C">
      <w:pPr>
        <w:pStyle w:val="FootnoteText"/>
      </w:pPr>
      <w:r>
        <w:rPr>
          <w:rStyle w:val="FootnoteReference"/>
        </w:rPr>
        <w:footnoteRef/>
      </w:r>
      <w:r>
        <w:t xml:space="preserve"> IBID</w:t>
      </w:r>
    </w:p>
  </w:footnote>
  <w:footnote w:id="22">
    <w:p w14:paraId="70AC1B93" w14:textId="77777777" w:rsidR="009756ED" w:rsidRPr="00B23458" w:rsidRDefault="009756ED" w:rsidP="009756ED">
      <w:pPr>
        <w:pStyle w:val="FootnoteText"/>
        <w:rPr>
          <w:lang w:val="en-GB"/>
        </w:rPr>
      </w:pPr>
      <w:r>
        <w:rPr>
          <w:rStyle w:val="FootnoteReference"/>
        </w:rPr>
        <w:footnoteRef/>
      </w:r>
      <w:r w:rsidRPr="00B23458">
        <w:rPr>
          <w:i/>
          <w:iCs/>
          <w:lang w:val="en-GB"/>
        </w:rPr>
        <w:t xml:space="preserve">Advancing gender equality and the empowerment of all women and girls in Albania, </w:t>
      </w:r>
      <w:r w:rsidRPr="00B23458">
        <w:rPr>
          <w:lang w:val="en-GB"/>
        </w:rPr>
        <w:t>A position paper by the United Nations in Albania</w:t>
      </w:r>
      <w:r>
        <w:rPr>
          <w:lang w:val="en-GB"/>
        </w:rPr>
        <w:t xml:space="preserve">, </w:t>
      </w:r>
      <w:hyperlink r:id="rId18" w:history="1">
        <w:r w:rsidRPr="00B23458">
          <w:rPr>
            <w:rStyle w:val="Hyperlink"/>
            <w:lang w:val="en-GB"/>
          </w:rPr>
          <w:t>https://albania.unwomen.org/sites/default/files/Field%20Office%20Albania/Attachments/Publications/2021/06/UN%20Albania_gender%20equality%20position%20paper_GEEW_final.pdf</w:t>
        </w:r>
      </w:hyperlink>
      <w:r w:rsidRPr="00B23458">
        <w:rPr>
          <w:b/>
          <w:bCs/>
          <w:lang w:val="en-GB"/>
        </w:rPr>
        <w:t xml:space="preserve">  </w:t>
      </w:r>
      <w:r>
        <w:t xml:space="preserve"> </w:t>
      </w:r>
    </w:p>
  </w:footnote>
  <w:footnote w:id="23">
    <w:p w14:paraId="699CCA5A" w14:textId="56B7DBFB" w:rsidR="009F00FC" w:rsidRDefault="009F00FC">
      <w:pPr>
        <w:pStyle w:val="FootnoteText"/>
      </w:pPr>
      <w:r>
        <w:rPr>
          <w:rStyle w:val="FootnoteReference"/>
        </w:rPr>
        <w:footnoteRef/>
      </w:r>
      <w:r>
        <w:t xml:space="preserve"> </w:t>
      </w:r>
      <w:r w:rsidRPr="009F00FC">
        <w:t>Schools of Pre-university Vocational Education</w:t>
      </w:r>
      <w:r>
        <w:t xml:space="preserve">: </w:t>
      </w:r>
      <w:hyperlink r:id="rId19" w:history="1">
        <w:r w:rsidRPr="00BD1A45">
          <w:rPr>
            <w:rStyle w:val="Hyperlink"/>
          </w:rPr>
          <w:t>https://csl.edu.al/wp-content/uploads/2023/05/udhezim-2021-05-27-14.pdf</w:t>
        </w:r>
      </w:hyperlink>
      <w:r>
        <w:t xml:space="preserve"> </w:t>
      </w:r>
    </w:p>
  </w:footnote>
  <w:footnote w:id="24">
    <w:p w14:paraId="78BBF9F4" w14:textId="493B88E4" w:rsidR="009756ED" w:rsidRPr="009756ED" w:rsidRDefault="009756ED">
      <w:pPr>
        <w:pStyle w:val="FootnoteText"/>
        <w:rPr>
          <w:lang w:val="en-GB"/>
        </w:rPr>
      </w:pPr>
      <w:r>
        <w:rPr>
          <w:rStyle w:val="FootnoteReference"/>
        </w:rPr>
        <w:footnoteRef/>
      </w:r>
      <w:r>
        <w:t xml:space="preserve"> Recommendations and conclusions of the Regional Conference on Remote Work in the WB6, </w:t>
      </w:r>
      <w:hyperlink r:id="rId20" w:history="1">
        <w:r w:rsidRPr="0045187D">
          <w:rPr>
            <w:rStyle w:val="Hyperlink"/>
          </w:rPr>
          <w:t>http://clr.al/2022/11/4489/</w:t>
        </w:r>
      </w:hyperlink>
      <w:r>
        <w:rPr>
          <w:rStyle w:val="Hyperlink"/>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773F6" w14:textId="18A9F62C" w:rsidR="00F77105" w:rsidRDefault="00F77105" w:rsidP="00F77105">
    <w:pPr>
      <w:tabs>
        <w:tab w:val="left" w:pos="1795"/>
        <w:tab w:val="left" w:pos="2980"/>
        <w:tab w:val="left" w:pos="4175"/>
        <w:tab w:val="left" w:pos="5483"/>
        <w:tab w:val="left" w:pos="6881"/>
      </w:tabs>
      <w:ind w:left="132" w:right="-450"/>
      <w:rPr>
        <w:sz w:val="20"/>
      </w:rPr>
    </w:pPr>
    <w:r>
      <w:rPr>
        <w:noProof/>
        <w:position w:val="16"/>
        <w:sz w:val="20"/>
      </w:rPr>
      <w:drawing>
        <wp:anchor distT="0" distB="0" distL="114300" distR="114300" simplePos="0" relativeHeight="251658240" behindDoc="0" locked="0" layoutInCell="1" allowOverlap="1" wp14:anchorId="013C7002" wp14:editId="3E3D8A01">
          <wp:simplePos x="0" y="0"/>
          <wp:positionH relativeFrom="column">
            <wp:posOffset>4290060</wp:posOffset>
          </wp:positionH>
          <wp:positionV relativeFrom="paragraph">
            <wp:posOffset>29845</wp:posOffset>
          </wp:positionV>
          <wp:extent cx="2311400" cy="487045"/>
          <wp:effectExtent l="0" t="0" r="0" b="8255"/>
          <wp:wrapNone/>
          <wp:docPr id="6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487045"/>
                  </a:xfrm>
                  <a:prstGeom prst="rect">
                    <a:avLst/>
                  </a:prstGeom>
                </pic:spPr>
              </pic:pic>
            </a:graphicData>
          </a:graphic>
        </wp:anchor>
      </w:drawing>
    </w:r>
    <w:r>
      <w:rPr>
        <w:noProof/>
        <w:position w:val="9"/>
        <w:sz w:val="20"/>
      </w:rPr>
      <w:drawing>
        <wp:inline distT="0" distB="0" distL="0" distR="0" wp14:anchorId="43E85E49" wp14:editId="44760005">
          <wp:extent cx="928941" cy="505205"/>
          <wp:effectExtent l="0" t="0" r="0" b="0"/>
          <wp:docPr id="6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928941" cy="505205"/>
                  </a:xfrm>
                  <a:prstGeom prst="rect">
                    <a:avLst/>
                  </a:prstGeom>
                </pic:spPr>
              </pic:pic>
            </a:graphicData>
          </a:graphic>
        </wp:inline>
      </w:drawing>
    </w:r>
    <w:r>
      <w:rPr>
        <w:position w:val="9"/>
        <w:sz w:val="20"/>
      </w:rPr>
      <w:tab/>
    </w:r>
    <w:r>
      <w:rPr>
        <w:noProof/>
        <w:position w:val="1"/>
        <w:sz w:val="20"/>
      </w:rPr>
      <w:drawing>
        <wp:inline distT="0" distB="0" distL="0" distR="0" wp14:anchorId="7DEB9010" wp14:editId="5102A442">
          <wp:extent cx="617029" cy="617029"/>
          <wp:effectExtent l="0" t="0" r="0" b="0"/>
          <wp:docPr id="6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 cstate="print"/>
                  <a:stretch>
                    <a:fillRect/>
                  </a:stretch>
                </pic:blipFill>
                <pic:spPr>
                  <a:xfrm>
                    <a:off x="0" y="0"/>
                    <a:ext cx="617029" cy="617029"/>
                  </a:xfrm>
                  <a:prstGeom prst="rect">
                    <a:avLst/>
                  </a:prstGeom>
                </pic:spPr>
              </pic:pic>
            </a:graphicData>
          </a:graphic>
        </wp:inline>
      </w:drawing>
    </w:r>
    <w:r>
      <w:rPr>
        <w:position w:val="1"/>
        <w:sz w:val="20"/>
      </w:rPr>
      <w:tab/>
    </w:r>
    <w:r>
      <w:rPr>
        <w:noProof/>
        <w:position w:val="1"/>
        <w:sz w:val="20"/>
      </w:rPr>
      <w:drawing>
        <wp:inline distT="0" distB="0" distL="0" distR="0" wp14:anchorId="6D6447EC" wp14:editId="3B2821AB">
          <wp:extent cx="625555" cy="616076"/>
          <wp:effectExtent l="0" t="0" r="0" b="0"/>
          <wp:docPr id="6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4" cstate="print"/>
                  <a:stretch>
                    <a:fillRect/>
                  </a:stretch>
                </pic:blipFill>
                <pic:spPr>
                  <a:xfrm>
                    <a:off x="0" y="0"/>
                    <a:ext cx="625555" cy="616076"/>
                  </a:xfrm>
                  <a:prstGeom prst="rect">
                    <a:avLst/>
                  </a:prstGeom>
                </pic:spPr>
              </pic:pic>
            </a:graphicData>
          </a:graphic>
        </wp:inline>
      </w:drawing>
    </w:r>
    <w:r>
      <w:rPr>
        <w:position w:val="1"/>
        <w:sz w:val="20"/>
      </w:rPr>
      <w:tab/>
    </w:r>
    <w:r>
      <w:rPr>
        <w:noProof/>
        <w:position w:val="1"/>
        <w:sz w:val="20"/>
      </w:rPr>
      <w:drawing>
        <wp:inline distT="0" distB="0" distL="0" distR="0" wp14:anchorId="0DA07D8F" wp14:editId="60FD81A8">
          <wp:extent cx="616648" cy="616648"/>
          <wp:effectExtent l="0" t="0" r="0" b="0"/>
          <wp:docPr id="64"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5" cstate="print"/>
                  <a:stretch>
                    <a:fillRect/>
                  </a:stretch>
                </pic:blipFill>
                <pic:spPr>
                  <a:xfrm>
                    <a:off x="0" y="0"/>
                    <a:ext cx="616648" cy="616648"/>
                  </a:xfrm>
                  <a:prstGeom prst="rect">
                    <a:avLst/>
                  </a:prstGeom>
                </pic:spPr>
              </pic:pic>
            </a:graphicData>
          </a:graphic>
        </wp:inline>
      </w:drawing>
    </w:r>
    <w:r>
      <w:rPr>
        <w:position w:val="1"/>
        <w:sz w:val="20"/>
      </w:rPr>
      <w:tab/>
    </w:r>
    <w:r>
      <w:rPr>
        <w:noProof/>
        <w:sz w:val="20"/>
      </w:rPr>
      <w:drawing>
        <wp:inline distT="0" distB="0" distL="0" distR="0" wp14:anchorId="7863F866" wp14:editId="2E3D5040">
          <wp:extent cx="696200" cy="620268"/>
          <wp:effectExtent l="0" t="0" r="0" b="0"/>
          <wp:docPr id="6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6" cstate="print"/>
                  <a:stretch>
                    <a:fillRect/>
                  </a:stretch>
                </pic:blipFill>
                <pic:spPr>
                  <a:xfrm>
                    <a:off x="0" y="0"/>
                    <a:ext cx="696200" cy="620268"/>
                  </a:xfrm>
                  <a:prstGeom prst="rect">
                    <a:avLst/>
                  </a:prstGeom>
                </pic:spPr>
              </pic:pic>
            </a:graphicData>
          </a:graphic>
        </wp:inline>
      </w:drawing>
    </w:r>
    <w:r>
      <w:rPr>
        <w:sz w:val="20"/>
      </w:rPr>
      <w:tab/>
    </w:r>
  </w:p>
  <w:p w14:paraId="06496ADF" w14:textId="77777777" w:rsidR="00F77105" w:rsidRDefault="00F77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10BC"/>
    <w:multiLevelType w:val="hybridMultilevel"/>
    <w:tmpl w:val="6DF4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700F6"/>
    <w:multiLevelType w:val="hybridMultilevel"/>
    <w:tmpl w:val="0630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7B655A"/>
    <w:multiLevelType w:val="hybridMultilevel"/>
    <w:tmpl w:val="E0B87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0D76DB"/>
    <w:multiLevelType w:val="hybridMultilevel"/>
    <w:tmpl w:val="F63E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4360AD"/>
    <w:multiLevelType w:val="hybridMultilevel"/>
    <w:tmpl w:val="A8F2F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FC264D"/>
    <w:multiLevelType w:val="multilevel"/>
    <w:tmpl w:val="1F3C9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735276"/>
    <w:multiLevelType w:val="hybridMultilevel"/>
    <w:tmpl w:val="B9D24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3B6A2C"/>
    <w:multiLevelType w:val="hybridMultilevel"/>
    <w:tmpl w:val="E9EED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6C4F89"/>
    <w:multiLevelType w:val="hybridMultilevel"/>
    <w:tmpl w:val="0B9CE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5277D3"/>
    <w:multiLevelType w:val="hybridMultilevel"/>
    <w:tmpl w:val="4FB8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CC4703"/>
    <w:multiLevelType w:val="hybridMultilevel"/>
    <w:tmpl w:val="E49E1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5"/>
  </w:num>
  <w:num w:numId="5">
    <w:abstractNumId w:val="8"/>
  </w:num>
  <w:num w:numId="6">
    <w:abstractNumId w:val="6"/>
  </w:num>
  <w:num w:numId="7">
    <w:abstractNumId w:val="2"/>
  </w:num>
  <w:num w:numId="8">
    <w:abstractNumId w:val="9"/>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AA5"/>
    <w:rsid w:val="00004FDD"/>
    <w:rsid w:val="00070DAF"/>
    <w:rsid w:val="0009010A"/>
    <w:rsid w:val="00090AA5"/>
    <w:rsid w:val="000916C8"/>
    <w:rsid w:val="000941FD"/>
    <w:rsid w:val="000C634A"/>
    <w:rsid w:val="000F38AD"/>
    <w:rsid w:val="001757FC"/>
    <w:rsid w:val="001A673D"/>
    <w:rsid w:val="001C3183"/>
    <w:rsid w:val="001E59AD"/>
    <w:rsid w:val="001F032E"/>
    <w:rsid w:val="002315A7"/>
    <w:rsid w:val="0023160B"/>
    <w:rsid w:val="002357E9"/>
    <w:rsid w:val="0025368C"/>
    <w:rsid w:val="00263226"/>
    <w:rsid w:val="00286A52"/>
    <w:rsid w:val="00350D40"/>
    <w:rsid w:val="00363907"/>
    <w:rsid w:val="0037575D"/>
    <w:rsid w:val="003820B4"/>
    <w:rsid w:val="00390B7D"/>
    <w:rsid w:val="003C7066"/>
    <w:rsid w:val="003E7E12"/>
    <w:rsid w:val="003F4EC8"/>
    <w:rsid w:val="00402CF7"/>
    <w:rsid w:val="00433AEA"/>
    <w:rsid w:val="00437B74"/>
    <w:rsid w:val="004607DE"/>
    <w:rsid w:val="00470AA3"/>
    <w:rsid w:val="004949CC"/>
    <w:rsid w:val="004A55C5"/>
    <w:rsid w:val="00523A20"/>
    <w:rsid w:val="00540DF3"/>
    <w:rsid w:val="0056596F"/>
    <w:rsid w:val="0057110D"/>
    <w:rsid w:val="005A4032"/>
    <w:rsid w:val="005A4226"/>
    <w:rsid w:val="005C3983"/>
    <w:rsid w:val="005D25A6"/>
    <w:rsid w:val="006402FC"/>
    <w:rsid w:val="006965D5"/>
    <w:rsid w:val="006E64CA"/>
    <w:rsid w:val="00701D0D"/>
    <w:rsid w:val="007100EE"/>
    <w:rsid w:val="00724598"/>
    <w:rsid w:val="007B614D"/>
    <w:rsid w:val="007C7266"/>
    <w:rsid w:val="007F6308"/>
    <w:rsid w:val="008549BD"/>
    <w:rsid w:val="008718D2"/>
    <w:rsid w:val="00884C0C"/>
    <w:rsid w:val="008B03DF"/>
    <w:rsid w:val="008B4E96"/>
    <w:rsid w:val="008C32E0"/>
    <w:rsid w:val="008F14F2"/>
    <w:rsid w:val="00966452"/>
    <w:rsid w:val="009675D2"/>
    <w:rsid w:val="00974F26"/>
    <w:rsid w:val="0097541F"/>
    <w:rsid w:val="009756ED"/>
    <w:rsid w:val="00997D30"/>
    <w:rsid w:val="009A75E8"/>
    <w:rsid w:val="009E36D2"/>
    <w:rsid w:val="009F00FC"/>
    <w:rsid w:val="00A4329E"/>
    <w:rsid w:val="00A507B2"/>
    <w:rsid w:val="00A57F5A"/>
    <w:rsid w:val="00A863AD"/>
    <w:rsid w:val="00AE51D9"/>
    <w:rsid w:val="00AF4D93"/>
    <w:rsid w:val="00B22AE7"/>
    <w:rsid w:val="00B23458"/>
    <w:rsid w:val="00B32BA2"/>
    <w:rsid w:val="00B335FD"/>
    <w:rsid w:val="00B519F8"/>
    <w:rsid w:val="00B55CD9"/>
    <w:rsid w:val="00B930F9"/>
    <w:rsid w:val="00BB127E"/>
    <w:rsid w:val="00BB77F3"/>
    <w:rsid w:val="00BC0CDA"/>
    <w:rsid w:val="00BD3D24"/>
    <w:rsid w:val="00C01642"/>
    <w:rsid w:val="00C229F5"/>
    <w:rsid w:val="00C57CF8"/>
    <w:rsid w:val="00C80BD3"/>
    <w:rsid w:val="00C86478"/>
    <w:rsid w:val="00C8780C"/>
    <w:rsid w:val="00CF3586"/>
    <w:rsid w:val="00D27557"/>
    <w:rsid w:val="00D339A3"/>
    <w:rsid w:val="00D366EA"/>
    <w:rsid w:val="00D63891"/>
    <w:rsid w:val="00D726A4"/>
    <w:rsid w:val="00D85D1E"/>
    <w:rsid w:val="00DF3E48"/>
    <w:rsid w:val="00DF4E32"/>
    <w:rsid w:val="00E24362"/>
    <w:rsid w:val="00E5652F"/>
    <w:rsid w:val="00EF3745"/>
    <w:rsid w:val="00F05079"/>
    <w:rsid w:val="00F33D13"/>
    <w:rsid w:val="00F40626"/>
    <w:rsid w:val="00F5090B"/>
    <w:rsid w:val="00F712D9"/>
    <w:rsid w:val="00F72582"/>
    <w:rsid w:val="00F77105"/>
    <w:rsid w:val="00FB09D8"/>
    <w:rsid w:val="00FB7E32"/>
    <w:rsid w:val="00FE7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8AE7C0"/>
  <w15:chartTrackingRefBased/>
  <w15:docId w15:val="{92D5A8CB-F667-4AF3-AACB-A265E99F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A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Footnote Text Char Char,testo pié di pagina,testo pié di pagina Char,Char,Char Char Char Char,Footnote Text Char4 Char Char Char,5_G,Footnote Text Char1 Char Char,Footnote Char Char Char Char Char, Char"/>
    <w:basedOn w:val="Normal"/>
    <w:link w:val="FootnoteTextChar"/>
    <w:uiPriority w:val="99"/>
    <w:unhideWhenUsed/>
    <w:qFormat/>
    <w:rsid w:val="00090AA5"/>
    <w:pPr>
      <w:spacing w:after="0" w:line="240" w:lineRule="auto"/>
    </w:pPr>
    <w:rPr>
      <w:sz w:val="20"/>
      <w:szCs w:val="20"/>
    </w:rPr>
  </w:style>
  <w:style w:type="character" w:customStyle="1" w:styleId="FootnoteTextChar">
    <w:name w:val="Footnote Text Char"/>
    <w:aliases w:val="Footnote Text Char Char Char Char Char,Footnote Text Char Char Char,testo pié di pagina Char1,testo pié di pagina Char Char,Char Char,Char Char Char Char Char,Footnote Text Char4 Char Char Char Char,5_G Char, Char Char"/>
    <w:basedOn w:val="DefaultParagraphFont"/>
    <w:link w:val="FootnoteText"/>
    <w:uiPriority w:val="99"/>
    <w:qFormat/>
    <w:rsid w:val="00090AA5"/>
    <w:rPr>
      <w:sz w:val="20"/>
      <w:szCs w:val="20"/>
    </w:rPr>
  </w:style>
  <w:style w:type="character" w:styleId="FootnoteReference">
    <w:name w:val="footnote reference"/>
    <w:basedOn w:val="DefaultParagraphFont"/>
    <w:uiPriority w:val="99"/>
    <w:semiHidden/>
    <w:unhideWhenUsed/>
    <w:rsid w:val="00090AA5"/>
    <w:rPr>
      <w:vertAlign w:val="superscript"/>
    </w:rPr>
  </w:style>
  <w:style w:type="character" w:styleId="Hyperlink">
    <w:name w:val="Hyperlink"/>
    <w:basedOn w:val="DefaultParagraphFont"/>
    <w:uiPriority w:val="99"/>
    <w:unhideWhenUsed/>
    <w:qFormat/>
    <w:rsid w:val="00090AA5"/>
    <w:rPr>
      <w:color w:val="0563C1" w:themeColor="hyperlink"/>
      <w:u w:val="single"/>
    </w:rPr>
  </w:style>
  <w:style w:type="paragraph" w:styleId="ListParagraph">
    <w:name w:val="List Paragraph"/>
    <w:basedOn w:val="Normal"/>
    <w:uiPriority w:val="34"/>
    <w:qFormat/>
    <w:rsid w:val="009A75E8"/>
    <w:pPr>
      <w:ind w:left="720"/>
      <w:contextualSpacing/>
    </w:pPr>
  </w:style>
  <w:style w:type="paragraph" w:styleId="Header">
    <w:name w:val="header"/>
    <w:basedOn w:val="Normal"/>
    <w:link w:val="HeaderChar"/>
    <w:uiPriority w:val="99"/>
    <w:unhideWhenUsed/>
    <w:rsid w:val="00F77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105"/>
  </w:style>
  <w:style w:type="paragraph" w:styleId="Footer">
    <w:name w:val="footer"/>
    <w:basedOn w:val="Normal"/>
    <w:link w:val="FooterChar"/>
    <w:uiPriority w:val="99"/>
    <w:unhideWhenUsed/>
    <w:rsid w:val="00F77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105"/>
  </w:style>
  <w:style w:type="character" w:styleId="CommentReference">
    <w:name w:val="annotation reference"/>
    <w:basedOn w:val="DefaultParagraphFont"/>
    <w:uiPriority w:val="99"/>
    <w:semiHidden/>
    <w:unhideWhenUsed/>
    <w:rsid w:val="005A4032"/>
    <w:rPr>
      <w:sz w:val="16"/>
      <w:szCs w:val="16"/>
    </w:rPr>
  </w:style>
  <w:style w:type="paragraph" w:styleId="CommentText">
    <w:name w:val="annotation text"/>
    <w:basedOn w:val="Normal"/>
    <w:link w:val="CommentTextChar"/>
    <w:uiPriority w:val="99"/>
    <w:semiHidden/>
    <w:unhideWhenUsed/>
    <w:rsid w:val="005A4032"/>
    <w:pPr>
      <w:spacing w:line="240" w:lineRule="auto"/>
    </w:pPr>
    <w:rPr>
      <w:sz w:val="20"/>
      <w:szCs w:val="20"/>
    </w:rPr>
  </w:style>
  <w:style w:type="character" w:customStyle="1" w:styleId="CommentTextChar">
    <w:name w:val="Comment Text Char"/>
    <w:basedOn w:val="DefaultParagraphFont"/>
    <w:link w:val="CommentText"/>
    <w:uiPriority w:val="99"/>
    <w:semiHidden/>
    <w:rsid w:val="005A4032"/>
    <w:rPr>
      <w:sz w:val="20"/>
      <w:szCs w:val="20"/>
    </w:rPr>
  </w:style>
  <w:style w:type="paragraph" w:styleId="CommentSubject">
    <w:name w:val="annotation subject"/>
    <w:basedOn w:val="CommentText"/>
    <w:next w:val="CommentText"/>
    <w:link w:val="CommentSubjectChar"/>
    <w:uiPriority w:val="99"/>
    <w:semiHidden/>
    <w:unhideWhenUsed/>
    <w:rsid w:val="005A4032"/>
    <w:rPr>
      <w:b/>
      <w:bCs/>
    </w:rPr>
  </w:style>
  <w:style w:type="character" w:customStyle="1" w:styleId="CommentSubjectChar">
    <w:name w:val="Comment Subject Char"/>
    <w:basedOn w:val="CommentTextChar"/>
    <w:link w:val="CommentSubject"/>
    <w:uiPriority w:val="99"/>
    <w:semiHidden/>
    <w:rsid w:val="005A4032"/>
    <w:rPr>
      <w:b/>
      <w:bCs/>
      <w:sz w:val="20"/>
      <w:szCs w:val="20"/>
    </w:rPr>
  </w:style>
  <w:style w:type="character" w:styleId="UnresolvedMention">
    <w:name w:val="Unresolved Mention"/>
    <w:basedOn w:val="DefaultParagraphFont"/>
    <w:uiPriority w:val="99"/>
    <w:semiHidden/>
    <w:unhideWhenUsed/>
    <w:rsid w:val="00B930F9"/>
    <w:rPr>
      <w:color w:val="605E5C"/>
      <w:shd w:val="clear" w:color="auto" w:fill="E1DFDD"/>
    </w:rPr>
  </w:style>
  <w:style w:type="paragraph" w:styleId="NormalWeb">
    <w:name w:val="Normal (Web)"/>
    <w:basedOn w:val="Normal"/>
    <w:uiPriority w:val="99"/>
    <w:semiHidden/>
    <w:unhideWhenUsed/>
    <w:rsid w:val="00997D3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864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478"/>
    <w:rPr>
      <w:rFonts w:ascii="Segoe UI" w:hAnsi="Segoe UI" w:cs="Segoe UI"/>
      <w:sz w:val="18"/>
      <w:szCs w:val="18"/>
    </w:rPr>
  </w:style>
  <w:style w:type="paragraph" w:styleId="Revision">
    <w:name w:val="Revision"/>
    <w:hidden/>
    <w:uiPriority w:val="99"/>
    <w:semiHidden/>
    <w:rsid w:val="00A8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514234">
      <w:bodyDiv w:val="1"/>
      <w:marLeft w:val="0"/>
      <w:marRight w:val="0"/>
      <w:marTop w:val="0"/>
      <w:marBottom w:val="0"/>
      <w:divBdr>
        <w:top w:val="none" w:sz="0" w:space="0" w:color="auto"/>
        <w:left w:val="none" w:sz="0" w:space="0" w:color="auto"/>
        <w:bottom w:val="none" w:sz="0" w:space="0" w:color="auto"/>
        <w:right w:val="none" w:sz="0" w:space="0" w:color="auto"/>
      </w:divBdr>
      <w:divsChild>
        <w:div w:id="627315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00396">
              <w:marLeft w:val="0"/>
              <w:marRight w:val="0"/>
              <w:marTop w:val="0"/>
              <w:marBottom w:val="0"/>
              <w:divBdr>
                <w:top w:val="none" w:sz="0" w:space="0" w:color="auto"/>
                <w:left w:val="none" w:sz="0" w:space="0" w:color="auto"/>
                <w:bottom w:val="none" w:sz="0" w:space="0" w:color="auto"/>
                <w:right w:val="none" w:sz="0" w:space="0" w:color="auto"/>
              </w:divBdr>
              <w:divsChild>
                <w:div w:id="1269586647">
                  <w:marLeft w:val="0"/>
                  <w:marRight w:val="0"/>
                  <w:marTop w:val="0"/>
                  <w:marBottom w:val="0"/>
                  <w:divBdr>
                    <w:top w:val="none" w:sz="0" w:space="0" w:color="auto"/>
                    <w:left w:val="none" w:sz="0" w:space="0" w:color="auto"/>
                    <w:bottom w:val="none" w:sz="0" w:space="0" w:color="auto"/>
                    <w:right w:val="none" w:sz="0" w:space="0" w:color="auto"/>
                  </w:divBdr>
                  <w:divsChild>
                    <w:div w:id="1354914304">
                      <w:marLeft w:val="0"/>
                      <w:marRight w:val="0"/>
                      <w:marTop w:val="0"/>
                      <w:marBottom w:val="0"/>
                      <w:divBdr>
                        <w:top w:val="none" w:sz="0" w:space="0" w:color="auto"/>
                        <w:left w:val="none" w:sz="0" w:space="0" w:color="auto"/>
                        <w:bottom w:val="none" w:sz="0" w:space="0" w:color="auto"/>
                        <w:right w:val="none" w:sz="0" w:space="0" w:color="auto"/>
                      </w:divBdr>
                      <w:divsChild>
                        <w:div w:id="28150277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80221927">
                              <w:marLeft w:val="0"/>
                              <w:marRight w:val="0"/>
                              <w:marTop w:val="0"/>
                              <w:marBottom w:val="0"/>
                              <w:divBdr>
                                <w:top w:val="none" w:sz="0" w:space="0" w:color="auto"/>
                                <w:left w:val="none" w:sz="0" w:space="0" w:color="auto"/>
                                <w:bottom w:val="none" w:sz="0" w:space="0" w:color="auto"/>
                                <w:right w:val="none" w:sz="0" w:space="0" w:color="auto"/>
                              </w:divBdr>
                              <w:divsChild>
                                <w:div w:id="20290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222213">
      <w:bodyDiv w:val="1"/>
      <w:marLeft w:val="0"/>
      <w:marRight w:val="0"/>
      <w:marTop w:val="0"/>
      <w:marBottom w:val="0"/>
      <w:divBdr>
        <w:top w:val="none" w:sz="0" w:space="0" w:color="auto"/>
        <w:left w:val="none" w:sz="0" w:space="0" w:color="auto"/>
        <w:bottom w:val="none" w:sz="0" w:space="0" w:color="auto"/>
        <w:right w:val="none" w:sz="0" w:space="0" w:color="auto"/>
      </w:divBdr>
    </w:div>
    <w:div w:id="714617126">
      <w:bodyDiv w:val="1"/>
      <w:marLeft w:val="0"/>
      <w:marRight w:val="0"/>
      <w:marTop w:val="0"/>
      <w:marBottom w:val="0"/>
      <w:divBdr>
        <w:top w:val="none" w:sz="0" w:space="0" w:color="auto"/>
        <w:left w:val="none" w:sz="0" w:space="0" w:color="auto"/>
        <w:bottom w:val="none" w:sz="0" w:space="0" w:color="auto"/>
        <w:right w:val="none" w:sz="0" w:space="0" w:color="auto"/>
      </w:divBdr>
    </w:div>
    <w:div w:id="1075084262">
      <w:bodyDiv w:val="1"/>
      <w:marLeft w:val="0"/>
      <w:marRight w:val="0"/>
      <w:marTop w:val="0"/>
      <w:marBottom w:val="0"/>
      <w:divBdr>
        <w:top w:val="none" w:sz="0" w:space="0" w:color="auto"/>
        <w:left w:val="none" w:sz="0" w:space="0" w:color="auto"/>
        <w:bottom w:val="none" w:sz="0" w:space="0" w:color="auto"/>
        <w:right w:val="none" w:sz="0" w:space="0" w:color="auto"/>
      </w:divBdr>
    </w:div>
    <w:div w:id="1276710424">
      <w:bodyDiv w:val="1"/>
      <w:marLeft w:val="0"/>
      <w:marRight w:val="0"/>
      <w:marTop w:val="0"/>
      <w:marBottom w:val="0"/>
      <w:divBdr>
        <w:top w:val="none" w:sz="0" w:space="0" w:color="auto"/>
        <w:left w:val="none" w:sz="0" w:space="0" w:color="auto"/>
        <w:bottom w:val="none" w:sz="0" w:space="0" w:color="auto"/>
        <w:right w:val="none" w:sz="0" w:space="0" w:color="auto"/>
      </w:divBdr>
      <w:divsChild>
        <w:div w:id="710039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3161152">
              <w:marLeft w:val="0"/>
              <w:marRight w:val="0"/>
              <w:marTop w:val="0"/>
              <w:marBottom w:val="0"/>
              <w:divBdr>
                <w:top w:val="none" w:sz="0" w:space="0" w:color="auto"/>
                <w:left w:val="none" w:sz="0" w:space="0" w:color="auto"/>
                <w:bottom w:val="none" w:sz="0" w:space="0" w:color="auto"/>
                <w:right w:val="none" w:sz="0" w:space="0" w:color="auto"/>
              </w:divBdr>
              <w:divsChild>
                <w:div w:id="808398717">
                  <w:marLeft w:val="0"/>
                  <w:marRight w:val="0"/>
                  <w:marTop w:val="0"/>
                  <w:marBottom w:val="0"/>
                  <w:divBdr>
                    <w:top w:val="none" w:sz="0" w:space="0" w:color="auto"/>
                    <w:left w:val="none" w:sz="0" w:space="0" w:color="auto"/>
                    <w:bottom w:val="none" w:sz="0" w:space="0" w:color="auto"/>
                    <w:right w:val="none" w:sz="0" w:space="0" w:color="auto"/>
                  </w:divBdr>
                  <w:divsChild>
                    <w:div w:id="1409503462">
                      <w:marLeft w:val="0"/>
                      <w:marRight w:val="0"/>
                      <w:marTop w:val="0"/>
                      <w:marBottom w:val="0"/>
                      <w:divBdr>
                        <w:top w:val="none" w:sz="0" w:space="0" w:color="auto"/>
                        <w:left w:val="none" w:sz="0" w:space="0" w:color="auto"/>
                        <w:bottom w:val="none" w:sz="0" w:space="0" w:color="auto"/>
                        <w:right w:val="none" w:sz="0" w:space="0" w:color="auto"/>
                      </w:divBdr>
                      <w:divsChild>
                        <w:div w:id="91451341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20489891">
                              <w:marLeft w:val="0"/>
                              <w:marRight w:val="0"/>
                              <w:marTop w:val="0"/>
                              <w:marBottom w:val="0"/>
                              <w:divBdr>
                                <w:top w:val="none" w:sz="0" w:space="0" w:color="auto"/>
                                <w:left w:val="none" w:sz="0" w:space="0" w:color="auto"/>
                                <w:bottom w:val="none" w:sz="0" w:space="0" w:color="auto"/>
                                <w:right w:val="none" w:sz="0" w:space="0" w:color="auto"/>
                              </w:divBdr>
                              <w:divsChild>
                                <w:div w:id="6712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rogaime.al/kodi-i-punes/trajtimi-i-barabarte" TargetMode="External"/><Relationship Id="rId18" Type="http://schemas.openxmlformats.org/officeDocument/2006/relationships/hyperlink" Target="https://www.instat.gov.al/media/10320/shqiperia-ne-shifra-2021.pdf" TargetMode="External"/><Relationship Id="rId26" Type="http://schemas.openxmlformats.org/officeDocument/2006/relationships/hyperlink" Target="https://inspektoriatipunes.gov.al/wp-content/uploads/2021/05/Raport-Vjetor-2020.pdf" TargetMode="External"/><Relationship Id="rId39" Type="http://schemas.openxmlformats.org/officeDocument/2006/relationships/hyperlink" Target="https://skot.al/" TargetMode="External"/><Relationship Id="rId21" Type="http://schemas.openxmlformats.org/officeDocument/2006/relationships/hyperlink" Target="https://www.instat.gov.al/media/8713/burra-dhe-gra.pdf" TargetMode="External"/><Relationship Id="rId34" Type="http://schemas.openxmlformats.org/officeDocument/2006/relationships/hyperlink" Target="http://clr.al/2022/11/4489/" TargetMode="External"/><Relationship Id="rId42" Type="http://schemas.openxmlformats.org/officeDocument/2006/relationships/hyperlink" Target="https://lrer.org/"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pbsh.gov.al/rezultatet-perfundimtare-te-testimit-te-kandidateve-per-punonjes-te-rolit-te-baze-ne-policine-e-burgjeve/" TargetMode="External"/><Relationship Id="rId29" Type="http://schemas.openxmlformats.org/officeDocument/2006/relationships/hyperlink" Target="https://www.kmd.al/wp-content/uploads/2021/05/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ustriall-union.org/albanian-unions-and-employers-want-collective-agreement" TargetMode="External"/><Relationship Id="rId24" Type="http://schemas.openxmlformats.org/officeDocument/2006/relationships/hyperlink" Target="https://www.ilo.org/wcmsp5/groups/public/---europe/---ro-geneva/---sro-budapest/documents/publication/wcms_689355.pdf" TargetMode="External"/><Relationship Id="rId32" Type="http://schemas.openxmlformats.org/officeDocument/2006/relationships/hyperlink" Target="https://shendetesia.gov.al/wp-content/uploads/2022/02/WEB_Strategjia-Komb&#235;tare-AL.pdf" TargetMode="External"/><Relationship Id="rId37" Type="http://schemas.openxmlformats.org/officeDocument/2006/relationships/hyperlink" Target="https://clr.al/" TargetMode="External"/><Relationship Id="rId40" Type="http://schemas.openxmlformats.org/officeDocument/2006/relationships/hyperlink" Target="https://www.facebook.com/profile.php?id=100069563514765"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adc.org.al/media/files/upload/GBD_in%20Labour%20Albania_AL_15.03.2022.pdf" TargetMode="External"/><Relationship Id="rId23" Type="http://schemas.openxmlformats.org/officeDocument/2006/relationships/hyperlink" Target="https://www.ilo.org/&#235;cmsp5/groups/public/---europe/---ro-geneva/---sro-budapest/documents/genericdocument/wcms_751313.pdf" TargetMode="External"/><Relationship Id="rId28" Type="http://schemas.openxmlformats.org/officeDocument/2006/relationships/hyperlink" Target="https://www.instat.gov.al/al/temat/tregu-i-pun%C3%ABs-dhe-arsimi/pagat/" TargetMode="External"/><Relationship Id="rId36" Type="http://schemas.openxmlformats.org/officeDocument/2006/relationships/hyperlink" Target="https://qbz.gov.al/preview/c1c18a6c-5f3e-457d-b931-de505b3c7ed0" TargetMode="External"/><Relationship Id="rId10" Type="http://schemas.openxmlformats.org/officeDocument/2006/relationships/hyperlink" Target="https://konsultimipublik.gov.al/Konsultime/GeneratePDF/561" TargetMode="External"/><Relationship Id="rId19" Type="http://schemas.openxmlformats.org/officeDocument/2006/relationships/hyperlink" Target="https://www.instat.gov.al/al/temat/industria-tregtia-dhe-sh%C3%ABrbimet/regjistrat-e-biznesit/publikimet/2022/regjistrat-e-biznesit-2021/" TargetMode="External"/><Relationship Id="rId31" Type="http://schemas.openxmlformats.org/officeDocument/2006/relationships/hyperlink" Target="https://financa.gov.al/wp-content/uploads/2020/10/Publikim_AL_Strategjia-Komb%C3%ABtare-p%C3%ABr-Pun%C3%ABsim-dhe-Aft%C3%ABsi-2019-2022.pdf" TargetMode="External"/><Relationship Id="rId44" Type="http://schemas.openxmlformats.org/officeDocument/2006/relationships/hyperlink" Target="mailto:marqimandriti@gadc.org.al" TargetMode="External"/><Relationship Id="rId4" Type="http://schemas.openxmlformats.org/officeDocument/2006/relationships/settings" Target="settings.xml"/><Relationship Id="rId9" Type="http://schemas.openxmlformats.org/officeDocument/2006/relationships/hyperlink" Target="https://www.instat.gov.al/media/11851/tregu-i-punes-2022.pdf" TargetMode="External"/><Relationship Id="rId14" Type="http://schemas.openxmlformats.org/officeDocument/2006/relationships/hyperlink" Target="https://neighbourhood-enlargement.ec.europa.eu/system/files/2021-10/Albania-Report-2021.pdf" TargetMode="External"/><Relationship Id="rId22" Type="http://schemas.openxmlformats.org/officeDocument/2006/relationships/hyperlink" Target="https://www.instat.gov.al/media/11027/burra-dhe-gra-2022.pdf" TargetMode="External"/><Relationship Id="rId27" Type="http://schemas.openxmlformats.org/officeDocument/2006/relationships/hyperlink" Target="https://inspektoriatipunes.gov.al/wp-content/uploads/2021/05/Raport-Vjetor-2019.pdf" TargetMode="External"/><Relationship Id="rId30" Type="http://schemas.openxmlformats.org/officeDocument/2006/relationships/hyperlink" Target="https://www.dpshtrr.al/sites/default/files/downloads/dokumente/Ligji%20Nr.10237%2C%20dat%C3%AB%2018.02.2010%20%E2%80%9CP%C3%ABr%20Sigurin%C3%AB%20dhe%20Sh%C3%ABndetin%20n%C3%AB%20Pun%C3%AB%E2%80%9C.pdf" TargetMode="External"/><Relationship Id="rId35" Type="http://schemas.openxmlformats.org/officeDocument/2006/relationships/hyperlink" Target="https://csl.edu.al/wp-content/uploads/2023/05/udhezim-2021-05-27-14.pdf" TargetMode="External"/><Relationship Id="rId43" Type="http://schemas.openxmlformats.org/officeDocument/2006/relationships/hyperlink" Target="http://www.gadc.org.al/" TargetMode="External"/><Relationship Id="rId48" Type="http://schemas.openxmlformats.org/officeDocument/2006/relationships/theme" Target="theme/theme1.xml"/><Relationship Id="rId8" Type="http://schemas.openxmlformats.org/officeDocument/2006/relationships/hyperlink" Target="https://albania.unwomen.org/sites/default/files/Field%20Office%20Albania/Attachments/Publications/2021/06/UN%20Albania_gender%20equality%20position%20paper_GEEW_final.pdf" TargetMode="External"/><Relationship Id="rId3" Type="http://schemas.openxmlformats.org/officeDocument/2006/relationships/styles" Target="styles.xml"/><Relationship Id="rId12" Type="http://schemas.openxmlformats.org/officeDocument/2006/relationships/hyperlink" Target="https://www.esap.online/download/docs/12_Employment%20in%20the%20facon%20sector_PES_Albania.pdf/0ade48429a19c65806e016830c2ead9a.pdf" TargetMode="External"/><Relationship Id="rId17" Type="http://schemas.openxmlformats.org/officeDocument/2006/relationships/hyperlink" Target="http://www.instat.gov.al/media/6661/gender_equality_index_for_the_republic_of_albania_2020.pdf" TargetMode="External"/><Relationship Id="rId25" Type="http://schemas.openxmlformats.org/officeDocument/2006/relationships/hyperlink" Target="https://inspektoriatipunes.gov.al/wp-content/uploads/2021/05/Raport-Vjetor-2019.pdf" TargetMode="External"/><Relationship Id="rId33" Type="http://schemas.openxmlformats.org/officeDocument/2006/relationships/hyperlink" Target="https://neighbourhood-enlargement.ec.europa.eu/system/files/2022-10/Albania%20Report%202022.pdf" TargetMode="External"/><Relationship Id="rId38" Type="http://schemas.openxmlformats.org/officeDocument/2006/relationships/hyperlink" Target="https://gadc.org.al/" TargetMode="External"/><Relationship Id="rId46" Type="http://schemas.openxmlformats.org/officeDocument/2006/relationships/footer" Target="footer1.xml"/><Relationship Id="rId20" Type="http://schemas.openxmlformats.org/officeDocument/2006/relationships/hyperlink" Target="https://www.instat.gov.al/media/6661/gender_equality_index_for_the_republic_of_albania_2020.pdf" TargetMode="External"/><Relationship Id="rId41" Type="http://schemas.openxmlformats.org/officeDocument/2006/relationships/hyperlink" Target="https://drejtesisociale.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konsultimipublik.gov.al/Konsultime/GeneratePDF/561" TargetMode="External"/><Relationship Id="rId13" Type="http://schemas.openxmlformats.org/officeDocument/2006/relationships/hyperlink" Target="https://neighbourhood-enlargement.ec.europa.eu/system/files/2022-10/Albania%20Report%202022.pdf" TargetMode="External"/><Relationship Id="rId18" Type="http://schemas.openxmlformats.org/officeDocument/2006/relationships/hyperlink" Target="https://albania.unwomen.org/sites/default/files/Field%20Office%20Albania/Attachments/Publications/2021/06/UN%20Albania_gender%20equality%20position%20paper_GEEW_final.pdf" TargetMode="External"/><Relationship Id="rId3" Type="http://schemas.openxmlformats.org/officeDocument/2006/relationships/hyperlink" Target="https://skot.al/" TargetMode="External"/><Relationship Id="rId7" Type="http://schemas.openxmlformats.org/officeDocument/2006/relationships/hyperlink" Target="https://www.instat.gov.al/media/11851/tregu-i-punes-2022.pdf" TargetMode="External"/><Relationship Id="rId12" Type="http://schemas.openxmlformats.org/officeDocument/2006/relationships/hyperlink" Target="https://www.ilo.org/wcmsp5/groups/public/---europe/---ro-geneva/---sro-budapest/documents/publication/wcms_689355.pdf" TargetMode="External"/><Relationship Id="rId17" Type="http://schemas.openxmlformats.org/officeDocument/2006/relationships/hyperlink" Target="https://www.instat.gov.al/al/temat/tregu-i-pun%C3%ABs-dhe-arsimi/pagat/" TargetMode="External"/><Relationship Id="rId2" Type="http://schemas.openxmlformats.org/officeDocument/2006/relationships/hyperlink" Target="https://gadc.org.al/" TargetMode="External"/><Relationship Id="rId16" Type="http://schemas.openxmlformats.org/officeDocument/2006/relationships/hyperlink" Target="https://dpbsh.gov.al/rezultatet-perfundimtare-te-testimit-te-kandidateve-per-punonjes-te-rolit-te-baze-ne-policine-e-burgjeve/" TargetMode="External"/><Relationship Id="rId20" Type="http://schemas.openxmlformats.org/officeDocument/2006/relationships/hyperlink" Target="http://clr.al/2022/11/4489/" TargetMode="External"/><Relationship Id="rId1" Type="http://schemas.openxmlformats.org/officeDocument/2006/relationships/hyperlink" Target="https://clr.al/" TargetMode="External"/><Relationship Id="rId6" Type="http://schemas.openxmlformats.org/officeDocument/2006/relationships/hyperlink" Target="https://lrer.org/" TargetMode="External"/><Relationship Id="rId11" Type="http://schemas.openxmlformats.org/officeDocument/2006/relationships/hyperlink" Target="https://qbz.gov.al/preview/c1c18a6c-5f3e-457d-b931-de505b3c7ed0" TargetMode="External"/><Relationship Id="rId5" Type="http://schemas.openxmlformats.org/officeDocument/2006/relationships/hyperlink" Target="https://drejtesisociale.al/" TargetMode="External"/><Relationship Id="rId15" Type="http://schemas.openxmlformats.org/officeDocument/2006/relationships/hyperlink" Target="https://www.kmd.al/%C3%ABp-content/uploads/2021/05/2.pdf" TargetMode="External"/><Relationship Id="rId10" Type="http://schemas.openxmlformats.org/officeDocument/2006/relationships/hyperlink" Target="https://www.instat.gov.al/media/11027/burra-dhe-gra-2022.pdf" TargetMode="External"/><Relationship Id="rId19" Type="http://schemas.openxmlformats.org/officeDocument/2006/relationships/hyperlink" Target="https://csl.edu.al/wp-content/uploads/2023/05/udhezim-2021-05-27-14.pdf" TargetMode="External"/><Relationship Id="rId4" Type="http://schemas.openxmlformats.org/officeDocument/2006/relationships/hyperlink" Target="https://www.facebook.com/profile.php?id=100069563514765" TargetMode="External"/><Relationship Id="rId9" Type="http://schemas.openxmlformats.org/officeDocument/2006/relationships/hyperlink" Target="https://www.instat.gov.al/media/10065/regjistrat-e-biznesit-2021.pdf" TargetMode="External"/><Relationship Id="rId14" Type="http://schemas.openxmlformats.org/officeDocument/2006/relationships/hyperlink" Target="https://www.dpshtrr.al/sites/default/files/downloads/dokumente/Ligji%20Nr.10237%2C%20dat%C3%AB%2018.02.2010%20%E2%80%9CP%C3%ABr%20Sigurin%C3%AB%20dhe%20Sh%C3%ABndetin%20n%C3%AB%20Pun%C3%AB%E2%80%9C.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F927E-C244-475C-91D0-C814B3913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6071</Words>
  <Characters>34611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Hoxha</dc:creator>
  <cp:keywords/>
  <dc:description/>
  <cp:lastModifiedBy>Mirela Aqimandriti</cp:lastModifiedBy>
  <cp:revision>5</cp:revision>
  <dcterms:created xsi:type="dcterms:W3CDTF">2023-09-11T10:27:00Z</dcterms:created>
  <dcterms:modified xsi:type="dcterms:W3CDTF">2023-09-11T15:39:00Z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bc4a5d6f-9c93-477a-8b53-c124469a9d07</vt:lpwstr>
  </property>
</Properties>
</file>