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92A448" w14:textId="4FB45DA3" w:rsidR="0091633A" w:rsidRPr="00FA6DBD" w:rsidRDefault="0091633A" w:rsidP="00A527A0">
      <w:pPr>
        <w:pStyle w:val="NormalWeb"/>
        <w:jc w:val="center"/>
        <w:rPr>
          <w:rFonts w:asciiTheme="minorHAnsi" w:hAnsiTheme="minorHAnsi"/>
          <w:b/>
          <w:bCs/>
          <w:color w:val="000000"/>
          <w:sz w:val="22"/>
          <w:szCs w:val="22"/>
          <w:lang w:val="es-MX"/>
        </w:rPr>
      </w:pPr>
      <w:r w:rsidRPr="0091633A">
        <w:rPr>
          <w:rFonts w:asciiTheme="minorHAnsi" w:hAnsiTheme="minorHAnsi"/>
          <w:b/>
          <w:bCs/>
          <w:color w:val="000000"/>
          <w:sz w:val="22"/>
          <w:szCs w:val="22"/>
          <w:lang w:val="es-MX"/>
        </w:rPr>
        <w:t>Informe</w:t>
      </w:r>
      <w:r w:rsidRPr="00FA6DBD">
        <w:rPr>
          <w:rFonts w:asciiTheme="minorHAnsi" w:hAnsiTheme="minorHAnsi"/>
          <w:b/>
          <w:bCs/>
          <w:color w:val="000000"/>
          <w:sz w:val="22"/>
          <w:szCs w:val="22"/>
          <w:lang w:val="es-MX"/>
        </w:rPr>
        <w:t xml:space="preserve"> de la sociedad civil </w:t>
      </w:r>
      <w:r w:rsidRPr="0091633A">
        <w:rPr>
          <w:rFonts w:asciiTheme="minorHAnsi" w:hAnsiTheme="minorHAnsi"/>
          <w:b/>
          <w:bCs/>
          <w:color w:val="000000"/>
          <w:sz w:val="22"/>
          <w:szCs w:val="22"/>
          <w:lang w:val="es-MX"/>
        </w:rPr>
        <w:t xml:space="preserve">sobre el seguimiento a las recomendaciones prioritarias </w:t>
      </w:r>
      <w:r w:rsidRPr="00FA6DBD">
        <w:rPr>
          <w:rFonts w:asciiTheme="minorHAnsi" w:hAnsiTheme="minorHAnsi"/>
          <w:b/>
          <w:bCs/>
          <w:color w:val="000000"/>
          <w:sz w:val="22"/>
          <w:szCs w:val="22"/>
          <w:lang w:val="es-MX"/>
        </w:rPr>
        <w:t>al Estado mexicano (</w:t>
      </w:r>
      <w:r w:rsidRPr="00FA6DBD">
        <w:rPr>
          <w:rFonts w:asciiTheme="minorHAnsi" w:hAnsiTheme="minorHAnsi"/>
          <w:b/>
          <w:bCs/>
          <w:color w:val="000000"/>
          <w:sz w:val="22"/>
          <w:szCs w:val="22"/>
          <w:lang w:val="es-US"/>
        </w:rPr>
        <w:t xml:space="preserve">CAT/C/MEX/CO/7, </w:t>
      </w:r>
      <w:r w:rsidRPr="0091633A">
        <w:rPr>
          <w:rFonts w:asciiTheme="minorHAnsi" w:hAnsiTheme="minorHAnsi"/>
          <w:b/>
          <w:bCs/>
          <w:color w:val="000000"/>
          <w:sz w:val="22"/>
          <w:szCs w:val="22"/>
          <w:lang w:val="es-MX"/>
        </w:rPr>
        <w:t>párrafos 9 a) y b), 13), 15) y 27 b)</w:t>
      </w:r>
      <w:r w:rsidRPr="00FA6DBD">
        <w:rPr>
          <w:rFonts w:asciiTheme="minorHAnsi" w:hAnsiTheme="minorHAnsi"/>
          <w:b/>
          <w:bCs/>
          <w:color w:val="000000"/>
          <w:sz w:val="22"/>
          <w:szCs w:val="22"/>
          <w:lang w:val="es-MX"/>
        </w:rPr>
        <w:t>)</w:t>
      </w:r>
    </w:p>
    <w:p w14:paraId="0CE9E78A" w14:textId="08C11FE1" w:rsidR="0091633A" w:rsidRPr="0091633A" w:rsidRDefault="0065471A" w:rsidP="00A527A0">
      <w:pPr>
        <w:pStyle w:val="NormalWeb"/>
        <w:jc w:val="center"/>
        <w:rPr>
          <w:rFonts w:asciiTheme="minorHAnsi" w:hAnsiTheme="minorHAnsi"/>
          <w:i/>
          <w:iCs/>
          <w:color w:val="000000"/>
          <w:sz w:val="22"/>
          <w:szCs w:val="22"/>
          <w:lang w:val="es-MX"/>
        </w:rPr>
      </w:pPr>
      <w:r w:rsidRPr="0065471A">
        <w:rPr>
          <w:rFonts w:asciiTheme="minorHAnsi" w:hAnsiTheme="minorHAnsi"/>
          <w:i/>
          <w:iCs/>
          <w:color w:val="000000"/>
          <w:sz w:val="22"/>
          <w:szCs w:val="22"/>
          <w:lang w:val="es-MX"/>
        </w:rPr>
        <w:t>A</w:t>
      </w:r>
      <w:r w:rsidR="0091633A" w:rsidRPr="0065471A">
        <w:rPr>
          <w:rFonts w:asciiTheme="minorHAnsi" w:hAnsiTheme="minorHAnsi"/>
          <w:i/>
          <w:iCs/>
          <w:color w:val="000000"/>
          <w:sz w:val="22"/>
          <w:szCs w:val="22"/>
          <w:lang w:val="es-MX"/>
        </w:rPr>
        <w:t>gosto de 2020</w:t>
      </w:r>
    </w:p>
    <w:p w14:paraId="20A9957E" w14:textId="6F0A9B1B" w:rsidR="0060087E" w:rsidRPr="00FA6DBD" w:rsidRDefault="0060087E" w:rsidP="00FA6DBD">
      <w:pPr>
        <w:pStyle w:val="NormalWeb"/>
        <w:jc w:val="both"/>
        <w:rPr>
          <w:rFonts w:asciiTheme="minorHAnsi" w:hAnsiTheme="minorHAnsi"/>
          <w:b/>
          <w:bCs/>
          <w:color w:val="000000"/>
          <w:sz w:val="22"/>
          <w:szCs w:val="22"/>
          <w:lang w:val="es-US"/>
        </w:rPr>
      </w:pPr>
      <w:r w:rsidRPr="00FA6DBD">
        <w:rPr>
          <w:rFonts w:asciiTheme="minorHAnsi" w:hAnsiTheme="minorHAnsi"/>
          <w:b/>
          <w:bCs/>
          <w:color w:val="000000"/>
          <w:sz w:val="22"/>
          <w:szCs w:val="22"/>
          <w:lang w:val="es-US"/>
        </w:rPr>
        <w:t>9. El Estado parte debe:</w:t>
      </w:r>
    </w:p>
    <w:p w14:paraId="24D8B37B" w14:textId="6F769E2D" w:rsidR="0060087E" w:rsidRPr="00FA6DBD" w:rsidRDefault="0060087E" w:rsidP="00FA6DBD">
      <w:pPr>
        <w:pStyle w:val="NormalWeb"/>
        <w:jc w:val="both"/>
        <w:rPr>
          <w:rFonts w:asciiTheme="minorHAnsi" w:hAnsiTheme="minorHAnsi"/>
          <w:b/>
          <w:bCs/>
          <w:color w:val="000000"/>
          <w:sz w:val="22"/>
          <w:szCs w:val="22"/>
          <w:lang w:val="es-US"/>
        </w:rPr>
      </w:pPr>
      <w:r w:rsidRPr="00FA6DBD">
        <w:rPr>
          <w:rFonts w:asciiTheme="minorHAnsi" w:hAnsiTheme="minorHAnsi"/>
          <w:b/>
          <w:bCs/>
          <w:color w:val="000000"/>
          <w:sz w:val="22"/>
          <w:szCs w:val="22"/>
          <w:lang w:val="es-US"/>
        </w:rPr>
        <w:t>a) Pronunciarse sin ambigüedades en favor del respeto de la prohibición absoluta de la tortura y los malos tratos y anunciar públicamente que quien cometa actos de esta índole, sea cómplice en ellos o los tolere, será personalmente responsable de tales actos ante la ley y estará sujeto a enjuiciamiento penal y a las sanciones apropiadas</w:t>
      </w:r>
      <w:r w:rsidR="00DD1893" w:rsidRPr="00FA6DBD">
        <w:rPr>
          <w:rFonts w:asciiTheme="minorHAnsi" w:hAnsiTheme="minorHAnsi"/>
          <w:b/>
          <w:bCs/>
          <w:color w:val="000000"/>
          <w:sz w:val="22"/>
          <w:szCs w:val="22"/>
          <w:lang w:val="es-US"/>
        </w:rPr>
        <w:t>.</w:t>
      </w:r>
    </w:p>
    <w:p w14:paraId="733D37F5" w14:textId="6007349E" w:rsidR="001C55E2" w:rsidRPr="00FA6DBD" w:rsidRDefault="009A4A4E" w:rsidP="00FA6DBD">
      <w:pPr>
        <w:pStyle w:val="NormalWeb"/>
        <w:jc w:val="both"/>
        <w:rPr>
          <w:rFonts w:asciiTheme="minorHAnsi" w:hAnsiTheme="minorHAnsi"/>
          <w:color w:val="000000"/>
          <w:sz w:val="22"/>
          <w:szCs w:val="22"/>
          <w:lang w:val="es-US"/>
        </w:rPr>
      </w:pPr>
      <w:r w:rsidRPr="00FA6DBD">
        <w:rPr>
          <w:rFonts w:asciiTheme="minorHAnsi" w:hAnsiTheme="minorHAnsi"/>
          <w:color w:val="000000"/>
          <w:sz w:val="22"/>
          <w:szCs w:val="22"/>
          <w:lang w:val="es-US"/>
        </w:rPr>
        <w:t>En su informe de seguimiento de 17 de junio</w:t>
      </w:r>
      <w:r w:rsidR="00E70E37" w:rsidRPr="00FA6DBD">
        <w:rPr>
          <w:rFonts w:asciiTheme="minorHAnsi" w:hAnsiTheme="minorHAnsi"/>
          <w:color w:val="000000"/>
          <w:sz w:val="22"/>
          <w:szCs w:val="22"/>
          <w:lang w:val="es-US"/>
        </w:rPr>
        <w:t xml:space="preserve"> de 2020</w:t>
      </w:r>
      <w:r w:rsidRPr="00FA6DBD">
        <w:rPr>
          <w:rFonts w:asciiTheme="minorHAnsi" w:hAnsiTheme="minorHAnsi"/>
          <w:color w:val="000000"/>
          <w:sz w:val="22"/>
          <w:szCs w:val="22"/>
          <w:lang w:val="es-US"/>
        </w:rPr>
        <w:t xml:space="preserve">, </w:t>
      </w:r>
      <w:r w:rsidR="000F1CBA" w:rsidRPr="00FA6DBD">
        <w:rPr>
          <w:rFonts w:asciiTheme="minorHAnsi" w:hAnsiTheme="minorHAnsi"/>
          <w:color w:val="000000"/>
          <w:sz w:val="22"/>
          <w:szCs w:val="22"/>
          <w:lang w:val="es-US"/>
        </w:rPr>
        <w:t>el Estado</w:t>
      </w:r>
      <w:bookmarkStart w:id="0" w:name="_GoBack"/>
      <w:bookmarkEnd w:id="0"/>
      <w:r w:rsidR="000F1CBA" w:rsidRPr="00FA6DBD">
        <w:rPr>
          <w:rFonts w:asciiTheme="minorHAnsi" w:hAnsiTheme="minorHAnsi"/>
          <w:color w:val="000000"/>
          <w:sz w:val="22"/>
          <w:szCs w:val="22"/>
          <w:lang w:val="es-US"/>
        </w:rPr>
        <w:t xml:space="preserve"> mexicano cita</w:t>
      </w:r>
      <w:r w:rsidRPr="00FA6DBD">
        <w:rPr>
          <w:rFonts w:asciiTheme="minorHAnsi" w:hAnsiTheme="minorHAnsi"/>
          <w:color w:val="000000"/>
          <w:sz w:val="22"/>
          <w:szCs w:val="22"/>
          <w:lang w:val="es-US"/>
        </w:rPr>
        <w:t xml:space="preserve"> diversos pronunciamientos realizados por funcionarios y funcionarias de alto nivel del gobierno federal. </w:t>
      </w:r>
      <w:r w:rsidR="001C55E2" w:rsidRPr="00FA6DBD">
        <w:rPr>
          <w:rFonts w:asciiTheme="minorHAnsi" w:hAnsiTheme="minorHAnsi"/>
          <w:color w:val="000000"/>
          <w:sz w:val="22"/>
          <w:szCs w:val="22"/>
          <w:lang w:val="es-US"/>
        </w:rPr>
        <w:t>V</w:t>
      </w:r>
      <w:r w:rsidRPr="00FA6DBD">
        <w:rPr>
          <w:rFonts w:asciiTheme="minorHAnsi" w:hAnsiTheme="minorHAnsi"/>
          <w:color w:val="000000"/>
          <w:sz w:val="22"/>
          <w:szCs w:val="22"/>
          <w:lang w:val="es-US"/>
        </w:rPr>
        <w:t>aloramos dichos pronunciamientos</w:t>
      </w:r>
      <w:r w:rsidR="001C55E2" w:rsidRPr="00FA6DBD">
        <w:rPr>
          <w:rFonts w:asciiTheme="minorHAnsi" w:hAnsiTheme="minorHAnsi"/>
          <w:color w:val="000000"/>
          <w:sz w:val="22"/>
          <w:szCs w:val="22"/>
          <w:lang w:val="es-US"/>
        </w:rPr>
        <w:t xml:space="preserve"> como pasos positivos</w:t>
      </w:r>
      <w:r w:rsidR="001D4649" w:rsidRPr="00FA6DBD">
        <w:rPr>
          <w:rFonts w:asciiTheme="minorHAnsi" w:hAnsiTheme="minorHAnsi"/>
          <w:color w:val="000000"/>
          <w:sz w:val="22"/>
          <w:szCs w:val="22"/>
          <w:lang w:val="es-US"/>
        </w:rPr>
        <w:t xml:space="preserve"> en el cumplimiento de la recomendación</w:t>
      </w:r>
      <w:r w:rsidR="001C55E2" w:rsidRPr="00FA6DBD">
        <w:rPr>
          <w:rFonts w:asciiTheme="minorHAnsi" w:hAnsiTheme="minorHAnsi"/>
          <w:color w:val="000000"/>
          <w:sz w:val="22"/>
          <w:szCs w:val="22"/>
          <w:lang w:val="es-US"/>
        </w:rPr>
        <w:t>.</w:t>
      </w:r>
    </w:p>
    <w:p w14:paraId="13E08265" w14:textId="388EF73E" w:rsidR="009A4A4E" w:rsidRDefault="001C55E2" w:rsidP="00FA6DBD">
      <w:pPr>
        <w:pStyle w:val="NormalWeb"/>
        <w:jc w:val="both"/>
        <w:rPr>
          <w:rFonts w:asciiTheme="minorHAnsi" w:hAnsiTheme="minorHAnsi"/>
          <w:color w:val="000000"/>
          <w:sz w:val="22"/>
          <w:szCs w:val="22"/>
          <w:lang w:val="es-US"/>
        </w:rPr>
      </w:pPr>
      <w:r w:rsidRPr="00FA6DBD">
        <w:rPr>
          <w:rFonts w:asciiTheme="minorHAnsi" w:hAnsiTheme="minorHAnsi"/>
          <w:color w:val="000000"/>
          <w:sz w:val="22"/>
          <w:szCs w:val="22"/>
          <w:lang w:val="es-US"/>
        </w:rPr>
        <w:t>Al margen de lo anterior</w:t>
      </w:r>
      <w:r w:rsidR="009A4A4E" w:rsidRPr="00FA6DBD">
        <w:rPr>
          <w:rFonts w:asciiTheme="minorHAnsi" w:hAnsiTheme="minorHAnsi"/>
          <w:color w:val="000000"/>
          <w:sz w:val="22"/>
          <w:szCs w:val="22"/>
          <w:lang w:val="es-US"/>
        </w:rPr>
        <w:t xml:space="preserve">, hacemos notar nuestra preocupación por los pronunciamientos del Fiscal General de la República, quien </w:t>
      </w:r>
      <w:r w:rsidR="00772D46" w:rsidRPr="00FA6DBD">
        <w:rPr>
          <w:rFonts w:asciiTheme="minorHAnsi" w:hAnsiTheme="minorHAnsi"/>
          <w:color w:val="000000"/>
          <w:sz w:val="22"/>
          <w:szCs w:val="22"/>
          <w:lang w:val="es-US"/>
        </w:rPr>
        <w:t>ha expresado en diferentes ocasiones que proteger los derechos humanos de las personas acusadas causa impunidad</w:t>
      </w:r>
      <w:r w:rsidR="000F1CBA" w:rsidRPr="00FA6DBD">
        <w:rPr>
          <w:rFonts w:asciiTheme="minorHAnsi" w:hAnsiTheme="minorHAnsi"/>
          <w:color w:val="000000"/>
          <w:sz w:val="22"/>
          <w:szCs w:val="22"/>
          <w:lang w:val="es-US"/>
        </w:rPr>
        <w:t xml:space="preserve">, </w:t>
      </w:r>
      <w:r w:rsidR="00772D46" w:rsidRPr="00FA6DBD">
        <w:rPr>
          <w:rFonts w:asciiTheme="minorHAnsi" w:hAnsiTheme="minorHAnsi"/>
          <w:color w:val="000000"/>
          <w:sz w:val="22"/>
          <w:szCs w:val="22"/>
          <w:lang w:val="es-US"/>
        </w:rPr>
        <w:t xml:space="preserve">hasta pretendiendo culpar </w:t>
      </w:r>
      <w:r w:rsidR="001D4649" w:rsidRPr="00FA6DBD">
        <w:rPr>
          <w:rFonts w:asciiTheme="minorHAnsi" w:hAnsiTheme="minorHAnsi"/>
          <w:color w:val="000000"/>
          <w:sz w:val="22"/>
          <w:szCs w:val="22"/>
          <w:lang w:val="es-US"/>
        </w:rPr>
        <w:t>a</w:t>
      </w:r>
      <w:r w:rsidR="00120670" w:rsidRPr="00FA6DBD">
        <w:rPr>
          <w:rFonts w:asciiTheme="minorHAnsi" w:hAnsiTheme="minorHAnsi"/>
          <w:color w:val="000000"/>
          <w:sz w:val="22"/>
          <w:szCs w:val="22"/>
          <w:lang w:val="es-US"/>
        </w:rPr>
        <w:t xml:space="preserve">l Nuevo Sistema de Justicia Penal </w:t>
      </w:r>
      <w:r w:rsidR="00772D46" w:rsidRPr="00FA6DBD">
        <w:rPr>
          <w:rFonts w:asciiTheme="minorHAnsi" w:hAnsiTheme="minorHAnsi"/>
          <w:color w:val="000000"/>
          <w:sz w:val="22"/>
          <w:szCs w:val="22"/>
          <w:lang w:val="es-US"/>
        </w:rPr>
        <w:t>por</w:t>
      </w:r>
      <w:r w:rsidR="000F1CBA" w:rsidRPr="00FA6DBD">
        <w:rPr>
          <w:rFonts w:asciiTheme="minorHAnsi" w:hAnsiTheme="minorHAnsi"/>
          <w:color w:val="000000"/>
          <w:sz w:val="22"/>
          <w:szCs w:val="22"/>
          <w:lang w:val="es-US"/>
        </w:rPr>
        <w:t xml:space="preserve"> una</w:t>
      </w:r>
      <w:r w:rsidR="00772D46" w:rsidRPr="00FA6DBD">
        <w:rPr>
          <w:rFonts w:asciiTheme="minorHAnsi" w:hAnsiTheme="minorHAnsi"/>
          <w:color w:val="000000"/>
          <w:sz w:val="22"/>
          <w:szCs w:val="22"/>
          <w:lang w:val="es-US"/>
        </w:rPr>
        <w:t xml:space="preserve"> tasa de impunidad que ya prevalecía antes de la vigencia </w:t>
      </w:r>
      <w:r w:rsidR="00120670" w:rsidRPr="00FA6DBD">
        <w:rPr>
          <w:rFonts w:asciiTheme="minorHAnsi" w:hAnsiTheme="minorHAnsi"/>
          <w:color w:val="000000"/>
          <w:sz w:val="22"/>
          <w:szCs w:val="22"/>
          <w:lang w:val="es-US"/>
        </w:rPr>
        <w:t>de dicho sistema</w:t>
      </w:r>
      <w:r w:rsidR="00772D46" w:rsidRPr="00FA6DBD">
        <w:rPr>
          <w:rStyle w:val="FootnoteReference"/>
          <w:rFonts w:asciiTheme="minorHAnsi" w:hAnsiTheme="minorHAnsi"/>
          <w:color w:val="000000"/>
          <w:sz w:val="22"/>
          <w:szCs w:val="22"/>
          <w:lang w:val="es-US"/>
        </w:rPr>
        <w:footnoteReference w:id="1"/>
      </w:r>
      <w:r w:rsidR="00772D46" w:rsidRPr="00FA6DBD">
        <w:rPr>
          <w:rFonts w:asciiTheme="minorHAnsi" w:hAnsiTheme="minorHAnsi"/>
          <w:color w:val="000000"/>
          <w:sz w:val="22"/>
          <w:szCs w:val="22"/>
          <w:lang w:val="es-US"/>
        </w:rPr>
        <w:t xml:space="preserve">. </w:t>
      </w:r>
      <w:r w:rsidR="000F1CBA" w:rsidRPr="00FA6DBD">
        <w:rPr>
          <w:rFonts w:asciiTheme="minorHAnsi" w:hAnsiTheme="minorHAnsi"/>
          <w:color w:val="000000"/>
          <w:sz w:val="22"/>
          <w:szCs w:val="22"/>
          <w:lang w:val="es-US"/>
        </w:rPr>
        <w:t>Esta</w:t>
      </w:r>
      <w:r w:rsidR="001D4649" w:rsidRPr="00FA6DBD">
        <w:rPr>
          <w:rFonts w:asciiTheme="minorHAnsi" w:hAnsiTheme="minorHAnsi"/>
          <w:color w:val="000000"/>
          <w:sz w:val="22"/>
          <w:szCs w:val="22"/>
          <w:lang w:val="es-US"/>
        </w:rPr>
        <w:t>s</w:t>
      </w:r>
      <w:r w:rsidR="000F1CBA" w:rsidRPr="00FA6DBD">
        <w:rPr>
          <w:rFonts w:asciiTheme="minorHAnsi" w:hAnsiTheme="minorHAnsi"/>
          <w:color w:val="000000"/>
          <w:sz w:val="22"/>
          <w:szCs w:val="22"/>
          <w:lang w:val="es-US"/>
        </w:rPr>
        <w:t xml:space="preserve"> misma</w:t>
      </w:r>
      <w:r w:rsidR="001D4649" w:rsidRPr="00FA6DBD">
        <w:rPr>
          <w:rFonts w:asciiTheme="minorHAnsi" w:hAnsiTheme="minorHAnsi"/>
          <w:color w:val="000000"/>
          <w:sz w:val="22"/>
          <w:szCs w:val="22"/>
          <w:lang w:val="es-US"/>
        </w:rPr>
        <w:t>s</w:t>
      </w:r>
      <w:r w:rsidR="000F1CBA" w:rsidRPr="00FA6DBD">
        <w:rPr>
          <w:rFonts w:asciiTheme="minorHAnsi" w:hAnsiTheme="minorHAnsi"/>
          <w:color w:val="000000"/>
          <w:sz w:val="22"/>
          <w:szCs w:val="22"/>
          <w:lang w:val="es-US"/>
        </w:rPr>
        <w:t xml:space="preserve"> idea</w:t>
      </w:r>
      <w:r w:rsidR="001D4649" w:rsidRPr="00FA6DBD">
        <w:rPr>
          <w:rFonts w:asciiTheme="minorHAnsi" w:hAnsiTheme="minorHAnsi"/>
          <w:color w:val="000000"/>
          <w:sz w:val="22"/>
          <w:szCs w:val="22"/>
          <w:lang w:val="es-US"/>
        </w:rPr>
        <w:t>s</w:t>
      </w:r>
      <w:r w:rsidR="000F1CBA" w:rsidRPr="00FA6DBD">
        <w:rPr>
          <w:rFonts w:asciiTheme="minorHAnsi" w:hAnsiTheme="minorHAnsi"/>
          <w:color w:val="000000"/>
          <w:sz w:val="22"/>
          <w:szCs w:val="22"/>
          <w:lang w:val="es-US"/>
        </w:rPr>
        <w:t xml:space="preserve"> </w:t>
      </w:r>
      <w:r w:rsidR="00826260" w:rsidRPr="00FA6DBD">
        <w:rPr>
          <w:rFonts w:asciiTheme="minorHAnsi" w:hAnsiTheme="minorHAnsi"/>
          <w:color w:val="000000"/>
          <w:sz w:val="22"/>
          <w:szCs w:val="22"/>
          <w:lang w:val="es-US"/>
        </w:rPr>
        <w:t>se ve</w:t>
      </w:r>
      <w:r w:rsidR="001D4649" w:rsidRPr="00FA6DBD">
        <w:rPr>
          <w:rFonts w:asciiTheme="minorHAnsi" w:hAnsiTheme="minorHAnsi"/>
          <w:color w:val="000000"/>
          <w:sz w:val="22"/>
          <w:szCs w:val="22"/>
          <w:lang w:val="es-US"/>
        </w:rPr>
        <w:t>n</w:t>
      </w:r>
      <w:r w:rsidR="00826260" w:rsidRPr="00FA6DBD">
        <w:rPr>
          <w:rFonts w:asciiTheme="minorHAnsi" w:hAnsiTheme="minorHAnsi"/>
          <w:color w:val="000000"/>
          <w:sz w:val="22"/>
          <w:szCs w:val="22"/>
          <w:lang w:val="es-US"/>
        </w:rPr>
        <w:t xml:space="preserve"> reflejada</w:t>
      </w:r>
      <w:r w:rsidR="001D4649" w:rsidRPr="00FA6DBD">
        <w:rPr>
          <w:rFonts w:asciiTheme="minorHAnsi" w:hAnsiTheme="minorHAnsi"/>
          <w:color w:val="000000"/>
          <w:sz w:val="22"/>
          <w:szCs w:val="22"/>
          <w:lang w:val="es-US"/>
        </w:rPr>
        <w:t>s</w:t>
      </w:r>
      <w:r w:rsidR="00826260" w:rsidRPr="00FA6DBD">
        <w:rPr>
          <w:rFonts w:asciiTheme="minorHAnsi" w:hAnsiTheme="minorHAnsi"/>
          <w:color w:val="000000"/>
          <w:sz w:val="22"/>
          <w:szCs w:val="22"/>
          <w:lang w:val="es-US"/>
        </w:rPr>
        <w:t xml:space="preserve"> en un proyecto de contrarreforma </w:t>
      </w:r>
      <w:r w:rsidR="000F1CBA" w:rsidRPr="00FA6DBD">
        <w:rPr>
          <w:rFonts w:asciiTheme="minorHAnsi" w:hAnsiTheme="minorHAnsi"/>
          <w:color w:val="000000"/>
          <w:sz w:val="22"/>
          <w:szCs w:val="22"/>
          <w:lang w:val="es-US"/>
        </w:rPr>
        <w:t>legislativa</w:t>
      </w:r>
      <w:r w:rsidR="00826260" w:rsidRPr="00FA6DBD">
        <w:rPr>
          <w:rFonts w:asciiTheme="minorHAnsi" w:hAnsiTheme="minorHAnsi"/>
          <w:color w:val="000000"/>
          <w:sz w:val="22"/>
          <w:szCs w:val="22"/>
          <w:lang w:val="es-US"/>
        </w:rPr>
        <w:t xml:space="preserve"> que se filtró desde la Fiscalía a principios de 2020 y que suscitó </w:t>
      </w:r>
      <w:r w:rsidR="00557161" w:rsidRPr="00FA6DBD">
        <w:rPr>
          <w:rFonts w:asciiTheme="minorHAnsi" w:hAnsiTheme="minorHAnsi"/>
          <w:color w:val="000000"/>
          <w:sz w:val="22"/>
          <w:szCs w:val="22"/>
          <w:lang w:val="es-US"/>
        </w:rPr>
        <w:t>la</w:t>
      </w:r>
      <w:r w:rsidR="00826260" w:rsidRPr="00FA6DBD">
        <w:rPr>
          <w:rFonts w:asciiTheme="minorHAnsi" w:hAnsiTheme="minorHAnsi"/>
          <w:color w:val="000000"/>
          <w:sz w:val="22"/>
          <w:szCs w:val="22"/>
          <w:lang w:val="es-US"/>
        </w:rPr>
        <w:t xml:space="preserve"> preocupación de diversos actores</w:t>
      </w:r>
      <w:r w:rsidR="0099532E" w:rsidRPr="00FA6DBD">
        <w:rPr>
          <w:rFonts w:asciiTheme="minorHAnsi" w:hAnsiTheme="minorHAnsi"/>
          <w:color w:val="000000"/>
          <w:sz w:val="22"/>
          <w:szCs w:val="22"/>
          <w:lang w:val="es-US"/>
        </w:rPr>
        <w:t xml:space="preserve"> </w:t>
      </w:r>
      <w:r w:rsidR="00557161" w:rsidRPr="00FA6DBD">
        <w:rPr>
          <w:rFonts w:asciiTheme="minorHAnsi" w:hAnsiTheme="minorHAnsi"/>
          <w:color w:val="000000"/>
          <w:sz w:val="22"/>
          <w:szCs w:val="22"/>
          <w:lang w:val="es-US"/>
        </w:rPr>
        <w:t xml:space="preserve">nacionales e internacionales </w:t>
      </w:r>
      <w:r w:rsidR="000F1CBA" w:rsidRPr="00FA6DBD">
        <w:rPr>
          <w:rFonts w:asciiTheme="minorHAnsi" w:hAnsiTheme="minorHAnsi"/>
          <w:color w:val="000000"/>
          <w:sz w:val="22"/>
          <w:szCs w:val="22"/>
          <w:lang w:val="es-US"/>
        </w:rPr>
        <w:t>por</w:t>
      </w:r>
      <w:r w:rsidR="0099532E" w:rsidRPr="00FA6DBD">
        <w:rPr>
          <w:rFonts w:asciiTheme="minorHAnsi" w:hAnsiTheme="minorHAnsi"/>
          <w:color w:val="000000"/>
          <w:sz w:val="22"/>
          <w:szCs w:val="22"/>
          <w:lang w:val="es-US"/>
        </w:rPr>
        <w:t xml:space="preserve"> representar una propuesta regresiva que </w:t>
      </w:r>
      <w:r w:rsidR="00A15375" w:rsidRPr="00FA6DBD">
        <w:rPr>
          <w:rFonts w:asciiTheme="minorHAnsi" w:hAnsiTheme="minorHAnsi"/>
          <w:color w:val="000000"/>
          <w:sz w:val="22"/>
          <w:szCs w:val="22"/>
          <w:lang w:val="es-US"/>
        </w:rPr>
        <w:t>buscaba permitir</w:t>
      </w:r>
      <w:r w:rsidR="0099532E" w:rsidRPr="00FA6DBD">
        <w:rPr>
          <w:rFonts w:asciiTheme="minorHAnsi" w:hAnsiTheme="minorHAnsi"/>
          <w:color w:val="000000"/>
          <w:sz w:val="22"/>
          <w:szCs w:val="22"/>
          <w:lang w:val="es-US"/>
        </w:rPr>
        <w:t>, entre otros, el uso de pruebas ilícitas</w:t>
      </w:r>
      <w:r w:rsidRPr="00FA6DBD">
        <w:rPr>
          <w:rStyle w:val="FootnoteReference"/>
          <w:rFonts w:asciiTheme="minorHAnsi" w:hAnsiTheme="minorHAnsi"/>
          <w:color w:val="000000"/>
          <w:sz w:val="22"/>
          <w:szCs w:val="22"/>
          <w:lang w:val="es-US"/>
        </w:rPr>
        <w:footnoteReference w:id="2"/>
      </w:r>
      <w:r w:rsidR="00826260" w:rsidRPr="00FA6DBD">
        <w:rPr>
          <w:rFonts w:asciiTheme="minorHAnsi" w:hAnsiTheme="minorHAnsi"/>
          <w:color w:val="000000"/>
          <w:sz w:val="22"/>
          <w:szCs w:val="22"/>
          <w:lang w:val="es-US"/>
        </w:rPr>
        <w:t>.</w:t>
      </w:r>
    </w:p>
    <w:p w14:paraId="5FAFD552" w14:textId="35820CAC" w:rsidR="00017A76" w:rsidRPr="00FA6DBD" w:rsidRDefault="00882AD2" w:rsidP="00FA6DBD">
      <w:pPr>
        <w:pStyle w:val="NormalWeb"/>
        <w:jc w:val="both"/>
        <w:rPr>
          <w:rFonts w:asciiTheme="minorHAnsi" w:hAnsiTheme="minorHAnsi"/>
          <w:color w:val="000000"/>
          <w:sz w:val="22"/>
          <w:szCs w:val="22"/>
          <w:lang w:val="es-US"/>
        </w:rPr>
      </w:pPr>
      <w:r>
        <w:rPr>
          <w:rFonts w:asciiTheme="minorHAnsi" w:hAnsiTheme="minorHAnsi"/>
          <w:color w:val="000000"/>
          <w:sz w:val="22"/>
          <w:szCs w:val="22"/>
          <w:lang w:val="es-US"/>
        </w:rPr>
        <w:t>Adiciona</w:t>
      </w:r>
      <w:r w:rsidR="00017A76">
        <w:rPr>
          <w:rFonts w:asciiTheme="minorHAnsi" w:hAnsiTheme="minorHAnsi"/>
          <w:color w:val="000000"/>
          <w:sz w:val="22"/>
          <w:szCs w:val="22"/>
          <w:lang w:val="es-US"/>
        </w:rPr>
        <w:t>lmente</w:t>
      </w:r>
      <w:r>
        <w:rPr>
          <w:rFonts w:asciiTheme="minorHAnsi" w:hAnsiTheme="minorHAnsi"/>
          <w:color w:val="000000"/>
          <w:sz w:val="22"/>
          <w:szCs w:val="22"/>
          <w:lang w:val="es-US"/>
        </w:rPr>
        <w:t>,</w:t>
      </w:r>
      <w:r w:rsidR="00017A76">
        <w:rPr>
          <w:rFonts w:asciiTheme="minorHAnsi" w:hAnsiTheme="minorHAnsi"/>
          <w:color w:val="000000"/>
          <w:sz w:val="22"/>
          <w:szCs w:val="22"/>
          <w:lang w:val="es-US"/>
        </w:rPr>
        <w:t xml:space="preserve"> preocupan las recientes declaraciones del Presidente López Obrador en las que asegura que, en lo que va de su administración, “</w:t>
      </w:r>
      <w:r w:rsidR="00017A76" w:rsidRPr="00017A76">
        <w:rPr>
          <w:rFonts w:asciiTheme="minorHAnsi" w:hAnsiTheme="minorHAnsi"/>
          <w:color w:val="000000"/>
          <w:sz w:val="22"/>
          <w:szCs w:val="22"/>
          <w:lang w:val="es-US"/>
        </w:rPr>
        <w:t xml:space="preserve">Se eliminó la tortura y otras </w:t>
      </w:r>
      <w:r w:rsidR="00017A76" w:rsidRPr="00017A76">
        <w:rPr>
          <w:rFonts w:asciiTheme="minorHAnsi" w:hAnsiTheme="minorHAnsi"/>
          <w:color w:val="000000"/>
          <w:sz w:val="22"/>
          <w:szCs w:val="22"/>
          <w:lang w:val="es-US"/>
        </w:rPr>
        <w:lastRenderedPageBreak/>
        <w:t>violaciones a los derechos humanos</w:t>
      </w:r>
      <w:r w:rsidR="00017A76">
        <w:rPr>
          <w:rFonts w:asciiTheme="minorHAnsi" w:hAnsiTheme="minorHAnsi"/>
          <w:color w:val="000000"/>
          <w:sz w:val="22"/>
          <w:szCs w:val="22"/>
          <w:lang w:val="es-US"/>
        </w:rPr>
        <w:t>”</w:t>
      </w:r>
      <w:r w:rsidR="00017A76">
        <w:rPr>
          <w:rStyle w:val="FootnoteReference"/>
          <w:rFonts w:asciiTheme="minorHAnsi" w:hAnsiTheme="minorHAnsi"/>
          <w:color w:val="000000"/>
          <w:sz w:val="22"/>
          <w:szCs w:val="22"/>
          <w:lang w:val="es-US"/>
        </w:rPr>
        <w:footnoteReference w:id="3"/>
      </w:r>
      <w:r w:rsidR="00017A76">
        <w:rPr>
          <w:rFonts w:asciiTheme="minorHAnsi" w:hAnsiTheme="minorHAnsi"/>
          <w:color w:val="000000"/>
          <w:sz w:val="22"/>
          <w:szCs w:val="22"/>
          <w:lang w:val="es-US"/>
        </w:rPr>
        <w:t>.</w:t>
      </w:r>
      <w:r w:rsidR="00C01720">
        <w:rPr>
          <w:rFonts w:asciiTheme="minorHAnsi" w:hAnsiTheme="minorHAnsi"/>
          <w:color w:val="000000"/>
          <w:sz w:val="22"/>
          <w:szCs w:val="22"/>
          <w:lang w:val="es-US"/>
        </w:rPr>
        <w:t xml:space="preserve"> </w:t>
      </w:r>
      <w:r>
        <w:rPr>
          <w:rFonts w:asciiTheme="minorHAnsi" w:hAnsiTheme="minorHAnsi"/>
          <w:color w:val="000000"/>
          <w:sz w:val="22"/>
          <w:szCs w:val="22"/>
          <w:lang w:val="es-US"/>
        </w:rPr>
        <w:t>E</w:t>
      </w:r>
      <w:r w:rsidR="00C01720">
        <w:rPr>
          <w:rFonts w:asciiTheme="minorHAnsi" w:hAnsiTheme="minorHAnsi"/>
          <w:color w:val="000000"/>
          <w:sz w:val="22"/>
          <w:szCs w:val="22"/>
          <w:lang w:val="es-US"/>
        </w:rPr>
        <w:t>n los hechos, sigue habiendo casos de tortura</w:t>
      </w:r>
      <w:r>
        <w:rPr>
          <w:rFonts w:asciiTheme="minorHAnsi" w:hAnsiTheme="minorHAnsi"/>
          <w:color w:val="000000"/>
          <w:sz w:val="22"/>
          <w:szCs w:val="22"/>
          <w:lang w:val="es-US"/>
        </w:rPr>
        <w:t xml:space="preserve"> </w:t>
      </w:r>
      <w:r w:rsidR="00C01720">
        <w:rPr>
          <w:rFonts w:asciiTheme="minorHAnsi" w:hAnsiTheme="minorHAnsi"/>
          <w:color w:val="000000"/>
          <w:sz w:val="22"/>
          <w:szCs w:val="22"/>
          <w:lang w:val="es-US"/>
        </w:rPr>
        <w:t xml:space="preserve">cometida por fuerzas federales </w:t>
      </w:r>
      <w:r w:rsidR="002C3C0C">
        <w:rPr>
          <w:rFonts w:asciiTheme="minorHAnsi" w:hAnsiTheme="minorHAnsi"/>
          <w:color w:val="000000"/>
          <w:sz w:val="22"/>
          <w:szCs w:val="22"/>
          <w:lang w:val="es-US"/>
        </w:rPr>
        <w:t>en</w:t>
      </w:r>
      <w:r w:rsidR="00C01720">
        <w:rPr>
          <w:rFonts w:asciiTheme="minorHAnsi" w:hAnsiTheme="minorHAnsi"/>
          <w:color w:val="000000"/>
          <w:sz w:val="22"/>
          <w:szCs w:val="22"/>
          <w:lang w:val="es-US"/>
        </w:rPr>
        <w:t xml:space="preserve"> la actual administración</w:t>
      </w:r>
      <w:r>
        <w:rPr>
          <w:rStyle w:val="FootnoteReference"/>
          <w:rFonts w:asciiTheme="minorHAnsi" w:hAnsiTheme="minorHAnsi"/>
          <w:color w:val="000000"/>
          <w:sz w:val="22"/>
          <w:szCs w:val="22"/>
          <w:lang w:val="es-US"/>
        </w:rPr>
        <w:footnoteReference w:id="4"/>
      </w:r>
      <w:r w:rsidR="00C01720">
        <w:rPr>
          <w:rFonts w:asciiTheme="minorHAnsi" w:hAnsiTheme="minorHAnsi"/>
          <w:color w:val="000000"/>
          <w:sz w:val="22"/>
          <w:szCs w:val="22"/>
          <w:lang w:val="es-US"/>
        </w:rPr>
        <w:t>.</w:t>
      </w:r>
    </w:p>
    <w:p w14:paraId="390F056F" w14:textId="6BA0938B" w:rsidR="001C55E2" w:rsidRPr="00FA6DBD" w:rsidRDefault="001C55E2" w:rsidP="00FA6DBD">
      <w:pPr>
        <w:pStyle w:val="NormalWeb"/>
        <w:jc w:val="both"/>
        <w:rPr>
          <w:rFonts w:asciiTheme="minorHAnsi" w:hAnsiTheme="minorHAnsi"/>
          <w:color w:val="000000"/>
          <w:sz w:val="22"/>
          <w:szCs w:val="22"/>
          <w:lang w:val="es-US"/>
        </w:rPr>
      </w:pPr>
      <w:r w:rsidRPr="00FA6DBD">
        <w:rPr>
          <w:rFonts w:asciiTheme="minorHAnsi" w:hAnsiTheme="minorHAnsi"/>
          <w:color w:val="000000"/>
          <w:sz w:val="22"/>
          <w:szCs w:val="22"/>
          <w:lang w:val="es-US"/>
        </w:rPr>
        <w:t>Por otro lado, lamentamos la falta de ejemplos de pronunciamientos anti-tortura por funcionarios y funcionarias estatales, considerando que la mayoría de casos de tortura ocurren en el fuero estatal.</w:t>
      </w:r>
    </w:p>
    <w:p w14:paraId="286A2BB5" w14:textId="1D519CEB" w:rsidR="0060087E" w:rsidRPr="00FA6DBD" w:rsidRDefault="0060087E" w:rsidP="00FA6DBD">
      <w:pPr>
        <w:pStyle w:val="NormalWeb"/>
        <w:jc w:val="both"/>
        <w:rPr>
          <w:rFonts w:asciiTheme="minorHAnsi" w:hAnsiTheme="minorHAnsi"/>
          <w:b/>
          <w:bCs/>
          <w:color w:val="000000"/>
          <w:sz w:val="22"/>
          <w:szCs w:val="22"/>
          <w:lang w:val="es-US"/>
        </w:rPr>
      </w:pPr>
      <w:r w:rsidRPr="00FA6DBD">
        <w:rPr>
          <w:rFonts w:asciiTheme="minorHAnsi" w:hAnsiTheme="minorHAnsi"/>
          <w:b/>
          <w:bCs/>
          <w:color w:val="000000"/>
          <w:sz w:val="22"/>
          <w:szCs w:val="22"/>
          <w:lang w:val="es-US"/>
        </w:rPr>
        <w:t>b) Garantizar la realización periódica de la Encuesta Nacional de Población Privada de la Libertad y la publicación de sus resultados.</w:t>
      </w:r>
    </w:p>
    <w:p w14:paraId="1983335A" w14:textId="062FCBBF" w:rsidR="0060087E" w:rsidRPr="00FA6DBD" w:rsidRDefault="00D61D0E" w:rsidP="00FA6DBD">
      <w:pPr>
        <w:pStyle w:val="NormalWeb"/>
        <w:jc w:val="both"/>
        <w:rPr>
          <w:rFonts w:asciiTheme="minorHAnsi" w:hAnsiTheme="minorHAnsi"/>
          <w:color w:val="000000"/>
          <w:sz w:val="22"/>
          <w:szCs w:val="22"/>
          <w:lang w:val="es-US"/>
        </w:rPr>
      </w:pPr>
      <w:r w:rsidRPr="00FA6DBD">
        <w:rPr>
          <w:rFonts w:asciiTheme="minorHAnsi" w:hAnsiTheme="minorHAnsi"/>
          <w:color w:val="000000"/>
          <w:sz w:val="22"/>
          <w:szCs w:val="22"/>
          <w:lang w:val="es-US"/>
        </w:rPr>
        <w:t xml:space="preserve">El Estado informa que la realización de la Encuesta Nacional de Población Privada de la Libertad </w:t>
      </w:r>
      <w:r w:rsidR="00DD1893" w:rsidRPr="00FA6DBD">
        <w:rPr>
          <w:rFonts w:asciiTheme="minorHAnsi" w:hAnsiTheme="minorHAnsi"/>
          <w:color w:val="000000"/>
          <w:sz w:val="22"/>
          <w:szCs w:val="22"/>
          <w:lang w:val="es-US"/>
        </w:rPr>
        <w:t>(</w:t>
      </w:r>
      <w:r w:rsidRPr="00FA6DBD">
        <w:rPr>
          <w:rFonts w:asciiTheme="minorHAnsi" w:hAnsiTheme="minorHAnsi"/>
          <w:color w:val="000000"/>
          <w:sz w:val="22"/>
          <w:szCs w:val="22"/>
          <w:lang w:val="es-US"/>
        </w:rPr>
        <w:t>ENPOL</w:t>
      </w:r>
      <w:r w:rsidR="00DD1893" w:rsidRPr="00FA6DBD">
        <w:rPr>
          <w:rFonts w:asciiTheme="minorHAnsi" w:hAnsiTheme="minorHAnsi"/>
          <w:color w:val="000000"/>
          <w:sz w:val="22"/>
          <w:szCs w:val="22"/>
          <w:lang w:val="es-US"/>
        </w:rPr>
        <w:t>)</w:t>
      </w:r>
      <w:r w:rsidRPr="00FA6DBD">
        <w:rPr>
          <w:rFonts w:asciiTheme="minorHAnsi" w:hAnsiTheme="minorHAnsi"/>
          <w:color w:val="000000"/>
          <w:sz w:val="22"/>
          <w:szCs w:val="22"/>
          <w:lang w:val="es-US"/>
        </w:rPr>
        <w:t xml:space="preserve"> depende del presupuesto del </w:t>
      </w:r>
      <w:r w:rsidRPr="00FA6DBD">
        <w:rPr>
          <w:rFonts w:asciiTheme="minorHAnsi" w:hAnsiTheme="minorHAnsi"/>
          <w:color w:val="000000"/>
          <w:sz w:val="22"/>
          <w:szCs w:val="22"/>
          <w:lang w:val="es-MX"/>
        </w:rPr>
        <w:t>Instituto Nacional de Estadística y Geografía (INEGI), “que debió ser reducido en 2019… como parte de las medidas de la política de austeridad que ha implementado la actual administración federal”</w:t>
      </w:r>
      <w:r w:rsidRPr="00FA6DBD">
        <w:rPr>
          <w:rStyle w:val="FootnoteReference"/>
          <w:rFonts w:asciiTheme="minorHAnsi" w:hAnsiTheme="minorHAnsi"/>
          <w:color w:val="000000"/>
          <w:sz w:val="22"/>
          <w:szCs w:val="22"/>
          <w:lang w:val="es-MX"/>
        </w:rPr>
        <w:footnoteReference w:id="5"/>
      </w:r>
      <w:r w:rsidRPr="00FA6DBD">
        <w:rPr>
          <w:rFonts w:asciiTheme="minorHAnsi" w:hAnsiTheme="minorHAnsi"/>
          <w:color w:val="000000"/>
          <w:sz w:val="22"/>
          <w:szCs w:val="22"/>
          <w:lang w:val="es-MX"/>
        </w:rPr>
        <w:t>. Así, independientemente de si el INEGI cuenta “con la información necesaria para llevar a cabo la ENPOL”</w:t>
      </w:r>
      <w:r w:rsidRPr="00FA6DBD">
        <w:rPr>
          <w:rStyle w:val="FootnoteReference"/>
          <w:rFonts w:asciiTheme="minorHAnsi" w:hAnsiTheme="minorHAnsi"/>
          <w:color w:val="000000"/>
          <w:sz w:val="22"/>
          <w:szCs w:val="22"/>
          <w:lang w:val="es-MX"/>
        </w:rPr>
        <w:footnoteReference w:id="6"/>
      </w:r>
      <w:r w:rsidRPr="00FA6DBD">
        <w:rPr>
          <w:rFonts w:asciiTheme="minorHAnsi" w:hAnsiTheme="minorHAnsi"/>
          <w:color w:val="000000"/>
          <w:sz w:val="22"/>
          <w:szCs w:val="22"/>
          <w:lang w:val="es-MX"/>
        </w:rPr>
        <w:t xml:space="preserve">, entendemos que </w:t>
      </w:r>
      <w:r w:rsidRPr="00FA6DBD">
        <w:rPr>
          <w:rFonts w:asciiTheme="minorHAnsi" w:hAnsiTheme="minorHAnsi"/>
          <w:i/>
          <w:iCs/>
          <w:color w:val="000000"/>
          <w:sz w:val="22"/>
          <w:szCs w:val="22"/>
          <w:lang w:val="es-MX"/>
        </w:rPr>
        <w:t>no</w:t>
      </w:r>
      <w:r w:rsidRPr="00FA6DBD">
        <w:rPr>
          <w:rFonts w:asciiTheme="minorHAnsi" w:hAnsiTheme="minorHAnsi"/>
          <w:color w:val="000000"/>
          <w:sz w:val="22"/>
          <w:szCs w:val="22"/>
          <w:lang w:val="es-MX"/>
        </w:rPr>
        <w:t xml:space="preserve"> </w:t>
      </w:r>
      <w:r w:rsidR="00DD1893" w:rsidRPr="00FA6DBD">
        <w:rPr>
          <w:rFonts w:asciiTheme="minorHAnsi" w:hAnsiTheme="minorHAnsi"/>
          <w:color w:val="000000"/>
          <w:sz w:val="22"/>
          <w:szCs w:val="22"/>
          <w:lang w:val="es-MX"/>
        </w:rPr>
        <w:t>cuenta</w:t>
      </w:r>
      <w:r w:rsidRPr="00FA6DBD">
        <w:rPr>
          <w:rFonts w:asciiTheme="minorHAnsi" w:hAnsiTheme="minorHAnsi"/>
          <w:color w:val="000000"/>
          <w:sz w:val="22"/>
          <w:szCs w:val="22"/>
          <w:lang w:val="es-MX"/>
        </w:rPr>
        <w:t xml:space="preserve"> con el prespuesto para hacerlo, con lo que no se cumple la recomendación del Comité.</w:t>
      </w:r>
    </w:p>
    <w:p w14:paraId="2969E9DD" w14:textId="77777777" w:rsidR="0060087E" w:rsidRPr="0060087E" w:rsidRDefault="0060087E" w:rsidP="00B37919">
      <w:pPr>
        <w:tabs>
          <w:tab w:val="left" w:pos="7088"/>
        </w:tabs>
        <w:jc w:val="both"/>
        <w:rPr>
          <w:rFonts w:asciiTheme="minorHAnsi" w:hAnsiTheme="minorHAnsi"/>
          <w:sz w:val="22"/>
          <w:szCs w:val="22"/>
          <w:lang w:val="es-US"/>
        </w:rPr>
      </w:pPr>
      <w:r w:rsidRPr="0060087E">
        <w:rPr>
          <w:rFonts w:asciiTheme="minorHAnsi" w:hAnsiTheme="minorHAnsi"/>
          <w:b/>
          <w:bCs/>
          <w:color w:val="000000"/>
          <w:sz w:val="22"/>
          <w:szCs w:val="22"/>
          <w:lang w:val="es-US"/>
        </w:rPr>
        <w:t>13. El Comité alienta al Estado parte a concluir la elaboración y aprobación del Programa Nacional para prevenir y sancionar la tortura y los malos tratos, así como de las partidas presupuestarias correspondientes, garantizando la participación de las organizaciones de la sociedad civil especializadas en la documentación de casos de tortura y/o acompañamiento de víctimas, de conformidad con lo dispuesto en el artículo 70 de la Ley General contra la Tortura.</w:t>
      </w:r>
    </w:p>
    <w:p w14:paraId="488C02B7" w14:textId="5F3D8E23" w:rsidR="0060087E" w:rsidRPr="00FA6DBD" w:rsidRDefault="0060087E" w:rsidP="00FA6DBD">
      <w:pPr>
        <w:jc w:val="both"/>
        <w:rPr>
          <w:rFonts w:asciiTheme="minorHAnsi" w:hAnsiTheme="minorHAnsi"/>
          <w:sz w:val="22"/>
          <w:szCs w:val="22"/>
          <w:lang w:val="es-US"/>
        </w:rPr>
      </w:pPr>
    </w:p>
    <w:p w14:paraId="5782C029" w14:textId="0422EC22" w:rsidR="0060087E" w:rsidRPr="00FA6DBD" w:rsidRDefault="00CE6842" w:rsidP="00FA6DBD">
      <w:pPr>
        <w:jc w:val="both"/>
        <w:rPr>
          <w:rFonts w:asciiTheme="minorHAnsi" w:hAnsiTheme="minorHAnsi"/>
          <w:sz w:val="22"/>
          <w:szCs w:val="22"/>
          <w:lang w:val="es-US"/>
        </w:rPr>
      </w:pPr>
      <w:r w:rsidRPr="00FA6DBD">
        <w:rPr>
          <w:rFonts w:asciiTheme="minorHAnsi" w:hAnsiTheme="minorHAnsi"/>
          <w:sz w:val="22"/>
          <w:szCs w:val="22"/>
          <w:lang w:val="es-US"/>
        </w:rPr>
        <w:t>El Estado brinda información sobre el proceso de elaboración del Programa Nacional y sobre su contenido. Mientras reconocemos el proceso participativo de consultas y construcción de los contenidos propuestos para el Programa Nacional, dicho Programa no ha sido publicado, ni podemos garantizar que los contenidos desarrollados con los insumos de la sociedad civil y otros actores sean los contenidos finales hasta que se publique</w:t>
      </w:r>
      <w:r w:rsidR="00FE070B">
        <w:rPr>
          <w:rFonts w:asciiTheme="minorHAnsi" w:hAnsiTheme="minorHAnsi"/>
          <w:sz w:val="22"/>
          <w:szCs w:val="22"/>
          <w:lang w:val="es-US"/>
        </w:rPr>
        <w:t>n</w:t>
      </w:r>
      <w:r w:rsidRPr="00FA6DBD">
        <w:rPr>
          <w:rFonts w:asciiTheme="minorHAnsi" w:hAnsiTheme="minorHAnsi"/>
          <w:sz w:val="22"/>
          <w:szCs w:val="22"/>
          <w:lang w:val="es-US"/>
        </w:rPr>
        <w:t xml:space="preserve">. Sin la publicación del Programa, éste no puede tener su impacto deseado en </w:t>
      </w:r>
      <w:r w:rsidR="00FA6DBD">
        <w:rPr>
          <w:rFonts w:asciiTheme="minorHAnsi" w:hAnsiTheme="minorHAnsi"/>
          <w:sz w:val="22"/>
          <w:szCs w:val="22"/>
          <w:lang w:val="es-US"/>
        </w:rPr>
        <w:t>el país</w:t>
      </w:r>
      <w:r w:rsidRPr="00FA6DBD">
        <w:rPr>
          <w:rFonts w:asciiTheme="minorHAnsi" w:hAnsiTheme="minorHAnsi"/>
          <w:sz w:val="22"/>
          <w:szCs w:val="22"/>
          <w:lang w:val="es-US"/>
        </w:rPr>
        <w:t xml:space="preserve"> (</w:t>
      </w:r>
      <w:r w:rsidR="00FE070B">
        <w:rPr>
          <w:rFonts w:asciiTheme="minorHAnsi" w:hAnsiTheme="minorHAnsi"/>
          <w:sz w:val="22"/>
          <w:szCs w:val="22"/>
          <w:lang w:val="es-US"/>
        </w:rPr>
        <w:t>ni cumplir</w:t>
      </w:r>
      <w:r w:rsidRPr="00FA6DBD">
        <w:rPr>
          <w:rFonts w:asciiTheme="minorHAnsi" w:hAnsiTheme="minorHAnsi"/>
          <w:sz w:val="22"/>
          <w:szCs w:val="22"/>
          <w:lang w:val="es-US"/>
        </w:rPr>
        <w:t xml:space="preserve"> la recomendación del Comité). </w:t>
      </w:r>
    </w:p>
    <w:p w14:paraId="31DFCC06" w14:textId="77777777" w:rsidR="0060087E" w:rsidRPr="00FA6DBD" w:rsidRDefault="0060087E" w:rsidP="00FA6DBD">
      <w:pPr>
        <w:pStyle w:val="NormalWeb"/>
        <w:jc w:val="both"/>
        <w:rPr>
          <w:rFonts w:asciiTheme="minorHAnsi" w:hAnsiTheme="minorHAnsi"/>
          <w:b/>
          <w:bCs/>
          <w:color w:val="000000"/>
          <w:sz w:val="22"/>
          <w:szCs w:val="22"/>
          <w:lang w:val="es-US"/>
        </w:rPr>
      </w:pPr>
      <w:r w:rsidRPr="00FA6DBD">
        <w:rPr>
          <w:rFonts w:asciiTheme="minorHAnsi" w:hAnsiTheme="minorHAnsi"/>
          <w:b/>
          <w:bCs/>
          <w:color w:val="000000"/>
          <w:sz w:val="22"/>
          <w:szCs w:val="22"/>
          <w:lang w:val="es-US"/>
        </w:rPr>
        <w:t>15. El Estado parte debe:</w:t>
      </w:r>
    </w:p>
    <w:p w14:paraId="71A2D6B2" w14:textId="368550F1" w:rsidR="0060087E" w:rsidRPr="00FA6DBD" w:rsidRDefault="0060087E" w:rsidP="00FA6DBD">
      <w:pPr>
        <w:pStyle w:val="NormalWeb"/>
        <w:jc w:val="both"/>
        <w:rPr>
          <w:rFonts w:asciiTheme="minorHAnsi" w:hAnsiTheme="minorHAnsi"/>
          <w:b/>
          <w:bCs/>
          <w:color w:val="000000"/>
          <w:sz w:val="22"/>
          <w:szCs w:val="22"/>
          <w:lang w:val="es-US"/>
        </w:rPr>
      </w:pPr>
      <w:r w:rsidRPr="00FA6DBD">
        <w:rPr>
          <w:rFonts w:asciiTheme="minorHAnsi" w:hAnsiTheme="minorHAnsi"/>
          <w:b/>
          <w:bCs/>
          <w:color w:val="000000"/>
          <w:sz w:val="22"/>
          <w:szCs w:val="22"/>
          <w:lang w:val="es-US"/>
        </w:rPr>
        <w:lastRenderedPageBreak/>
        <w:t>a) Adoptar medidas eficaces para garantizar que las personas detenidas gocen en la práctica de todas las salvaguardias fundamentales desde el inicio de su privación de libertad de conformidad con las normas internacionales, en particular: los derechos a ser asistidos sin demora por un abogado y a recibir asistencia letrada gratuita en caso de necesidad; a requerir y tener acceso inmediato a un médico independiente, aparte de cualquier examen médico que pueda realizarse a petición de las autoridades; a ser informados de las razones de su detención y de la naturaleza de los cargos que se les imputan en un idioma que comprendan; a que se registre su detención; a informar con prontitud de su detención a un familiar o a un tercero; a impugnar ante un tribunal la legalidad de la detención; y a ser llevados ante un juez sin demora</w:t>
      </w:r>
      <w:r w:rsidR="00FA6DBD">
        <w:rPr>
          <w:rFonts w:asciiTheme="minorHAnsi" w:hAnsiTheme="minorHAnsi"/>
          <w:b/>
          <w:bCs/>
          <w:color w:val="000000"/>
          <w:sz w:val="22"/>
          <w:szCs w:val="22"/>
          <w:lang w:val="es-US"/>
        </w:rPr>
        <w:t>.</w:t>
      </w:r>
    </w:p>
    <w:p w14:paraId="12B340CE" w14:textId="1504CCF9" w:rsidR="00F76C7C" w:rsidRPr="00FA6DBD" w:rsidRDefault="00F76C7C" w:rsidP="00FA6DBD">
      <w:pPr>
        <w:pStyle w:val="NormalWeb"/>
        <w:jc w:val="both"/>
        <w:rPr>
          <w:rFonts w:asciiTheme="minorHAnsi" w:hAnsiTheme="minorHAnsi"/>
          <w:color w:val="000000"/>
          <w:sz w:val="22"/>
          <w:szCs w:val="22"/>
          <w:lang w:val="es-US"/>
        </w:rPr>
      </w:pPr>
      <w:r w:rsidRPr="00FA6DBD">
        <w:rPr>
          <w:rFonts w:asciiTheme="minorHAnsi" w:hAnsiTheme="minorHAnsi"/>
          <w:color w:val="000000"/>
          <w:sz w:val="22"/>
          <w:szCs w:val="22"/>
          <w:lang w:val="es-US"/>
        </w:rPr>
        <w:t xml:space="preserve">La información enviada por el Estado mexicano sobre esta recomendación se limita </w:t>
      </w:r>
      <w:r w:rsidR="00FA6DBD">
        <w:rPr>
          <w:rFonts w:asciiTheme="minorHAnsi" w:hAnsiTheme="minorHAnsi"/>
          <w:color w:val="000000"/>
          <w:sz w:val="22"/>
          <w:szCs w:val="22"/>
          <w:lang w:val="es-US"/>
        </w:rPr>
        <w:t xml:space="preserve">esencialmente </w:t>
      </w:r>
      <w:r w:rsidRPr="00FA6DBD">
        <w:rPr>
          <w:rFonts w:asciiTheme="minorHAnsi" w:hAnsiTheme="minorHAnsi"/>
          <w:color w:val="000000"/>
          <w:sz w:val="22"/>
          <w:szCs w:val="22"/>
          <w:lang w:val="es-US"/>
        </w:rPr>
        <w:t xml:space="preserve">a una lista de principios constitucionales, disposiciones legales, protocolos y </w:t>
      </w:r>
      <w:r w:rsidR="00FA6DBD">
        <w:rPr>
          <w:rFonts w:asciiTheme="minorHAnsi" w:hAnsiTheme="minorHAnsi"/>
          <w:color w:val="000000"/>
          <w:sz w:val="22"/>
          <w:szCs w:val="22"/>
          <w:lang w:val="es-US"/>
        </w:rPr>
        <w:t>directrices</w:t>
      </w:r>
      <w:r w:rsidRPr="00FA6DBD">
        <w:rPr>
          <w:rFonts w:asciiTheme="minorHAnsi" w:hAnsiTheme="minorHAnsi"/>
          <w:color w:val="000000"/>
          <w:sz w:val="22"/>
          <w:szCs w:val="22"/>
          <w:lang w:val="es-US"/>
        </w:rPr>
        <w:t xml:space="preserve">, </w:t>
      </w:r>
      <w:r w:rsidR="00FA6DBD">
        <w:rPr>
          <w:rFonts w:asciiTheme="minorHAnsi" w:hAnsiTheme="minorHAnsi"/>
          <w:color w:val="000000"/>
          <w:sz w:val="22"/>
          <w:szCs w:val="22"/>
          <w:lang w:val="es-US"/>
        </w:rPr>
        <w:t>muchos</w:t>
      </w:r>
      <w:r w:rsidRPr="00FA6DBD">
        <w:rPr>
          <w:rFonts w:asciiTheme="minorHAnsi" w:hAnsiTheme="minorHAnsi"/>
          <w:color w:val="000000"/>
          <w:sz w:val="22"/>
          <w:szCs w:val="22"/>
          <w:lang w:val="es-US"/>
        </w:rPr>
        <w:t xml:space="preserve"> vigentes </w:t>
      </w:r>
      <w:r w:rsidR="00FA6DBD">
        <w:rPr>
          <w:rFonts w:asciiTheme="minorHAnsi" w:hAnsiTheme="minorHAnsi"/>
          <w:color w:val="000000"/>
          <w:sz w:val="22"/>
          <w:szCs w:val="22"/>
          <w:lang w:val="es-US"/>
        </w:rPr>
        <w:t xml:space="preserve">incluso </w:t>
      </w:r>
      <w:r w:rsidRPr="00FA6DBD">
        <w:rPr>
          <w:rFonts w:asciiTheme="minorHAnsi" w:hAnsiTheme="minorHAnsi"/>
          <w:color w:val="000000"/>
          <w:sz w:val="22"/>
          <w:szCs w:val="22"/>
          <w:lang w:val="es-US"/>
        </w:rPr>
        <w:t xml:space="preserve">antes del examen periódico al Estado en 2019, otros posteriores. Sin embargo, no contiene datos sobre la </w:t>
      </w:r>
      <w:r w:rsidR="00FA6DBD">
        <w:rPr>
          <w:rFonts w:asciiTheme="minorHAnsi" w:hAnsiTheme="minorHAnsi"/>
          <w:color w:val="000000"/>
          <w:sz w:val="22"/>
          <w:szCs w:val="22"/>
          <w:lang w:val="es-US"/>
        </w:rPr>
        <w:t>garantía</w:t>
      </w:r>
      <w:r w:rsidRPr="00FA6DBD">
        <w:rPr>
          <w:rFonts w:asciiTheme="minorHAnsi" w:hAnsiTheme="minorHAnsi"/>
          <w:color w:val="000000"/>
          <w:sz w:val="22"/>
          <w:szCs w:val="22"/>
          <w:lang w:val="es-US"/>
        </w:rPr>
        <w:t xml:space="preserve"> en la práctica de las salvaguardias enlistadas por el Comité.</w:t>
      </w:r>
    </w:p>
    <w:p w14:paraId="0267F248" w14:textId="4AC990BF" w:rsidR="00F76C7C" w:rsidRPr="00FA6DBD" w:rsidRDefault="00F76C7C" w:rsidP="00FA6DBD">
      <w:pPr>
        <w:pStyle w:val="NormalWeb"/>
        <w:jc w:val="both"/>
        <w:rPr>
          <w:rFonts w:asciiTheme="minorHAnsi" w:hAnsiTheme="minorHAnsi"/>
          <w:color w:val="000000"/>
          <w:sz w:val="22"/>
          <w:szCs w:val="22"/>
          <w:lang w:val="es-US"/>
        </w:rPr>
      </w:pPr>
      <w:r w:rsidRPr="00FA6DBD">
        <w:rPr>
          <w:rFonts w:asciiTheme="minorHAnsi" w:hAnsiTheme="minorHAnsi"/>
          <w:color w:val="000000"/>
          <w:sz w:val="22"/>
          <w:szCs w:val="22"/>
          <w:lang w:val="es-US"/>
        </w:rPr>
        <w:t xml:space="preserve">Adicionalmente, nos desconcierta que el Estado mexicano cite una versión no vigente del Protocolo Homologado </w:t>
      </w:r>
      <w:r w:rsidR="00FA6DBD">
        <w:rPr>
          <w:rFonts w:asciiTheme="minorHAnsi" w:hAnsiTheme="minorHAnsi"/>
          <w:color w:val="000000"/>
          <w:sz w:val="22"/>
          <w:szCs w:val="22"/>
          <w:lang w:val="es-US"/>
        </w:rPr>
        <w:t>para la</w:t>
      </w:r>
      <w:r w:rsidRPr="00FA6DBD">
        <w:rPr>
          <w:rFonts w:asciiTheme="minorHAnsi" w:hAnsiTheme="minorHAnsi"/>
          <w:color w:val="000000"/>
          <w:sz w:val="22"/>
          <w:szCs w:val="22"/>
          <w:lang w:val="es-US"/>
        </w:rPr>
        <w:t xml:space="preserve"> Investigación del Delito de Tortura (PHIT)</w:t>
      </w:r>
      <w:r w:rsidR="00316FFB" w:rsidRPr="00FA6DBD">
        <w:rPr>
          <w:rStyle w:val="FootnoteReference"/>
          <w:rFonts w:asciiTheme="minorHAnsi" w:hAnsiTheme="minorHAnsi"/>
          <w:color w:val="000000"/>
          <w:sz w:val="22"/>
          <w:szCs w:val="22"/>
          <w:lang w:val="es-US"/>
        </w:rPr>
        <w:footnoteReference w:id="7"/>
      </w:r>
      <w:r w:rsidR="00316FFB" w:rsidRPr="00FA6DBD">
        <w:rPr>
          <w:rFonts w:asciiTheme="minorHAnsi" w:hAnsiTheme="minorHAnsi"/>
          <w:color w:val="000000"/>
          <w:sz w:val="22"/>
          <w:szCs w:val="22"/>
          <w:lang w:val="es-US"/>
        </w:rPr>
        <w:t xml:space="preserve">, no </w:t>
      </w:r>
      <w:r w:rsidR="00F30574">
        <w:rPr>
          <w:rFonts w:asciiTheme="minorHAnsi" w:hAnsiTheme="minorHAnsi"/>
          <w:color w:val="000000"/>
          <w:sz w:val="22"/>
          <w:szCs w:val="22"/>
          <w:lang w:val="es-US"/>
        </w:rPr>
        <w:t>e</w:t>
      </w:r>
      <w:r w:rsidR="00316FFB" w:rsidRPr="00FA6DBD">
        <w:rPr>
          <w:rFonts w:asciiTheme="minorHAnsi" w:hAnsiTheme="minorHAnsi"/>
          <w:color w:val="000000"/>
          <w:sz w:val="22"/>
          <w:szCs w:val="22"/>
          <w:lang w:val="es-US"/>
        </w:rPr>
        <w:t xml:space="preserve">l PHIT </w:t>
      </w:r>
      <w:r w:rsidR="0019013A" w:rsidRPr="00FA6DBD">
        <w:rPr>
          <w:rFonts w:asciiTheme="minorHAnsi" w:hAnsiTheme="minorHAnsi"/>
          <w:color w:val="000000"/>
          <w:sz w:val="22"/>
          <w:szCs w:val="22"/>
          <w:lang w:val="es-US"/>
        </w:rPr>
        <w:t xml:space="preserve">vigente </w:t>
      </w:r>
      <w:r w:rsidR="00316FFB" w:rsidRPr="00FA6DBD">
        <w:rPr>
          <w:rFonts w:asciiTheme="minorHAnsi" w:hAnsiTheme="minorHAnsi"/>
          <w:color w:val="000000"/>
          <w:sz w:val="22"/>
          <w:szCs w:val="22"/>
          <w:lang w:val="es-US"/>
        </w:rPr>
        <w:t>adoptado en 2018</w:t>
      </w:r>
      <w:r w:rsidR="0019013A" w:rsidRPr="00FA6DBD">
        <w:rPr>
          <w:rStyle w:val="FootnoteReference"/>
          <w:rFonts w:asciiTheme="minorHAnsi" w:hAnsiTheme="minorHAnsi"/>
          <w:color w:val="000000"/>
          <w:sz w:val="22"/>
          <w:szCs w:val="22"/>
          <w:lang w:val="es-US"/>
        </w:rPr>
        <w:footnoteReference w:id="8"/>
      </w:r>
      <w:r w:rsidR="00316FFB" w:rsidRPr="00FA6DBD">
        <w:rPr>
          <w:rFonts w:asciiTheme="minorHAnsi" w:hAnsiTheme="minorHAnsi"/>
          <w:color w:val="000000"/>
          <w:sz w:val="22"/>
          <w:szCs w:val="22"/>
          <w:lang w:val="es-US"/>
        </w:rPr>
        <w:t>, objeto de preocupación</w:t>
      </w:r>
      <w:r w:rsidR="0019013A" w:rsidRPr="00FA6DBD">
        <w:rPr>
          <w:rFonts w:asciiTheme="minorHAnsi" w:hAnsiTheme="minorHAnsi"/>
          <w:color w:val="000000"/>
          <w:sz w:val="22"/>
          <w:szCs w:val="22"/>
          <w:lang w:val="es-US"/>
        </w:rPr>
        <w:t xml:space="preserve"> y de una recomendación</w:t>
      </w:r>
      <w:r w:rsidR="00316FFB" w:rsidRPr="00FA6DBD">
        <w:rPr>
          <w:rFonts w:asciiTheme="minorHAnsi" w:hAnsiTheme="minorHAnsi"/>
          <w:color w:val="000000"/>
          <w:sz w:val="22"/>
          <w:szCs w:val="22"/>
          <w:lang w:val="es-US"/>
        </w:rPr>
        <w:t xml:space="preserve"> de este Comité en sus conclusiones sobre México de 2019</w:t>
      </w:r>
      <w:r w:rsidR="00D04FD3" w:rsidRPr="00FA6DBD">
        <w:rPr>
          <w:rStyle w:val="FootnoteReference"/>
          <w:rFonts w:asciiTheme="minorHAnsi" w:hAnsiTheme="minorHAnsi"/>
          <w:color w:val="000000"/>
          <w:sz w:val="22"/>
          <w:szCs w:val="22"/>
          <w:lang w:val="es-US"/>
        </w:rPr>
        <w:footnoteReference w:id="9"/>
      </w:r>
      <w:r w:rsidR="00316FFB" w:rsidRPr="00FA6DBD">
        <w:rPr>
          <w:rFonts w:asciiTheme="minorHAnsi" w:hAnsiTheme="minorHAnsi"/>
          <w:color w:val="000000"/>
          <w:sz w:val="22"/>
          <w:szCs w:val="22"/>
          <w:lang w:val="es-US"/>
        </w:rPr>
        <w:t>.</w:t>
      </w:r>
      <w:r w:rsidRPr="00FA6DBD">
        <w:rPr>
          <w:rFonts w:asciiTheme="minorHAnsi" w:hAnsiTheme="minorHAnsi"/>
          <w:color w:val="000000"/>
          <w:sz w:val="22"/>
          <w:szCs w:val="22"/>
          <w:lang w:val="es-US"/>
        </w:rPr>
        <w:t xml:space="preserve"> </w:t>
      </w:r>
      <w:r w:rsidR="003233B2" w:rsidRPr="00FA6DBD">
        <w:rPr>
          <w:rFonts w:asciiTheme="minorHAnsi" w:hAnsiTheme="minorHAnsi"/>
          <w:color w:val="000000"/>
          <w:sz w:val="22"/>
          <w:szCs w:val="22"/>
          <w:lang w:val="es-US"/>
        </w:rPr>
        <w:t>Esto hace que el Estado cite directrices que han sido socavadas por el nuevo Protocolo de 2018</w:t>
      </w:r>
      <w:r w:rsidR="003233B2" w:rsidRPr="00FA6DBD">
        <w:rPr>
          <w:rStyle w:val="FootnoteReference"/>
          <w:rFonts w:asciiTheme="minorHAnsi" w:hAnsiTheme="minorHAnsi"/>
          <w:color w:val="000000"/>
          <w:sz w:val="22"/>
          <w:szCs w:val="22"/>
          <w:lang w:val="es-US"/>
        </w:rPr>
        <w:footnoteReference w:id="10"/>
      </w:r>
      <w:r w:rsidR="003233B2" w:rsidRPr="00FA6DBD">
        <w:rPr>
          <w:rFonts w:asciiTheme="minorHAnsi" w:hAnsiTheme="minorHAnsi"/>
          <w:color w:val="000000"/>
          <w:sz w:val="22"/>
          <w:szCs w:val="22"/>
          <w:lang w:val="es-US"/>
        </w:rPr>
        <w:t>.</w:t>
      </w:r>
      <w:r w:rsidR="00CE7A12" w:rsidRPr="00FA6DBD">
        <w:rPr>
          <w:rFonts w:asciiTheme="minorHAnsi" w:hAnsiTheme="minorHAnsi"/>
          <w:color w:val="000000"/>
          <w:sz w:val="22"/>
          <w:szCs w:val="22"/>
          <w:lang w:val="es-US"/>
        </w:rPr>
        <w:t xml:space="preserve"> </w:t>
      </w:r>
    </w:p>
    <w:p w14:paraId="0064C171" w14:textId="1820343F" w:rsidR="00050704" w:rsidRPr="00FA6DBD" w:rsidRDefault="00050704" w:rsidP="00FA6DBD">
      <w:pPr>
        <w:pStyle w:val="NormalWeb"/>
        <w:jc w:val="both"/>
        <w:rPr>
          <w:rFonts w:asciiTheme="minorHAnsi" w:hAnsiTheme="minorHAnsi"/>
          <w:color w:val="000000"/>
          <w:sz w:val="22"/>
          <w:szCs w:val="22"/>
          <w:lang w:val="es-US"/>
        </w:rPr>
      </w:pPr>
      <w:r w:rsidRPr="00FA6DBD">
        <w:rPr>
          <w:rFonts w:asciiTheme="minorHAnsi" w:hAnsiTheme="minorHAnsi"/>
          <w:color w:val="000000"/>
          <w:sz w:val="22"/>
          <w:szCs w:val="22"/>
          <w:lang w:val="es-US"/>
        </w:rPr>
        <w:t xml:space="preserve">Consideramos que, para poder valorar el estado de cumplimiento de la recomendación, es necesario que el Comité solicite al Estado datos que permitan apreciar la aplicación en la práctica de las salvaguardias, incluyendo especialmente cifras e indicadores de avances </w:t>
      </w:r>
      <w:r w:rsidR="006836EB" w:rsidRPr="00FA6DBD">
        <w:rPr>
          <w:rFonts w:asciiTheme="minorHAnsi" w:hAnsiTheme="minorHAnsi"/>
          <w:color w:val="000000"/>
          <w:sz w:val="22"/>
          <w:szCs w:val="22"/>
          <w:lang w:val="es-US"/>
        </w:rPr>
        <w:t>en el último año.</w:t>
      </w:r>
    </w:p>
    <w:p w14:paraId="0F1366AC" w14:textId="4F0D9FC4" w:rsidR="0060087E" w:rsidRPr="00FA6DBD" w:rsidRDefault="0060087E" w:rsidP="00FA6DBD">
      <w:pPr>
        <w:pStyle w:val="NormalWeb"/>
        <w:jc w:val="both"/>
        <w:rPr>
          <w:rFonts w:asciiTheme="minorHAnsi" w:hAnsiTheme="minorHAnsi"/>
          <w:b/>
          <w:bCs/>
          <w:color w:val="000000"/>
          <w:sz w:val="22"/>
          <w:szCs w:val="22"/>
          <w:lang w:val="es-US"/>
        </w:rPr>
      </w:pPr>
      <w:r w:rsidRPr="00FA6DBD">
        <w:rPr>
          <w:rFonts w:asciiTheme="minorHAnsi" w:hAnsiTheme="minorHAnsi"/>
          <w:b/>
          <w:bCs/>
          <w:color w:val="000000"/>
          <w:sz w:val="22"/>
          <w:szCs w:val="22"/>
          <w:lang w:val="es-US"/>
        </w:rPr>
        <w:lastRenderedPageBreak/>
        <w:t>b) Fortalecer las instituciones de defensa pública</w:t>
      </w:r>
      <w:r w:rsidR="00510779">
        <w:rPr>
          <w:rFonts w:asciiTheme="minorHAnsi" w:hAnsiTheme="minorHAnsi"/>
          <w:b/>
          <w:bCs/>
          <w:color w:val="000000"/>
          <w:sz w:val="22"/>
          <w:szCs w:val="22"/>
          <w:lang w:val="es-US"/>
        </w:rPr>
        <w:t>.</w:t>
      </w:r>
    </w:p>
    <w:p w14:paraId="3D6E8BB1" w14:textId="31C2C94B" w:rsidR="006836EB" w:rsidRPr="00FA6DBD" w:rsidRDefault="006836EB" w:rsidP="00F1313B">
      <w:pPr>
        <w:pStyle w:val="NormalWeb"/>
        <w:jc w:val="both"/>
        <w:rPr>
          <w:rFonts w:asciiTheme="minorHAnsi" w:hAnsiTheme="minorHAnsi"/>
          <w:color w:val="000000"/>
          <w:sz w:val="22"/>
          <w:szCs w:val="22"/>
          <w:lang w:val="es-MX"/>
        </w:rPr>
      </w:pPr>
      <w:r w:rsidRPr="00FA6DBD">
        <w:rPr>
          <w:rFonts w:asciiTheme="minorHAnsi" w:hAnsiTheme="minorHAnsi"/>
          <w:color w:val="000000"/>
          <w:sz w:val="22"/>
          <w:szCs w:val="22"/>
          <w:lang w:val="es-US"/>
        </w:rPr>
        <w:t xml:space="preserve">Tanto en la sección del informe de seguimiento </w:t>
      </w:r>
      <w:r w:rsidR="00D72988">
        <w:rPr>
          <w:rFonts w:asciiTheme="minorHAnsi" w:hAnsiTheme="minorHAnsi"/>
          <w:color w:val="000000"/>
          <w:sz w:val="22"/>
          <w:szCs w:val="22"/>
          <w:lang w:val="es-US"/>
        </w:rPr>
        <w:t xml:space="preserve">oficial </w:t>
      </w:r>
      <w:r w:rsidRPr="00FA6DBD">
        <w:rPr>
          <w:rFonts w:asciiTheme="minorHAnsi" w:hAnsiTheme="minorHAnsi"/>
          <w:color w:val="000000"/>
          <w:sz w:val="22"/>
          <w:szCs w:val="22"/>
          <w:lang w:val="es-US"/>
        </w:rPr>
        <w:t xml:space="preserve">referente a esta recomendación, como en </w:t>
      </w:r>
      <w:r w:rsidR="00FB1019">
        <w:rPr>
          <w:rFonts w:asciiTheme="minorHAnsi" w:hAnsiTheme="minorHAnsi"/>
          <w:color w:val="000000"/>
          <w:sz w:val="22"/>
          <w:szCs w:val="22"/>
          <w:lang w:val="es-US"/>
        </w:rPr>
        <w:t>la sección correspondiente</w:t>
      </w:r>
      <w:r w:rsidRPr="00FA6DBD">
        <w:rPr>
          <w:rFonts w:asciiTheme="minorHAnsi" w:hAnsiTheme="minorHAnsi"/>
          <w:color w:val="000000"/>
          <w:sz w:val="22"/>
          <w:szCs w:val="22"/>
          <w:lang w:val="es-US"/>
        </w:rPr>
        <w:t xml:space="preserve"> a la primera recomendación prioritaria, el Estado brinda información </w:t>
      </w:r>
      <w:r w:rsidR="00D72988">
        <w:rPr>
          <w:rFonts w:asciiTheme="minorHAnsi" w:hAnsiTheme="minorHAnsi"/>
          <w:color w:val="000000"/>
          <w:sz w:val="22"/>
          <w:szCs w:val="22"/>
          <w:lang w:val="es-US"/>
        </w:rPr>
        <w:t xml:space="preserve">sobre </w:t>
      </w:r>
      <w:r w:rsidRPr="00FA6DBD">
        <w:rPr>
          <w:rFonts w:asciiTheme="minorHAnsi" w:hAnsiTheme="minorHAnsi"/>
          <w:color w:val="000000"/>
          <w:sz w:val="22"/>
          <w:szCs w:val="22"/>
          <w:lang w:val="es-US"/>
        </w:rPr>
        <w:t>acciones relevantes</w:t>
      </w:r>
      <w:r w:rsidR="00D72988">
        <w:rPr>
          <w:rFonts w:asciiTheme="minorHAnsi" w:hAnsiTheme="minorHAnsi"/>
          <w:color w:val="000000"/>
          <w:sz w:val="22"/>
          <w:szCs w:val="22"/>
          <w:lang w:val="es-US"/>
        </w:rPr>
        <w:t xml:space="preserve"> d</w:t>
      </w:r>
      <w:r w:rsidRPr="00FA6DBD">
        <w:rPr>
          <w:rFonts w:asciiTheme="minorHAnsi" w:hAnsiTheme="minorHAnsi"/>
          <w:color w:val="000000"/>
          <w:sz w:val="22"/>
          <w:szCs w:val="22"/>
          <w:lang w:val="es-US"/>
        </w:rPr>
        <w:t>el Instituto Federal de Defensoría Pública (IFDP)</w:t>
      </w:r>
      <w:r w:rsidR="000A491E">
        <w:rPr>
          <w:rFonts w:asciiTheme="minorHAnsi" w:hAnsiTheme="minorHAnsi"/>
          <w:color w:val="000000"/>
          <w:sz w:val="22"/>
          <w:szCs w:val="22"/>
          <w:lang w:val="es-US"/>
        </w:rPr>
        <w:t>,</w:t>
      </w:r>
      <w:r w:rsidRPr="00FA6DBD">
        <w:rPr>
          <w:rFonts w:asciiTheme="minorHAnsi" w:hAnsiTheme="minorHAnsi"/>
          <w:color w:val="000000"/>
          <w:sz w:val="22"/>
          <w:szCs w:val="22"/>
          <w:lang w:val="es-US"/>
        </w:rPr>
        <w:t xml:space="preserve"> en particular</w:t>
      </w:r>
      <w:r w:rsidR="000A491E">
        <w:rPr>
          <w:rFonts w:asciiTheme="minorHAnsi" w:hAnsiTheme="minorHAnsi"/>
          <w:color w:val="000000"/>
          <w:sz w:val="22"/>
          <w:szCs w:val="22"/>
          <w:lang w:val="es-US"/>
        </w:rPr>
        <w:t xml:space="preserve"> de </w:t>
      </w:r>
      <w:r w:rsidR="00D72988">
        <w:rPr>
          <w:rFonts w:asciiTheme="minorHAnsi" w:hAnsiTheme="minorHAnsi"/>
          <w:color w:val="000000"/>
          <w:sz w:val="22"/>
          <w:szCs w:val="22"/>
          <w:lang w:val="es-US"/>
        </w:rPr>
        <w:t>la</w:t>
      </w:r>
      <w:r w:rsidRPr="00FA6DBD">
        <w:rPr>
          <w:rFonts w:asciiTheme="minorHAnsi" w:hAnsiTheme="minorHAnsi"/>
          <w:color w:val="000000"/>
          <w:sz w:val="22"/>
          <w:szCs w:val="22"/>
          <w:lang w:val="es-US"/>
        </w:rPr>
        <w:t xml:space="preserve"> </w:t>
      </w:r>
      <w:r w:rsidRPr="00FA6DBD">
        <w:rPr>
          <w:rFonts w:asciiTheme="minorHAnsi" w:hAnsiTheme="minorHAnsi"/>
          <w:color w:val="000000"/>
          <w:sz w:val="22"/>
          <w:szCs w:val="22"/>
          <w:lang w:val="es-MX"/>
        </w:rPr>
        <w:t xml:space="preserve">Secretaría Técnica de Combate a la Tortura, Tratos Crueles e Inhumanos. </w:t>
      </w:r>
      <w:r w:rsidR="00FB1019">
        <w:rPr>
          <w:rFonts w:asciiTheme="minorHAnsi" w:hAnsiTheme="minorHAnsi"/>
          <w:color w:val="000000"/>
          <w:sz w:val="22"/>
          <w:szCs w:val="22"/>
          <w:lang w:val="es-MX"/>
        </w:rPr>
        <w:t>Valoramos</w:t>
      </w:r>
      <w:r w:rsidR="00510779">
        <w:rPr>
          <w:rFonts w:asciiTheme="minorHAnsi" w:hAnsiTheme="minorHAnsi"/>
          <w:color w:val="000000"/>
          <w:sz w:val="22"/>
          <w:szCs w:val="22"/>
          <w:lang w:val="es-MX"/>
        </w:rPr>
        <w:t>, en particular, las siguientes acciones</w:t>
      </w:r>
      <w:r w:rsidRPr="00FA6DBD">
        <w:rPr>
          <w:rFonts w:asciiTheme="minorHAnsi" w:hAnsiTheme="minorHAnsi"/>
          <w:color w:val="000000"/>
          <w:sz w:val="22"/>
          <w:szCs w:val="22"/>
          <w:lang w:val="es-MX"/>
        </w:rPr>
        <w:t>:</w:t>
      </w:r>
    </w:p>
    <w:p w14:paraId="5DBEA5B6" w14:textId="17474C66" w:rsidR="006836EB" w:rsidRPr="00FA6DBD" w:rsidRDefault="006836EB" w:rsidP="00FA6DBD">
      <w:pPr>
        <w:pStyle w:val="NormalWeb"/>
        <w:numPr>
          <w:ilvl w:val="0"/>
          <w:numId w:val="1"/>
        </w:numPr>
        <w:jc w:val="both"/>
        <w:rPr>
          <w:rFonts w:asciiTheme="minorHAnsi" w:hAnsiTheme="minorHAnsi"/>
          <w:color w:val="000000"/>
          <w:sz w:val="22"/>
          <w:szCs w:val="22"/>
          <w:lang w:val="es-MX"/>
        </w:rPr>
      </w:pPr>
      <w:r w:rsidRPr="00FA6DBD">
        <w:rPr>
          <w:rFonts w:asciiTheme="minorHAnsi" w:hAnsiTheme="minorHAnsi"/>
          <w:color w:val="000000"/>
          <w:sz w:val="22"/>
          <w:szCs w:val="22"/>
          <w:lang w:val="es-MX"/>
        </w:rPr>
        <w:t>Identificación de más de 7</w:t>
      </w:r>
      <w:r w:rsidR="00F71D5E" w:rsidRPr="00FA6DBD">
        <w:rPr>
          <w:rFonts w:asciiTheme="minorHAnsi" w:hAnsiTheme="minorHAnsi"/>
          <w:color w:val="000000"/>
          <w:sz w:val="22"/>
          <w:szCs w:val="22"/>
          <w:lang w:val="es-MX"/>
        </w:rPr>
        <w:t>,000</w:t>
      </w:r>
      <w:r w:rsidRPr="00FA6DBD">
        <w:rPr>
          <w:rFonts w:asciiTheme="minorHAnsi" w:hAnsiTheme="minorHAnsi"/>
          <w:color w:val="000000"/>
          <w:sz w:val="22"/>
          <w:szCs w:val="22"/>
          <w:lang w:val="es-MX"/>
        </w:rPr>
        <w:t xml:space="preserve"> casos de tortura o malos tratos cometidos en perjuicio de personas que son o fueron representadas por la Defensoría Pública Federal desde el 2011</w:t>
      </w:r>
      <w:r w:rsidR="00F71D5E" w:rsidRPr="00FA6DBD">
        <w:rPr>
          <w:rFonts w:asciiTheme="minorHAnsi" w:hAnsiTheme="minorHAnsi"/>
          <w:color w:val="000000"/>
          <w:sz w:val="22"/>
          <w:szCs w:val="22"/>
          <w:lang w:val="es-MX"/>
        </w:rPr>
        <w:t>.</w:t>
      </w:r>
    </w:p>
    <w:p w14:paraId="254A910A" w14:textId="75CE5498" w:rsidR="00F71D5E" w:rsidRPr="00FA6DBD" w:rsidRDefault="00F71D5E" w:rsidP="00FA6DBD">
      <w:pPr>
        <w:pStyle w:val="NormalWeb"/>
        <w:numPr>
          <w:ilvl w:val="0"/>
          <w:numId w:val="1"/>
        </w:numPr>
        <w:jc w:val="both"/>
        <w:rPr>
          <w:rFonts w:asciiTheme="minorHAnsi" w:hAnsiTheme="minorHAnsi"/>
          <w:color w:val="000000"/>
          <w:sz w:val="22"/>
          <w:szCs w:val="22"/>
          <w:lang w:val="es-MX"/>
        </w:rPr>
      </w:pPr>
      <w:r w:rsidRPr="00FA6DBD">
        <w:rPr>
          <w:rFonts w:asciiTheme="minorHAnsi" w:hAnsiTheme="minorHAnsi"/>
          <w:color w:val="000000"/>
          <w:sz w:val="22"/>
          <w:szCs w:val="22"/>
          <w:lang w:val="es-MX"/>
        </w:rPr>
        <w:t xml:space="preserve">Entre septiembre de 2019 y abril de 2020, la Secretaría Técnica presentó más de 900 denuncias </w:t>
      </w:r>
      <w:r w:rsidR="006A7416">
        <w:rPr>
          <w:rFonts w:asciiTheme="minorHAnsi" w:hAnsiTheme="minorHAnsi"/>
          <w:color w:val="000000"/>
          <w:sz w:val="22"/>
          <w:szCs w:val="22"/>
          <w:lang w:val="es-MX"/>
        </w:rPr>
        <w:t xml:space="preserve">penales </w:t>
      </w:r>
      <w:r w:rsidRPr="00FA6DBD">
        <w:rPr>
          <w:rFonts w:asciiTheme="minorHAnsi" w:hAnsiTheme="minorHAnsi"/>
          <w:color w:val="000000"/>
          <w:sz w:val="22"/>
          <w:szCs w:val="22"/>
          <w:lang w:val="es-MX"/>
        </w:rPr>
        <w:t>por actos de tortura o malos tratos a personas representadas.</w:t>
      </w:r>
    </w:p>
    <w:p w14:paraId="0D5D23E0" w14:textId="56F2AB9D" w:rsidR="00F71D5E" w:rsidRPr="00FA6DBD" w:rsidRDefault="00F71D5E" w:rsidP="00FA6DBD">
      <w:pPr>
        <w:pStyle w:val="NormalWeb"/>
        <w:numPr>
          <w:ilvl w:val="0"/>
          <w:numId w:val="1"/>
        </w:numPr>
        <w:jc w:val="both"/>
        <w:rPr>
          <w:rFonts w:asciiTheme="minorHAnsi" w:hAnsiTheme="minorHAnsi"/>
          <w:color w:val="000000"/>
          <w:sz w:val="22"/>
          <w:szCs w:val="22"/>
          <w:lang w:val="es-MX"/>
        </w:rPr>
      </w:pPr>
      <w:r w:rsidRPr="00FA6DBD">
        <w:rPr>
          <w:rFonts w:asciiTheme="minorHAnsi" w:hAnsiTheme="minorHAnsi"/>
          <w:color w:val="000000"/>
          <w:sz w:val="22"/>
          <w:szCs w:val="22"/>
          <w:lang w:val="es-MX"/>
        </w:rPr>
        <w:t xml:space="preserve">La Secretaría Técnica presentó, entre noviembre de 2019 y abril de 2020, 70 demandas de amparo indirecto en 15 distritos judiciales a favor de 117 personas </w:t>
      </w:r>
      <w:r w:rsidR="006A7416">
        <w:rPr>
          <w:rFonts w:asciiTheme="minorHAnsi" w:hAnsiTheme="minorHAnsi"/>
          <w:color w:val="000000"/>
          <w:sz w:val="22"/>
          <w:szCs w:val="22"/>
          <w:lang w:val="es-MX"/>
        </w:rPr>
        <w:t>por</w:t>
      </w:r>
      <w:r w:rsidRPr="00FA6DBD">
        <w:rPr>
          <w:rFonts w:asciiTheme="minorHAnsi" w:hAnsiTheme="minorHAnsi"/>
          <w:color w:val="000000"/>
          <w:sz w:val="22"/>
          <w:szCs w:val="22"/>
          <w:lang w:val="es-MX"/>
        </w:rPr>
        <w:t xml:space="preserve"> la ausencia de debida diligencia y la excesiva dilación en las investigaciones de actos de tortura o malos tratos.</w:t>
      </w:r>
    </w:p>
    <w:p w14:paraId="11300B1E" w14:textId="77FF4472" w:rsidR="00F72C03" w:rsidRPr="00FA6DBD" w:rsidRDefault="00F72C03" w:rsidP="00FA6DBD">
      <w:pPr>
        <w:pStyle w:val="NormalWeb"/>
        <w:numPr>
          <w:ilvl w:val="0"/>
          <w:numId w:val="1"/>
        </w:numPr>
        <w:jc w:val="both"/>
        <w:rPr>
          <w:rFonts w:asciiTheme="minorHAnsi" w:hAnsiTheme="minorHAnsi"/>
          <w:color w:val="000000"/>
          <w:sz w:val="22"/>
          <w:szCs w:val="22"/>
          <w:lang w:val="es-MX"/>
        </w:rPr>
      </w:pPr>
      <w:r w:rsidRPr="00FA6DBD">
        <w:rPr>
          <w:rFonts w:asciiTheme="minorHAnsi" w:hAnsiTheme="minorHAnsi"/>
          <w:color w:val="000000"/>
          <w:sz w:val="22"/>
          <w:szCs w:val="22"/>
          <w:lang w:val="es-MX"/>
        </w:rPr>
        <w:t>La Secretaría Técnica presentó 4 demandas de amparo indirecto en representación de 582 personas privadas de libertad relacionad</w:t>
      </w:r>
      <w:r w:rsidR="006A7416">
        <w:rPr>
          <w:rFonts w:asciiTheme="minorHAnsi" w:hAnsiTheme="minorHAnsi"/>
          <w:color w:val="000000"/>
          <w:sz w:val="22"/>
          <w:szCs w:val="22"/>
          <w:lang w:val="es-MX"/>
        </w:rPr>
        <w:t>a</w:t>
      </w:r>
      <w:r w:rsidRPr="00FA6DBD">
        <w:rPr>
          <w:rFonts w:asciiTheme="minorHAnsi" w:hAnsiTheme="minorHAnsi"/>
          <w:color w:val="000000"/>
          <w:sz w:val="22"/>
          <w:szCs w:val="22"/>
          <w:lang w:val="es-MX"/>
        </w:rPr>
        <w:t>s con la falta de adopción de medidas necesarias para prevenir actos de tortura y malos tratos en tres centros penitenciarios federales, y dos locales</w:t>
      </w:r>
      <w:r w:rsidR="00AB314E" w:rsidRPr="00FA6DBD">
        <w:rPr>
          <w:rStyle w:val="FootnoteReference"/>
          <w:rFonts w:asciiTheme="minorHAnsi" w:hAnsiTheme="minorHAnsi"/>
          <w:color w:val="000000"/>
          <w:sz w:val="22"/>
          <w:szCs w:val="22"/>
          <w:lang w:val="es-MX"/>
        </w:rPr>
        <w:footnoteReference w:id="11"/>
      </w:r>
      <w:r w:rsidRPr="00FA6DBD">
        <w:rPr>
          <w:rFonts w:asciiTheme="minorHAnsi" w:hAnsiTheme="minorHAnsi"/>
          <w:color w:val="000000"/>
          <w:sz w:val="22"/>
          <w:szCs w:val="22"/>
          <w:lang w:val="es-MX"/>
        </w:rPr>
        <w:t>.</w:t>
      </w:r>
    </w:p>
    <w:p w14:paraId="31D2AD69" w14:textId="27E9B1E7" w:rsidR="00510779" w:rsidRPr="00FA6DBD" w:rsidRDefault="00510779" w:rsidP="00510779">
      <w:pPr>
        <w:pStyle w:val="NormalWeb"/>
        <w:jc w:val="both"/>
        <w:rPr>
          <w:rFonts w:asciiTheme="minorHAnsi" w:hAnsiTheme="minorHAnsi"/>
          <w:color w:val="000000"/>
          <w:sz w:val="22"/>
          <w:szCs w:val="22"/>
          <w:lang w:val="es-MX"/>
        </w:rPr>
      </w:pPr>
      <w:r w:rsidRPr="00FA6DBD">
        <w:rPr>
          <w:rFonts w:asciiTheme="minorHAnsi" w:hAnsiTheme="minorHAnsi"/>
          <w:color w:val="000000"/>
          <w:sz w:val="22"/>
          <w:szCs w:val="22"/>
          <w:lang w:val="es-MX"/>
        </w:rPr>
        <w:t xml:space="preserve">Los datos brindados permiten afirmar que, a nivel federal, existen avances </w:t>
      </w:r>
      <w:r>
        <w:rPr>
          <w:rFonts w:asciiTheme="minorHAnsi" w:hAnsiTheme="minorHAnsi"/>
          <w:color w:val="000000"/>
          <w:sz w:val="22"/>
          <w:szCs w:val="22"/>
          <w:lang w:val="es-MX"/>
        </w:rPr>
        <w:t>relevantes en</w:t>
      </w:r>
      <w:r w:rsidRPr="00FA6DBD">
        <w:rPr>
          <w:rFonts w:asciiTheme="minorHAnsi" w:hAnsiTheme="minorHAnsi"/>
          <w:color w:val="000000"/>
          <w:sz w:val="22"/>
          <w:szCs w:val="22"/>
          <w:lang w:val="es-MX"/>
        </w:rPr>
        <w:t xml:space="preserve"> el cumplimiento de la recomendación</w:t>
      </w:r>
      <w:r>
        <w:rPr>
          <w:rFonts w:asciiTheme="minorHAnsi" w:hAnsiTheme="minorHAnsi"/>
          <w:color w:val="000000"/>
          <w:sz w:val="22"/>
          <w:szCs w:val="22"/>
          <w:lang w:val="es-MX"/>
        </w:rPr>
        <w:t xml:space="preserve">. </w:t>
      </w:r>
      <w:r w:rsidRPr="00FA6DBD">
        <w:rPr>
          <w:rFonts w:asciiTheme="minorHAnsi" w:hAnsiTheme="minorHAnsi"/>
          <w:color w:val="000000"/>
          <w:sz w:val="22"/>
          <w:szCs w:val="22"/>
          <w:lang w:val="es-MX"/>
        </w:rPr>
        <w:t>Al mismo tiempo, señalamos dos preocupaciones</w:t>
      </w:r>
      <w:r w:rsidR="00FB1019">
        <w:rPr>
          <w:rFonts w:asciiTheme="minorHAnsi" w:hAnsiTheme="minorHAnsi"/>
          <w:color w:val="000000"/>
          <w:sz w:val="22"/>
          <w:szCs w:val="22"/>
          <w:lang w:val="es-MX"/>
        </w:rPr>
        <w:t>,</w:t>
      </w:r>
      <w:r w:rsidRPr="00FA6DBD">
        <w:rPr>
          <w:rFonts w:asciiTheme="minorHAnsi" w:hAnsiTheme="minorHAnsi"/>
          <w:color w:val="000000"/>
          <w:sz w:val="22"/>
          <w:szCs w:val="22"/>
          <w:lang w:val="es-MX"/>
        </w:rPr>
        <w:t xml:space="preserve"> igualmente relevantes</w:t>
      </w:r>
      <w:r w:rsidR="00FB1019">
        <w:rPr>
          <w:rFonts w:asciiTheme="minorHAnsi" w:hAnsiTheme="minorHAnsi"/>
          <w:color w:val="000000"/>
          <w:sz w:val="22"/>
          <w:szCs w:val="22"/>
          <w:lang w:val="es-MX"/>
        </w:rPr>
        <w:t>:</w:t>
      </w:r>
    </w:p>
    <w:p w14:paraId="294A64B7" w14:textId="21123271" w:rsidR="000C2689" w:rsidRDefault="00510779" w:rsidP="00510779">
      <w:pPr>
        <w:pStyle w:val="NormalWeb"/>
        <w:jc w:val="both"/>
        <w:rPr>
          <w:rFonts w:asciiTheme="minorHAnsi" w:hAnsiTheme="minorHAnsi"/>
          <w:color w:val="000000"/>
          <w:sz w:val="22"/>
          <w:szCs w:val="22"/>
          <w:lang w:val="es-ES_tradnl"/>
        </w:rPr>
      </w:pPr>
      <w:r w:rsidRPr="00FA6DBD">
        <w:rPr>
          <w:rFonts w:asciiTheme="minorHAnsi" w:hAnsiTheme="minorHAnsi"/>
          <w:color w:val="000000"/>
          <w:sz w:val="22"/>
          <w:szCs w:val="22"/>
          <w:lang w:val="es-MX"/>
        </w:rPr>
        <w:t xml:space="preserve">Primero, </w:t>
      </w:r>
      <w:r w:rsidR="00F72C03" w:rsidRPr="00FA6DBD">
        <w:rPr>
          <w:rFonts w:asciiTheme="minorHAnsi" w:hAnsiTheme="minorHAnsi"/>
          <w:color w:val="000000"/>
          <w:sz w:val="22"/>
          <w:szCs w:val="22"/>
          <w:lang w:val="es-MX"/>
        </w:rPr>
        <w:t xml:space="preserve">el Estado no informa sobre </w:t>
      </w:r>
      <w:r w:rsidR="00FB1019">
        <w:rPr>
          <w:rFonts w:asciiTheme="minorHAnsi" w:hAnsiTheme="minorHAnsi"/>
          <w:color w:val="000000"/>
          <w:sz w:val="22"/>
          <w:szCs w:val="22"/>
          <w:lang w:val="es-MX"/>
        </w:rPr>
        <w:t xml:space="preserve">la respuesta </w:t>
      </w:r>
      <w:r>
        <w:rPr>
          <w:rFonts w:asciiTheme="minorHAnsi" w:hAnsiTheme="minorHAnsi"/>
          <w:color w:val="000000"/>
          <w:sz w:val="22"/>
          <w:szCs w:val="22"/>
          <w:lang w:val="es-MX"/>
        </w:rPr>
        <w:t>de otras instituciones (ministeriales y judiciales) ante</w:t>
      </w:r>
      <w:r w:rsidR="00F72C03" w:rsidRPr="00FA6DBD">
        <w:rPr>
          <w:rFonts w:asciiTheme="minorHAnsi" w:hAnsiTheme="minorHAnsi"/>
          <w:color w:val="000000"/>
          <w:sz w:val="22"/>
          <w:szCs w:val="22"/>
          <w:lang w:val="es-MX"/>
        </w:rPr>
        <w:t xml:space="preserve"> </w:t>
      </w:r>
      <w:r>
        <w:rPr>
          <w:rFonts w:asciiTheme="minorHAnsi" w:hAnsiTheme="minorHAnsi"/>
          <w:color w:val="000000"/>
          <w:sz w:val="22"/>
          <w:szCs w:val="22"/>
          <w:lang w:val="es-MX"/>
        </w:rPr>
        <w:t>l</w:t>
      </w:r>
      <w:r w:rsidR="00F72C03" w:rsidRPr="00FA6DBD">
        <w:rPr>
          <w:rFonts w:asciiTheme="minorHAnsi" w:hAnsiTheme="minorHAnsi"/>
          <w:color w:val="000000"/>
          <w:sz w:val="22"/>
          <w:szCs w:val="22"/>
          <w:lang w:val="es-MX"/>
        </w:rPr>
        <w:t>as acciones</w:t>
      </w:r>
      <w:r>
        <w:rPr>
          <w:rFonts w:asciiTheme="minorHAnsi" w:hAnsiTheme="minorHAnsi"/>
          <w:color w:val="000000"/>
          <w:sz w:val="22"/>
          <w:szCs w:val="22"/>
          <w:lang w:val="es-MX"/>
        </w:rPr>
        <w:t xml:space="preserve"> promovidas por el IFDP, </w:t>
      </w:r>
      <w:r w:rsidR="00F72C03" w:rsidRPr="00FA6DBD">
        <w:rPr>
          <w:rFonts w:asciiTheme="minorHAnsi" w:hAnsiTheme="minorHAnsi"/>
          <w:color w:val="000000"/>
          <w:sz w:val="22"/>
          <w:szCs w:val="22"/>
          <w:lang w:val="es-MX"/>
        </w:rPr>
        <w:t>tales como</w:t>
      </w:r>
      <w:r>
        <w:rPr>
          <w:rFonts w:asciiTheme="minorHAnsi" w:hAnsiTheme="minorHAnsi"/>
          <w:color w:val="000000"/>
          <w:sz w:val="22"/>
          <w:szCs w:val="22"/>
          <w:lang w:val="es-MX"/>
        </w:rPr>
        <w:t xml:space="preserve"> </w:t>
      </w:r>
      <w:r w:rsidR="00F72C03" w:rsidRPr="00FA6DBD">
        <w:rPr>
          <w:rFonts w:asciiTheme="minorHAnsi" w:hAnsiTheme="minorHAnsi"/>
          <w:color w:val="000000"/>
          <w:sz w:val="22"/>
          <w:szCs w:val="22"/>
          <w:lang w:val="es-MX"/>
        </w:rPr>
        <w:t>la investigación y judicialización de las más de 900 denuncias penales</w:t>
      </w:r>
      <w:r w:rsidR="00EF3B01">
        <w:rPr>
          <w:rFonts w:asciiTheme="minorHAnsi" w:hAnsiTheme="minorHAnsi"/>
          <w:color w:val="000000"/>
          <w:sz w:val="22"/>
          <w:szCs w:val="22"/>
          <w:lang w:val="es-MX"/>
        </w:rPr>
        <w:t xml:space="preserve"> presentadas</w:t>
      </w:r>
      <w:r w:rsidR="00F72C03" w:rsidRPr="00FA6DBD">
        <w:rPr>
          <w:rFonts w:asciiTheme="minorHAnsi" w:hAnsiTheme="minorHAnsi"/>
          <w:color w:val="000000"/>
          <w:sz w:val="22"/>
          <w:szCs w:val="22"/>
          <w:lang w:val="es-MX"/>
        </w:rPr>
        <w:t>, o si los amparos promovidos a favor de</w:t>
      </w:r>
      <w:r w:rsidR="00EF3B01">
        <w:rPr>
          <w:rFonts w:asciiTheme="minorHAnsi" w:hAnsiTheme="minorHAnsi"/>
          <w:color w:val="000000"/>
          <w:sz w:val="22"/>
          <w:szCs w:val="22"/>
          <w:lang w:val="es-MX"/>
        </w:rPr>
        <w:t xml:space="preserve"> las</w:t>
      </w:r>
      <w:r w:rsidR="00F72C03" w:rsidRPr="00FA6DBD">
        <w:rPr>
          <w:rFonts w:asciiTheme="minorHAnsi" w:hAnsiTheme="minorHAnsi"/>
          <w:color w:val="000000"/>
          <w:sz w:val="22"/>
          <w:szCs w:val="22"/>
          <w:lang w:val="es-MX"/>
        </w:rPr>
        <w:t xml:space="preserve"> 117 personas han llevado a avances en las investigaciones penales. Lo anterior es preocupante, pues la necesidad de interponer l</w:t>
      </w:r>
      <w:r w:rsidR="00EF3B01">
        <w:rPr>
          <w:rFonts w:asciiTheme="minorHAnsi" w:hAnsiTheme="minorHAnsi"/>
          <w:color w:val="000000"/>
          <w:sz w:val="22"/>
          <w:szCs w:val="22"/>
          <w:lang w:val="es-MX"/>
        </w:rPr>
        <w:t>a</w:t>
      </w:r>
      <w:r w:rsidR="00F72C03" w:rsidRPr="00FA6DBD">
        <w:rPr>
          <w:rFonts w:asciiTheme="minorHAnsi" w:hAnsiTheme="minorHAnsi"/>
          <w:color w:val="000000"/>
          <w:sz w:val="22"/>
          <w:szCs w:val="22"/>
          <w:lang w:val="es-MX"/>
        </w:rPr>
        <w:t>s</w:t>
      </w:r>
      <w:r w:rsidR="00EF3B01">
        <w:rPr>
          <w:rFonts w:asciiTheme="minorHAnsi" w:hAnsiTheme="minorHAnsi"/>
          <w:color w:val="000000"/>
          <w:sz w:val="22"/>
          <w:szCs w:val="22"/>
          <w:lang w:val="es-MX"/>
        </w:rPr>
        <w:t xml:space="preserve"> demandas de</w:t>
      </w:r>
      <w:r w:rsidR="00F72C03" w:rsidRPr="00FA6DBD">
        <w:rPr>
          <w:rFonts w:asciiTheme="minorHAnsi" w:hAnsiTheme="minorHAnsi"/>
          <w:color w:val="000000"/>
          <w:sz w:val="22"/>
          <w:szCs w:val="22"/>
          <w:lang w:val="es-MX"/>
        </w:rPr>
        <w:t xml:space="preserve"> amparo mencionad</w:t>
      </w:r>
      <w:r w:rsidR="00EF3B01">
        <w:rPr>
          <w:rFonts w:asciiTheme="minorHAnsi" w:hAnsiTheme="minorHAnsi"/>
          <w:color w:val="000000"/>
          <w:sz w:val="22"/>
          <w:szCs w:val="22"/>
          <w:lang w:val="es-MX"/>
        </w:rPr>
        <w:t>a</w:t>
      </w:r>
      <w:r w:rsidR="00F72C03" w:rsidRPr="00FA6DBD">
        <w:rPr>
          <w:rFonts w:asciiTheme="minorHAnsi" w:hAnsiTheme="minorHAnsi"/>
          <w:color w:val="000000"/>
          <w:sz w:val="22"/>
          <w:szCs w:val="22"/>
          <w:lang w:val="es-MX"/>
        </w:rPr>
        <w:t xml:space="preserve">s entre finales de 2019 y principios de 2020 refleja </w:t>
      </w:r>
      <w:r w:rsidR="006A7416">
        <w:rPr>
          <w:rFonts w:asciiTheme="minorHAnsi" w:hAnsiTheme="minorHAnsi"/>
          <w:color w:val="000000"/>
          <w:sz w:val="22"/>
          <w:szCs w:val="22"/>
          <w:lang w:val="es-MX"/>
        </w:rPr>
        <w:t>la</w:t>
      </w:r>
      <w:r w:rsidR="00F72C03" w:rsidRPr="00FA6DBD">
        <w:rPr>
          <w:rFonts w:asciiTheme="minorHAnsi" w:hAnsiTheme="minorHAnsi"/>
          <w:color w:val="000000"/>
          <w:sz w:val="22"/>
          <w:szCs w:val="22"/>
          <w:lang w:val="es-MX"/>
        </w:rPr>
        <w:t xml:space="preserve"> vigen</w:t>
      </w:r>
      <w:r w:rsidR="006A7416">
        <w:rPr>
          <w:rFonts w:asciiTheme="minorHAnsi" w:hAnsiTheme="minorHAnsi"/>
          <w:color w:val="000000"/>
          <w:sz w:val="22"/>
          <w:szCs w:val="22"/>
          <w:lang w:val="es-MX"/>
        </w:rPr>
        <w:t>cia de</w:t>
      </w:r>
      <w:r w:rsidR="00F72C03" w:rsidRPr="00FA6DBD">
        <w:rPr>
          <w:rFonts w:asciiTheme="minorHAnsi" w:hAnsiTheme="minorHAnsi"/>
          <w:color w:val="000000"/>
          <w:sz w:val="22"/>
          <w:szCs w:val="22"/>
          <w:lang w:val="es-MX"/>
        </w:rPr>
        <w:t xml:space="preserve"> problemáticas como</w:t>
      </w:r>
      <w:r w:rsidR="000A1EB4">
        <w:rPr>
          <w:rFonts w:asciiTheme="minorHAnsi" w:hAnsiTheme="minorHAnsi"/>
          <w:color w:val="000000"/>
          <w:sz w:val="22"/>
          <w:szCs w:val="22"/>
          <w:lang w:val="es-MX"/>
        </w:rPr>
        <w:t>, entre otras,</w:t>
      </w:r>
      <w:r w:rsidR="00F72C03" w:rsidRPr="00FA6DBD">
        <w:rPr>
          <w:rFonts w:asciiTheme="minorHAnsi" w:hAnsiTheme="minorHAnsi"/>
          <w:color w:val="000000"/>
          <w:sz w:val="22"/>
          <w:szCs w:val="22"/>
          <w:lang w:val="es-MX"/>
        </w:rPr>
        <w:t xml:space="preserve"> la falta de debida investigación de la tortura</w:t>
      </w:r>
      <w:r w:rsidR="00EF3B01">
        <w:rPr>
          <w:rFonts w:asciiTheme="minorHAnsi" w:hAnsiTheme="minorHAnsi"/>
          <w:color w:val="000000"/>
          <w:sz w:val="22"/>
          <w:szCs w:val="22"/>
          <w:lang w:val="es-MX"/>
        </w:rPr>
        <w:t xml:space="preserve"> por las fiscalías</w:t>
      </w:r>
      <w:r w:rsidR="00F72C03" w:rsidRPr="00FA6DBD">
        <w:rPr>
          <w:rFonts w:asciiTheme="minorHAnsi" w:hAnsiTheme="minorHAnsi"/>
          <w:color w:val="000000"/>
          <w:sz w:val="22"/>
          <w:szCs w:val="22"/>
          <w:lang w:val="es-MX"/>
        </w:rPr>
        <w:t xml:space="preserve">. </w:t>
      </w:r>
      <w:r w:rsidR="00EF3B01">
        <w:rPr>
          <w:rFonts w:asciiTheme="minorHAnsi" w:hAnsiTheme="minorHAnsi"/>
          <w:color w:val="000000"/>
          <w:sz w:val="22"/>
          <w:szCs w:val="22"/>
          <w:lang w:val="es-MX"/>
        </w:rPr>
        <w:t>Datos oficiales</w:t>
      </w:r>
      <w:r w:rsidR="00F72C03" w:rsidRPr="00FA6DBD">
        <w:rPr>
          <w:rFonts w:asciiTheme="minorHAnsi" w:hAnsiTheme="minorHAnsi"/>
          <w:color w:val="000000"/>
          <w:sz w:val="22"/>
          <w:szCs w:val="22"/>
          <w:lang w:val="es-MX"/>
        </w:rPr>
        <w:t xml:space="preserve"> corroboran lo anterior: </w:t>
      </w:r>
      <w:r w:rsidR="000C2689" w:rsidRPr="00FA6DBD">
        <w:rPr>
          <w:rFonts w:asciiTheme="minorHAnsi" w:hAnsiTheme="minorHAnsi"/>
          <w:color w:val="000000"/>
          <w:sz w:val="22"/>
          <w:szCs w:val="22"/>
          <w:lang w:val="es-MX"/>
        </w:rPr>
        <w:t>e</w:t>
      </w:r>
      <w:r w:rsidR="000C2689" w:rsidRPr="00FA6DBD">
        <w:rPr>
          <w:rFonts w:asciiTheme="minorHAnsi" w:hAnsiTheme="minorHAnsi"/>
          <w:color w:val="000000"/>
          <w:sz w:val="22"/>
          <w:szCs w:val="22"/>
          <w:lang w:val="es-ES_tradnl"/>
        </w:rPr>
        <w:t>n 2019, la Fiscalía General de la República inició 2,283 investigaciones por tortura</w:t>
      </w:r>
      <w:r w:rsidR="00D37863">
        <w:rPr>
          <w:rFonts w:asciiTheme="minorHAnsi" w:hAnsiTheme="minorHAnsi"/>
          <w:color w:val="000000"/>
          <w:sz w:val="22"/>
          <w:szCs w:val="22"/>
          <w:lang w:val="es-ES_tradnl"/>
        </w:rPr>
        <w:t xml:space="preserve"> y malos tratos</w:t>
      </w:r>
      <w:r w:rsidR="000C2689" w:rsidRPr="00FA6DBD">
        <w:rPr>
          <w:rFonts w:asciiTheme="minorHAnsi" w:hAnsiTheme="minorHAnsi"/>
          <w:color w:val="000000"/>
          <w:sz w:val="22"/>
          <w:szCs w:val="22"/>
          <w:vertAlign w:val="superscript"/>
          <w:lang w:val="es-ES_tradnl"/>
        </w:rPr>
        <w:footnoteReference w:id="12"/>
      </w:r>
      <w:r w:rsidR="00EB4B54" w:rsidRPr="00FA6DBD">
        <w:rPr>
          <w:rFonts w:asciiTheme="minorHAnsi" w:hAnsiTheme="minorHAnsi"/>
          <w:color w:val="000000"/>
          <w:sz w:val="22"/>
          <w:szCs w:val="22"/>
          <w:lang w:val="es-ES_tradnl"/>
        </w:rPr>
        <w:t>, pero, de acuerdo a</w:t>
      </w:r>
      <w:r w:rsidR="000C2689" w:rsidRPr="00FA6DBD">
        <w:rPr>
          <w:rFonts w:asciiTheme="minorHAnsi" w:hAnsiTheme="minorHAnsi"/>
          <w:color w:val="000000"/>
          <w:sz w:val="22"/>
          <w:szCs w:val="22"/>
          <w:lang w:val="es-ES_tradnl"/>
        </w:rPr>
        <w:t xml:space="preserve">l Informe Anual de Actividades de la Fiscalía Especializada en Materia de Derechos Humanos 2019, se destaca </w:t>
      </w:r>
      <w:r w:rsidR="00EB4B54" w:rsidRPr="00FA6DBD">
        <w:rPr>
          <w:rFonts w:asciiTheme="minorHAnsi" w:hAnsiTheme="minorHAnsi"/>
          <w:color w:val="000000"/>
          <w:sz w:val="22"/>
          <w:szCs w:val="22"/>
          <w:lang w:val="es-ES_tradnl"/>
        </w:rPr>
        <w:t xml:space="preserve">únicamente </w:t>
      </w:r>
      <w:r w:rsidR="000C2689" w:rsidRPr="00FA6DBD">
        <w:rPr>
          <w:rFonts w:asciiTheme="minorHAnsi" w:hAnsiTheme="minorHAnsi"/>
          <w:color w:val="000000"/>
          <w:sz w:val="22"/>
          <w:szCs w:val="22"/>
          <w:lang w:val="es-ES_tradnl"/>
        </w:rPr>
        <w:t xml:space="preserve">“la judicialización de 1 carpeta de investigación” ese año por la Fiscalía Especial </w:t>
      </w:r>
      <w:r w:rsidR="000C2689" w:rsidRPr="00FA6DBD">
        <w:rPr>
          <w:rFonts w:asciiTheme="minorHAnsi" w:hAnsiTheme="minorHAnsi"/>
          <w:color w:val="000000"/>
          <w:sz w:val="22"/>
          <w:szCs w:val="22"/>
          <w:lang w:val="es-ES_tradnl"/>
        </w:rPr>
        <w:lastRenderedPageBreak/>
        <w:t>en Investigación del Delito de Tortura</w:t>
      </w:r>
      <w:r w:rsidR="000C2689" w:rsidRPr="00FA6DBD">
        <w:rPr>
          <w:rFonts w:asciiTheme="minorHAnsi" w:hAnsiTheme="minorHAnsi"/>
          <w:color w:val="000000"/>
          <w:sz w:val="22"/>
          <w:szCs w:val="22"/>
          <w:vertAlign w:val="superscript"/>
          <w:lang w:val="es-ES_tradnl"/>
        </w:rPr>
        <w:footnoteReference w:id="13"/>
      </w:r>
      <w:r w:rsidR="000C2689" w:rsidRPr="00FA6DBD">
        <w:rPr>
          <w:rFonts w:asciiTheme="minorHAnsi" w:hAnsiTheme="minorHAnsi"/>
          <w:color w:val="000000"/>
          <w:sz w:val="22"/>
          <w:szCs w:val="22"/>
          <w:lang w:val="es-ES_tradnl"/>
        </w:rPr>
        <w:t>.</w:t>
      </w:r>
      <w:r w:rsidR="00EB4B54" w:rsidRPr="00FA6DBD">
        <w:rPr>
          <w:rFonts w:asciiTheme="minorHAnsi" w:hAnsiTheme="minorHAnsi"/>
          <w:color w:val="000000"/>
          <w:sz w:val="22"/>
          <w:szCs w:val="22"/>
          <w:lang w:val="es-ES_tradnl"/>
        </w:rPr>
        <w:t xml:space="preserve"> En ese sentido, las actividades positivas del IFDP no tendrán </w:t>
      </w:r>
      <w:r w:rsidR="000A1EB4">
        <w:rPr>
          <w:rFonts w:asciiTheme="minorHAnsi" w:hAnsiTheme="minorHAnsi"/>
          <w:color w:val="000000"/>
          <w:sz w:val="22"/>
          <w:szCs w:val="22"/>
          <w:lang w:val="es-ES_tradnl"/>
        </w:rPr>
        <w:t xml:space="preserve">su impacto deseado </w:t>
      </w:r>
      <w:r w:rsidR="00EB4B54" w:rsidRPr="00FA6DBD">
        <w:rPr>
          <w:rFonts w:asciiTheme="minorHAnsi" w:hAnsiTheme="minorHAnsi"/>
          <w:color w:val="000000"/>
          <w:sz w:val="22"/>
          <w:szCs w:val="22"/>
          <w:lang w:val="es-ES_tradnl"/>
        </w:rPr>
        <w:t xml:space="preserve">si no van acompañadas de respuestas institucionales eficaces de parte de </w:t>
      </w:r>
      <w:r w:rsidR="00EF3B01">
        <w:rPr>
          <w:rFonts w:asciiTheme="minorHAnsi" w:hAnsiTheme="minorHAnsi"/>
          <w:color w:val="000000"/>
          <w:sz w:val="22"/>
          <w:szCs w:val="22"/>
          <w:lang w:val="es-ES_tradnl"/>
        </w:rPr>
        <w:t>l</w:t>
      </w:r>
      <w:r w:rsidR="00EB4B54" w:rsidRPr="00FA6DBD">
        <w:rPr>
          <w:rFonts w:asciiTheme="minorHAnsi" w:hAnsiTheme="minorHAnsi"/>
          <w:color w:val="000000"/>
          <w:sz w:val="22"/>
          <w:szCs w:val="22"/>
          <w:lang w:val="es-ES_tradnl"/>
        </w:rPr>
        <w:t>as instituciones del Estado</w:t>
      </w:r>
      <w:r w:rsidR="00EF3B01">
        <w:rPr>
          <w:rFonts w:asciiTheme="minorHAnsi" w:hAnsiTheme="minorHAnsi"/>
          <w:color w:val="000000"/>
          <w:sz w:val="22"/>
          <w:szCs w:val="22"/>
          <w:lang w:val="es-ES_tradnl"/>
        </w:rPr>
        <w:t xml:space="preserve"> ante las que el IFDP actúa</w:t>
      </w:r>
      <w:r w:rsidR="00EB4B54" w:rsidRPr="00FA6DBD">
        <w:rPr>
          <w:rFonts w:asciiTheme="minorHAnsi" w:hAnsiTheme="minorHAnsi"/>
          <w:color w:val="000000"/>
          <w:sz w:val="22"/>
          <w:szCs w:val="22"/>
          <w:lang w:val="es-ES_tradnl"/>
        </w:rPr>
        <w:t>.</w:t>
      </w:r>
    </w:p>
    <w:p w14:paraId="053017EA" w14:textId="57844995" w:rsidR="003B193C" w:rsidRDefault="003B193C" w:rsidP="00510779">
      <w:pPr>
        <w:pStyle w:val="NormalWeb"/>
        <w:jc w:val="both"/>
        <w:rPr>
          <w:rFonts w:asciiTheme="minorHAnsi" w:hAnsiTheme="minorHAnsi"/>
          <w:color w:val="000000"/>
          <w:sz w:val="22"/>
          <w:szCs w:val="22"/>
          <w:lang w:val="es-ES_tradnl"/>
        </w:rPr>
      </w:pPr>
      <w:r>
        <w:rPr>
          <w:rFonts w:asciiTheme="minorHAnsi" w:hAnsiTheme="minorHAnsi"/>
          <w:color w:val="000000"/>
          <w:sz w:val="22"/>
          <w:szCs w:val="22"/>
          <w:lang w:val="es-ES_tradnl"/>
        </w:rPr>
        <w:t>En particular</w:t>
      </w:r>
      <w:r w:rsidR="0093587A">
        <w:rPr>
          <w:rFonts w:asciiTheme="minorHAnsi" w:hAnsiTheme="minorHAnsi"/>
          <w:color w:val="000000"/>
          <w:sz w:val="22"/>
          <w:szCs w:val="22"/>
          <w:lang w:val="es-ES_tradnl"/>
        </w:rPr>
        <w:t>, causa</w:t>
      </w:r>
      <w:r>
        <w:rPr>
          <w:rFonts w:asciiTheme="minorHAnsi" w:hAnsiTheme="minorHAnsi"/>
          <w:color w:val="000000"/>
          <w:sz w:val="22"/>
          <w:szCs w:val="22"/>
          <w:lang w:val="es-ES_tradnl"/>
        </w:rPr>
        <w:t xml:space="preserve"> preocupación la situación de las personas privadas de libertad, quienes se enfrentan no solamente a las problemáticas ya expuestas ante este Comité, sino también a un riesgo elevado de padecer COVID. Si bien el IFDP ha promovido acciones judiciales </w:t>
      </w:r>
      <w:r w:rsidR="0093587A">
        <w:rPr>
          <w:rFonts w:asciiTheme="minorHAnsi" w:hAnsiTheme="minorHAnsi"/>
          <w:color w:val="000000"/>
          <w:sz w:val="22"/>
          <w:szCs w:val="22"/>
          <w:lang w:val="es-ES_tradnl"/>
        </w:rPr>
        <w:t>buscando</w:t>
      </w:r>
      <w:r>
        <w:rPr>
          <w:rFonts w:asciiTheme="minorHAnsi" w:hAnsiTheme="minorHAnsi"/>
          <w:color w:val="000000"/>
          <w:sz w:val="22"/>
          <w:szCs w:val="22"/>
          <w:lang w:val="es-ES_tradnl"/>
        </w:rPr>
        <w:t xml:space="preserve"> medidas de protección para esta población, </w:t>
      </w:r>
      <w:r w:rsidR="0093587A">
        <w:rPr>
          <w:rFonts w:asciiTheme="minorHAnsi" w:hAnsiTheme="minorHAnsi"/>
          <w:color w:val="000000"/>
          <w:sz w:val="22"/>
          <w:szCs w:val="22"/>
          <w:lang w:val="es-ES_tradnl"/>
        </w:rPr>
        <w:t xml:space="preserve">para principios de </w:t>
      </w:r>
      <w:r w:rsidR="001E5DE0">
        <w:rPr>
          <w:rFonts w:asciiTheme="minorHAnsi" w:hAnsiTheme="minorHAnsi"/>
          <w:color w:val="000000"/>
          <w:sz w:val="22"/>
          <w:szCs w:val="22"/>
          <w:lang w:val="es-ES_tradnl"/>
        </w:rPr>
        <w:t>agosto</w:t>
      </w:r>
      <w:r w:rsidR="0093587A">
        <w:rPr>
          <w:rFonts w:asciiTheme="minorHAnsi" w:hAnsiTheme="minorHAnsi"/>
          <w:color w:val="000000"/>
          <w:sz w:val="22"/>
          <w:szCs w:val="22"/>
          <w:lang w:val="es-ES_tradnl"/>
        </w:rPr>
        <w:t xml:space="preserve"> de 2020, se contabilizaban más de </w:t>
      </w:r>
      <w:r w:rsidR="001E5DE0">
        <w:rPr>
          <w:rFonts w:asciiTheme="minorHAnsi" w:hAnsiTheme="minorHAnsi"/>
          <w:color w:val="000000"/>
          <w:sz w:val="22"/>
          <w:szCs w:val="22"/>
          <w:lang w:val="es-ES_tradnl"/>
        </w:rPr>
        <w:t>2,500</w:t>
      </w:r>
      <w:r w:rsidR="0093587A">
        <w:rPr>
          <w:rFonts w:asciiTheme="minorHAnsi" w:hAnsiTheme="minorHAnsi"/>
          <w:color w:val="000000"/>
          <w:sz w:val="22"/>
          <w:szCs w:val="22"/>
          <w:lang w:val="es-ES_tradnl"/>
        </w:rPr>
        <w:t xml:space="preserve"> contagios en el sistema penitenciario y </w:t>
      </w:r>
      <w:r w:rsidR="001E5DE0">
        <w:rPr>
          <w:rFonts w:asciiTheme="minorHAnsi" w:hAnsiTheme="minorHAnsi"/>
          <w:color w:val="000000"/>
          <w:sz w:val="22"/>
          <w:szCs w:val="22"/>
          <w:lang w:val="es-ES_tradnl"/>
        </w:rPr>
        <w:t>casi 200</w:t>
      </w:r>
      <w:r w:rsidR="0093587A">
        <w:rPr>
          <w:rFonts w:asciiTheme="minorHAnsi" w:hAnsiTheme="minorHAnsi"/>
          <w:color w:val="000000"/>
          <w:sz w:val="22"/>
          <w:szCs w:val="22"/>
          <w:lang w:val="es-ES_tradnl"/>
        </w:rPr>
        <w:t xml:space="preserve"> personas privadas de libertad fallecidas por COVID según cifras oficiales (mismas que representan un subregistro)</w:t>
      </w:r>
      <w:r w:rsidR="0093587A">
        <w:rPr>
          <w:rStyle w:val="FootnoteReference"/>
          <w:rFonts w:asciiTheme="minorHAnsi" w:hAnsiTheme="minorHAnsi"/>
          <w:color w:val="000000"/>
          <w:sz w:val="22"/>
          <w:szCs w:val="22"/>
          <w:lang w:val="es-ES_tradnl"/>
        </w:rPr>
        <w:footnoteReference w:id="14"/>
      </w:r>
      <w:r w:rsidR="0093587A">
        <w:rPr>
          <w:rFonts w:asciiTheme="minorHAnsi" w:hAnsiTheme="minorHAnsi"/>
          <w:color w:val="000000"/>
          <w:sz w:val="22"/>
          <w:szCs w:val="22"/>
          <w:lang w:val="es-ES_tradnl"/>
        </w:rPr>
        <w:t>.</w:t>
      </w:r>
      <w:r w:rsidR="002600A7">
        <w:rPr>
          <w:rFonts w:asciiTheme="minorHAnsi" w:hAnsiTheme="minorHAnsi"/>
          <w:color w:val="000000"/>
          <w:sz w:val="22"/>
          <w:szCs w:val="22"/>
          <w:lang w:val="es-ES_tradnl"/>
        </w:rPr>
        <w:t xml:space="preserve"> Las organizaciones de derechos humanos hemos señalado la necesidad de aplicar una política proactiva de excarcelación de personas para evitar mayores contagios y fallecimientos</w:t>
      </w:r>
      <w:r w:rsidR="002600A7">
        <w:rPr>
          <w:rStyle w:val="FootnoteReference"/>
          <w:rFonts w:asciiTheme="minorHAnsi" w:hAnsiTheme="minorHAnsi"/>
          <w:color w:val="000000"/>
          <w:sz w:val="22"/>
          <w:szCs w:val="22"/>
          <w:lang w:val="es-ES_tradnl"/>
        </w:rPr>
        <w:footnoteReference w:id="15"/>
      </w:r>
      <w:r w:rsidR="002600A7">
        <w:rPr>
          <w:rFonts w:asciiTheme="minorHAnsi" w:hAnsiTheme="minorHAnsi"/>
          <w:color w:val="000000"/>
          <w:sz w:val="22"/>
          <w:szCs w:val="22"/>
          <w:lang w:val="es-ES_tradnl"/>
        </w:rPr>
        <w:t xml:space="preserve">. </w:t>
      </w:r>
    </w:p>
    <w:p w14:paraId="7EEA0688" w14:textId="13460C27" w:rsidR="00510DBE" w:rsidRPr="00510DBE" w:rsidRDefault="00510DBE" w:rsidP="00510779">
      <w:pPr>
        <w:pStyle w:val="NormalWeb"/>
        <w:jc w:val="both"/>
        <w:rPr>
          <w:rFonts w:asciiTheme="minorHAnsi" w:hAnsiTheme="minorHAnsi"/>
          <w:color w:val="000000"/>
          <w:sz w:val="22"/>
          <w:szCs w:val="22"/>
          <w:lang w:val="es-ES_tradnl"/>
        </w:rPr>
      </w:pPr>
      <w:r>
        <w:rPr>
          <w:rFonts w:asciiTheme="minorHAnsi" w:hAnsiTheme="minorHAnsi"/>
          <w:color w:val="000000"/>
          <w:sz w:val="22"/>
          <w:szCs w:val="22"/>
          <w:lang w:val="es-ES_tradnl"/>
        </w:rPr>
        <w:t xml:space="preserve">La pandemia recrudece una situación de precariedad que viven las personas privadas de libertad desde hace años: </w:t>
      </w:r>
      <w:r w:rsidRPr="002C6DB0">
        <w:rPr>
          <w:rFonts w:asciiTheme="minorHAnsi" w:hAnsiTheme="minorHAnsi"/>
          <w:color w:val="000000"/>
          <w:sz w:val="22"/>
          <w:szCs w:val="22"/>
          <w:lang w:val="es-ES_tradnl"/>
        </w:rPr>
        <w:t>pocas prisiones cuentan con personal médico y los insumos necesarios para brindar atención en condiciones de normalidad</w:t>
      </w:r>
      <w:r w:rsidR="002C6DB0">
        <w:rPr>
          <w:rFonts w:asciiTheme="minorHAnsi" w:hAnsiTheme="minorHAnsi"/>
          <w:color w:val="000000"/>
          <w:sz w:val="22"/>
          <w:szCs w:val="22"/>
          <w:lang w:val="es-ES_tradnl"/>
        </w:rPr>
        <w:t>,</w:t>
      </w:r>
      <w:r w:rsidRPr="002C6DB0">
        <w:rPr>
          <w:rFonts w:asciiTheme="minorHAnsi" w:hAnsiTheme="minorHAnsi"/>
          <w:color w:val="000000"/>
          <w:sz w:val="22"/>
          <w:szCs w:val="22"/>
          <w:lang w:val="es-ES_tradnl"/>
        </w:rPr>
        <w:t xml:space="preserve"> por lo que son las familias quienes deben asumir esta responsabilidad</w:t>
      </w:r>
      <w:r w:rsidR="00D856D1">
        <w:rPr>
          <w:rFonts w:asciiTheme="minorHAnsi" w:hAnsiTheme="minorHAnsi"/>
          <w:color w:val="000000"/>
          <w:sz w:val="22"/>
          <w:szCs w:val="22"/>
          <w:lang w:val="es-ES_tradnl"/>
        </w:rPr>
        <w:t xml:space="preserve"> y quienes no reciben la información necesaria sobre las medidas que se toman frente a los contagios y defunciones</w:t>
      </w:r>
      <w:r w:rsidR="00D856D1">
        <w:rPr>
          <w:rStyle w:val="FootnoteReference"/>
          <w:rFonts w:asciiTheme="minorHAnsi" w:hAnsiTheme="minorHAnsi"/>
          <w:color w:val="000000"/>
          <w:sz w:val="22"/>
          <w:szCs w:val="22"/>
          <w:lang w:val="es-ES_tradnl"/>
        </w:rPr>
        <w:footnoteReference w:id="16"/>
      </w:r>
      <w:r w:rsidRPr="002C6DB0">
        <w:rPr>
          <w:rFonts w:asciiTheme="minorHAnsi" w:hAnsiTheme="minorHAnsi"/>
          <w:color w:val="000000"/>
          <w:sz w:val="22"/>
          <w:szCs w:val="22"/>
          <w:lang w:val="es-ES_tradnl"/>
        </w:rPr>
        <w:t xml:space="preserve">. Además, la falta </w:t>
      </w:r>
      <w:r w:rsidR="001E5DE0">
        <w:rPr>
          <w:rFonts w:asciiTheme="minorHAnsi" w:hAnsiTheme="minorHAnsi"/>
          <w:color w:val="000000"/>
          <w:sz w:val="22"/>
          <w:szCs w:val="22"/>
          <w:lang w:val="es-ES_tradnl"/>
        </w:rPr>
        <w:t xml:space="preserve">de </w:t>
      </w:r>
      <w:r w:rsidRPr="002C6DB0">
        <w:rPr>
          <w:rFonts w:asciiTheme="minorHAnsi" w:hAnsiTheme="minorHAnsi"/>
          <w:color w:val="000000"/>
          <w:sz w:val="22"/>
          <w:szCs w:val="22"/>
          <w:lang w:val="es-ES_tradnl"/>
        </w:rPr>
        <w:t>información e insumos básicos ha provocado riñas y motines en diferentes entidades. Al 20 de mayo</w:t>
      </w:r>
      <w:r w:rsidR="001E5DE0">
        <w:rPr>
          <w:rFonts w:asciiTheme="minorHAnsi" w:hAnsiTheme="minorHAnsi"/>
          <w:color w:val="000000"/>
          <w:sz w:val="22"/>
          <w:szCs w:val="22"/>
          <w:lang w:val="es-ES_tradnl"/>
        </w:rPr>
        <w:t xml:space="preserve"> de 2020</w:t>
      </w:r>
      <w:r w:rsidRPr="002C6DB0">
        <w:rPr>
          <w:rFonts w:asciiTheme="minorHAnsi" w:hAnsiTheme="minorHAnsi"/>
          <w:color w:val="000000"/>
          <w:sz w:val="22"/>
          <w:szCs w:val="22"/>
          <w:lang w:val="es-ES_tradnl"/>
        </w:rPr>
        <w:t>, la CNDH publicó que se ha</w:t>
      </w:r>
      <w:r w:rsidR="001E5DE0">
        <w:rPr>
          <w:rFonts w:asciiTheme="minorHAnsi" w:hAnsiTheme="minorHAnsi"/>
          <w:color w:val="000000"/>
          <w:sz w:val="22"/>
          <w:szCs w:val="22"/>
          <w:lang w:val="es-ES_tradnl"/>
        </w:rPr>
        <w:t>bía</w:t>
      </w:r>
      <w:r w:rsidRPr="002C6DB0">
        <w:rPr>
          <w:rFonts w:asciiTheme="minorHAnsi" w:hAnsiTheme="minorHAnsi"/>
          <w:color w:val="000000"/>
          <w:sz w:val="22"/>
          <w:szCs w:val="22"/>
          <w:lang w:val="es-ES_tradnl"/>
        </w:rPr>
        <w:t xml:space="preserve">n identificado riñas o motines por medidas </w:t>
      </w:r>
      <w:r w:rsidR="00581769">
        <w:rPr>
          <w:rFonts w:asciiTheme="minorHAnsi" w:hAnsiTheme="minorHAnsi"/>
          <w:color w:val="000000"/>
          <w:sz w:val="22"/>
          <w:szCs w:val="22"/>
          <w:lang w:val="es-ES_tradnl"/>
        </w:rPr>
        <w:t>sanitarias</w:t>
      </w:r>
      <w:r w:rsidRPr="002C6DB0">
        <w:rPr>
          <w:rFonts w:asciiTheme="minorHAnsi" w:hAnsiTheme="minorHAnsi"/>
          <w:color w:val="000000"/>
          <w:sz w:val="22"/>
          <w:szCs w:val="22"/>
          <w:lang w:val="es-ES_tradnl"/>
        </w:rPr>
        <w:t xml:space="preserve"> en el Estado de México, Tabasco y Chiapas</w:t>
      </w:r>
      <w:r w:rsidRPr="00E21615">
        <w:rPr>
          <w:rFonts w:asciiTheme="minorHAnsi" w:hAnsiTheme="minorHAnsi"/>
          <w:color w:val="000000"/>
          <w:sz w:val="22"/>
          <w:szCs w:val="22"/>
          <w:vertAlign w:val="superscript"/>
          <w:lang w:val="es-ES_tradnl"/>
        </w:rPr>
        <w:footnoteReference w:id="17"/>
      </w:r>
      <w:r>
        <w:rPr>
          <w:rFonts w:asciiTheme="minorHAnsi" w:hAnsiTheme="minorHAnsi"/>
          <w:color w:val="000000"/>
          <w:sz w:val="22"/>
          <w:szCs w:val="22"/>
          <w:lang w:val="es-ES_tradnl"/>
        </w:rPr>
        <w:t>.</w:t>
      </w:r>
    </w:p>
    <w:p w14:paraId="66A0AC20" w14:textId="75B2A1F0" w:rsidR="006836EB" w:rsidRPr="00FA6DBD" w:rsidRDefault="00EB606C" w:rsidP="00FA6DBD">
      <w:pPr>
        <w:pStyle w:val="NormalWeb"/>
        <w:jc w:val="both"/>
        <w:rPr>
          <w:rFonts w:asciiTheme="minorHAnsi" w:hAnsiTheme="minorHAnsi"/>
          <w:b/>
          <w:bCs/>
          <w:color w:val="000000"/>
          <w:sz w:val="22"/>
          <w:szCs w:val="22"/>
          <w:lang w:val="es-ES_tradnl"/>
        </w:rPr>
      </w:pPr>
      <w:r>
        <w:rPr>
          <w:rFonts w:asciiTheme="minorHAnsi" w:hAnsiTheme="minorHAnsi"/>
          <w:color w:val="000000"/>
          <w:sz w:val="22"/>
          <w:szCs w:val="22"/>
          <w:lang w:val="es-ES_tradnl"/>
        </w:rPr>
        <w:lastRenderedPageBreak/>
        <w:t>Por otra parte</w:t>
      </w:r>
      <w:r w:rsidR="00EB4B54" w:rsidRPr="00FA6DBD">
        <w:rPr>
          <w:rFonts w:asciiTheme="minorHAnsi" w:hAnsiTheme="minorHAnsi"/>
          <w:color w:val="000000"/>
          <w:sz w:val="22"/>
          <w:szCs w:val="22"/>
          <w:lang w:val="es-ES_tradnl"/>
        </w:rPr>
        <w:t xml:space="preserve">, nuevamente llama la atención la ausencia de datos sobre acciones para fortalecer las defensorías públicas a nivel estatal, quienes se encargan de la defensa de la mayoría de las personas detenidas y procesadas en el país y suelen enfrentar carencias mucho mayores que </w:t>
      </w:r>
      <w:r w:rsidR="000A1EB4">
        <w:rPr>
          <w:rFonts w:asciiTheme="minorHAnsi" w:hAnsiTheme="minorHAnsi"/>
          <w:color w:val="000000"/>
          <w:sz w:val="22"/>
          <w:szCs w:val="22"/>
          <w:lang w:val="es-ES_tradnl"/>
        </w:rPr>
        <w:t>el IFDP</w:t>
      </w:r>
      <w:r w:rsidR="00EB4B54" w:rsidRPr="00FA6DBD">
        <w:rPr>
          <w:rFonts w:asciiTheme="minorHAnsi" w:hAnsiTheme="minorHAnsi"/>
          <w:color w:val="000000"/>
          <w:sz w:val="22"/>
          <w:szCs w:val="22"/>
          <w:lang w:val="es-ES_tradnl"/>
        </w:rPr>
        <w:t xml:space="preserve">. Por lo tanto, consideramos necesario que el Estado informe sobre sus acciones </w:t>
      </w:r>
      <w:r w:rsidR="006A7416">
        <w:rPr>
          <w:rFonts w:asciiTheme="minorHAnsi" w:hAnsiTheme="minorHAnsi"/>
          <w:color w:val="000000"/>
          <w:sz w:val="22"/>
          <w:szCs w:val="22"/>
          <w:lang w:val="es-ES_tradnl"/>
        </w:rPr>
        <w:t xml:space="preserve">y resultados </w:t>
      </w:r>
      <w:r w:rsidR="00EB4B54" w:rsidRPr="00FA6DBD">
        <w:rPr>
          <w:rFonts w:asciiTheme="minorHAnsi" w:hAnsiTheme="minorHAnsi"/>
          <w:color w:val="000000"/>
          <w:sz w:val="22"/>
          <w:szCs w:val="22"/>
          <w:lang w:val="es-ES_tradnl"/>
        </w:rPr>
        <w:t>en ese ámbito.</w:t>
      </w:r>
    </w:p>
    <w:p w14:paraId="76569FA2" w14:textId="4E7D8B76" w:rsidR="0060087E" w:rsidRPr="00FA6DBD" w:rsidRDefault="0060087E" w:rsidP="00FA6DBD">
      <w:pPr>
        <w:pStyle w:val="NormalWeb"/>
        <w:jc w:val="both"/>
        <w:rPr>
          <w:rFonts w:asciiTheme="minorHAnsi" w:hAnsiTheme="minorHAnsi"/>
          <w:b/>
          <w:bCs/>
          <w:color w:val="000000"/>
          <w:sz w:val="22"/>
          <w:szCs w:val="22"/>
          <w:lang w:val="es-US"/>
        </w:rPr>
      </w:pPr>
      <w:r w:rsidRPr="00FA6DBD">
        <w:rPr>
          <w:rFonts w:asciiTheme="minorHAnsi" w:hAnsiTheme="minorHAnsi"/>
          <w:b/>
          <w:bCs/>
          <w:color w:val="000000"/>
          <w:sz w:val="22"/>
          <w:szCs w:val="22"/>
          <w:lang w:val="es-US"/>
        </w:rPr>
        <w:t>c)</w:t>
      </w:r>
      <w:r w:rsidR="00397636" w:rsidRPr="00FA6DBD">
        <w:rPr>
          <w:rFonts w:asciiTheme="minorHAnsi" w:hAnsiTheme="minorHAnsi"/>
          <w:b/>
          <w:bCs/>
          <w:color w:val="000000"/>
          <w:sz w:val="22"/>
          <w:szCs w:val="22"/>
          <w:lang w:val="es-US"/>
        </w:rPr>
        <w:t xml:space="preserve"> </w:t>
      </w:r>
      <w:r w:rsidRPr="00FA6DBD">
        <w:rPr>
          <w:rFonts w:asciiTheme="minorHAnsi" w:hAnsiTheme="minorHAnsi"/>
          <w:b/>
          <w:bCs/>
          <w:color w:val="000000"/>
          <w:sz w:val="22"/>
          <w:szCs w:val="22"/>
          <w:lang w:val="es-US"/>
        </w:rPr>
        <w:t>Adoptar la Ley Nacional del Registro de Detenciones prevista en el artículo 73 XXIII de la Constitución, que deberá ser de aplicación en todos los lugares de privación de libertad.</w:t>
      </w:r>
    </w:p>
    <w:p w14:paraId="415BFDAB" w14:textId="5C220601" w:rsidR="00397636" w:rsidRPr="00FA6DBD" w:rsidRDefault="00397636" w:rsidP="00FA6DBD">
      <w:pPr>
        <w:pStyle w:val="NormalWeb"/>
        <w:jc w:val="both"/>
        <w:rPr>
          <w:rFonts w:asciiTheme="minorHAnsi" w:hAnsiTheme="minorHAnsi"/>
          <w:color w:val="000000"/>
          <w:sz w:val="22"/>
          <w:szCs w:val="22"/>
          <w:lang w:val="es-US"/>
        </w:rPr>
      </w:pPr>
      <w:r w:rsidRPr="00FA6DBD">
        <w:rPr>
          <w:rFonts w:asciiTheme="minorHAnsi" w:hAnsiTheme="minorHAnsi"/>
          <w:color w:val="000000"/>
          <w:sz w:val="22"/>
          <w:szCs w:val="22"/>
          <w:lang w:val="es-US"/>
        </w:rPr>
        <w:t>Tal como indica el Estado en su informe de seguimiento, se adoptó la Ley Nacional en mayo de 2019.</w:t>
      </w:r>
      <w:r w:rsidR="00D479D5" w:rsidRPr="00FA6DBD">
        <w:rPr>
          <w:rFonts w:asciiTheme="minorHAnsi" w:hAnsiTheme="minorHAnsi"/>
          <w:color w:val="000000"/>
          <w:sz w:val="22"/>
          <w:szCs w:val="22"/>
          <w:lang w:val="es-US"/>
        </w:rPr>
        <w:t xml:space="preserve"> </w:t>
      </w:r>
      <w:r w:rsidRPr="00FA6DBD">
        <w:rPr>
          <w:rFonts w:asciiTheme="minorHAnsi" w:hAnsiTheme="minorHAnsi"/>
          <w:color w:val="000000"/>
          <w:sz w:val="22"/>
          <w:szCs w:val="22"/>
          <w:lang w:val="es-US"/>
        </w:rPr>
        <w:t xml:space="preserve">Al respecto, destacamos </w:t>
      </w:r>
      <w:r w:rsidR="00D479D5" w:rsidRPr="00FA6DBD">
        <w:rPr>
          <w:rFonts w:asciiTheme="minorHAnsi" w:hAnsiTheme="minorHAnsi"/>
          <w:color w:val="000000"/>
          <w:sz w:val="22"/>
          <w:szCs w:val="22"/>
          <w:lang w:val="es-US"/>
        </w:rPr>
        <w:t>tres</w:t>
      </w:r>
      <w:r w:rsidRPr="00FA6DBD">
        <w:rPr>
          <w:rFonts w:asciiTheme="minorHAnsi" w:hAnsiTheme="minorHAnsi"/>
          <w:color w:val="000000"/>
          <w:sz w:val="22"/>
          <w:szCs w:val="22"/>
          <w:lang w:val="es-US"/>
        </w:rPr>
        <w:t xml:space="preserve"> preocupaciones relevantes para valorar el estado de cumplimiento de la recomendación.</w:t>
      </w:r>
    </w:p>
    <w:p w14:paraId="2ABDB5C7" w14:textId="219C699B" w:rsidR="00D479D5" w:rsidRPr="00FA6DBD" w:rsidRDefault="00397636" w:rsidP="00FA6DBD">
      <w:pPr>
        <w:pStyle w:val="NormalWeb"/>
        <w:jc w:val="both"/>
        <w:rPr>
          <w:rFonts w:asciiTheme="minorHAnsi" w:hAnsiTheme="minorHAnsi"/>
          <w:bCs/>
          <w:color w:val="000000"/>
          <w:sz w:val="22"/>
          <w:szCs w:val="22"/>
          <w:lang w:val="es-ES_tradnl"/>
        </w:rPr>
      </w:pPr>
      <w:r w:rsidRPr="00FA6DBD">
        <w:rPr>
          <w:rFonts w:asciiTheme="minorHAnsi" w:hAnsiTheme="minorHAnsi"/>
          <w:color w:val="000000"/>
          <w:sz w:val="22"/>
          <w:szCs w:val="22"/>
          <w:lang w:val="es-US"/>
        </w:rPr>
        <w:t xml:space="preserve">Primero, el lenguaje de la Ley Nacional respecto a la obligación de las Fuerzas Armadas de registrar  detenciones </w:t>
      </w:r>
      <w:r w:rsidR="00D479D5" w:rsidRPr="00FA6DBD">
        <w:rPr>
          <w:rFonts w:asciiTheme="minorHAnsi" w:hAnsiTheme="minorHAnsi"/>
          <w:color w:val="000000"/>
          <w:sz w:val="22"/>
          <w:szCs w:val="22"/>
          <w:lang w:val="es-US"/>
        </w:rPr>
        <w:t>es confuso</w:t>
      </w:r>
      <w:r w:rsidR="0011763D">
        <w:rPr>
          <w:rFonts w:asciiTheme="minorHAnsi" w:hAnsiTheme="minorHAnsi"/>
          <w:color w:val="000000"/>
          <w:sz w:val="22"/>
          <w:szCs w:val="22"/>
          <w:lang w:val="es-US"/>
        </w:rPr>
        <w:t xml:space="preserve"> (se encuentra además fragmentado </w:t>
      </w:r>
      <w:r w:rsidR="00D479D5" w:rsidRPr="00FA6DBD">
        <w:rPr>
          <w:rFonts w:asciiTheme="minorHAnsi" w:hAnsiTheme="minorHAnsi"/>
          <w:color w:val="000000"/>
          <w:sz w:val="22"/>
          <w:szCs w:val="22"/>
          <w:lang w:val="es-US"/>
        </w:rPr>
        <w:t xml:space="preserve">entre </w:t>
      </w:r>
      <w:r w:rsidR="00D479D5" w:rsidRPr="00FA6DBD">
        <w:rPr>
          <w:rFonts w:asciiTheme="minorHAnsi" w:hAnsiTheme="minorHAnsi"/>
          <w:bCs/>
          <w:color w:val="000000"/>
          <w:sz w:val="22"/>
          <w:szCs w:val="22"/>
          <w:lang w:val="es-ES_tradnl"/>
        </w:rPr>
        <w:t>el artículo 19</w:t>
      </w:r>
      <w:r w:rsidR="00D479D5" w:rsidRPr="00FA6DBD">
        <w:rPr>
          <w:rFonts w:asciiTheme="minorHAnsi" w:hAnsiTheme="minorHAnsi"/>
          <w:bCs/>
          <w:color w:val="000000"/>
          <w:sz w:val="22"/>
          <w:szCs w:val="22"/>
          <w:vertAlign w:val="superscript"/>
          <w:lang w:val="es-ES_tradnl"/>
        </w:rPr>
        <w:footnoteReference w:id="18"/>
      </w:r>
      <w:r w:rsidR="00D479D5" w:rsidRPr="00FA6DBD">
        <w:rPr>
          <w:rFonts w:asciiTheme="minorHAnsi" w:hAnsiTheme="minorHAnsi"/>
          <w:bCs/>
          <w:color w:val="000000"/>
          <w:sz w:val="22"/>
          <w:szCs w:val="22"/>
          <w:lang w:val="es-ES_tradnl"/>
        </w:rPr>
        <w:t xml:space="preserve"> y el artículo quinto transitorio</w:t>
      </w:r>
      <w:r w:rsidR="00D479D5" w:rsidRPr="00FA6DBD">
        <w:rPr>
          <w:rFonts w:asciiTheme="minorHAnsi" w:hAnsiTheme="minorHAnsi"/>
          <w:bCs/>
          <w:color w:val="000000"/>
          <w:sz w:val="22"/>
          <w:szCs w:val="22"/>
          <w:vertAlign w:val="superscript"/>
          <w:lang w:val="es-ES_tradnl"/>
        </w:rPr>
        <w:footnoteReference w:id="19"/>
      </w:r>
      <w:r w:rsidR="0011763D">
        <w:rPr>
          <w:rFonts w:asciiTheme="minorHAnsi" w:hAnsiTheme="minorHAnsi"/>
          <w:bCs/>
          <w:color w:val="000000"/>
          <w:sz w:val="22"/>
          <w:szCs w:val="22"/>
          <w:lang w:val="es-ES_tradnl"/>
        </w:rPr>
        <w:t>)</w:t>
      </w:r>
      <w:r w:rsidR="00D479D5" w:rsidRPr="00FA6DBD">
        <w:rPr>
          <w:rFonts w:asciiTheme="minorHAnsi" w:hAnsiTheme="minorHAnsi"/>
          <w:bCs/>
          <w:color w:val="000000"/>
          <w:sz w:val="22"/>
          <w:szCs w:val="22"/>
          <w:lang w:val="es-ES_tradnl"/>
        </w:rPr>
        <w:t xml:space="preserve">. Por este </w:t>
      </w:r>
      <w:r w:rsidR="0011763D">
        <w:rPr>
          <w:rFonts w:asciiTheme="minorHAnsi" w:hAnsiTheme="minorHAnsi"/>
          <w:bCs/>
          <w:color w:val="000000"/>
          <w:sz w:val="22"/>
          <w:szCs w:val="22"/>
          <w:lang w:val="es-ES_tradnl"/>
        </w:rPr>
        <w:t xml:space="preserve">y otros </w:t>
      </w:r>
      <w:r w:rsidR="00D479D5" w:rsidRPr="00FA6DBD">
        <w:rPr>
          <w:rFonts w:asciiTheme="minorHAnsi" w:hAnsiTheme="minorHAnsi"/>
          <w:bCs/>
          <w:color w:val="000000"/>
          <w:sz w:val="22"/>
          <w:szCs w:val="22"/>
          <w:lang w:val="es-ES_tradnl"/>
        </w:rPr>
        <w:t>motivo</w:t>
      </w:r>
      <w:r w:rsidR="0011763D">
        <w:rPr>
          <w:rFonts w:asciiTheme="minorHAnsi" w:hAnsiTheme="minorHAnsi"/>
          <w:bCs/>
          <w:color w:val="000000"/>
          <w:sz w:val="22"/>
          <w:szCs w:val="22"/>
          <w:lang w:val="es-ES_tradnl"/>
        </w:rPr>
        <w:t>s</w:t>
      </w:r>
      <w:r w:rsidR="00D479D5" w:rsidRPr="00FA6DBD">
        <w:rPr>
          <w:rFonts w:asciiTheme="minorHAnsi" w:hAnsiTheme="minorHAnsi"/>
          <w:bCs/>
          <w:color w:val="000000"/>
          <w:sz w:val="22"/>
          <w:szCs w:val="22"/>
          <w:lang w:val="es-ES_tradnl"/>
        </w:rPr>
        <w:t>, e</w:t>
      </w:r>
      <w:r w:rsidR="00D479D5" w:rsidRPr="00D479D5">
        <w:rPr>
          <w:rFonts w:asciiTheme="minorHAnsi" w:hAnsiTheme="minorHAnsi"/>
          <w:bCs/>
          <w:color w:val="000000"/>
          <w:sz w:val="22"/>
          <w:szCs w:val="22"/>
          <w:lang w:val="es-ES_tradnl"/>
        </w:rPr>
        <w:t>l 26 de junio de 2019, la Comisión Nacional de los Derechos Humanos (CNDH) interpuso ante la Suprema Corte de Justicia de la Nación (SCJN) la Acción de Inconstitucionalidad 63/2019 contra la mencionada Ley</w:t>
      </w:r>
      <w:r w:rsidR="00D479D5" w:rsidRPr="00FA6DBD">
        <w:rPr>
          <w:rFonts w:asciiTheme="minorHAnsi" w:hAnsiTheme="minorHAnsi"/>
          <w:bCs/>
          <w:color w:val="000000"/>
          <w:sz w:val="22"/>
          <w:szCs w:val="22"/>
          <w:lang w:val="es-ES_tradnl"/>
        </w:rPr>
        <w:t xml:space="preserve"> Nacional</w:t>
      </w:r>
      <w:r w:rsidR="00D479D5" w:rsidRPr="00D479D5">
        <w:rPr>
          <w:rFonts w:asciiTheme="minorHAnsi" w:hAnsiTheme="minorHAnsi"/>
          <w:bCs/>
          <w:color w:val="000000"/>
          <w:sz w:val="22"/>
          <w:szCs w:val="22"/>
          <w:vertAlign w:val="superscript"/>
          <w:lang w:val="es-ES_tradnl"/>
        </w:rPr>
        <w:footnoteReference w:id="20"/>
      </w:r>
      <w:r w:rsidR="0011763D">
        <w:rPr>
          <w:rFonts w:asciiTheme="minorHAnsi" w:hAnsiTheme="minorHAnsi"/>
          <w:bCs/>
          <w:color w:val="000000"/>
          <w:sz w:val="22"/>
          <w:szCs w:val="22"/>
          <w:lang w:val="es-ES_tradnl"/>
        </w:rPr>
        <w:t>,</w:t>
      </w:r>
      <w:r w:rsidR="00D479D5" w:rsidRPr="00D479D5">
        <w:rPr>
          <w:rFonts w:asciiTheme="minorHAnsi" w:hAnsiTheme="minorHAnsi"/>
          <w:bCs/>
          <w:color w:val="000000"/>
          <w:sz w:val="22"/>
          <w:szCs w:val="22"/>
          <w:lang w:val="es-ES_tradnl"/>
        </w:rPr>
        <w:t xml:space="preserve"> pendiente de resolver</w:t>
      </w:r>
      <w:r w:rsidR="0011763D">
        <w:rPr>
          <w:rFonts w:asciiTheme="minorHAnsi" w:hAnsiTheme="minorHAnsi"/>
          <w:bCs/>
          <w:color w:val="000000"/>
          <w:sz w:val="22"/>
          <w:szCs w:val="22"/>
          <w:lang w:val="es-ES_tradnl"/>
        </w:rPr>
        <w:t>se</w:t>
      </w:r>
      <w:r w:rsidR="00D479D5" w:rsidRPr="00D479D5">
        <w:rPr>
          <w:rFonts w:asciiTheme="minorHAnsi" w:hAnsiTheme="minorHAnsi"/>
          <w:bCs/>
          <w:color w:val="000000"/>
          <w:sz w:val="22"/>
          <w:szCs w:val="22"/>
          <w:lang w:val="es-ES_tradnl"/>
        </w:rPr>
        <w:t>.</w:t>
      </w:r>
    </w:p>
    <w:p w14:paraId="61E751B6" w14:textId="519F243D" w:rsidR="00D479D5" w:rsidRPr="00FA6DBD" w:rsidRDefault="00D479D5" w:rsidP="00FA6DBD">
      <w:pPr>
        <w:pStyle w:val="NormalWeb"/>
        <w:jc w:val="both"/>
        <w:rPr>
          <w:rFonts w:asciiTheme="minorHAnsi" w:hAnsiTheme="minorHAnsi"/>
          <w:bCs/>
          <w:color w:val="000000"/>
          <w:sz w:val="22"/>
          <w:szCs w:val="22"/>
          <w:lang w:val="es-ES_tradnl"/>
        </w:rPr>
      </w:pPr>
      <w:r w:rsidRPr="00FA6DBD">
        <w:rPr>
          <w:rFonts w:asciiTheme="minorHAnsi" w:hAnsiTheme="minorHAnsi"/>
          <w:bCs/>
          <w:color w:val="000000"/>
          <w:sz w:val="22"/>
          <w:szCs w:val="22"/>
          <w:lang w:val="es-ES_tradnl"/>
        </w:rPr>
        <w:t xml:space="preserve">En segundo lugar, </w:t>
      </w:r>
      <w:r w:rsidR="00FF7F14">
        <w:rPr>
          <w:rFonts w:asciiTheme="minorHAnsi" w:hAnsiTheme="minorHAnsi"/>
          <w:bCs/>
          <w:color w:val="000000"/>
          <w:sz w:val="22"/>
          <w:szCs w:val="22"/>
          <w:lang w:val="es-ES_tradnl"/>
        </w:rPr>
        <w:t>m</w:t>
      </w:r>
      <w:r w:rsidR="00DF64D2" w:rsidRPr="00FA6DBD">
        <w:rPr>
          <w:rFonts w:asciiTheme="minorHAnsi" w:hAnsiTheme="minorHAnsi"/>
          <w:bCs/>
          <w:color w:val="000000"/>
          <w:sz w:val="22"/>
          <w:szCs w:val="22"/>
          <w:lang w:val="es-ES_tradnl"/>
        </w:rPr>
        <w:t>ientras el Sistema de Consulta del Registro Nacional permitirá a las personas interesadas saber dónde está detenida una persona acusada de delincuencia común o privada de libertad por otro motivo, no es así en el caso de personas acusadas de delincuencia organizada, pues en este último caso “solo estará disponible la información sobre la fecha de la detención y si la persona se encuentra detenida”</w:t>
      </w:r>
      <w:r w:rsidR="00DF64D2" w:rsidRPr="00FA6DBD">
        <w:rPr>
          <w:rFonts w:asciiTheme="minorHAnsi" w:hAnsiTheme="minorHAnsi"/>
          <w:bCs/>
          <w:color w:val="000000"/>
          <w:sz w:val="22"/>
          <w:szCs w:val="22"/>
          <w:vertAlign w:val="superscript"/>
          <w:lang w:val="es-ES_tradnl"/>
        </w:rPr>
        <w:footnoteReference w:id="21"/>
      </w:r>
      <w:r w:rsidR="00DF64D2" w:rsidRPr="00FA6DBD">
        <w:rPr>
          <w:rFonts w:asciiTheme="minorHAnsi" w:hAnsiTheme="minorHAnsi"/>
          <w:bCs/>
          <w:color w:val="000000"/>
          <w:sz w:val="22"/>
          <w:szCs w:val="22"/>
          <w:lang w:val="es-ES_tradnl"/>
        </w:rPr>
        <w:t xml:space="preserve">. </w:t>
      </w:r>
      <w:r w:rsidR="00DF64D2" w:rsidRPr="00DF64D2">
        <w:rPr>
          <w:rFonts w:asciiTheme="minorHAnsi" w:hAnsiTheme="minorHAnsi"/>
          <w:bCs/>
          <w:color w:val="000000"/>
          <w:sz w:val="22"/>
          <w:szCs w:val="22"/>
          <w:lang w:val="es-ES_tradnl"/>
        </w:rPr>
        <w:t xml:space="preserve">Así, no se </w:t>
      </w:r>
      <w:r w:rsidR="00DF64D2" w:rsidRPr="00DF64D2">
        <w:rPr>
          <w:rFonts w:asciiTheme="minorHAnsi" w:hAnsiTheme="minorHAnsi"/>
          <w:bCs/>
          <w:color w:val="000000"/>
          <w:sz w:val="22"/>
          <w:szCs w:val="22"/>
          <w:lang w:val="es-ES_tradnl"/>
        </w:rPr>
        <w:lastRenderedPageBreak/>
        <w:t xml:space="preserve">permitirá saber en qué etapa de detención se encuentra la persona, bajo custodia de qué autoridad, si existe una demora que pudiera apuntar a una situación de riesgo de violaciones </w:t>
      </w:r>
      <w:r w:rsidR="00FF7F14">
        <w:rPr>
          <w:rFonts w:asciiTheme="minorHAnsi" w:hAnsiTheme="minorHAnsi"/>
          <w:bCs/>
          <w:color w:val="000000"/>
          <w:sz w:val="22"/>
          <w:szCs w:val="22"/>
          <w:lang w:val="es-ES_tradnl"/>
        </w:rPr>
        <w:t>de</w:t>
      </w:r>
      <w:r w:rsidR="00DF64D2" w:rsidRPr="00DF64D2">
        <w:rPr>
          <w:rFonts w:asciiTheme="minorHAnsi" w:hAnsiTheme="minorHAnsi"/>
          <w:bCs/>
          <w:color w:val="000000"/>
          <w:sz w:val="22"/>
          <w:szCs w:val="22"/>
          <w:lang w:val="es-ES_tradnl"/>
        </w:rPr>
        <w:t xml:space="preserve"> derechos humanos, ni la ubicación de la persona. </w:t>
      </w:r>
      <w:r w:rsidR="00176BAD">
        <w:rPr>
          <w:rFonts w:asciiTheme="minorHAnsi" w:hAnsiTheme="minorHAnsi"/>
          <w:bCs/>
          <w:color w:val="000000"/>
          <w:sz w:val="22"/>
          <w:szCs w:val="22"/>
          <w:lang w:val="es-ES_tradnl"/>
        </w:rPr>
        <w:t>Esto</w:t>
      </w:r>
      <w:r w:rsidR="00DF64D2" w:rsidRPr="00FA6DBD">
        <w:rPr>
          <w:rFonts w:asciiTheme="minorHAnsi" w:hAnsiTheme="minorHAnsi"/>
          <w:bCs/>
          <w:color w:val="000000"/>
          <w:sz w:val="22"/>
          <w:szCs w:val="22"/>
          <w:lang w:val="es-ES_tradnl"/>
        </w:rPr>
        <w:t xml:space="preserve"> </w:t>
      </w:r>
      <w:r w:rsidR="00176BAD">
        <w:rPr>
          <w:rFonts w:asciiTheme="minorHAnsi" w:hAnsiTheme="minorHAnsi"/>
          <w:bCs/>
          <w:color w:val="000000"/>
          <w:sz w:val="22"/>
          <w:szCs w:val="22"/>
          <w:lang w:val="es-ES_tradnl"/>
        </w:rPr>
        <w:t>impacta</w:t>
      </w:r>
      <w:r w:rsidR="00DF64D2" w:rsidRPr="00FA6DBD">
        <w:rPr>
          <w:rFonts w:asciiTheme="minorHAnsi" w:hAnsiTheme="minorHAnsi"/>
          <w:bCs/>
          <w:color w:val="000000"/>
          <w:sz w:val="22"/>
          <w:szCs w:val="22"/>
          <w:lang w:val="es-ES_tradnl"/>
        </w:rPr>
        <w:t xml:space="preserve"> de manera importante en la eficacia del Registro como herramienta de prevención de la tortura, pues las personas acusadas de delincuencia organizada corren un alto riesgo de sufrir tortura</w:t>
      </w:r>
      <w:r w:rsidR="00FF7F14">
        <w:rPr>
          <w:rFonts w:asciiTheme="minorHAnsi" w:hAnsiTheme="minorHAnsi"/>
          <w:bCs/>
          <w:color w:val="000000"/>
          <w:sz w:val="22"/>
          <w:szCs w:val="22"/>
          <w:lang w:val="es-ES_tradnl"/>
        </w:rPr>
        <w:t xml:space="preserve"> y malos tratos</w:t>
      </w:r>
      <w:r w:rsidR="00DF64D2" w:rsidRPr="00FA6DBD">
        <w:rPr>
          <w:rFonts w:asciiTheme="minorHAnsi" w:hAnsiTheme="minorHAnsi"/>
          <w:bCs/>
          <w:color w:val="000000"/>
          <w:sz w:val="22"/>
          <w:szCs w:val="22"/>
          <w:lang w:val="es-ES_tradnl"/>
        </w:rPr>
        <w:t xml:space="preserve">. Lo anterior se ha relacionado, entre otros, con la participación de fuerzas federales, </w:t>
      </w:r>
      <w:r w:rsidR="00FF7F14">
        <w:rPr>
          <w:rFonts w:asciiTheme="minorHAnsi" w:hAnsiTheme="minorHAnsi"/>
          <w:bCs/>
          <w:color w:val="000000"/>
          <w:sz w:val="22"/>
          <w:szCs w:val="22"/>
          <w:lang w:val="es-ES_tradnl"/>
        </w:rPr>
        <w:t>en particular</w:t>
      </w:r>
      <w:r w:rsidR="00DF64D2" w:rsidRPr="00FA6DBD">
        <w:rPr>
          <w:rFonts w:asciiTheme="minorHAnsi" w:hAnsiTheme="minorHAnsi"/>
          <w:bCs/>
          <w:color w:val="000000"/>
          <w:sz w:val="22"/>
          <w:szCs w:val="22"/>
          <w:lang w:val="es-ES_tradnl"/>
        </w:rPr>
        <w:t xml:space="preserve"> del Ejército y de la Marina, en operativos de combate a la delincuencia organizada, tomando en cuenta que son las fuerzas con los mayores porcentajes de señalamientos por tortura y malos tratos</w:t>
      </w:r>
      <w:r w:rsidR="00FF7F14">
        <w:rPr>
          <w:rFonts w:asciiTheme="minorHAnsi" w:hAnsiTheme="minorHAnsi"/>
          <w:bCs/>
          <w:color w:val="000000"/>
          <w:sz w:val="22"/>
          <w:szCs w:val="22"/>
          <w:lang w:val="es-ES_tradnl"/>
        </w:rPr>
        <w:t xml:space="preserve"> a personas detenidas</w:t>
      </w:r>
      <w:r w:rsidR="00DF64D2" w:rsidRPr="00FA6DBD">
        <w:rPr>
          <w:rFonts w:asciiTheme="minorHAnsi" w:hAnsiTheme="minorHAnsi"/>
          <w:bCs/>
          <w:color w:val="000000"/>
          <w:sz w:val="22"/>
          <w:szCs w:val="22"/>
          <w:vertAlign w:val="superscript"/>
          <w:lang w:val="es-ES_tradnl"/>
        </w:rPr>
        <w:footnoteReference w:id="22"/>
      </w:r>
      <w:r w:rsidR="00DF64D2" w:rsidRPr="00FA6DBD">
        <w:rPr>
          <w:rFonts w:asciiTheme="minorHAnsi" w:hAnsiTheme="minorHAnsi"/>
          <w:bCs/>
          <w:color w:val="000000"/>
          <w:sz w:val="22"/>
          <w:szCs w:val="22"/>
          <w:lang w:val="es-ES_tradnl"/>
        </w:rPr>
        <w:t>.</w:t>
      </w:r>
    </w:p>
    <w:p w14:paraId="46B14552" w14:textId="7480DD2C" w:rsidR="00D479D5" w:rsidRPr="00D479D5" w:rsidRDefault="00D479D5" w:rsidP="00FA6DBD">
      <w:pPr>
        <w:pStyle w:val="NormalWeb"/>
        <w:jc w:val="both"/>
        <w:rPr>
          <w:rFonts w:asciiTheme="minorHAnsi" w:hAnsiTheme="minorHAnsi"/>
          <w:bCs/>
          <w:color w:val="000000"/>
          <w:sz w:val="22"/>
          <w:szCs w:val="22"/>
          <w:lang w:val="es-ES_tradnl"/>
        </w:rPr>
      </w:pPr>
      <w:r w:rsidRPr="00FA6DBD">
        <w:rPr>
          <w:rFonts w:asciiTheme="minorHAnsi" w:hAnsiTheme="minorHAnsi"/>
          <w:bCs/>
          <w:color w:val="000000"/>
          <w:sz w:val="22"/>
          <w:szCs w:val="22"/>
          <w:lang w:val="es-ES_tradnl"/>
        </w:rPr>
        <w:t>Finalmente</w:t>
      </w:r>
      <w:r w:rsidRPr="00D479D5">
        <w:rPr>
          <w:rFonts w:asciiTheme="minorHAnsi" w:hAnsiTheme="minorHAnsi"/>
          <w:bCs/>
          <w:color w:val="000000"/>
          <w:sz w:val="22"/>
          <w:szCs w:val="22"/>
          <w:lang w:val="es-ES_tradnl"/>
        </w:rPr>
        <w:t xml:space="preserve">, la Ley </w:t>
      </w:r>
      <w:r w:rsidR="001D42E6">
        <w:rPr>
          <w:rFonts w:asciiTheme="minorHAnsi" w:hAnsiTheme="minorHAnsi"/>
          <w:bCs/>
          <w:color w:val="000000"/>
          <w:sz w:val="22"/>
          <w:szCs w:val="22"/>
          <w:lang w:val="es-ES_tradnl"/>
        </w:rPr>
        <w:t xml:space="preserve">Nacional </w:t>
      </w:r>
      <w:r w:rsidRPr="00D479D5">
        <w:rPr>
          <w:rFonts w:asciiTheme="minorHAnsi" w:hAnsiTheme="minorHAnsi"/>
          <w:bCs/>
          <w:color w:val="000000"/>
          <w:sz w:val="22"/>
          <w:szCs w:val="22"/>
          <w:lang w:val="es-ES_tradnl"/>
        </w:rPr>
        <w:t xml:space="preserve">dispone </w:t>
      </w:r>
      <w:r w:rsidR="001D42E6">
        <w:rPr>
          <w:rFonts w:asciiTheme="minorHAnsi" w:hAnsiTheme="minorHAnsi"/>
          <w:bCs/>
          <w:color w:val="000000"/>
          <w:sz w:val="22"/>
          <w:szCs w:val="22"/>
          <w:lang w:val="es-ES_tradnl"/>
        </w:rPr>
        <w:t>un</w:t>
      </w:r>
      <w:r w:rsidRPr="00D479D5">
        <w:rPr>
          <w:rFonts w:asciiTheme="minorHAnsi" w:hAnsiTheme="minorHAnsi"/>
          <w:bCs/>
          <w:color w:val="000000"/>
          <w:sz w:val="22"/>
          <w:szCs w:val="22"/>
          <w:lang w:val="es-ES_tradnl"/>
        </w:rPr>
        <w:t xml:space="preserve">a </w:t>
      </w:r>
      <w:r w:rsidRPr="00FA6DBD">
        <w:rPr>
          <w:rFonts w:asciiTheme="minorHAnsi" w:hAnsiTheme="minorHAnsi"/>
          <w:bCs/>
          <w:color w:val="000000"/>
          <w:sz w:val="22"/>
          <w:szCs w:val="22"/>
          <w:lang w:val="es-ES_tradnl"/>
        </w:rPr>
        <w:t xml:space="preserve">reforma </w:t>
      </w:r>
      <w:r w:rsidR="001D42E6">
        <w:rPr>
          <w:rFonts w:asciiTheme="minorHAnsi" w:hAnsiTheme="minorHAnsi"/>
          <w:bCs/>
          <w:color w:val="000000"/>
          <w:sz w:val="22"/>
          <w:szCs w:val="22"/>
          <w:lang w:val="es-ES_tradnl"/>
        </w:rPr>
        <w:t>a</w:t>
      </w:r>
      <w:r w:rsidRPr="00FA6DBD">
        <w:rPr>
          <w:rFonts w:asciiTheme="minorHAnsi" w:hAnsiTheme="minorHAnsi"/>
          <w:bCs/>
          <w:color w:val="000000"/>
          <w:sz w:val="22"/>
          <w:szCs w:val="22"/>
          <w:lang w:val="es-ES_tradnl"/>
        </w:rPr>
        <w:t xml:space="preserve"> la Ley de Migración para crear</w:t>
      </w:r>
      <w:r w:rsidRPr="00D479D5">
        <w:rPr>
          <w:rFonts w:asciiTheme="minorHAnsi" w:hAnsiTheme="minorHAnsi"/>
          <w:bCs/>
          <w:color w:val="000000"/>
          <w:sz w:val="22"/>
          <w:szCs w:val="22"/>
          <w:lang w:val="es-ES_tradnl"/>
        </w:rPr>
        <w:t xml:space="preserve"> “un registro de personas migrantes detenidas que cuente con las mismas garantías procesales, de protección y de seguridad que las previstas en la presente Ley”</w:t>
      </w:r>
      <w:r w:rsidRPr="00FA6DBD">
        <w:rPr>
          <w:rStyle w:val="FootnoteReference"/>
          <w:rFonts w:asciiTheme="minorHAnsi" w:hAnsiTheme="minorHAnsi"/>
          <w:bCs/>
          <w:color w:val="000000"/>
          <w:sz w:val="22"/>
          <w:szCs w:val="22"/>
          <w:lang w:val="es-ES_tradnl"/>
        </w:rPr>
        <w:footnoteReference w:id="23"/>
      </w:r>
      <w:r w:rsidRPr="00D479D5">
        <w:rPr>
          <w:rFonts w:asciiTheme="minorHAnsi" w:hAnsiTheme="minorHAnsi"/>
          <w:bCs/>
          <w:color w:val="000000"/>
          <w:sz w:val="22"/>
          <w:szCs w:val="22"/>
          <w:lang w:val="es-ES_tradnl"/>
        </w:rPr>
        <w:t xml:space="preserve">. </w:t>
      </w:r>
      <w:r w:rsidR="00833E00" w:rsidRPr="00FA6DBD">
        <w:rPr>
          <w:rFonts w:asciiTheme="minorHAnsi" w:hAnsiTheme="minorHAnsi"/>
          <w:bCs/>
          <w:color w:val="000000"/>
          <w:sz w:val="22"/>
          <w:szCs w:val="22"/>
          <w:lang w:val="es-ES_tradnl"/>
        </w:rPr>
        <w:t>Habiendo vencido el plazo para realizar dicha reforma, no se ha efectuado</w:t>
      </w:r>
      <w:r w:rsidR="00833E00" w:rsidRPr="00FA6DBD">
        <w:rPr>
          <w:rStyle w:val="FootnoteReference"/>
          <w:rFonts w:asciiTheme="minorHAnsi" w:hAnsiTheme="minorHAnsi"/>
          <w:bCs/>
          <w:color w:val="000000"/>
          <w:sz w:val="22"/>
          <w:szCs w:val="22"/>
          <w:lang w:val="es-ES_tradnl"/>
        </w:rPr>
        <w:footnoteReference w:id="24"/>
      </w:r>
      <w:r w:rsidR="00833E00" w:rsidRPr="00FA6DBD">
        <w:rPr>
          <w:rFonts w:asciiTheme="minorHAnsi" w:hAnsiTheme="minorHAnsi"/>
          <w:bCs/>
          <w:color w:val="000000"/>
          <w:sz w:val="22"/>
          <w:szCs w:val="22"/>
          <w:lang w:val="es-ES_tradnl"/>
        </w:rPr>
        <w:t xml:space="preserve">. </w:t>
      </w:r>
      <w:r w:rsidR="00824A9B" w:rsidRPr="00FA6DBD">
        <w:rPr>
          <w:rFonts w:asciiTheme="minorHAnsi" w:hAnsiTheme="minorHAnsi"/>
          <w:bCs/>
          <w:color w:val="000000"/>
          <w:sz w:val="22"/>
          <w:szCs w:val="22"/>
          <w:lang w:val="es-ES_tradnl"/>
        </w:rPr>
        <w:t>Tampoco</w:t>
      </w:r>
      <w:r w:rsidRPr="00D479D5">
        <w:rPr>
          <w:rFonts w:asciiTheme="minorHAnsi" w:hAnsiTheme="minorHAnsi"/>
          <w:bCs/>
          <w:color w:val="000000"/>
          <w:sz w:val="22"/>
          <w:szCs w:val="22"/>
          <w:lang w:val="es-ES_tradnl"/>
        </w:rPr>
        <w:t xml:space="preserve"> entendemos cómo se operará el registro de personas migrantes detenidas, puesto que el Estado mexicano considera que las</w:t>
      </w:r>
      <w:r w:rsidR="008E0E19">
        <w:rPr>
          <w:rFonts w:asciiTheme="minorHAnsi" w:hAnsiTheme="minorHAnsi"/>
          <w:bCs/>
          <w:color w:val="000000"/>
          <w:sz w:val="22"/>
          <w:szCs w:val="22"/>
          <w:lang w:val="es-ES_tradnl"/>
        </w:rPr>
        <w:t xml:space="preserve"> personas</w:t>
      </w:r>
      <w:r w:rsidRPr="00D479D5">
        <w:rPr>
          <w:rFonts w:asciiTheme="minorHAnsi" w:hAnsiTheme="minorHAnsi"/>
          <w:bCs/>
          <w:color w:val="000000"/>
          <w:sz w:val="22"/>
          <w:szCs w:val="22"/>
          <w:lang w:val="es-ES_tradnl"/>
        </w:rPr>
        <w:t xml:space="preserve"> migrantes en detención administrativa (ej. en Estaciones Migratorias) no están “detenid</w:t>
      </w:r>
      <w:r w:rsidR="008E0E19">
        <w:rPr>
          <w:rFonts w:asciiTheme="minorHAnsi" w:hAnsiTheme="minorHAnsi"/>
          <w:bCs/>
          <w:color w:val="000000"/>
          <w:sz w:val="22"/>
          <w:szCs w:val="22"/>
          <w:lang w:val="es-ES_tradnl"/>
        </w:rPr>
        <w:t>a</w:t>
      </w:r>
      <w:r w:rsidRPr="00D479D5">
        <w:rPr>
          <w:rFonts w:asciiTheme="minorHAnsi" w:hAnsiTheme="minorHAnsi"/>
          <w:bCs/>
          <w:color w:val="000000"/>
          <w:sz w:val="22"/>
          <w:szCs w:val="22"/>
          <w:lang w:val="es-ES_tradnl"/>
        </w:rPr>
        <w:t>s” sino “presentad</w:t>
      </w:r>
      <w:r w:rsidR="008E0E19">
        <w:rPr>
          <w:rFonts w:asciiTheme="minorHAnsi" w:hAnsiTheme="minorHAnsi"/>
          <w:bCs/>
          <w:color w:val="000000"/>
          <w:sz w:val="22"/>
          <w:szCs w:val="22"/>
          <w:lang w:val="es-ES_tradnl"/>
        </w:rPr>
        <w:t>a</w:t>
      </w:r>
      <w:r w:rsidRPr="00D479D5">
        <w:rPr>
          <w:rFonts w:asciiTheme="minorHAnsi" w:hAnsiTheme="minorHAnsi"/>
          <w:bCs/>
          <w:color w:val="000000"/>
          <w:sz w:val="22"/>
          <w:szCs w:val="22"/>
          <w:lang w:val="es-ES_tradnl"/>
        </w:rPr>
        <w:t>s” y “alojad</w:t>
      </w:r>
      <w:r w:rsidR="008E0E19">
        <w:rPr>
          <w:rFonts w:asciiTheme="minorHAnsi" w:hAnsiTheme="minorHAnsi"/>
          <w:bCs/>
          <w:color w:val="000000"/>
          <w:sz w:val="22"/>
          <w:szCs w:val="22"/>
          <w:lang w:val="es-ES_tradnl"/>
        </w:rPr>
        <w:t>a</w:t>
      </w:r>
      <w:r w:rsidRPr="00D479D5">
        <w:rPr>
          <w:rFonts w:asciiTheme="minorHAnsi" w:hAnsiTheme="minorHAnsi"/>
          <w:bCs/>
          <w:color w:val="000000"/>
          <w:sz w:val="22"/>
          <w:szCs w:val="22"/>
          <w:lang w:val="es-ES_tradnl"/>
        </w:rPr>
        <w:t>s temporalmente”</w:t>
      </w:r>
      <w:r w:rsidRPr="00D479D5">
        <w:rPr>
          <w:rFonts w:asciiTheme="minorHAnsi" w:hAnsiTheme="minorHAnsi"/>
          <w:bCs/>
          <w:color w:val="000000"/>
          <w:sz w:val="22"/>
          <w:szCs w:val="22"/>
          <w:vertAlign w:val="superscript"/>
          <w:lang w:val="es-ES_tradnl"/>
        </w:rPr>
        <w:footnoteReference w:id="25"/>
      </w:r>
      <w:r w:rsidRPr="00D479D5">
        <w:rPr>
          <w:rFonts w:asciiTheme="minorHAnsi" w:hAnsiTheme="minorHAnsi"/>
          <w:bCs/>
          <w:color w:val="000000"/>
          <w:sz w:val="22"/>
          <w:szCs w:val="22"/>
          <w:lang w:val="es-ES_tradnl"/>
        </w:rPr>
        <w:t>.</w:t>
      </w:r>
    </w:p>
    <w:p w14:paraId="0321C2CE" w14:textId="15AB1237" w:rsidR="0060087E" w:rsidRPr="00FA6DBD" w:rsidRDefault="0060087E" w:rsidP="00FA6DBD">
      <w:pPr>
        <w:jc w:val="both"/>
        <w:rPr>
          <w:rFonts w:asciiTheme="minorHAnsi" w:hAnsiTheme="minorHAnsi"/>
          <w:b/>
          <w:bCs/>
          <w:color w:val="000000"/>
          <w:sz w:val="22"/>
          <w:szCs w:val="22"/>
          <w:lang w:val="es-US"/>
        </w:rPr>
      </w:pPr>
      <w:r w:rsidRPr="0060087E">
        <w:rPr>
          <w:rFonts w:asciiTheme="minorHAnsi" w:hAnsiTheme="minorHAnsi"/>
          <w:b/>
          <w:bCs/>
          <w:color w:val="000000"/>
          <w:sz w:val="22"/>
          <w:szCs w:val="22"/>
          <w:lang w:val="es-US"/>
        </w:rPr>
        <w:t>27. El Comité insta al Estado parte a</w:t>
      </w:r>
      <w:r w:rsidRPr="00FA6DBD">
        <w:rPr>
          <w:rFonts w:asciiTheme="minorHAnsi" w:hAnsiTheme="minorHAnsi"/>
          <w:b/>
          <w:bCs/>
          <w:color w:val="000000"/>
          <w:sz w:val="22"/>
          <w:szCs w:val="22"/>
          <w:lang w:val="es-US"/>
        </w:rPr>
        <w:t>:</w:t>
      </w:r>
    </w:p>
    <w:p w14:paraId="5EE6960E" w14:textId="4F177B44" w:rsidR="0060087E" w:rsidRPr="00FA6DBD" w:rsidRDefault="0060087E" w:rsidP="00FA6DBD">
      <w:pPr>
        <w:jc w:val="both"/>
        <w:rPr>
          <w:rFonts w:asciiTheme="minorHAnsi" w:hAnsiTheme="minorHAnsi"/>
          <w:b/>
          <w:bCs/>
          <w:color w:val="000000"/>
          <w:sz w:val="22"/>
          <w:szCs w:val="22"/>
          <w:lang w:val="es-US"/>
        </w:rPr>
      </w:pPr>
    </w:p>
    <w:p w14:paraId="26DA6DC3" w14:textId="0EB1C5C4" w:rsidR="0060087E" w:rsidRPr="00FA6DBD" w:rsidRDefault="0060087E" w:rsidP="00FA6DBD">
      <w:pPr>
        <w:jc w:val="both"/>
        <w:rPr>
          <w:rFonts w:asciiTheme="minorHAnsi" w:hAnsiTheme="minorHAnsi"/>
          <w:b/>
          <w:bCs/>
          <w:color w:val="000000"/>
          <w:sz w:val="22"/>
          <w:szCs w:val="22"/>
          <w:lang w:val="es-US"/>
        </w:rPr>
      </w:pPr>
      <w:r w:rsidRPr="00FA6DBD">
        <w:rPr>
          <w:rFonts w:asciiTheme="minorHAnsi" w:hAnsiTheme="minorHAnsi"/>
          <w:b/>
          <w:bCs/>
          <w:color w:val="000000"/>
          <w:sz w:val="22"/>
          <w:szCs w:val="22"/>
          <w:lang w:val="es-US"/>
        </w:rPr>
        <w:t>b) Garantizar que todas las evaluaciones físicas y psicológicas que se realicen a presuntas víctimas de tortura se ajusten a los principios, procedimientos y directrices contenidos en el Manual para la investigación y documentación eficaces de la tortura y otros tratos o penas crueles, inhumanos o degradantes (Protocolo de Estambul), aplicando sanciones en caso de irregularidades</w:t>
      </w:r>
      <w:r w:rsidR="008E0E19">
        <w:rPr>
          <w:rFonts w:asciiTheme="minorHAnsi" w:hAnsiTheme="minorHAnsi"/>
          <w:b/>
          <w:bCs/>
          <w:color w:val="000000"/>
          <w:sz w:val="22"/>
          <w:szCs w:val="22"/>
          <w:lang w:val="es-US"/>
        </w:rPr>
        <w:t>.</w:t>
      </w:r>
    </w:p>
    <w:p w14:paraId="3D0855D1" w14:textId="03D0FE02" w:rsidR="00091C1D" w:rsidRPr="00FA6DBD" w:rsidRDefault="00091C1D" w:rsidP="00FA6DBD">
      <w:pPr>
        <w:jc w:val="both"/>
        <w:rPr>
          <w:rFonts w:asciiTheme="minorHAnsi" w:hAnsiTheme="minorHAnsi"/>
          <w:b/>
          <w:bCs/>
          <w:color w:val="000000"/>
          <w:sz w:val="22"/>
          <w:szCs w:val="22"/>
          <w:lang w:val="es-US"/>
        </w:rPr>
      </w:pPr>
    </w:p>
    <w:p w14:paraId="03AD465B" w14:textId="7D98201F" w:rsidR="00091C1D" w:rsidRDefault="00E52F28" w:rsidP="00FA6DBD">
      <w:pPr>
        <w:jc w:val="both"/>
        <w:rPr>
          <w:rFonts w:asciiTheme="minorHAnsi" w:hAnsiTheme="minorHAnsi"/>
          <w:sz w:val="22"/>
          <w:szCs w:val="22"/>
          <w:lang w:val="es-US"/>
        </w:rPr>
      </w:pPr>
      <w:r w:rsidRPr="00FA6DBD">
        <w:rPr>
          <w:rFonts w:asciiTheme="minorHAnsi" w:hAnsiTheme="minorHAnsi"/>
          <w:sz w:val="22"/>
          <w:szCs w:val="22"/>
          <w:lang w:val="es-US"/>
        </w:rPr>
        <w:t>En este rubro, el Estado se limita a mencionar capacitaciones</w:t>
      </w:r>
      <w:r w:rsidR="00F414EE">
        <w:rPr>
          <w:rFonts w:asciiTheme="minorHAnsi" w:hAnsiTheme="minorHAnsi"/>
          <w:sz w:val="22"/>
          <w:szCs w:val="22"/>
          <w:lang w:val="es-US"/>
        </w:rPr>
        <w:t>, principios</w:t>
      </w:r>
      <w:r w:rsidRPr="00FA6DBD">
        <w:rPr>
          <w:rFonts w:asciiTheme="minorHAnsi" w:hAnsiTheme="minorHAnsi"/>
          <w:sz w:val="22"/>
          <w:szCs w:val="22"/>
          <w:lang w:val="es-US"/>
        </w:rPr>
        <w:t xml:space="preserve"> y directrices para la realización de </w:t>
      </w:r>
      <w:r w:rsidR="00F414EE">
        <w:rPr>
          <w:rFonts w:asciiTheme="minorHAnsi" w:hAnsiTheme="minorHAnsi"/>
          <w:sz w:val="22"/>
          <w:szCs w:val="22"/>
          <w:lang w:val="es-US"/>
        </w:rPr>
        <w:t xml:space="preserve">los </w:t>
      </w:r>
      <w:r w:rsidRPr="00FA6DBD">
        <w:rPr>
          <w:rFonts w:asciiTheme="minorHAnsi" w:hAnsiTheme="minorHAnsi"/>
          <w:sz w:val="22"/>
          <w:szCs w:val="22"/>
          <w:lang w:val="es-US"/>
        </w:rPr>
        <w:t xml:space="preserve">exámenes, sin aportar datos que permitan apreciar si, en efecto, </w:t>
      </w:r>
      <w:r w:rsidR="00F414EE">
        <w:rPr>
          <w:rFonts w:asciiTheme="minorHAnsi" w:hAnsiTheme="minorHAnsi"/>
          <w:sz w:val="22"/>
          <w:szCs w:val="22"/>
          <w:lang w:val="es-US"/>
        </w:rPr>
        <w:t>dichas evaluaciones se ajustan</w:t>
      </w:r>
      <w:r w:rsidRPr="00FA6DBD">
        <w:rPr>
          <w:rFonts w:asciiTheme="minorHAnsi" w:hAnsiTheme="minorHAnsi"/>
          <w:sz w:val="22"/>
          <w:szCs w:val="22"/>
          <w:lang w:val="es-US"/>
        </w:rPr>
        <w:t xml:space="preserve"> al Protocolo de Estambul. Adicionalmente, preocupa que una parte importante de la información brindada vers</w:t>
      </w:r>
      <w:r w:rsidR="000E0023">
        <w:rPr>
          <w:rFonts w:asciiTheme="minorHAnsi" w:hAnsiTheme="minorHAnsi"/>
          <w:sz w:val="22"/>
          <w:szCs w:val="22"/>
          <w:lang w:val="es-US"/>
        </w:rPr>
        <w:t>e</w:t>
      </w:r>
      <w:r w:rsidRPr="00FA6DBD">
        <w:rPr>
          <w:rFonts w:asciiTheme="minorHAnsi" w:hAnsiTheme="minorHAnsi"/>
          <w:sz w:val="22"/>
          <w:szCs w:val="22"/>
          <w:lang w:val="es-US"/>
        </w:rPr>
        <w:t xml:space="preserve"> sobre la aplicación del Protocolo de Estambul por las Fuerzas Armadas</w:t>
      </w:r>
      <w:r w:rsidR="00F414EE">
        <w:rPr>
          <w:rStyle w:val="FootnoteReference"/>
          <w:rFonts w:asciiTheme="minorHAnsi" w:hAnsiTheme="minorHAnsi"/>
          <w:sz w:val="22"/>
          <w:szCs w:val="22"/>
          <w:lang w:val="es-US"/>
        </w:rPr>
        <w:footnoteReference w:id="26"/>
      </w:r>
      <w:r w:rsidRPr="00FA6DBD">
        <w:rPr>
          <w:rFonts w:asciiTheme="minorHAnsi" w:hAnsiTheme="minorHAnsi"/>
          <w:sz w:val="22"/>
          <w:szCs w:val="22"/>
          <w:lang w:val="es-US"/>
        </w:rPr>
        <w:t xml:space="preserve">, cuando en ningún caso dichas fuerzas deberían estar a cargo de la investigación de graves violaciones </w:t>
      </w:r>
      <w:r w:rsidR="00F414EE">
        <w:rPr>
          <w:rFonts w:asciiTheme="minorHAnsi" w:hAnsiTheme="minorHAnsi"/>
          <w:sz w:val="22"/>
          <w:szCs w:val="22"/>
          <w:lang w:val="es-US"/>
        </w:rPr>
        <w:t>de</w:t>
      </w:r>
      <w:r w:rsidRPr="00FA6DBD">
        <w:rPr>
          <w:rFonts w:asciiTheme="minorHAnsi" w:hAnsiTheme="minorHAnsi"/>
          <w:sz w:val="22"/>
          <w:szCs w:val="22"/>
          <w:lang w:val="es-US"/>
        </w:rPr>
        <w:t xml:space="preserve"> derechos humanos como es la </w:t>
      </w:r>
      <w:r w:rsidRPr="00FA6DBD">
        <w:rPr>
          <w:rFonts w:asciiTheme="minorHAnsi" w:hAnsiTheme="minorHAnsi"/>
          <w:sz w:val="22"/>
          <w:szCs w:val="22"/>
          <w:lang w:val="es-US"/>
        </w:rPr>
        <w:lastRenderedPageBreak/>
        <w:t>tortura.</w:t>
      </w:r>
      <w:r w:rsidR="00FB7B3F" w:rsidRPr="00FA6DBD">
        <w:rPr>
          <w:rFonts w:asciiTheme="minorHAnsi" w:hAnsiTheme="minorHAnsi"/>
          <w:sz w:val="22"/>
          <w:szCs w:val="22"/>
          <w:lang w:val="es-US"/>
        </w:rPr>
        <w:t xml:space="preserve"> Por lo anterior, consideramos necesario que el Estado aporte datos concretos que permitan saber si hay algún avance en ajustar la práctica real de </w:t>
      </w:r>
      <w:r w:rsidR="000E0023">
        <w:rPr>
          <w:rFonts w:asciiTheme="minorHAnsi" w:hAnsiTheme="minorHAnsi"/>
          <w:sz w:val="22"/>
          <w:szCs w:val="22"/>
          <w:lang w:val="es-US"/>
        </w:rPr>
        <w:t>las evaluaciones</w:t>
      </w:r>
      <w:r w:rsidR="00FB7B3F" w:rsidRPr="00FA6DBD">
        <w:rPr>
          <w:rFonts w:asciiTheme="minorHAnsi" w:hAnsiTheme="minorHAnsi"/>
          <w:sz w:val="22"/>
          <w:szCs w:val="22"/>
          <w:lang w:val="es-US"/>
        </w:rPr>
        <w:t xml:space="preserve"> </w:t>
      </w:r>
      <w:r w:rsidR="000E0023">
        <w:rPr>
          <w:rFonts w:asciiTheme="minorHAnsi" w:hAnsiTheme="minorHAnsi"/>
          <w:sz w:val="22"/>
          <w:szCs w:val="22"/>
          <w:lang w:val="es-US"/>
        </w:rPr>
        <w:t>al</w:t>
      </w:r>
      <w:r w:rsidR="00FB7B3F" w:rsidRPr="00FA6DBD">
        <w:rPr>
          <w:rFonts w:asciiTheme="minorHAnsi" w:hAnsiTheme="minorHAnsi"/>
          <w:sz w:val="22"/>
          <w:szCs w:val="22"/>
          <w:lang w:val="es-US"/>
        </w:rPr>
        <w:t xml:space="preserve"> Protocolo de Estambul, a la luz de las graves deficiencias documentadas en esta materia</w:t>
      </w:r>
      <w:r w:rsidR="00FB7B3F" w:rsidRPr="00FA6DBD">
        <w:rPr>
          <w:rStyle w:val="FootnoteReference"/>
          <w:rFonts w:asciiTheme="minorHAnsi" w:hAnsiTheme="minorHAnsi"/>
          <w:sz w:val="22"/>
          <w:szCs w:val="22"/>
          <w:lang w:val="es-US"/>
        </w:rPr>
        <w:footnoteReference w:id="27"/>
      </w:r>
      <w:r w:rsidR="00FB7B3F" w:rsidRPr="00FA6DBD">
        <w:rPr>
          <w:rFonts w:asciiTheme="minorHAnsi" w:hAnsiTheme="minorHAnsi"/>
          <w:sz w:val="22"/>
          <w:szCs w:val="22"/>
          <w:lang w:val="es-US"/>
        </w:rPr>
        <w:t>.</w:t>
      </w:r>
    </w:p>
    <w:p w14:paraId="5015331B" w14:textId="585677BC" w:rsidR="005B4DD7" w:rsidRDefault="005B4DD7" w:rsidP="00FA6DBD">
      <w:pPr>
        <w:jc w:val="both"/>
        <w:rPr>
          <w:rFonts w:asciiTheme="minorHAnsi" w:hAnsiTheme="minorHAnsi"/>
          <w:sz w:val="22"/>
          <w:szCs w:val="22"/>
          <w:lang w:val="es-US"/>
        </w:rPr>
      </w:pPr>
    </w:p>
    <w:p w14:paraId="1E8B1479" w14:textId="7DC85B85" w:rsidR="004A1B0C" w:rsidRDefault="004A1B0C" w:rsidP="005B4DD7">
      <w:pPr>
        <w:jc w:val="center"/>
        <w:rPr>
          <w:rFonts w:asciiTheme="minorHAnsi" w:hAnsiTheme="minorHAnsi"/>
          <w:b/>
          <w:bCs/>
          <w:sz w:val="22"/>
          <w:szCs w:val="22"/>
          <w:lang w:val="es-US"/>
        </w:rPr>
      </w:pPr>
      <w:r w:rsidRPr="004A1B0C">
        <w:rPr>
          <w:rFonts w:asciiTheme="minorHAnsi" w:hAnsiTheme="minorHAnsi"/>
          <w:b/>
          <w:bCs/>
          <w:sz w:val="22"/>
          <w:szCs w:val="22"/>
          <w:lang w:val="es-US"/>
        </w:rPr>
        <w:t>Acción de los Cristianos para la Abolición de la Tortura</w:t>
      </w:r>
      <w:r>
        <w:rPr>
          <w:rFonts w:asciiTheme="minorHAnsi" w:hAnsiTheme="minorHAnsi"/>
          <w:b/>
          <w:bCs/>
          <w:sz w:val="22"/>
          <w:szCs w:val="22"/>
          <w:lang w:val="es-US"/>
        </w:rPr>
        <w:t xml:space="preserve"> (ACAT</w:t>
      </w:r>
      <w:r w:rsidR="00AE6E8D">
        <w:rPr>
          <w:rFonts w:asciiTheme="minorHAnsi" w:hAnsiTheme="minorHAnsi"/>
          <w:b/>
          <w:bCs/>
          <w:sz w:val="22"/>
          <w:szCs w:val="22"/>
          <w:lang w:val="es-US"/>
        </w:rPr>
        <w:t>-</w:t>
      </w:r>
      <w:r>
        <w:rPr>
          <w:rFonts w:asciiTheme="minorHAnsi" w:hAnsiTheme="minorHAnsi"/>
          <w:b/>
          <w:bCs/>
          <w:sz w:val="22"/>
          <w:szCs w:val="22"/>
          <w:lang w:val="es-US"/>
        </w:rPr>
        <w:t>Francia</w:t>
      </w:r>
      <w:r w:rsidR="00AE6E8D">
        <w:rPr>
          <w:rFonts w:asciiTheme="minorHAnsi" w:hAnsiTheme="minorHAnsi"/>
          <w:b/>
          <w:bCs/>
          <w:sz w:val="22"/>
          <w:szCs w:val="22"/>
          <w:lang w:val="es-US"/>
        </w:rPr>
        <w:t>)</w:t>
      </w:r>
    </w:p>
    <w:p w14:paraId="4C0711EC" w14:textId="1B476F71" w:rsidR="00432881" w:rsidRDefault="00432881" w:rsidP="005B4DD7">
      <w:pPr>
        <w:jc w:val="center"/>
        <w:rPr>
          <w:rFonts w:asciiTheme="minorHAnsi" w:hAnsiTheme="minorHAnsi"/>
          <w:b/>
          <w:bCs/>
          <w:sz w:val="22"/>
          <w:szCs w:val="22"/>
          <w:lang w:val="es-US"/>
        </w:rPr>
      </w:pPr>
      <w:r w:rsidRPr="00432881">
        <w:rPr>
          <w:rFonts w:asciiTheme="minorHAnsi" w:hAnsiTheme="minorHAnsi"/>
          <w:b/>
          <w:bCs/>
          <w:sz w:val="22"/>
          <w:szCs w:val="22"/>
          <w:lang w:val="es-US"/>
        </w:rPr>
        <w:t>ARTICLE 19 Oficina para México y Centroamérica</w:t>
      </w:r>
      <w:r>
        <w:rPr>
          <w:rFonts w:asciiTheme="minorHAnsi" w:hAnsiTheme="minorHAnsi"/>
          <w:b/>
          <w:bCs/>
          <w:sz w:val="22"/>
          <w:szCs w:val="22"/>
          <w:lang w:val="es-US"/>
        </w:rPr>
        <w:t xml:space="preserve"> </w:t>
      </w:r>
    </w:p>
    <w:p w14:paraId="05D9E3D2" w14:textId="1A586428" w:rsidR="005E7115" w:rsidRDefault="005E7115" w:rsidP="005B4DD7">
      <w:pPr>
        <w:jc w:val="center"/>
        <w:rPr>
          <w:rFonts w:asciiTheme="minorHAnsi" w:hAnsiTheme="minorHAnsi"/>
          <w:b/>
          <w:bCs/>
          <w:sz w:val="22"/>
          <w:szCs w:val="22"/>
          <w:lang w:val="es-US"/>
        </w:rPr>
      </w:pPr>
      <w:r>
        <w:rPr>
          <w:rFonts w:asciiTheme="minorHAnsi" w:hAnsiTheme="minorHAnsi"/>
          <w:b/>
          <w:bCs/>
          <w:sz w:val="22"/>
          <w:szCs w:val="22"/>
          <w:lang w:val="es-US"/>
        </w:rPr>
        <w:t>Centro de Derechos Humanos Fray Bartolomé de las Casas</w:t>
      </w:r>
    </w:p>
    <w:p w14:paraId="083C5AD7" w14:textId="49D830EE" w:rsidR="005B4DD7" w:rsidRDefault="005B4DD7" w:rsidP="005B4DD7">
      <w:pPr>
        <w:jc w:val="center"/>
        <w:rPr>
          <w:rFonts w:asciiTheme="minorHAnsi" w:hAnsiTheme="minorHAnsi"/>
          <w:b/>
          <w:bCs/>
          <w:sz w:val="22"/>
          <w:szCs w:val="22"/>
          <w:lang w:val="es-US"/>
        </w:rPr>
      </w:pPr>
      <w:r>
        <w:rPr>
          <w:rFonts w:asciiTheme="minorHAnsi" w:hAnsiTheme="minorHAnsi"/>
          <w:b/>
          <w:bCs/>
          <w:sz w:val="22"/>
          <w:szCs w:val="22"/>
          <w:lang w:val="es-US"/>
        </w:rPr>
        <w:t>Centro de Derechos Humanos Miguel Agustín Pro Juárez (Centro Prodh)</w:t>
      </w:r>
    </w:p>
    <w:p w14:paraId="4E56CF90" w14:textId="70A6CB75" w:rsidR="005E7115" w:rsidRDefault="005E7115" w:rsidP="005B4DD7">
      <w:pPr>
        <w:jc w:val="center"/>
        <w:rPr>
          <w:rFonts w:asciiTheme="minorHAnsi" w:hAnsiTheme="minorHAnsi"/>
          <w:b/>
          <w:bCs/>
          <w:sz w:val="22"/>
          <w:szCs w:val="22"/>
          <w:lang w:val="es-US"/>
        </w:rPr>
      </w:pPr>
      <w:r>
        <w:rPr>
          <w:rFonts w:asciiTheme="minorHAnsi" w:hAnsiTheme="minorHAnsi"/>
          <w:b/>
          <w:bCs/>
          <w:sz w:val="22"/>
          <w:szCs w:val="22"/>
          <w:lang w:val="es-US"/>
        </w:rPr>
        <w:t>Centro de Derechos Humanos Paso del Norte</w:t>
      </w:r>
    </w:p>
    <w:p w14:paraId="6E6E1B58" w14:textId="0B871850" w:rsidR="005B4DD7" w:rsidRDefault="005B4DD7" w:rsidP="005B4DD7">
      <w:pPr>
        <w:jc w:val="center"/>
        <w:rPr>
          <w:rFonts w:asciiTheme="minorHAnsi" w:hAnsiTheme="minorHAnsi"/>
          <w:b/>
          <w:bCs/>
          <w:sz w:val="22"/>
          <w:szCs w:val="22"/>
          <w:lang w:val="es-US"/>
        </w:rPr>
      </w:pPr>
      <w:r>
        <w:rPr>
          <w:rFonts w:asciiTheme="minorHAnsi" w:hAnsiTheme="minorHAnsi"/>
          <w:b/>
          <w:bCs/>
          <w:sz w:val="22"/>
          <w:szCs w:val="22"/>
          <w:lang w:val="es-US"/>
        </w:rPr>
        <w:t>Comisión Mexicana para la Defensa y Promoción de los Derechos Humanos (CMDPDH)</w:t>
      </w:r>
    </w:p>
    <w:p w14:paraId="66EC3B74" w14:textId="78A843E4" w:rsidR="005B4DD7" w:rsidRDefault="005B4DD7" w:rsidP="005B4DD7">
      <w:pPr>
        <w:jc w:val="center"/>
        <w:rPr>
          <w:rFonts w:asciiTheme="minorHAnsi" w:hAnsiTheme="minorHAnsi"/>
          <w:b/>
          <w:bCs/>
          <w:sz w:val="22"/>
          <w:szCs w:val="22"/>
          <w:lang w:val="es-US"/>
        </w:rPr>
      </w:pPr>
      <w:r>
        <w:rPr>
          <w:rFonts w:asciiTheme="minorHAnsi" w:hAnsiTheme="minorHAnsi"/>
          <w:b/>
          <w:bCs/>
          <w:sz w:val="22"/>
          <w:szCs w:val="22"/>
          <w:lang w:val="es-US"/>
        </w:rPr>
        <w:t>Documenta, Análisis y Acción para la Justicia Social</w:t>
      </w:r>
    </w:p>
    <w:p w14:paraId="2AB8B484" w14:textId="045A4C5A" w:rsidR="005B4DD7" w:rsidRDefault="005B4DD7" w:rsidP="005B4DD7">
      <w:pPr>
        <w:jc w:val="center"/>
        <w:rPr>
          <w:rFonts w:asciiTheme="minorHAnsi" w:hAnsiTheme="minorHAnsi"/>
          <w:b/>
          <w:bCs/>
          <w:sz w:val="22"/>
          <w:szCs w:val="22"/>
          <w:lang w:val="es-US"/>
        </w:rPr>
      </w:pPr>
      <w:r>
        <w:rPr>
          <w:rFonts w:asciiTheme="minorHAnsi" w:hAnsiTheme="minorHAnsi"/>
          <w:b/>
          <w:bCs/>
          <w:sz w:val="22"/>
          <w:szCs w:val="22"/>
          <w:lang w:val="es-US"/>
        </w:rPr>
        <w:t>Fundar, Centro de Análisis e Investigación</w:t>
      </w:r>
    </w:p>
    <w:p w14:paraId="172FDB89" w14:textId="194B6940" w:rsidR="005B4DD7" w:rsidRDefault="005B4DD7" w:rsidP="005B4DD7">
      <w:pPr>
        <w:jc w:val="center"/>
        <w:rPr>
          <w:rFonts w:asciiTheme="minorHAnsi" w:hAnsiTheme="minorHAnsi"/>
          <w:b/>
          <w:bCs/>
          <w:sz w:val="22"/>
          <w:szCs w:val="22"/>
          <w:lang w:val="es-US"/>
        </w:rPr>
      </w:pPr>
      <w:r>
        <w:rPr>
          <w:rFonts w:asciiTheme="minorHAnsi" w:hAnsiTheme="minorHAnsi"/>
          <w:b/>
          <w:bCs/>
          <w:sz w:val="22"/>
          <w:szCs w:val="22"/>
          <w:lang w:val="es-US"/>
        </w:rPr>
        <w:t>Organización Mundial Contra la Tortura (OMCT)</w:t>
      </w:r>
    </w:p>
    <w:p w14:paraId="52E0B3EC" w14:textId="15D72FC8" w:rsidR="0060087E" w:rsidRPr="00FA6DBD" w:rsidRDefault="006975C4" w:rsidP="006975C4">
      <w:pPr>
        <w:jc w:val="center"/>
        <w:rPr>
          <w:rFonts w:asciiTheme="minorHAnsi" w:hAnsiTheme="minorHAnsi"/>
          <w:sz w:val="22"/>
          <w:szCs w:val="22"/>
          <w:lang w:val="es-US"/>
        </w:rPr>
      </w:pPr>
      <w:r w:rsidRPr="006975C4">
        <w:rPr>
          <w:rFonts w:asciiTheme="minorHAnsi" w:hAnsiTheme="minorHAnsi"/>
          <w:b/>
          <w:bCs/>
          <w:sz w:val="22"/>
          <w:szCs w:val="22"/>
          <w:lang w:val="es-US"/>
        </w:rPr>
        <w:t>Red Nacional de Organismos Civiles de Derechos Humanos</w:t>
      </w:r>
      <w:r>
        <w:rPr>
          <w:rFonts w:asciiTheme="minorHAnsi" w:hAnsiTheme="minorHAnsi"/>
          <w:b/>
          <w:bCs/>
          <w:sz w:val="22"/>
          <w:szCs w:val="22"/>
          <w:lang w:val="es-US"/>
        </w:rPr>
        <w:t xml:space="preserve"> </w:t>
      </w:r>
      <w:r w:rsidRPr="006975C4">
        <w:rPr>
          <w:rFonts w:asciiTheme="minorHAnsi" w:hAnsiTheme="minorHAnsi"/>
          <w:b/>
          <w:bCs/>
          <w:sz w:val="22"/>
          <w:szCs w:val="22"/>
          <w:lang w:val="es-US"/>
        </w:rPr>
        <w:t>“Todos los Derechos para Todas y Todos”</w:t>
      </w:r>
      <w:r w:rsidRPr="006975C4">
        <w:rPr>
          <w:rFonts w:asciiTheme="minorHAnsi" w:hAnsiTheme="minorHAnsi"/>
          <w:b/>
          <w:bCs/>
          <w:sz w:val="22"/>
          <w:szCs w:val="22"/>
          <w:lang w:val="es-US"/>
        </w:rPr>
        <w:br/>
      </w:r>
      <w:r w:rsidRPr="006975C4">
        <w:rPr>
          <w:rFonts w:asciiTheme="minorHAnsi" w:hAnsiTheme="minorHAnsi"/>
          <w:sz w:val="22"/>
          <w:szCs w:val="22"/>
          <w:lang w:val="es-US"/>
        </w:rPr>
        <w:t>(conformada por 86 organizaciones en 23 estados de la República mexicana)</w:t>
      </w:r>
    </w:p>
    <w:sectPr w:rsidR="0060087E" w:rsidRPr="00FA6DBD" w:rsidSect="00E411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F5302" w14:textId="77777777" w:rsidR="00991643" w:rsidRDefault="00991643" w:rsidP="00772D46">
      <w:r>
        <w:separator/>
      </w:r>
    </w:p>
  </w:endnote>
  <w:endnote w:type="continuationSeparator" w:id="0">
    <w:p w14:paraId="22788D83" w14:textId="77777777" w:rsidR="00991643" w:rsidRDefault="00991643" w:rsidP="00772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8E779" w14:textId="77777777" w:rsidR="00991643" w:rsidRDefault="00991643" w:rsidP="00772D46">
      <w:r>
        <w:separator/>
      </w:r>
    </w:p>
  </w:footnote>
  <w:footnote w:type="continuationSeparator" w:id="0">
    <w:p w14:paraId="140B4CF1" w14:textId="77777777" w:rsidR="00991643" w:rsidRDefault="00991643" w:rsidP="00772D46">
      <w:r>
        <w:continuationSeparator/>
      </w:r>
    </w:p>
  </w:footnote>
  <w:footnote w:id="1">
    <w:p w14:paraId="09FB4AFE" w14:textId="57DD0BD3" w:rsidR="00772D46" w:rsidRPr="00772D46" w:rsidRDefault="00772D46" w:rsidP="00176BAD">
      <w:pPr>
        <w:pStyle w:val="FootnoteText"/>
        <w:jc w:val="both"/>
        <w:rPr>
          <w:lang w:val="es-US"/>
        </w:rPr>
      </w:pPr>
      <w:r>
        <w:rPr>
          <w:rStyle w:val="FootnoteReference"/>
        </w:rPr>
        <w:footnoteRef/>
      </w:r>
      <w:r w:rsidRPr="00772D46">
        <w:rPr>
          <w:lang w:val="es-US"/>
        </w:rPr>
        <w:t xml:space="preserve"> Ver Alejandro Gertz Manero, “En defens</w:t>
      </w:r>
      <w:r w:rsidR="000F1CBA">
        <w:rPr>
          <w:lang w:val="es-US"/>
        </w:rPr>
        <w:t>a</w:t>
      </w:r>
      <w:r w:rsidRPr="00772D46">
        <w:rPr>
          <w:lang w:val="es-US"/>
        </w:rPr>
        <w:t xml:space="preserve"> propia</w:t>
      </w:r>
      <w:r>
        <w:rPr>
          <w:lang w:val="es-US"/>
        </w:rPr>
        <w:t xml:space="preserve">”, 6 de abril de 2020, </w:t>
      </w:r>
      <w:r>
        <w:rPr>
          <w:i/>
          <w:iCs/>
          <w:lang w:val="es-US"/>
        </w:rPr>
        <w:t xml:space="preserve">La Jornada, </w:t>
      </w:r>
      <w:hyperlink r:id="rId1" w:history="1">
        <w:r w:rsidRPr="00772D46">
          <w:rPr>
            <w:rStyle w:val="Hyperlink"/>
            <w:lang w:val="es-US"/>
          </w:rPr>
          <w:t>https://www.jornada.com.mx/2020/04/06/opinion/019o1pol</w:t>
        </w:r>
      </w:hyperlink>
      <w:r>
        <w:rPr>
          <w:i/>
          <w:iCs/>
          <w:lang w:val="es-US"/>
        </w:rPr>
        <w:t xml:space="preserve"> </w:t>
      </w:r>
      <w:r>
        <w:rPr>
          <w:lang w:val="es-US"/>
        </w:rPr>
        <w:t>(“</w:t>
      </w:r>
      <w:r w:rsidR="00826260" w:rsidRPr="00826260">
        <w:rPr>
          <w:lang w:val="es-US"/>
        </w:rPr>
        <w:t>Para blindar más aún dicha impunidad y saqueo,</w:t>
      </w:r>
      <w:r w:rsidR="00826260">
        <w:rPr>
          <w:lang w:val="es-US"/>
        </w:rPr>
        <w:t xml:space="preserve"> </w:t>
      </w:r>
      <w:r w:rsidRPr="00772D46">
        <w:rPr>
          <w:lang w:val="es-US"/>
        </w:rPr>
        <w:t>en 2008, y con la aprobación de la mayoría calificada de legisladores, se incorporaron reformas al sistema procesal penal nacional que prometían compactar el procedimiento y defender los derechos humanos de los presuntos delincuentes para que, finalmente, su </w:t>
      </w:r>
      <w:r w:rsidRPr="00772D46">
        <w:rPr>
          <w:i/>
          <w:iCs/>
          <w:lang w:val="es-US"/>
        </w:rPr>
        <w:t>tramitología </w:t>
      </w:r>
      <w:r w:rsidRPr="00772D46">
        <w:rPr>
          <w:lang w:val="es-US"/>
        </w:rPr>
        <w:t>y sus requisitos, prácticamente imposibles de superar, inclinaran la balanza de la injusticia en favor de la impunidad de los delincuentes y en contra de la mayoría de las víctimas y, por supuesto, del patrimonio y las riquezas del Estado, mientras dicha impunidad se multiplicó geométricamente hasta llegar a 99 por ciento</w:t>
      </w:r>
      <w:r>
        <w:rPr>
          <w:lang w:val="es-US"/>
        </w:rPr>
        <w:t>”)</w:t>
      </w:r>
      <w:r w:rsidR="000F1CBA">
        <w:rPr>
          <w:lang w:val="es-US"/>
        </w:rPr>
        <w:t>.</w:t>
      </w:r>
    </w:p>
  </w:footnote>
  <w:footnote w:id="2">
    <w:p w14:paraId="73E72242" w14:textId="5D7DA9D8" w:rsidR="001C55E2" w:rsidRPr="001C55E2" w:rsidRDefault="001C55E2" w:rsidP="00176BAD">
      <w:pPr>
        <w:pStyle w:val="FootnoteText"/>
        <w:jc w:val="both"/>
        <w:rPr>
          <w:lang w:val="es-US"/>
        </w:rPr>
      </w:pPr>
      <w:r>
        <w:rPr>
          <w:rStyle w:val="FootnoteReference"/>
        </w:rPr>
        <w:footnoteRef/>
      </w:r>
      <w:r w:rsidRPr="001C55E2">
        <w:rPr>
          <w:lang w:val="es-US"/>
        </w:rPr>
        <w:t xml:space="preserve"> Ver Human Rights Watch, “México: Propuesta de reforma judicial viola derechos fundamentales</w:t>
      </w:r>
      <w:r>
        <w:rPr>
          <w:lang w:val="es-US"/>
        </w:rPr>
        <w:t xml:space="preserve">. </w:t>
      </w:r>
      <w:r w:rsidRPr="001C55E2">
        <w:rPr>
          <w:lang w:val="es-US"/>
        </w:rPr>
        <w:t>Grave retroceso para los derechos humanos y el Estado de derecho</w:t>
      </w:r>
      <w:r>
        <w:rPr>
          <w:lang w:val="es-US"/>
        </w:rPr>
        <w:t xml:space="preserve">”, 30 de enero de 2020, </w:t>
      </w:r>
      <w:hyperlink r:id="rId2" w:history="1">
        <w:r w:rsidRPr="00976944">
          <w:rPr>
            <w:rStyle w:val="Hyperlink"/>
            <w:lang w:val="es-US"/>
          </w:rPr>
          <w:t>https://www.hrw.org/es/news/2020/01/30/mexico-propuesta-de-reforma-judicial-viola-derechos-fundamentales</w:t>
        </w:r>
      </w:hyperlink>
      <w:r>
        <w:rPr>
          <w:lang w:val="es-US"/>
        </w:rPr>
        <w:t xml:space="preserve">. </w:t>
      </w:r>
    </w:p>
  </w:footnote>
  <w:footnote w:id="3">
    <w:p w14:paraId="7EEA1F2B" w14:textId="0B5FFEE6" w:rsidR="00017A76" w:rsidRPr="00017A76" w:rsidRDefault="00017A76" w:rsidP="00017A76">
      <w:pPr>
        <w:pStyle w:val="FootnoteText"/>
        <w:jc w:val="both"/>
        <w:rPr>
          <w:lang w:val="es-US"/>
        </w:rPr>
      </w:pPr>
      <w:r>
        <w:rPr>
          <w:rStyle w:val="FootnoteReference"/>
        </w:rPr>
        <w:footnoteRef/>
      </w:r>
      <w:r w:rsidRPr="00017A76">
        <w:rPr>
          <w:lang w:val="es-US"/>
        </w:rPr>
        <w:t xml:space="preserve"> </w:t>
      </w:r>
      <w:hyperlink r:id="rId3" w:history="1">
        <w:r w:rsidRPr="00C23CA6">
          <w:rPr>
            <w:rStyle w:val="Hyperlink"/>
            <w:lang w:val="es-US"/>
          </w:rPr>
          <w:t>https://www.gob.mx/presidencia/es/articulos/version-estenografica-2-ano-del-triunfo-historico-democratico-del-pueblo-de-mexico?idiom=es</w:t>
        </w:r>
      </w:hyperlink>
      <w:r>
        <w:rPr>
          <w:lang w:val="es-US"/>
        </w:rPr>
        <w:t xml:space="preserve">. </w:t>
      </w:r>
    </w:p>
  </w:footnote>
  <w:footnote w:id="4">
    <w:p w14:paraId="6D9002CB" w14:textId="55F70A46" w:rsidR="00882AD2" w:rsidRPr="00882AD2" w:rsidRDefault="00882AD2" w:rsidP="00882AD2">
      <w:pPr>
        <w:pStyle w:val="FootnoteText"/>
        <w:jc w:val="both"/>
        <w:rPr>
          <w:lang w:val="es-US"/>
        </w:rPr>
      </w:pPr>
      <w:r>
        <w:rPr>
          <w:rStyle w:val="FootnoteReference"/>
        </w:rPr>
        <w:footnoteRef/>
      </w:r>
      <w:r w:rsidRPr="00882AD2">
        <w:rPr>
          <w:lang w:val="es-US"/>
        </w:rPr>
        <w:t xml:space="preserve"> </w:t>
      </w:r>
      <w:r>
        <w:rPr>
          <w:lang w:val="es-US"/>
        </w:rPr>
        <w:t xml:space="preserve">Ver, por ejemplo, </w:t>
      </w:r>
      <w:r w:rsidRPr="00882AD2">
        <w:rPr>
          <w:lang w:val="es-US"/>
        </w:rPr>
        <w:t xml:space="preserve">Colectivo de Observación y Monitoreo de Derechos Humanos en el Sureste Mexicano, Grupo Impulsor contra la Detención Migratoria y la Tortura, “LA GUARDIA NACIONAL REPRIME CON VIOLENCIA UNA PROTESTA EN EL CENTRO DE DETENCIÓN MIGRATORIA DE TAPACHULA”, 25 de marzo de 2020, </w:t>
      </w:r>
      <w:hyperlink r:id="rId4" w:history="1">
        <w:r w:rsidRPr="00882AD2">
          <w:rPr>
            <w:rStyle w:val="Hyperlink"/>
            <w:lang w:val="es-US"/>
          </w:rPr>
          <w:t>http://caravanamigrante.ibero.mx/uploads/monitoreos_pdf/55bd8633c327481d5b40ddfd81455917.pdf</w:t>
        </w:r>
      </w:hyperlink>
      <w:r w:rsidRPr="00882AD2">
        <w:rPr>
          <w:lang w:val="es-US"/>
        </w:rPr>
        <w:t>.</w:t>
      </w:r>
      <w:r>
        <w:rPr>
          <w:b/>
          <w:bCs/>
          <w:lang w:val="es-US"/>
        </w:rPr>
        <w:t xml:space="preserve"> </w:t>
      </w:r>
      <w:r w:rsidRPr="00882AD2">
        <w:rPr>
          <w:b/>
          <w:bCs/>
          <w:lang w:val="es-US"/>
        </w:rPr>
        <w:t xml:space="preserve"> </w:t>
      </w:r>
    </w:p>
  </w:footnote>
  <w:footnote w:id="5">
    <w:p w14:paraId="7A6E290B" w14:textId="3EDB709A" w:rsidR="00D61D0E" w:rsidRPr="00D61D0E" w:rsidRDefault="00D61D0E" w:rsidP="00176BAD">
      <w:pPr>
        <w:pStyle w:val="FootnoteText"/>
        <w:rPr>
          <w:lang w:val="es-US"/>
        </w:rPr>
      </w:pPr>
      <w:r>
        <w:rPr>
          <w:rStyle w:val="FootnoteReference"/>
        </w:rPr>
        <w:footnoteRef/>
      </w:r>
      <w:r w:rsidRPr="00D61D0E">
        <w:rPr>
          <w:lang w:val="es-US"/>
        </w:rPr>
        <w:t xml:space="preserve"> Informe de seguimiento del Estado mexicano de </w:t>
      </w:r>
      <w:r>
        <w:rPr>
          <w:lang w:val="es-US"/>
        </w:rPr>
        <w:t>17 de junio de 2020, p. 6.</w:t>
      </w:r>
    </w:p>
  </w:footnote>
  <w:footnote w:id="6">
    <w:p w14:paraId="158C3F47" w14:textId="51971EE9" w:rsidR="00D61D0E" w:rsidRPr="00017A76" w:rsidRDefault="00D61D0E" w:rsidP="00176BAD">
      <w:pPr>
        <w:pStyle w:val="FootnoteText"/>
        <w:rPr>
          <w:lang w:val="es-US"/>
        </w:rPr>
      </w:pPr>
      <w:r>
        <w:rPr>
          <w:rStyle w:val="FootnoteReference"/>
        </w:rPr>
        <w:footnoteRef/>
      </w:r>
      <w:r w:rsidRPr="00017A76">
        <w:rPr>
          <w:lang w:val="es-US"/>
        </w:rPr>
        <w:t xml:space="preserve"> Ibíd.</w:t>
      </w:r>
    </w:p>
  </w:footnote>
  <w:footnote w:id="7">
    <w:p w14:paraId="2B879B17" w14:textId="77777777" w:rsidR="00316FFB" w:rsidRPr="00017A76" w:rsidRDefault="00316FFB" w:rsidP="00176BAD">
      <w:pPr>
        <w:pStyle w:val="FootnoteText"/>
        <w:rPr>
          <w:lang w:val="es-US"/>
        </w:rPr>
      </w:pPr>
      <w:r>
        <w:rPr>
          <w:rStyle w:val="FootnoteReference"/>
        </w:rPr>
        <w:footnoteRef/>
      </w:r>
      <w:r w:rsidRPr="00017A76">
        <w:rPr>
          <w:lang w:val="es-US"/>
        </w:rPr>
        <w:t xml:space="preserve"> Ibíd., p. 10-11.</w:t>
      </w:r>
    </w:p>
  </w:footnote>
  <w:footnote w:id="8">
    <w:p w14:paraId="5CCCDBCF" w14:textId="1161B5F0" w:rsidR="0019013A" w:rsidRPr="00017A76" w:rsidRDefault="0019013A" w:rsidP="00176BAD">
      <w:pPr>
        <w:pStyle w:val="FootnoteText"/>
        <w:rPr>
          <w:lang w:val="es-US"/>
        </w:rPr>
      </w:pPr>
      <w:r>
        <w:rPr>
          <w:rStyle w:val="FootnoteReference"/>
        </w:rPr>
        <w:footnoteRef/>
      </w:r>
      <w:r w:rsidRPr="00017A76">
        <w:rPr>
          <w:lang w:val="es-US"/>
        </w:rPr>
        <w:t xml:space="preserve"> </w:t>
      </w:r>
      <w:hyperlink r:id="rId5" w:history="1">
        <w:r w:rsidRPr="00017A76">
          <w:rPr>
            <w:rStyle w:val="Hyperlink"/>
            <w:lang w:val="es-US"/>
          </w:rPr>
          <w:t>https://aplicaciones.pgr.gob.mx/normatecasustantiva/Normateca%20Sustantiva/Prot_Inv_Tortura.pdf</w:t>
        </w:r>
      </w:hyperlink>
      <w:r w:rsidRPr="00017A76">
        <w:rPr>
          <w:lang w:val="es-US"/>
        </w:rPr>
        <w:t xml:space="preserve">. </w:t>
      </w:r>
    </w:p>
  </w:footnote>
  <w:footnote w:id="9">
    <w:p w14:paraId="0456380E" w14:textId="1AF89DD6" w:rsidR="00D04FD3" w:rsidRPr="00D04FD3" w:rsidRDefault="00D04FD3" w:rsidP="00176BAD">
      <w:pPr>
        <w:pStyle w:val="FootnoteText"/>
        <w:jc w:val="both"/>
        <w:rPr>
          <w:lang w:val="es-US"/>
        </w:rPr>
      </w:pPr>
      <w:r>
        <w:rPr>
          <w:rStyle w:val="FootnoteReference"/>
        </w:rPr>
        <w:footnoteRef/>
      </w:r>
      <w:r w:rsidRPr="003233B2">
        <w:t xml:space="preserve"> </w:t>
      </w:r>
      <w:r w:rsidR="003233B2" w:rsidRPr="003233B2">
        <w:t>CAT/C/MEX/CO/7, p</w:t>
      </w:r>
      <w:r w:rsidRPr="003233B2">
        <w:t xml:space="preserve">árr. </w:t>
      </w:r>
      <w:r>
        <w:rPr>
          <w:lang w:val="es-US"/>
        </w:rPr>
        <w:t>24 (</w:t>
      </w:r>
      <w:r w:rsidRPr="00D04FD3">
        <w:rPr>
          <w:lang w:val="es-US"/>
        </w:rPr>
        <w:t>“</w:t>
      </w:r>
      <w:r>
        <w:rPr>
          <w:lang w:val="es-US"/>
        </w:rPr>
        <w:t>…</w:t>
      </w:r>
      <w:r w:rsidRPr="00D04FD3">
        <w:rPr>
          <w:lang w:val="es-US"/>
        </w:rPr>
        <w:t>mantiene su preocupación por los informes que consideran que las actuaciones del Ministerio Público previas al traslado de las denuncias de tortura a la Fiscalía Especializada previstas en el dicho Protocolo pueden</w:t>
      </w:r>
      <w:r>
        <w:rPr>
          <w:lang w:val="es-US"/>
        </w:rPr>
        <w:t xml:space="preserve"> </w:t>
      </w:r>
      <w:r w:rsidRPr="00D04FD3">
        <w:rPr>
          <w:lang w:val="es-US"/>
        </w:rPr>
        <w:t>obstaculizan el acceso a la justicia de las víctimas</w:t>
      </w:r>
      <w:r>
        <w:rPr>
          <w:lang w:val="es-US"/>
        </w:rPr>
        <w:t>.”) Ibíd, párr. 25(d) (“…</w:t>
      </w:r>
      <w:r w:rsidRPr="00D04FD3">
        <w:rPr>
          <w:b/>
          <w:bCs/>
          <w:lang w:val="es-US"/>
        </w:rPr>
        <w:t>el Comité insta al Estado parte a revisar el contenido del Protocolo Homologado con vistas a garantizar el acceso a la justicia de las víctimas</w:t>
      </w:r>
      <w:r w:rsidR="003233B2">
        <w:rPr>
          <w:b/>
          <w:bCs/>
          <w:lang w:val="es-US"/>
        </w:rPr>
        <w:t>”</w:t>
      </w:r>
      <w:r w:rsidRPr="00D04FD3">
        <w:rPr>
          <w:lang w:val="es-US"/>
        </w:rPr>
        <w:t>)</w:t>
      </w:r>
      <w:r>
        <w:rPr>
          <w:lang w:val="es-US"/>
        </w:rPr>
        <w:t>.</w:t>
      </w:r>
    </w:p>
  </w:footnote>
  <w:footnote w:id="10">
    <w:p w14:paraId="7872D74F" w14:textId="32C00985" w:rsidR="003233B2" w:rsidRPr="003233B2" w:rsidRDefault="003233B2" w:rsidP="00176BAD">
      <w:pPr>
        <w:pStyle w:val="FootnoteText"/>
        <w:jc w:val="both"/>
        <w:rPr>
          <w:lang w:val="es-US"/>
        </w:rPr>
      </w:pPr>
      <w:r>
        <w:rPr>
          <w:rStyle w:val="FootnoteReference"/>
        </w:rPr>
        <w:footnoteRef/>
      </w:r>
      <w:r w:rsidRPr="003233B2">
        <w:rPr>
          <w:lang w:val="es-US"/>
        </w:rPr>
        <w:t xml:space="preserve"> </w:t>
      </w:r>
      <w:r w:rsidR="00311314">
        <w:rPr>
          <w:lang w:val="es-US"/>
        </w:rPr>
        <w:t>Por ejemplo</w:t>
      </w:r>
      <w:r w:rsidRPr="003233B2">
        <w:rPr>
          <w:lang w:val="es-US"/>
        </w:rPr>
        <w:t xml:space="preserve">, el Estado afirma, </w:t>
      </w:r>
      <w:r>
        <w:rPr>
          <w:lang w:val="es-US"/>
        </w:rPr>
        <w:t>“</w:t>
      </w:r>
      <w:r w:rsidRPr="003233B2">
        <w:rPr>
          <w:lang w:val="es-MX"/>
        </w:rPr>
        <w:t>Cuando el Ministerio Público que recibe la denuncia o la querella no está asignado al área especializada para la investigación de la tortura, éste la remitirá a dicha área</w:t>
      </w:r>
      <w:r>
        <w:rPr>
          <w:lang w:val="es-MX"/>
        </w:rPr>
        <w:t>” (</w:t>
      </w:r>
      <w:r w:rsidRPr="00D61D0E">
        <w:rPr>
          <w:lang w:val="es-US"/>
        </w:rPr>
        <w:t xml:space="preserve">Informe de seguimiento del Estado mexicano de </w:t>
      </w:r>
      <w:r>
        <w:rPr>
          <w:lang w:val="es-US"/>
        </w:rPr>
        <w:t xml:space="preserve">17 de junio de 2020, p. 13). Precisamente esto es lo que obstaculiza el Protocolo </w:t>
      </w:r>
      <w:r w:rsidR="00F30574">
        <w:rPr>
          <w:lang w:val="es-US"/>
        </w:rPr>
        <w:t>vigente desde</w:t>
      </w:r>
      <w:r>
        <w:rPr>
          <w:lang w:val="es-US"/>
        </w:rPr>
        <w:t xml:space="preserve"> 2018, tal como señaló </w:t>
      </w:r>
      <w:r w:rsidR="0019013A">
        <w:rPr>
          <w:lang w:val="es-US"/>
        </w:rPr>
        <w:t xml:space="preserve">un amplio colectivo de ONGs </w:t>
      </w:r>
      <w:r w:rsidR="00F30574">
        <w:rPr>
          <w:lang w:val="es-US"/>
        </w:rPr>
        <w:t>en</w:t>
      </w:r>
      <w:r w:rsidR="0019013A">
        <w:rPr>
          <w:lang w:val="es-US"/>
        </w:rPr>
        <w:t xml:space="preserve"> Red Nacional de Organismos Civiles de Derechos Humanos </w:t>
      </w:r>
      <w:r w:rsidR="00F30574">
        <w:rPr>
          <w:lang w:val="es-US"/>
        </w:rPr>
        <w:t>y otros,</w:t>
      </w:r>
      <w:r>
        <w:rPr>
          <w:lang w:val="es-US"/>
        </w:rPr>
        <w:t xml:space="preserve"> </w:t>
      </w:r>
      <w:r w:rsidRPr="003233B2">
        <w:rPr>
          <w:i/>
          <w:iCs/>
          <w:lang w:val="es-US"/>
        </w:rPr>
        <w:t>Informe Alternativo de las Organizaciones de la Sociedad Civil de México</w:t>
      </w:r>
      <w:r w:rsidR="0019013A">
        <w:rPr>
          <w:i/>
          <w:iCs/>
          <w:lang w:val="es-US"/>
        </w:rPr>
        <w:t xml:space="preserve"> </w:t>
      </w:r>
      <w:r w:rsidR="00311314">
        <w:rPr>
          <w:lang w:val="es-US"/>
        </w:rPr>
        <w:t>(</w:t>
      </w:r>
      <w:r w:rsidR="0019013A">
        <w:rPr>
          <w:lang w:val="es-US"/>
        </w:rPr>
        <w:t>presentado ante este Comité</w:t>
      </w:r>
      <w:r w:rsidR="00F30574">
        <w:rPr>
          <w:lang w:val="es-US"/>
        </w:rPr>
        <w:t xml:space="preserve"> en el marco de su evaluación periódica al Estado mexicano</w:t>
      </w:r>
      <w:r w:rsidR="00311314">
        <w:rPr>
          <w:lang w:val="es-US"/>
        </w:rPr>
        <w:t xml:space="preserve"> en 2019)</w:t>
      </w:r>
      <w:r>
        <w:rPr>
          <w:lang w:val="es-US"/>
        </w:rPr>
        <w:t>, p. 49-50.</w:t>
      </w:r>
    </w:p>
  </w:footnote>
  <w:footnote w:id="11">
    <w:p w14:paraId="4FD76DD9" w14:textId="77777777" w:rsidR="00AB314E" w:rsidRPr="00F72C03" w:rsidRDefault="00AB314E" w:rsidP="00176BAD">
      <w:pPr>
        <w:pStyle w:val="FootnoteText"/>
        <w:rPr>
          <w:lang w:val="es-US"/>
        </w:rPr>
      </w:pPr>
      <w:r>
        <w:rPr>
          <w:rStyle w:val="FootnoteReference"/>
        </w:rPr>
        <w:footnoteRef/>
      </w:r>
      <w:r w:rsidRPr="00F72C03">
        <w:rPr>
          <w:lang w:val="es-US"/>
        </w:rPr>
        <w:t xml:space="preserve"> </w:t>
      </w:r>
      <w:r w:rsidRPr="00D61D0E">
        <w:rPr>
          <w:lang w:val="es-US"/>
        </w:rPr>
        <w:t xml:space="preserve">Informe de seguimiento del Estado mexicano de </w:t>
      </w:r>
      <w:r>
        <w:rPr>
          <w:lang w:val="es-US"/>
        </w:rPr>
        <w:t>17 de junio de 2020, p. 4-5.</w:t>
      </w:r>
    </w:p>
  </w:footnote>
  <w:footnote w:id="12">
    <w:p w14:paraId="65301AE9" w14:textId="2C971CE8" w:rsidR="000C2689" w:rsidRPr="000C2689" w:rsidRDefault="000C2689" w:rsidP="00176BAD">
      <w:pPr>
        <w:pStyle w:val="FootnoteText"/>
        <w:jc w:val="both"/>
        <w:rPr>
          <w:lang w:val="es-US"/>
        </w:rPr>
      </w:pPr>
      <w:r w:rsidRPr="006F250C">
        <w:rPr>
          <w:rStyle w:val="FootnoteReference"/>
          <w:lang w:val="es-ES_tradnl"/>
        </w:rPr>
        <w:footnoteRef/>
      </w:r>
      <w:r w:rsidRPr="000C2689">
        <w:rPr>
          <w:lang w:val="es-US"/>
        </w:rPr>
        <w:t xml:space="preserve"> </w:t>
      </w:r>
      <w:r w:rsidRPr="000C2689">
        <w:rPr>
          <w:lang w:val="es-ES_tradnl"/>
        </w:rPr>
        <w:t>Fiscalía General de la República</w:t>
      </w:r>
      <w:r w:rsidRPr="000C2689">
        <w:rPr>
          <w:lang w:val="es-US"/>
        </w:rPr>
        <w:t xml:space="preserve">, respuesta de 30 de abril de 2020 </w:t>
      </w:r>
      <w:r>
        <w:rPr>
          <w:lang w:val="es-US"/>
        </w:rPr>
        <w:t>a solicitud de información pública folio</w:t>
      </w:r>
      <w:r w:rsidRPr="000C2689">
        <w:rPr>
          <w:lang w:val="es-US"/>
        </w:rPr>
        <w:t xml:space="preserve"> 00017004010120, p. 2.</w:t>
      </w:r>
    </w:p>
  </w:footnote>
  <w:footnote w:id="13">
    <w:p w14:paraId="01853CA2" w14:textId="478BAB7D" w:rsidR="000C2689" w:rsidRPr="006F250C" w:rsidRDefault="000C2689" w:rsidP="00176BAD">
      <w:pPr>
        <w:pStyle w:val="FootnoteText"/>
        <w:jc w:val="both"/>
        <w:rPr>
          <w:lang w:val="es-ES_tradnl"/>
        </w:rPr>
      </w:pPr>
      <w:r w:rsidRPr="006F250C">
        <w:rPr>
          <w:rStyle w:val="FootnoteReference"/>
          <w:lang w:val="es-ES_tradnl"/>
        </w:rPr>
        <w:footnoteRef/>
      </w:r>
      <w:r w:rsidRPr="006F250C">
        <w:rPr>
          <w:lang w:val="es-ES_tradnl"/>
        </w:rPr>
        <w:t xml:space="preserve"> </w:t>
      </w:r>
      <w:r w:rsidRPr="006F250C">
        <w:rPr>
          <w:rFonts w:eastAsia="Calibri" w:cstheme="minorHAnsi"/>
          <w:color w:val="000000" w:themeColor="text1"/>
          <w:lang w:val="es-ES_tradnl"/>
        </w:rPr>
        <w:t>Informe Anual de Actividades de la Fiscalía Especializada en Materia de Derechos Humanos 2019, p. 17</w:t>
      </w:r>
      <w:r>
        <w:rPr>
          <w:rFonts w:eastAsia="Calibri" w:cstheme="minorHAnsi"/>
          <w:color w:val="000000" w:themeColor="text1"/>
          <w:lang w:val="es-ES_tradnl"/>
        </w:rPr>
        <w:t xml:space="preserve">, </w:t>
      </w:r>
      <w:hyperlink r:id="rId6" w:history="1">
        <w:r w:rsidRPr="00976944">
          <w:rPr>
            <w:rStyle w:val="Hyperlink"/>
            <w:rFonts w:eastAsia="Calibri" w:cstheme="minorHAnsi"/>
            <w:lang w:val="es-ES_tradnl"/>
          </w:rPr>
          <w:t>https://www.animalpolitico.com/wp-content/uploads/2020/01/INFORME-DERECHOS-HUMANOS.pdf</w:t>
        </w:r>
      </w:hyperlink>
      <w:r w:rsidRPr="006F250C">
        <w:rPr>
          <w:rFonts w:eastAsia="Calibri" w:cstheme="minorHAnsi"/>
          <w:color w:val="000000" w:themeColor="text1"/>
          <w:lang w:val="es-ES_tradnl"/>
        </w:rPr>
        <w:t>.</w:t>
      </w:r>
      <w:r>
        <w:rPr>
          <w:rFonts w:eastAsia="Calibri" w:cstheme="minorHAnsi"/>
          <w:color w:val="000000" w:themeColor="text1"/>
          <w:lang w:val="es-ES_tradnl"/>
        </w:rPr>
        <w:t xml:space="preserve"> </w:t>
      </w:r>
      <w:r w:rsidRPr="006F250C">
        <w:rPr>
          <w:rFonts w:eastAsia="Calibri" w:cstheme="minorHAnsi"/>
          <w:color w:val="000000" w:themeColor="text1"/>
          <w:lang w:val="es-ES_tradnl"/>
        </w:rPr>
        <w:t xml:space="preserve">Como se desprende, la mayoría de </w:t>
      </w:r>
      <w:r w:rsidR="00565FE8" w:rsidRPr="006F250C">
        <w:rPr>
          <w:rFonts w:eastAsia="Calibri" w:cstheme="minorHAnsi"/>
          <w:color w:val="000000" w:themeColor="text1"/>
          <w:lang w:val="es-ES_tradnl"/>
        </w:rPr>
        <w:t>las investigaciones</w:t>
      </w:r>
      <w:r w:rsidRPr="006F250C">
        <w:rPr>
          <w:rFonts w:eastAsia="Calibri" w:cstheme="minorHAnsi"/>
          <w:color w:val="000000" w:themeColor="text1"/>
          <w:lang w:val="es-ES_tradnl"/>
        </w:rPr>
        <w:t xml:space="preserve"> por tortura a nivel federal no son iniciadas por la Fiscalía Especializada en la materia, a pesar de que todo acto de tortura corresponde a dicha Fiscalía según dispone la Ley General</w:t>
      </w:r>
      <w:r>
        <w:rPr>
          <w:rFonts w:eastAsia="Calibri" w:cstheme="minorHAnsi"/>
          <w:color w:val="000000" w:themeColor="text1"/>
          <w:lang w:val="es-ES_tradnl"/>
        </w:rPr>
        <w:t xml:space="preserve"> en la materia</w:t>
      </w:r>
      <w:r w:rsidRPr="006F250C">
        <w:rPr>
          <w:rFonts w:eastAsia="Calibri" w:cstheme="minorHAnsi"/>
          <w:color w:val="000000" w:themeColor="text1"/>
          <w:lang w:val="es-ES_tradnl"/>
        </w:rPr>
        <w:t xml:space="preserve">. Por lo anterior, entendemos que pueden existir </w:t>
      </w:r>
      <w:r w:rsidR="00565FE8">
        <w:rPr>
          <w:rFonts w:eastAsia="Calibri" w:cstheme="minorHAnsi"/>
          <w:color w:val="000000" w:themeColor="text1"/>
          <w:lang w:val="es-ES_tradnl"/>
        </w:rPr>
        <w:t>judicializ</w:t>
      </w:r>
      <w:r w:rsidRPr="006F250C">
        <w:rPr>
          <w:rFonts w:eastAsia="Calibri" w:cstheme="minorHAnsi"/>
          <w:color w:val="000000" w:themeColor="text1"/>
          <w:lang w:val="es-ES_tradnl"/>
        </w:rPr>
        <w:t xml:space="preserve">aciones no incluidas en la cifra citada </w:t>
      </w:r>
      <w:r w:rsidRPr="006F250C">
        <w:rPr>
          <w:rFonts w:eastAsia="Calibri" w:cstheme="minorHAnsi"/>
          <w:i/>
          <w:iCs/>
          <w:color w:val="000000" w:themeColor="text1"/>
          <w:lang w:val="es-ES_tradnl"/>
        </w:rPr>
        <w:t>supra</w:t>
      </w:r>
      <w:r w:rsidRPr="006F250C">
        <w:rPr>
          <w:rFonts w:eastAsia="Calibri" w:cstheme="minorHAnsi"/>
          <w:color w:val="000000" w:themeColor="text1"/>
          <w:lang w:val="es-ES_tradnl"/>
        </w:rPr>
        <w:t xml:space="preserve">. </w:t>
      </w:r>
    </w:p>
  </w:footnote>
  <w:footnote w:id="14">
    <w:p w14:paraId="6ED322BC" w14:textId="6F87A2F2" w:rsidR="0093587A" w:rsidRPr="0093587A" w:rsidRDefault="0093587A" w:rsidP="0093587A">
      <w:pPr>
        <w:pStyle w:val="FootnoteText"/>
        <w:jc w:val="both"/>
        <w:rPr>
          <w:lang w:val="es-US"/>
        </w:rPr>
      </w:pPr>
      <w:r>
        <w:rPr>
          <w:rStyle w:val="FootnoteReference"/>
        </w:rPr>
        <w:footnoteRef/>
      </w:r>
      <w:r>
        <w:rPr>
          <w:lang w:val="es-US"/>
        </w:rPr>
        <w:t xml:space="preserve"> </w:t>
      </w:r>
      <w:hyperlink r:id="rId7" w:history="1">
        <w:r w:rsidR="006671E7" w:rsidRPr="00F246EF">
          <w:rPr>
            <w:rStyle w:val="Hyperlink"/>
            <w:lang w:val="es-US"/>
          </w:rPr>
          <w:t>https://asilegal.org.mx/mapa-penitenciario-covid-19/</w:t>
        </w:r>
      </w:hyperlink>
      <w:r>
        <w:rPr>
          <w:lang w:val="es-US"/>
        </w:rPr>
        <w:t xml:space="preserve">. </w:t>
      </w:r>
    </w:p>
  </w:footnote>
  <w:footnote w:id="15">
    <w:p w14:paraId="53E9568B" w14:textId="5E4FA7FD" w:rsidR="002600A7" w:rsidRPr="002600A7" w:rsidRDefault="002600A7" w:rsidP="002600A7">
      <w:pPr>
        <w:pStyle w:val="FootnoteText"/>
        <w:jc w:val="both"/>
        <w:rPr>
          <w:lang w:val="es-US"/>
        </w:rPr>
      </w:pPr>
      <w:r>
        <w:rPr>
          <w:rStyle w:val="FootnoteReference"/>
        </w:rPr>
        <w:footnoteRef/>
      </w:r>
      <w:r w:rsidRPr="002600A7">
        <w:rPr>
          <w:lang w:val="es-US"/>
        </w:rPr>
        <w:t xml:space="preserve"> </w:t>
      </w:r>
      <w:r>
        <w:rPr>
          <w:lang w:val="es-US"/>
        </w:rPr>
        <w:t>“</w:t>
      </w:r>
      <w:r w:rsidRPr="002600A7">
        <w:rPr>
          <w:lang w:val="es-US"/>
        </w:rPr>
        <w:t>Estas lamentables cifras, a todas luces, pudieron haber sido evitadas de implementarse una planificación coherente y apegada a los derechos humanos de excarcelación de personas. La inacción, el cierre de juzgados y tanto la inhabilidad como la misma indiferencia a hacer un impacto han resultado en una catástrofe penitenciaria</w:t>
      </w:r>
      <w:r w:rsidR="00CE5018">
        <w:rPr>
          <w:lang w:val="es-US"/>
        </w:rPr>
        <w:t>…</w:t>
      </w:r>
      <w:r w:rsidRPr="002600A7">
        <w:rPr>
          <w:lang w:val="es-US"/>
        </w:rPr>
        <w:t>”</w:t>
      </w:r>
      <w:r>
        <w:rPr>
          <w:lang w:val="es-US"/>
        </w:rPr>
        <w:t xml:space="preserve"> </w:t>
      </w:r>
      <w:hyperlink r:id="rId8" w:history="1">
        <w:r w:rsidR="007F6955" w:rsidRPr="007F6955">
          <w:rPr>
            <w:rStyle w:val="Hyperlink"/>
          </w:rPr>
          <w:t>https://asilegal.org.mx/comunicados/la-pandemia-dentro-del-sistema-penitenciario-se-agudiza-1100-contagios/</w:t>
        </w:r>
      </w:hyperlink>
      <w:r w:rsidRPr="007F6955">
        <w:t xml:space="preserve">. </w:t>
      </w:r>
      <w:r>
        <w:rPr>
          <w:lang w:val="es-US"/>
        </w:rPr>
        <w:t>Ver también</w:t>
      </w:r>
      <w:r w:rsidR="00CE5018">
        <w:rPr>
          <w:lang w:val="es-US"/>
        </w:rPr>
        <w:t>,</w:t>
      </w:r>
      <w:r>
        <w:rPr>
          <w:lang w:val="es-US"/>
        </w:rPr>
        <w:t xml:space="preserve"> Centro Prodh, “</w:t>
      </w:r>
      <w:r w:rsidRPr="002600A7">
        <w:rPr>
          <w:lang w:val="es-US"/>
        </w:rPr>
        <w:t>Personas privadas de libertad frente al COVID-19</w:t>
      </w:r>
      <w:r>
        <w:rPr>
          <w:lang w:val="es-US"/>
        </w:rPr>
        <w:t xml:space="preserve">”, </w:t>
      </w:r>
      <w:r w:rsidRPr="00CE5018">
        <w:rPr>
          <w:i/>
          <w:iCs/>
          <w:lang w:val="es-US"/>
        </w:rPr>
        <w:t>Animal Político</w:t>
      </w:r>
      <w:r>
        <w:rPr>
          <w:lang w:val="es-US"/>
        </w:rPr>
        <w:t xml:space="preserve">, 20 de abril de 2020, </w:t>
      </w:r>
      <w:hyperlink r:id="rId9" w:history="1">
        <w:r w:rsidRPr="00C23CA6">
          <w:rPr>
            <w:rStyle w:val="Hyperlink"/>
            <w:lang w:val="es-US"/>
          </w:rPr>
          <w:t>https://www.animalpolitico.com/la-lucha-cotidiana-de-los-derechos-humanos/personas-privadas-de-libertad-frente-al-covid-19/</w:t>
        </w:r>
      </w:hyperlink>
      <w:r>
        <w:rPr>
          <w:lang w:val="es-US"/>
        </w:rPr>
        <w:t xml:space="preserve">. </w:t>
      </w:r>
    </w:p>
  </w:footnote>
  <w:footnote w:id="16">
    <w:p w14:paraId="751A2E23" w14:textId="11CC08C8" w:rsidR="00D856D1" w:rsidRPr="002C6DB0" w:rsidRDefault="00D856D1" w:rsidP="002C6DB0">
      <w:pPr>
        <w:pStyle w:val="FootnoteText"/>
        <w:jc w:val="both"/>
        <w:rPr>
          <w:lang w:val="es-ES"/>
        </w:rPr>
      </w:pPr>
      <w:r>
        <w:rPr>
          <w:rStyle w:val="FootnoteReference"/>
        </w:rPr>
        <w:footnoteRef/>
      </w:r>
      <w:r w:rsidRPr="002C6DB0">
        <w:rPr>
          <w:lang w:val="es-ES"/>
        </w:rPr>
        <w:t xml:space="preserve"> </w:t>
      </w:r>
      <w:r>
        <w:rPr>
          <w:lang w:val="es-ES"/>
        </w:rPr>
        <w:t>V</w:t>
      </w:r>
      <w:r w:rsidR="003E45EF">
        <w:rPr>
          <w:lang w:val="es-ES"/>
        </w:rPr>
        <w:t>er</w:t>
      </w:r>
      <w:r>
        <w:rPr>
          <w:lang w:val="es-ES"/>
        </w:rPr>
        <w:t xml:space="preserve"> Documenta</w:t>
      </w:r>
      <w:r w:rsidR="002C6DB0">
        <w:rPr>
          <w:lang w:val="es-ES"/>
        </w:rPr>
        <w:t>,</w:t>
      </w:r>
      <w:r>
        <w:rPr>
          <w:lang w:val="es-ES"/>
        </w:rPr>
        <w:t xml:space="preserve"> </w:t>
      </w:r>
      <w:r w:rsidR="002C6DB0">
        <w:rPr>
          <w:lang w:val="es-ES"/>
        </w:rPr>
        <w:t>“</w:t>
      </w:r>
      <w:r w:rsidRPr="00D856D1">
        <w:rPr>
          <w:lang w:val="es-ES"/>
        </w:rPr>
        <w:t xml:space="preserve">Covid </w:t>
      </w:r>
      <w:r w:rsidRPr="002C6DB0">
        <w:rPr>
          <w:lang w:val="es-ES"/>
        </w:rPr>
        <w:t xml:space="preserve">fuera de </w:t>
      </w:r>
      <w:r>
        <w:rPr>
          <w:lang w:val="es-ES"/>
        </w:rPr>
        <w:t>la cárcel</w:t>
      </w:r>
      <w:r w:rsidR="002C6DB0">
        <w:rPr>
          <w:lang w:val="es-ES"/>
        </w:rPr>
        <w:t>”,</w:t>
      </w:r>
      <w:r>
        <w:rPr>
          <w:lang w:val="es-ES"/>
        </w:rPr>
        <w:t xml:space="preserve"> </w:t>
      </w:r>
      <w:hyperlink r:id="rId10" w:history="1">
        <w:r w:rsidR="002C6DB0" w:rsidRPr="00F246EF">
          <w:rPr>
            <w:rStyle w:val="Hyperlink"/>
            <w:lang w:val="es-ES"/>
          </w:rPr>
          <w:t>https://ddd.documenta.org.mx/wp-content/uploads/2020/05/Informe_COVID_fuera_de_las_c%C3%A1rceles_2020.pdf</w:t>
        </w:r>
      </w:hyperlink>
      <w:r w:rsidR="002C6DB0">
        <w:rPr>
          <w:lang w:val="es-ES"/>
        </w:rPr>
        <w:t xml:space="preserve">. </w:t>
      </w:r>
    </w:p>
  </w:footnote>
  <w:footnote w:id="17">
    <w:p w14:paraId="4EE5DBDE" w14:textId="367AA3D1" w:rsidR="00510DBE" w:rsidRPr="002C6DB0" w:rsidRDefault="00510DBE" w:rsidP="002C6DB0">
      <w:pPr>
        <w:pStyle w:val="FootnoteText"/>
        <w:jc w:val="both"/>
        <w:rPr>
          <w:lang w:val="es-ES"/>
        </w:rPr>
      </w:pPr>
      <w:r>
        <w:rPr>
          <w:rStyle w:val="FootnoteReference"/>
        </w:rPr>
        <w:footnoteRef/>
      </w:r>
      <w:r w:rsidRPr="002C6DB0">
        <w:rPr>
          <w:lang w:val="es-ES"/>
        </w:rPr>
        <w:t xml:space="preserve"> </w:t>
      </w:r>
      <w:r w:rsidR="00C06F48">
        <w:rPr>
          <w:lang w:val="es-ES"/>
        </w:rPr>
        <w:t>CNDH</w:t>
      </w:r>
      <w:r w:rsidR="002C6DB0">
        <w:rPr>
          <w:lang w:val="es-ES"/>
        </w:rPr>
        <w:t>,</w:t>
      </w:r>
      <w:r w:rsidR="00C06F48">
        <w:rPr>
          <w:lang w:val="es-ES"/>
        </w:rPr>
        <w:t xml:space="preserve"> Informe Especial sobre el estado que guardan las medidas adoptadas en Centros Penitenciarios para la Atención de la Emergencia Sanitaria Generada ante el Virus Sars-CoV2 (COVID-19), p. 79</w:t>
      </w:r>
      <w:r w:rsidR="002C6DB0">
        <w:rPr>
          <w:lang w:val="es-ES"/>
        </w:rPr>
        <w:t>,</w:t>
      </w:r>
      <w:r w:rsidR="00C06F48">
        <w:rPr>
          <w:lang w:val="es-ES"/>
        </w:rPr>
        <w:t xml:space="preserve"> </w:t>
      </w:r>
      <w:hyperlink r:id="rId11" w:history="1">
        <w:r w:rsidR="002C6DB0" w:rsidRPr="00F246EF">
          <w:rPr>
            <w:rStyle w:val="Hyperlink"/>
            <w:lang w:val="es-ES"/>
          </w:rPr>
          <w:t>https://www.cndh.org.mx/sites/default/files/documentos/2020-07/IE_COVID19_Penitenciarios.pdf</w:t>
        </w:r>
      </w:hyperlink>
      <w:r w:rsidR="002C6DB0">
        <w:rPr>
          <w:lang w:val="es-ES"/>
        </w:rPr>
        <w:t xml:space="preserve">. </w:t>
      </w:r>
    </w:p>
  </w:footnote>
  <w:footnote w:id="18">
    <w:p w14:paraId="4B3CAC39" w14:textId="411441EC" w:rsidR="00D479D5" w:rsidRPr="00741120" w:rsidRDefault="00D479D5" w:rsidP="00176BAD">
      <w:pPr>
        <w:pStyle w:val="FootnoteText"/>
        <w:jc w:val="both"/>
        <w:rPr>
          <w:lang w:val="es-ES"/>
        </w:rPr>
      </w:pPr>
      <w:r>
        <w:rPr>
          <w:rStyle w:val="FootnoteReference"/>
        </w:rPr>
        <w:footnoteRef/>
      </w:r>
      <w:r w:rsidRPr="00D479D5">
        <w:rPr>
          <w:lang w:val="es-US"/>
        </w:rPr>
        <w:t xml:space="preserve"> “Cuando la detención se practique por autoridades que realicen funciones de apoyo a la seguridad pública, éstas, bajo su más estricta responsabilidad, deberán dar aviso, inmediatamente, de la detención a la autoridad policial competente, brindando la información necesaria para que ésta genere el registro correspondiente, en términos de lo establecido por esta Ley”. Ley Nacional del Registro de Detenciones, art. 19</w:t>
      </w:r>
      <w:r>
        <w:rPr>
          <w:lang w:val="es-US"/>
        </w:rPr>
        <w:t xml:space="preserve">, </w:t>
      </w:r>
      <w:hyperlink r:id="rId12" w:history="1">
        <w:r w:rsidRPr="00976944">
          <w:rPr>
            <w:rStyle w:val="Hyperlink"/>
            <w:lang w:val="es-US"/>
          </w:rPr>
          <w:t>http://www.diputados.gob.mx/LeyesBiblio/pdf/LNRD_270519.pdf</w:t>
        </w:r>
      </w:hyperlink>
      <w:r w:rsidRPr="00D479D5">
        <w:rPr>
          <w:lang w:val="es-US"/>
        </w:rPr>
        <w:t>.</w:t>
      </w:r>
      <w:r>
        <w:rPr>
          <w:lang w:val="es-US"/>
        </w:rPr>
        <w:t xml:space="preserve"> </w:t>
      </w:r>
    </w:p>
  </w:footnote>
  <w:footnote w:id="19">
    <w:p w14:paraId="71A7F23A" w14:textId="77777777" w:rsidR="00D479D5" w:rsidRPr="00741120" w:rsidRDefault="00D479D5" w:rsidP="00176BAD">
      <w:pPr>
        <w:pStyle w:val="FootnoteText"/>
        <w:jc w:val="both"/>
        <w:rPr>
          <w:lang w:val="es-ES"/>
        </w:rPr>
      </w:pPr>
      <w:r>
        <w:rPr>
          <w:rStyle w:val="FootnoteReference"/>
        </w:rPr>
        <w:footnoteRef/>
      </w:r>
      <w:r w:rsidRPr="00D479D5">
        <w:rPr>
          <w:lang w:val="es-US"/>
        </w:rPr>
        <w:t xml:space="preserve"> </w:t>
      </w:r>
      <w:r>
        <w:rPr>
          <w:lang w:val="es-ES"/>
        </w:rPr>
        <w:t>“</w:t>
      </w:r>
      <w:r w:rsidRPr="00D479D5">
        <w:rPr>
          <w:lang w:val="es-US"/>
        </w:rPr>
        <w:t>De conformidad con el artículo Quinto Transitorio del Decreto por el que se reforman, adicionan y derogan diversas disposiciones de la Constitución Política de los Estados Unidos Mexicanos, en materia de Guardia Nacional, publicado en el Diario Oficial de la Federación el 26 de marzo de 2019, la Fuerza Armada permanente que realice tareas de seguridad pública estará sujeta a lo dispuesto en la presente Ley; en este caso, no será aplicable lo dispuesto en el artículo 19”. Ibíd., trans. 5°.</w:t>
      </w:r>
    </w:p>
  </w:footnote>
  <w:footnote w:id="20">
    <w:p w14:paraId="4AF35C33" w14:textId="77777777" w:rsidR="00D479D5" w:rsidRPr="00D479D5" w:rsidRDefault="00D479D5" w:rsidP="00176BAD">
      <w:pPr>
        <w:pStyle w:val="FootnoteText"/>
        <w:jc w:val="both"/>
        <w:rPr>
          <w:lang w:val="es-US"/>
        </w:rPr>
      </w:pPr>
      <w:r>
        <w:rPr>
          <w:rStyle w:val="FootnoteReference"/>
        </w:rPr>
        <w:footnoteRef/>
      </w:r>
      <w:r w:rsidRPr="00D479D5">
        <w:rPr>
          <w:lang w:val="es-US"/>
        </w:rPr>
        <w:t xml:space="preserve"> CNDH, Demanda de Acción de Inconstitucionalidad 63/2019, </w:t>
      </w:r>
      <w:hyperlink r:id="rId13" w:history="1">
        <w:r w:rsidRPr="00D479D5">
          <w:rPr>
            <w:rStyle w:val="Hyperlink"/>
            <w:lang w:val="es-US"/>
          </w:rPr>
          <w:t>https://www.cndh.org.mx/tipo/209/accion-de-inconstitucionalidad</w:t>
        </w:r>
      </w:hyperlink>
      <w:r w:rsidRPr="00D479D5">
        <w:rPr>
          <w:lang w:val="es-US"/>
        </w:rPr>
        <w:t>.</w:t>
      </w:r>
    </w:p>
  </w:footnote>
  <w:footnote w:id="21">
    <w:p w14:paraId="147286F9" w14:textId="436C47AC" w:rsidR="00DF64D2" w:rsidRPr="00DF64D2" w:rsidRDefault="00DF64D2" w:rsidP="00176BAD">
      <w:pPr>
        <w:pStyle w:val="FootnoteText"/>
        <w:jc w:val="both"/>
        <w:rPr>
          <w:lang w:val="es-US"/>
        </w:rPr>
      </w:pPr>
      <w:r>
        <w:rPr>
          <w:rStyle w:val="FootnoteReference"/>
        </w:rPr>
        <w:footnoteRef/>
      </w:r>
      <w:r w:rsidRPr="00DF64D2">
        <w:rPr>
          <w:lang w:val="es-US"/>
        </w:rPr>
        <w:t xml:space="preserve"> “El Sistema de Consulta, en su caso, emitirá el reporte correspondiente de la persona detenida, el cual deberá contener al menos lo siguiente: I. La autoridad o institución que efectuó la detención; II. La autoridad que tiene a su disposición a la persona detenida; III. El domicilio del lugar donde se encuentra la persona detenida, y IV. Lugar, fecha y hora en que se haya practicado la detención. Tratándose de delincuencia organizada solo estará disponible la información sobre la fecha de la detención y si la persona se encuentra detenida”. Ley Nacional del Registro de Detenciones, art. 34.</w:t>
      </w:r>
    </w:p>
  </w:footnote>
  <w:footnote w:id="22">
    <w:p w14:paraId="79F58F38" w14:textId="5C78BDEC" w:rsidR="00DF64D2" w:rsidRPr="00DF64D2" w:rsidRDefault="00DF64D2" w:rsidP="00176BAD">
      <w:pPr>
        <w:pStyle w:val="FootnoteText"/>
        <w:jc w:val="both"/>
        <w:rPr>
          <w:lang w:val="es-US"/>
        </w:rPr>
      </w:pPr>
      <w:r w:rsidRPr="009C004A">
        <w:rPr>
          <w:rStyle w:val="FootnoteReference"/>
        </w:rPr>
        <w:footnoteRef/>
      </w:r>
      <w:r w:rsidRPr="00DF64D2">
        <w:rPr>
          <w:lang w:val="es-US"/>
        </w:rPr>
        <w:t xml:space="preserve"> </w:t>
      </w:r>
      <w:r>
        <w:rPr>
          <w:lang w:val="es-US"/>
        </w:rPr>
        <w:t xml:space="preserve">Red Nacional de Organismos Civiles de Derechos Humanos y otros, </w:t>
      </w:r>
      <w:r w:rsidRPr="003233B2">
        <w:rPr>
          <w:i/>
          <w:iCs/>
          <w:lang w:val="es-US"/>
        </w:rPr>
        <w:t>Informe Alternativo de las Organizaciones de la Sociedad Civil de México</w:t>
      </w:r>
      <w:r w:rsidR="008E0E19">
        <w:rPr>
          <w:i/>
          <w:iCs/>
          <w:lang w:val="es-US"/>
        </w:rPr>
        <w:t xml:space="preserve"> </w:t>
      </w:r>
      <w:r w:rsidR="008E0E19">
        <w:rPr>
          <w:lang w:val="es-US"/>
        </w:rPr>
        <w:t>(presentado ante este Comité en el marco de su evaluación periódica al Estado mexicano en 2019)</w:t>
      </w:r>
      <w:r>
        <w:rPr>
          <w:lang w:val="es-US"/>
        </w:rPr>
        <w:t xml:space="preserve">, p. </w:t>
      </w:r>
      <w:r w:rsidRPr="00DF64D2">
        <w:rPr>
          <w:lang w:val="es-US"/>
        </w:rPr>
        <w:t>24-26.</w:t>
      </w:r>
    </w:p>
  </w:footnote>
  <w:footnote w:id="23">
    <w:p w14:paraId="564B809B" w14:textId="5FA042CB" w:rsidR="00D479D5" w:rsidRPr="00D479D5" w:rsidRDefault="00D479D5" w:rsidP="00176BAD">
      <w:pPr>
        <w:pStyle w:val="FootnoteText"/>
        <w:rPr>
          <w:lang w:val="es-US"/>
        </w:rPr>
      </w:pPr>
      <w:r>
        <w:rPr>
          <w:rStyle w:val="FootnoteReference"/>
        </w:rPr>
        <w:footnoteRef/>
      </w:r>
      <w:r w:rsidRPr="00D479D5">
        <w:rPr>
          <w:lang w:val="es-US"/>
        </w:rPr>
        <w:t xml:space="preserve"> Ley Nacional del Registro de Detenciones,</w:t>
      </w:r>
      <w:r>
        <w:rPr>
          <w:lang w:val="es-US"/>
        </w:rPr>
        <w:t xml:space="preserve"> trans. 8º. </w:t>
      </w:r>
    </w:p>
  </w:footnote>
  <w:footnote w:id="24">
    <w:p w14:paraId="6852D9A1" w14:textId="2E2B06A7" w:rsidR="00833E00" w:rsidRPr="00833E00" w:rsidRDefault="00833E00" w:rsidP="00176BAD">
      <w:pPr>
        <w:pStyle w:val="FootnoteText"/>
        <w:jc w:val="both"/>
        <w:rPr>
          <w:lang w:val="es-US"/>
        </w:rPr>
      </w:pPr>
      <w:r>
        <w:rPr>
          <w:rStyle w:val="FootnoteReference"/>
        </w:rPr>
        <w:footnoteRef/>
      </w:r>
      <w:r w:rsidRPr="00833E00">
        <w:rPr>
          <w:lang w:val="es-US"/>
        </w:rPr>
        <w:t xml:space="preserve"> </w:t>
      </w:r>
      <w:r>
        <w:rPr>
          <w:lang w:val="es-US"/>
        </w:rPr>
        <w:t xml:space="preserve">Ninguna de las dos reformas a la Ley de Migración posteriores a la publicación de la Ley Nacional del Registro de Detenciones establece </w:t>
      </w:r>
      <w:r w:rsidR="008E0E19">
        <w:rPr>
          <w:lang w:val="es-US"/>
        </w:rPr>
        <w:t>un nuevo</w:t>
      </w:r>
      <w:r>
        <w:rPr>
          <w:lang w:val="es-US"/>
        </w:rPr>
        <w:t xml:space="preserve"> registro de personas migrantes detenidas. Ver </w:t>
      </w:r>
      <w:hyperlink r:id="rId14" w:history="1">
        <w:r w:rsidR="00824A9B" w:rsidRPr="00976944">
          <w:rPr>
            <w:rStyle w:val="Hyperlink"/>
            <w:lang w:val="es-US"/>
          </w:rPr>
          <w:t>http://www.diputados.gob.mx/LeyesBiblio/ref/lmigra.htm</w:t>
        </w:r>
      </w:hyperlink>
      <w:r>
        <w:rPr>
          <w:lang w:val="es-US"/>
        </w:rPr>
        <w:t xml:space="preserve">. </w:t>
      </w:r>
    </w:p>
  </w:footnote>
  <w:footnote w:id="25">
    <w:p w14:paraId="19BD3D8C" w14:textId="3A6DE54F" w:rsidR="00D479D5" w:rsidRPr="00D479D5" w:rsidRDefault="00D479D5" w:rsidP="00176BAD">
      <w:pPr>
        <w:pStyle w:val="FootnoteText"/>
        <w:rPr>
          <w:lang w:val="es-US"/>
        </w:rPr>
      </w:pPr>
      <w:r>
        <w:rPr>
          <w:rStyle w:val="FootnoteReference"/>
        </w:rPr>
        <w:footnoteRef/>
      </w:r>
      <w:r w:rsidRPr="00D479D5">
        <w:rPr>
          <w:lang w:val="es-US"/>
        </w:rPr>
        <w:t xml:space="preserve"> Ley de Migración, art.</w:t>
      </w:r>
      <w:r w:rsidR="008D0BB1">
        <w:rPr>
          <w:lang w:val="es-US"/>
        </w:rPr>
        <w:t xml:space="preserve"> </w:t>
      </w:r>
      <w:r w:rsidRPr="00D479D5">
        <w:rPr>
          <w:lang w:val="es-US"/>
        </w:rPr>
        <w:t xml:space="preserve">3.X y 3.XX, </w:t>
      </w:r>
      <w:hyperlink r:id="rId15" w:history="1">
        <w:r w:rsidR="00824A9B" w:rsidRPr="00824A9B">
          <w:rPr>
            <w:rStyle w:val="Hyperlink"/>
            <w:lang w:val="es-US"/>
          </w:rPr>
          <w:t>http://www.diputados.gob.mx/LeyesBiblio/pdf/LMigra_130420.pdf</w:t>
        </w:r>
      </w:hyperlink>
      <w:r w:rsidRPr="00D479D5">
        <w:rPr>
          <w:lang w:val="es-US"/>
        </w:rPr>
        <w:t>.</w:t>
      </w:r>
      <w:r w:rsidR="00824A9B">
        <w:rPr>
          <w:lang w:val="es-US"/>
        </w:rPr>
        <w:t xml:space="preserve"> </w:t>
      </w:r>
    </w:p>
  </w:footnote>
  <w:footnote w:id="26">
    <w:p w14:paraId="0691CD66" w14:textId="5A145B07" w:rsidR="00F414EE" w:rsidRPr="00F414EE" w:rsidRDefault="00F414EE" w:rsidP="00176BAD">
      <w:pPr>
        <w:pStyle w:val="FootnoteText"/>
        <w:rPr>
          <w:lang w:val="es-US"/>
        </w:rPr>
      </w:pPr>
      <w:r>
        <w:rPr>
          <w:rStyle w:val="FootnoteReference"/>
        </w:rPr>
        <w:footnoteRef/>
      </w:r>
      <w:r w:rsidRPr="00F414EE">
        <w:rPr>
          <w:lang w:val="es-US"/>
        </w:rPr>
        <w:t xml:space="preserve"> </w:t>
      </w:r>
      <w:r w:rsidRPr="00D61D0E">
        <w:rPr>
          <w:lang w:val="es-US"/>
        </w:rPr>
        <w:t xml:space="preserve">Informe de seguimiento del Estado mexicano de </w:t>
      </w:r>
      <w:r>
        <w:rPr>
          <w:lang w:val="es-US"/>
        </w:rPr>
        <w:t>17 de junio de 2020, p. 25-26.</w:t>
      </w:r>
    </w:p>
  </w:footnote>
  <w:footnote w:id="27">
    <w:p w14:paraId="202361A6" w14:textId="6E91275A" w:rsidR="00FB7B3F" w:rsidRPr="00FB7B3F" w:rsidRDefault="00FB7B3F" w:rsidP="00176BAD">
      <w:pPr>
        <w:rPr>
          <w:rFonts w:asciiTheme="minorHAnsi" w:hAnsiTheme="minorHAnsi"/>
          <w:sz w:val="20"/>
          <w:szCs w:val="20"/>
        </w:rPr>
      </w:pPr>
      <w:r w:rsidRPr="00FB7B3F">
        <w:rPr>
          <w:rStyle w:val="FootnoteReference"/>
          <w:rFonts w:asciiTheme="minorHAnsi" w:hAnsiTheme="minorHAnsi"/>
          <w:sz w:val="20"/>
          <w:szCs w:val="20"/>
        </w:rPr>
        <w:footnoteRef/>
      </w:r>
      <w:r w:rsidRPr="00FB7B3F">
        <w:rPr>
          <w:rFonts w:asciiTheme="minorHAnsi" w:hAnsiTheme="minorHAnsi"/>
          <w:sz w:val="20"/>
          <w:szCs w:val="20"/>
        </w:rPr>
        <w:t xml:space="preserve"> </w:t>
      </w:r>
      <w:r w:rsidRPr="00FB7B3F">
        <w:rPr>
          <w:rFonts w:asciiTheme="minorHAnsi" w:hAnsiTheme="minorHAnsi"/>
          <w:color w:val="000000"/>
          <w:sz w:val="20"/>
          <w:szCs w:val="20"/>
        </w:rPr>
        <w:t>CAT/C/MEX/CO/7</w:t>
      </w:r>
      <w:r>
        <w:rPr>
          <w:rFonts w:asciiTheme="minorHAnsi" w:hAnsiTheme="minorHAnsi"/>
          <w:color w:val="000000"/>
          <w:sz w:val="20"/>
          <w:szCs w:val="20"/>
        </w:rPr>
        <w:t>, párr. 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B7764"/>
    <w:multiLevelType w:val="hybridMultilevel"/>
    <w:tmpl w:val="26B68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4AB"/>
    <w:rsid w:val="00017A76"/>
    <w:rsid w:val="00042E4E"/>
    <w:rsid w:val="00050704"/>
    <w:rsid w:val="00074F7C"/>
    <w:rsid w:val="00091C1D"/>
    <w:rsid w:val="000A1EB4"/>
    <w:rsid w:val="000A491E"/>
    <w:rsid w:val="000C2689"/>
    <w:rsid w:val="000E0023"/>
    <w:rsid w:val="000F1CBA"/>
    <w:rsid w:val="00107EAA"/>
    <w:rsid w:val="0011763D"/>
    <w:rsid w:val="00120670"/>
    <w:rsid w:val="00135E41"/>
    <w:rsid w:val="00176BAD"/>
    <w:rsid w:val="0019013A"/>
    <w:rsid w:val="001A7111"/>
    <w:rsid w:val="001C55E2"/>
    <w:rsid w:val="001D42E6"/>
    <w:rsid w:val="001D4649"/>
    <w:rsid w:val="001E5DE0"/>
    <w:rsid w:val="002133C9"/>
    <w:rsid w:val="0023057B"/>
    <w:rsid w:val="002504EE"/>
    <w:rsid w:val="002600A7"/>
    <w:rsid w:val="00272E02"/>
    <w:rsid w:val="002B160F"/>
    <w:rsid w:val="002B1F19"/>
    <w:rsid w:val="002C3C0C"/>
    <w:rsid w:val="002C6DB0"/>
    <w:rsid w:val="00311314"/>
    <w:rsid w:val="00316FFB"/>
    <w:rsid w:val="003233B2"/>
    <w:rsid w:val="00362CAE"/>
    <w:rsid w:val="00397636"/>
    <w:rsid w:val="003A6228"/>
    <w:rsid w:val="003B193C"/>
    <w:rsid w:val="003E45EF"/>
    <w:rsid w:val="00432881"/>
    <w:rsid w:val="0043767C"/>
    <w:rsid w:val="00477579"/>
    <w:rsid w:val="004A1B0C"/>
    <w:rsid w:val="004D0A8F"/>
    <w:rsid w:val="00510779"/>
    <w:rsid w:val="00510DBE"/>
    <w:rsid w:val="00543AA5"/>
    <w:rsid w:val="00557161"/>
    <w:rsid w:val="00565FE8"/>
    <w:rsid w:val="00581769"/>
    <w:rsid w:val="005B4DD7"/>
    <w:rsid w:val="005C500C"/>
    <w:rsid w:val="005E7115"/>
    <w:rsid w:val="0060087E"/>
    <w:rsid w:val="0065471A"/>
    <w:rsid w:val="006671E7"/>
    <w:rsid w:val="006836EB"/>
    <w:rsid w:val="006975C4"/>
    <w:rsid w:val="006A7416"/>
    <w:rsid w:val="00772D46"/>
    <w:rsid w:val="007964D1"/>
    <w:rsid w:val="007F6955"/>
    <w:rsid w:val="00824A9B"/>
    <w:rsid w:val="00826260"/>
    <w:rsid w:val="00833E00"/>
    <w:rsid w:val="00845F97"/>
    <w:rsid w:val="00882AD2"/>
    <w:rsid w:val="008D0BB1"/>
    <w:rsid w:val="008E0E19"/>
    <w:rsid w:val="0091633A"/>
    <w:rsid w:val="0093587A"/>
    <w:rsid w:val="00991643"/>
    <w:rsid w:val="0099532E"/>
    <w:rsid w:val="009A4A4E"/>
    <w:rsid w:val="009D4F71"/>
    <w:rsid w:val="009E3C4F"/>
    <w:rsid w:val="00A15375"/>
    <w:rsid w:val="00A44A80"/>
    <w:rsid w:val="00A527A0"/>
    <w:rsid w:val="00AB314E"/>
    <w:rsid w:val="00AE6E8D"/>
    <w:rsid w:val="00AF0BBB"/>
    <w:rsid w:val="00AF34A6"/>
    <w:rsid w:val="00B02ED8"/>
    <w:rsid w:val="00B37919"/>
    <w:rsid w:val="00B60C73"/>
    <w:rsid w:val="00BE0A43"/>
    <w:rsid w:val="00C01720"/>
    <w:rsid w:val="00C06F48"/>
    <w:rsid w:val="00C564B8"/>
    <w:rsid w:val="00CE5018"/>
    <w:rsid w:val="00CE6842"/>
    <w:rsid w:val="00CE7A12"/>
    <w:rsid w:val="00D04FD3"/>
    <w:rsid w:val="00D253BB"/>
    <w:rsid w:val="00D37863"/>
    <w:rsid w:val="00D479D5"/>
    <w:rsid w:val="00D511B6"/>
    <w:rsid w:val="00D61D0E"/>
    <w:rsid w:val="00D72988"/>
    <w:rsid w:val="00D856D1"/>
    <w:rsid w:val="00DA685C"/>
    <w:rsid w:val="00DD1893"/>
    <w:rsid w:val="00DF64D2"/>
    <w:rsid w:val="00E21615"/>
    <w:rsid w:val="00E254AB"/>
    <w:rsid w:val="00E41108"/>
    <w:rsid w:val="00E52F28"/>
    <w:rsid w:val="00E70E37"/>
    <w:rsid w:val="00EB4B54"/>
    <w:rsid w:val="00EB606C"/>
    <w:rsid w:val="00EF3B01"/>
    <w:rsid w:val="00F1313B"/>
    <w:rsid w:val="00F30574"/>
    <w:rsid w:val="00F414EE"/>
    <w:rsid w:val="00F71D5E"/>
    <w:rsid w:val="00F72C03"/>
    <w:rsid w:val="00F76C7C"/>
    <w:rsid w:val="00F801F4"/>
    <w:rsid w:val="00F948E5"/>
    <w:rsid w:val="00FA6DBD"/>
    <w:rsid w:val="00FB1019"/>
    <w:rsid w:val="00FB7B3F"/>
    <w:rsid w:val="00FE070B"/>
    <w:rsid w:val="00FF7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2E2AC"/>
  <w15:chartTrackingRefBased/>
  <w15:docId w15:val="{BC75F210-B6A5-9C43-8341-525CCA785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7B3F"/>
    <w:rPr>
      <w:rFonts w:ascii="Times New Roman" w:eastAsia="Times New Roman" w:hAnsi="Times New Roman" w:cs="Times New Roman"/>
    </w:rPr>
  </w:style>
  <w:style w:type="paragraph" w:styleId="Heading1">
    <w:name w:val="heading 1"/>
    <w:basedOn w:val="Normal"/>
    <w:next w:val="Normal"/>
    <w:link w:val="Heading1Char"/>
    <w:uiPriority w:val="9"/>
    <w:qFormat/>
    <w:rsid w:val="001C55E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087E"/>
    <w:pPr>
      <w:spacing w:before="100" w:beforeAutospacing="1" w:after="100" w:afterAutospacing="1"/>
    </w:pPr>
  </w:style>
  <w:style w:type="paragraph" w:styleId="FootnoteText">
    <w:name w:val="footnote text"/>
    <w:basedOn w:val="Normal"/>
    <w:link w:val="FootnoteTextChar"/>
    <w:uiPriority w:val="99"/>
    <w:unhideWhenUsed/>
    <w:rsid w:val="00772D4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772D46"/>
    <w:rPr>
      <w:sz w:val="20"/>
      <w:szCs w:val="20"/>
    </w:rPr>
  </w:style>
  <w:style w:type="character" w:styleId="FootnoteReference">
    <w:name w:val="footnote reference"/>
    <w:aliases w:val="Ref. de nota al pie 2,Texto de nota al pie,Footnotes refss,Appel note de bas de page,Footnote number,referencia nota al pie,BVI fnr,f,4_G,16 Point,Superscript 6 Point,Texto nota al pie,Footnote Reference Char3,Re"/>
    <w:basedOn w:val="DefaultParagraphFont"/>
    <w:uiPriority w:val="99"/>
    <w:unhideWhenUsed/>
    <w:qFormat/>
    <w:rsid w:val="00772D46"/>
    <w:rPr>
      <w:vertAlign w:val="superscript"/>
    </w:rPr>
  </w:style>
  <w:style w:type="character" w:styleId="Hyperlink">
    <w:name w:val="Hyperlink"/>
    <w:basedOn w:val="DefaultParagraphFont"/>
    <w:uiPriority w:val="99"/>
    <w:unhideWhenUsed/>
    <w:rsid w:val="00772D46"/>
    <w:rPr>
      <w:color w:val="0563C1" w:themeColor="hyperlink"/>
      <w:u w:val="single"/>
    </w:rPr>
  </w:style>
  <w:style w:type="character" w:customStyle="1" w:styleId="UnresolvedMention">
    <w:name w:val="Unresolved Mention"/>
    <w:basedOn w:val="DefaultParagraphFont"/>
    <w:uiPriority w:val="99"/>
    <w:semiHidden/>
    <w:unhideWhenUsed/>
    <w:rsid w:val="00772D46"/>
    <w:rPr>
      <w:color w:val="605E5C"/>
      <w:shd w:val="clear" w:color="auto" w:fill="E1DFDD"/>
    </w:rPr>
  </w:style>
  <w:style w:type="character" w:customStyle="1" w:styleId="Heading1Char">
    <w:name w:val="Heading 1 Char"/>
    <w:basedOn w:val="DefaultParagraphFont"/>
    <w:link w:val="Heading1"/>
    <w:uiPriority w:val="9"/>
    <w:rsid w:val="001C55E2"/>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CE7A12"/>
    <w:rPr>
      <w:rFonts w:eastAsiaTheme="minorHAnsi"/>
      <w:sz w:val="18"/>
      <w:szCs w:val="18"/>
    </w:rPr>
  </w:style>
  <w:style w:type="character" w:customStyle="1" w:styleId="BalloonTextChar">
    <w:name w:val="Balloon Text Char"/>
    <w:basedOn w:val="DefaultParagraphFont"/>
    <w:link w:val="BalloonText"/>
    <w:uiPriority w:val="99"/>
    <w:semiHidden/>
    <w:rsid w:val="00CE7A12"/>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0C2689"/>
    <w:rPr>
      <w:color w:val="954F72" w:themeColor="followedHyperlink"/>
      <w:u w:val="single"/>
    </w:rPr>
  </w:style>
  <w:style w:type="character" w:styleId="CommentReference">
    <w:name w:val="annotation reference"/>
    <w:basedOn w:val="DefaultParagraphFont"/>
    <w:uiPriority w:val="99"/>
    <w:semiHidden/>
    <w:unhideWhenUsed/>
    <w:rsid w:val="009D4F71"/>
    <w:rPr>
      <w:sz w:val="16"/>
      <w:szCs w:val="16"/>
    </w:rPr>
  </w:style>
  <w:style w:type="paragraph" w:styleId="CommentText">
    <w:name w:val="annotation text"/>
    <w:basedOn w:val="Normal"/>
    <w:link w:val="CommentTextChar"/>
    <w:uiPriority w:val="99"/>
    <w:semiHidden/>
    <w:unhideWhenUsed/>
    <w:rsid w:val="009D4F71"/>
    <w:rPr>
      <w:sz w:val="20"/>
      <w:szCs w:val="20"/>
    </w:rPr>
  </w:style>
  <w:style w:type="character" w:customStyle="1" w:styleId="CommentTextChar">
    <w:name w:val="Comment Text Char"/>
    <w:basedOn w:val="DefaultParagraphFont"/>
    <w:link w:val="CommentText"/>
    <w:uiPriority w:val="99"/>
    <w:semiHidden/>
    <w:rsid w:val="009D4F7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D4F71"/>
    <w:rPr>
      <w:b/>
      <w:bCs/>
    </w:rPr>
  </w:style>
  <w:style w:type="character" w:customStyle="1" w:styleId="CommentSubjectChar">
    <w:name w:val="Comment Subject Char"/>
    <w:basedOn w:val="CommentTextChar"/>
    <w:link w:val="CommentSubject"/>
    <w:uiPriority w:val="99"/>
    <w:semiHidden/>
    <w:rsid w:val="009D4F71"/>
    <w:rPr>
      <w:rFonts w:ascii="Times New Roman" w:eastAsia="Times New Roman" w:hAnsi="Times New Roman" w:cs="Times New Roman"/>
      <w:b/>
      <w:bCs/>
      <w:sz w:val="20"/>
      <w:szCs w:val="20"/>
    </w:rPr>
  </w:style>
  <w:style w:type="character" w:customStyle="1" w:styleId="highlight">
    <w:name w:val="highlight"/>
    <w:basedOn w:val="DefaultParagraphFont"/>
    <w:rsid w:val="00510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1528">
      <w:bodyDiv w:val="1"/>
      <w:marLeft w:val="0"/>
      <w:marRight w:val="0"/>
      <w:marTop w:val="0"/>
      <w:marBottom w:val="0"/>
      <w:divBdr>
        <w:top w:val="none" w:sz="0" w:space="0" w:color="auto"/>
        <w:left w:val="none" w:sz="0" w:space="0" w:color="auto"/>
        <w:bottom w:val="none" w:sz="0" w:space="0" w:color="auto"/>
        <w:right w:val="none" w:sz="0" w:space="0" w:color="auto"/>
      </w:divBdr>
    </w:div>
    <w:div w:id="23990035">
      <w:bodyDiv w:val="1"/>
      <w:marLeft w:val="0"/>
      <w:marRight w:val="0"/>
      <w:marTop w:val="0"/>
      <w:marBottom w:val="0"/>
      <w:divBdr>
        <w:top w:val="none" w:sz="0" w:space="0" w:color="auto"/>
        <w:left w:val="none" w:sz="0" w:space="0" w:color="auto"/>
        <w:bottom w:val="none" w:sz="0" w:space="0" w:color="auto"/>
        <w:right w:val="none" w:sz="0" w:space="0" w:color="auto"/>
      </w:divBdr>
    </w:div>
    <w:div w:id="28453012">
      <w:bodyDiv w:val="1"/>
      <w:marLeft w:val="0"/>
      <w:marRight w:val="0"/>
      <w:marTop w:val="0"/>
      <w:marBottom w:val="0"/>
      <w:divBdr>
        <w:top w:val="none" w:sz="0" w:space="0" w:color="auto"/>
        <w:left w:val="none" w:sz="0" w:space="0" w:color="auto"/>
        <w:bottom w:val="none" w:sz="0" w:space="0" w:color="auto"/>
        <w:right w:val="none" w:sz="0" w:space="0" w:color="auto"/>
      </w:divBdr>
      <w:divsChild>
        <w:div w:id="1787964642">
          <w:marLeft w:val="0"/>
          <w:marRight w:val="0"/>
          <w:marTop w:val="0"/>
          <w:marBottom w:val="0"/>
          <w:divBdr>
            <w:top w:val="none" w:sz="0" w:space="0" w:color="auto"/>
            <w:left w:val="none" w:sz="0" w:space="0" w:color="auto"/>
            <w:bottom w:val="none" w:sz="0" w:space="0" w:color="auto"/>
            <w:right w:val="none" w:sz="0" w:space="0" w:color="auto"/>
          </w:divBdr>
          <w:divsChild>
            <w:div w:id="529413717">
              <w:marLeft w:val="0"/>
              <w:marRight w:val="0"/>
              <w:marTop w:val="0"/>
              <w:marBottom w:val="0"/>
              <w:divBdr>
                <w:top w:val="none" w:sz="0" w:space="0" w:color="auto"/>
                <w:left w:val="none" w:sz="0" w:space="0" w:color="auto"/>
                <w:bottom w:val="none" w:sz="0" w:space="0" w:color="auto"/>
                <w:right w:val="none" w:sz="0" w:space="0" w:color="auto"/>
              </w:divBdr>
              <w:divsChild>
                <w:div w:id="176352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55712">
      <w:bodyDiv w:val="1"/>
      <w:marLeft w:val="0"/>
      <w:marRight w:val="0"/>
      <w:marTop w:val="0"/>
      <w:marBottom w:val="0"/>
      <w:divBdr>
        <w:top w:val="none" w:sz="0" w:space="0" w:color="auto"/>
        <w:left w:val="none" w:sz="0" w:space="0" w:color="auto"/>
        <w:bottom w:val="none" w:sz="0" w:space="0" w:color="auto"/>
        <w:right w:val="none" w:sz="0" w:space="0" w:color="auto"/>
      </w:divBdr>
    </w:div>
    <w:div w:id="183397920">
      <w:bodyDiv w:val="1"/>
      <w:marLeft w:val="0"/>
      <w:marRight w:val="0"/>
      <w:marTop w:val="0"/>
      <w:marBottom w:val="0"/>
      <w:divBdr>
        <w:top w:val="none" w:sz="0" w:space="0" w:color="auto"/>
        <w:left w:val="none" w:sz="0" w:space="0" w:color="auto"/>
        <w:bottom w:val="none" w:sz="0" w:space="0" w:color="auto"/>
        <w:right w:val="none" w:sz="0" w:space="0" w:color="auto"/>
      </w:divBdr>
    </w:div>
    <w:div w:id="316618833">
      <w:bodyDiv w:val="1"/>
      <w:marLeft w:val="0"/>
      <w:marRight w:val="0"/>
      <w:marTop w:val="0"/>
      <w:marBottom w:val="0"/>
      <w:divBdr>
        <w:top w:val="none" w:sz="0" w:space="0" w:color="auto"/>
        <w:left w:val="none" w:sz="0" w:space="0" w:color="auto"/>
        <w:bottom w:val="none" w:sz="0" w:space="0" w:color="auto"/>
        <w:right w:val="none" w:sz="0" w:space="0" w:color="auto"/>
      </w:divBdr>
    </w:div>
    <w:div w:id="361901953">
      <w:bodyDiv w:val="1"/>
      <w:marLeft w:val="0"/>
      <w:marRight w:val="0"/>
      <w:marTop w:val="0"/>
      <w:marBottom w:val="0"/>
      <w:divBdr>
        <w:top w:val="none" w:sz="0" w:space="0" w:color="auto"/>
        <w:left w:val="none" w:sz="0" w:space="0" w:color="auto"/>
        <w:bottom w:val="none" w:sz="0" w:space="0" w:color="auto"/>
        <w:right w:val="none" w:sz="0" w:space="0" w:color="auto"/>
      </w:divBdr>
    </w:div>
    <w:div w:id="534078447">
      <w:bodyDiv w:val="1"/>
      <w:marLeft w:val="0"/>
      <w:marRight w:val="0"/>
      <w:marTop w:val="0"/>
      <w:marBottom w:val="0"/>
      <w:divBdr>
        <w:top w:val="none" w:sz="0" w:space="0" w:color="auto"/>
        <w:left w:val="none" w:sz="0" w:space="0" w:color="auto"/>
        <w:bottom w:val="none" w:sz="0" w:space="0" w:color="auto"/>
        <w:right w:val="none" w:sz="0" w:space="0" w:color="auto"/>
      </w:divBdr>
    </w:div>
    <w:div w:id="655884949">
      <w:bodyDiv w:val="1"/>
      <w:marLeft w:val="0"/>
      <w:marRight w:val="0"/>
      <w:marTop w:val="0"/>
      <w:marBottom w:val="0"/>
      <w:divBdr>
        <w:top w:val="none" w:sz="0" w:space="0" w:color="auto"/>
        <w:left w:val="none" w:sz="0" w:space="0" w:color="auto"/>
        <w:bottom w:val="none" w:sz="0" w:space="0" w:color="auto"/>
        <w:right w:val="none" w:sz="0" w:space="0" w:color="auto"/>
      </w:divBdr>
      <w:divsChild>
        <w:div w:id="1269118217">
          <w:marLeft w:val="0"/>
          <w:marRight w:val="0"/>
          <w:marTop w:val="0"/>
          <w:marBottom w:val="0"/>
          <w:divBdr>
            <w:top w:val="none" w:sz="0" w:space="0" w:color="auto"/>
            <w:left w:val="none" w:sz="0" w:space="0" w:color="auto"/>
            <w:bottom w:val="none" w:sz="0" w:space="0" w:color="auto"/>
            <w:right w:val="none" w:sz="0" w:space="0" w:color="auto"/>
          </w:divBdr>
          <w:divsChild>
            <w:div w:id="131143964">
              <w:marLeft w:val="0"/>
              <w:marRight w:val="0"/>
              <w:marTop w:val="0"/>
              <w:marBottom w:val="0"/>
              <w:divBdr>
                <w:top w:val="none" w:sz="0" w:space="0" w:color="auto"/>
                <w:left w:val="none" w:sz="0" w:space="0" w:color="auto"/>
                <w:bottom w:val="none" w:sz="0" w:space="0" w:color="auto"/>
                <w:right w:val="none" w:sz="0" w:space="0" w:color="auto"/>
              </w:divBdr>
              <w:divsChild>
                <w:div w:id="192737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165608">
      <w:bodyDiv w:val="1"/>
      <w:marLeft w:val="0"/>
      <w:marRight w:val="0"/>
      <w:marTop w:val="0"/>
      <w:marBottom w:val="0"/>
      <w:divBdr>
        <w:top w:val="none" w:sz="0" w:space="0" w:color="auto"/>
        <w:left w:val="none" w:sz="0" w:space="0" w:color="auto"/>
        <w:bottom w:val="none" w:sz="0" w:space="0" w:color="auto"/>
        <w:right w:val="none" w:sz="0" w:space="0" w:color="auto"/>
      </w:divBdr>
    </w:div>
    <w:div w:id="763572196">
      <w:bodyDiv w:val="1"/>
      <w:marLeft w:val="0"/>
      <w:marRight w:val="0"/>
      <w:marTop w:val="0"/>
      <w:marBottom w:val="0"/>
      <w:divBdr>
        <w:top w:val="none" w:sz="0" w:space="0" w:color="auto"/>
        <w:left w:val="none" w:sz="0" w:space="0" w:color="auto"/>
        <w:bottom w:val="none" w:sz="0" w:space="0" w:color="auto"/>
        <w:right w:val="none" w:sz="0" w:space="0" w:color="auto"/>
      </w:divBdr>
    </w:div>
    <w:div w:id="765463632">
      <w:bodyDiv w:val="1"/>
      <w:marLeft w:val="0"/>
      <w:marRight w:val="0"/>
      <w:marTop w:val="0"/>
      <w:marBottom w:val="0"/>
      <w:divBdr>
        <w:top w:val="none" w:sz="0" w:space="0" w:color="auto"/>
        <w:left w:val="none" w:sz="0" w:space="0" w:color="auto"/>
        <w:bottom w:val="none" w:sz="0" w:space="0" w:color="auto"/>
        <w:right w:val="none" w:sz="0" w:space="0" w:color="auto"/>
      </w:divBdr>
    </w:div>
    <w:div w:id="833958706">
      <w:bodyDiv w:val="1"/>
      <w:marLeft w:val="0"/>
      <w:marRight w:val="0"/>
      <w:marTop w:val="0"/>
      <w:marBottom w:val="0"/>
      <w:divBdr>
        <w:top w:val="none" w:sz="0" w:space="0" w:color="auto"/>
        <w:left w:val="none" w:sz="0" w:space="0" w:color="auto"/>
        <w:bottom w:val="none" w:sz="0" w:space="0" w:color="auto"/>
        <w:right w:val="none" w:sz="0" w:space="0" w:color="auto"/>
      </w:divBdr>
    </w:div>
    <w:div w:id="845484831">
      <w:bodyDiv w:val="1"/>
      <w:marLeft w:val="0"/>
      <w:marRight w:val="0"/>
      <w:marTop w:val="0"/>
      <w:marBottom w:val="0"/>
      <w:divBdr>
        <w:top w:val="none" w:sz="0" w:space="0" w:color="auto"/>
        <w:left w:val="none" w:sz="0" w:space="0" w:color="auto"/>
        <w:bottom w:val="none" w:sz="0" w:space="0" w:color="auto"/>
        <w:right w:val="none" w:sz="0" w:space="0" w:color="auto"/>
      </w:divBdr>
    </w:div>
    <w:div w:id="882641442">
      <w:bodyDiv w:val="1"/>
      <w:marLeft w:val="0"/>
      <w:marRight w:val="0"/>
      <w:marTop w:val="0"/>
      <w:marBottom w:val="0"/>
      <w:divBdr>
        <w:top w:val="none" w:sz="0" w:space="0" w:color="auto"/>
        <w:left w:val="none" w:sz="0" w:space="0" w:color="auto"/>
        <w:bottom w:val="none" w:sz="0" w:space="0" w:color="auto"/>
        <w:right w:val="none" w:sz="0" w:space="0" w:color="auto"/>
      </w:divBdr>
    </w:div>
    <w:div w:id="926839284">
      <w:bodyDiv w:val="1"/>
      <w:marLeft w:val="0"/>
      <w:marRight w:val="0"/>
      <w:marTop w:val="0"/>
      <w:marBottom w:val="0"/>
      <w:divBdr>
        <w:top w:val="none" w:sz="0" w:space="0" w:color="auto"/>
        <w:left w:val="none" w:sz="0" w:space="0" w:color="auto"/>
        <w:bottom w:val="none" w:sz="0" w:space="0" w:color="auto"/>
        <w:right w:val="none" w:sz="0" w:space="0" w:color="auto"/>
      </w:divBdr>
    </w:div>
    <w:div w:id="966817916">
      <w:bodyDiv w:val="1"/>
      <w:marLeft w:val="0"/>
      <w:marRight w:val="0"/>
      <w:marTop w:val="0"/>
      <w:marBottom w:val="0"/>
      <w:divBdr>
        <w:top w:val="none" w:sz="0" w:space="0" w:color="auto"/>
        <w:left w:val="none" w:sz="0" w:space="0" w:color="auto"/>
        <w:bottom w:val="none" w:sz="0" w:space="0" w:color="auto"/>
        <w:right w:val="none" w:sz="0" w:space="0" w:color="auto"/>
      </w:divBdr>
    </w:div>
    <w:div w:id="1075281727">
      <w:bodyDiv w:val="1"/>
      <w:marLeft w:val="0"/>
      <w:marRight w:val="0"/>
      <w:marTop w:val="0"/>
      <w:marBottom w:val="0"/>
      <w:divBdr>
        <w:top w:val="none" w:sz="0" w:space="0" w:color="auto"/>
        <w:left w:val="none" w:sz="0" w:space="0" w:color="auto"/>
        <w:bottom w:val="none" w:sz="0" w:space="0" w:color="auto"/>
        <w:right w:val="none" w:sz="0" w:space="0" w:color="auto"/>
      </w:divBdr>
    </w:div>
    <w:div w:id="1120566407">
      <w:bodyDiv w:val="1"/>
      <w:marLeft w:val="0"/>
      <w:marRight w:val="0"/>
      <w:marTop w:val="0"/>
      <w:marBottom w:val="0"/>
      <w:divBdr>
        <w:top w:val="none" w:sz="0" w:space="0" w:color="auto"/>
        <w:left w:val="none" w:sz="0" w:space="0" w:color="auto"/>
        <w:bottom w:val="none" w:sz="0" w:space="0" w:color="auto"/>
        <w:right w:val="none" w:sz="0" w:space="0" w:color="auto"/>
      </w:divBdr>
    </w:div>
    <w:div w:id="1206483239">
      <w:bodyDiv w:val="1"/>
      <w:marLeft w:val="0"/>
      <w:marRight w:val="0"/>
      <w:marTop w:val="0"/>
      <w:marBottom w:val="0"/>
      <w:divBdr>
        <w:top w:val="none" w:sz="0" w:space="0" w:color="auto"/>
        <w:left w:val="none" w:sz="0" w:space="0" w:color="auto"/>
        <w:bottom w:val="none" w:sz="0" w:space="0" w:color="auto"/>
        <w:right w:val="none" w:sz="0" w:space="0" w:color="auto"/>
      </w:divBdr>
    </w:div>
    <w:div w:id="1311053001">
      <w:bodyDiv w:val="1"/>
      <w:marLeft w:val="0"/>
      <w:marRight w:val="0"/>
      <w:marTop w:val="0"/>
      <w:marBottom w:val="0"/>
      <w:divBdr>
        <w:top w:val="none" w:sz="0" w:space="0" w:color="auto"/>
        <w:left w:val="none" w:sz="0" w:space="0" w:color="auto"/>
        <w:bottom w:val="none" w:sz="0" w:space="0" w:color="auto"/>
        <w:right w:val="none" w:sz="0" w:space="0" w:color="auto"/>
      </w:divBdr>
    </w:div>
    <w:div w:id="1327398052">
      <w:bodyDiv w:val="1"/>
      <w:marLeft w:val="0"/>
      <w:marRight w:val="0"/>
      <w:marTop w:val="0"/>
      <w:marBottom w:val="0"/>
      <w:divBdr>
        <w:top w:val="none" w:sz="0" w:space="0" w:color="auto"/>
        <w:left w:val="none" w:sz="0" w:space="0" w:color="auto"/>
        <w:bottom w:val="none" w:sz="0" w:space="0" w:color="auto"/>
        <w:right w:val="none" w:sz="0" w:space="0" w:color="auto"/>
      </w:divBdr>
    </w:div>
    <w:div w:id="1376929834">
      <w:bodyDiv w:val="1"/>
      <w:marLeft w:val="0"/>
      <w:marRight w:val="0"/>
      <w:marTop w:val="0"/>
      <w:marBottom w:val="0"/>
      <w:divBdr>
        <w:top w:val="none" w:sz="0" w:space="0" w:color="auto"/>
        <w:left w:val="none" w:sz="0" w:space="0" w:color="auto"/>
        <w:bottom w:val="none" w:sz="0" w:space="0" w:color="auto"/>
        <w:right w:val="none" w:sz="0" w:space="0" w:color="auto"/>
      </w:divBdr>
    </w:div>
    <w:div w:id="1383754102">
      <w:bodyDiv w:val="1"/>
      <w:marLeft w:val="0"/>
      <w:marRight w:val="0"/>
      <w:marTop w:val="0"/>
      <w:marBottom w:val="0"/>
      <w:divBdr>
        <w:top w:val="none" w:sz="0" w:space="0" w:color="auto"/>
        <w:left w:val="none" w:sz="0" w:space="0" w:color="auto"/>
        <w:bottom w:val="none" w:sz="0" w:space="0" w:color="auto"/>
        <w:right w:val="none" w:sz="0" w:space="0" w:color="auto"/>
      </w:divBdr>
    </w:div>
    <w:div w:id="1405755704">
      <w:bodyDiv w:val="1"/>
      <w:marLeft w:val="0"/>
      <w:marRight w:val="0"/>
      <w:marTop w:val="0"/>
      <w:marBottom w:val="0"/>
      <w:divBdr>
        <w:top w:val="none" w:sz="0" w:space="0" w:color="auto"/>
        <w:left w:val="none" w:sz="0" w:space="0" w:color="auto"/>
        <w:bottom w:val="none" w:sz="0" w:space="0" w:color="auto"/>
        <w:right w:val="none" w:sz="0" w:space="0" w:color="auto"/>
      </w:divBdr>
    </w:div>
    <w:div w:id="1440760090">
      <w:bodyDiv w:val="1"/>
      <w:marLeft w:val="0"/>
      <w:marRight w:val="0"/>
      <w:marTop w:val="0"/>
      <w:marBottom w:val="0"/>
      <w:divBdr>
        <w:top w:val="none" w:sz="0" w:space="0" w:color="auto"/>
        <w:left w:val="none" w:sz="0" w:space="0" w:color="auto"/>
        <w:bottom w:val="none" w:sz="0" w:space="0" w:color="auto"/>
        <w:right w:val="none" w:sz="0" w:space="0" w:color="auto"/>
      </w:divBdr>
    </w:div>
    <w:div w:id="1450708970">
      <w:bodyDiv w:val="1"/>
      <w:marLeft w:val="0"/>
      <w:marRight w:val="0"/>
      <w:marTop w:val="0"/>
      <w:marBottom w:val="0"/>
      <w:divBdr>
        <w:top w:val="none" w:sz="0" w:space="0" w:color="auto"/>
        <w:left w:val="none" w:sz="0" w:space="0" w:color="auto"/>
        <w:bottom w:val="none" w:sz="0" w:space="0" w:color="auto"/>
        <w:right w:val="none" w:sz="0" w:space="0" w:color="auto"/>
      </w:divBdr>
    </w:div>
    <w:div w:id="1554386589">
      <w:bodyDiv w:val="1"/>
      <w:marLeft w:val="0"/>
      <w:marRight w:val="0"/>
      <w:marTop w:val="0"/>
      <w:marBottom w:val="0"/>
      <w:divBdr>
        <w:top w:val="none" w:sz="0" w:space="0" w:color="auto"/>
        <w:left w:val="none" w:sz="0" w:space="0" w:color="auto"/>
        <w:bottom w:val="none" w:sz="0" w:space="0" w:color="auto"/>
        <w:right w:val="none" w:sz="0" w:space="0" w:color="auto"/>
      </w:divBdr>
    </w:div>
    <w:div w:id="1623808913">
      <w:bodyDiv w:val="1"/>
      <w:marLeft w:val="0"/>
      <w:marRight w:val="0"/>
      <w:marTop w:val="0"/>
      <w:marBottom w:val="0"/>
      <w:divBdr>
        <w:top w:val="none" w:sz="0" w:space="0" w:color="auto"/>
        <w:left w:val="none" w:sz="0" w:space="0" w:color="auto"/>
        <w:bottom w:val="none" w:sz="0" w:space="0" w:color="auto"/>
        <w:right w:val="none" w:sz="0" w:space="0" w:color="auto"/>
      </w:divBdr>
    </w:div>
    <w:div w:id="1712341904">
      <w:bodyDiv w:val="1"/>
      <w:marLeft w:val="0"/>
      <w:marRight w:val="0"/>
      <w:marTop w:val="0"/>
      <w:marBottom w:val="0"/>
      <w:divBdr>
        <w:top w:val="none" w:sz="0" w:space="0" w:color="auto"/>
        <w:left w:val="none" w:sz="0" w:space="0" w:color="auto"/>
        <w:bottom w:val="none" w:sz="0" w:space="0" w:color="auto"/>
        <w:right w:val="none" w:sz="0" w:space="0" w:color="auto"/>
      </w:divBdr>
    </w:div>
    <w:div w:id="1726219086">
      <w:bodyDiv w:val="1"/>
      <w:marLeft w:val="0"/>
      <w:marRight w:val="0"/>
      <w:marTop w:val="0"/>
      <w:marBottom w:val="0"/>
      <w:divBdr>
        <w:top w:val="none" w:sz="0" w:space="0" w:color="auto"/>
        <w:left w:val="none" w:sz="0" w:space="0" w:color="auto"/>
        <w:bottom w:val="none" w:sz="0" w:space="0" w:color="auto"/>
        <w:right w:val="none" w:sz="0" w:space="0" w:color="auto"/>
      </w:divBdr>
    </w:div>
    <w:div w:id="1768302924">
      <w:bodyDiv w:val="1"/>
      <w:marLeft w:val="0"/>
      <w:marRight w:val="0"/>
      <w:marTop w:val="0"/>
      <w:marBottom w:val="0"/>
      <w:divBdr>
        <w:top w:val="none" w:sz="0" w:space="0" w:color="auto"/>
        <w:left w:val="none" w:sz="0" w:space="0" w:color="auto"/>
        <w:bottom w:val="none" w:sz="0" w:space="0" w:color="auto"/>
        <w:right w:val="none" w:sz="0" w:space="0" w:color="auto"/>
      </w:divBdr>
    </w:div>
    <w:div w:id="1880318262">
      <w:bodyDiv w:val="1"/>
      <w:marLeft w:val="0"/>
      <w:marRight w:val="0"/>
      <w:marTop w:val="0"/>
      <w:marBottom w:val="0"/>
      <w:divBdr>
        <w:top w:val="none" w:sz="0" w:space="0" w:color="auto"/>
        <w:left w:val="none" w:sz="0" w:space="0" w:color="auto"/>
        <w:bottom w:val="none" w:sz="0" w:space="0" w:color="auto"/>
        <w:right w:val="none" w:sz="0" w:space="0" w:color="auto"/>
      </w:divBdr>
    </w:div>
    <w:div w:id="1957104266">
      <w:bodyDiv w:val="1"/>
      <w:marLeft w:val="0"/>
      <w:marRight w:val="0"/>
      <w:marTop w:val="0"/>
      <w:marBottom w:val="0"/>
      <w:divBdr>
        <w:top w:val="none" w:sz="0" w:space="0" w:color="auto"/>
        <w:left w:val="none" w:sz="0" w:space="0" w:color="auto"/>
        <w:bottom w:val="none" w:sz="0" w:space="0" w:color="auto"/>
        <w:right w:val="none" w:sz="0" w:space="0" w:color="auto"/>
      </w:divBdr>
    </w:div>
    <w:div w:id="203700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silegal.org.mx/comunicados/la-pandemia-dentro-del-sistema-penitenciario-se-agudiza-1100-contagios/" TargetMode="External"/><Relationship Id="rId13" Type="http://schemas.openxmlformats.org/officeDocument/2006/relationships/hyperlink" Target="https://www.cndh.org.mx/tipo/209/accion-de-inconstitucionalidad" TargetMode="External"/><Relationship Id="rId3" Type="http://schemas.openxmlformats.org/officeDocument/2006/relationships/hyperlink" Target="https://www.gob.mx/presidencia/es/articulos/version-estenografica-2-ano-del-triunfo-historico-democratico-del-pueblo-de-mexico?idiom=es" TargetMode="External"/><Relationship Id="rId7" Type="http://schemas.openxmlformats.org/officeDocument/2006/relationships/hyperlink" Target="https://asilegal.org.mx/mapa-penitenciario-covid-19/" TargetMode="External"/><Relationship Id="rId12" Type="http://schemas.openxmlformats.org/officeDocument/2006/relationships/hyperlink" Target="http://www.diputados.gob.mx/LeyesBiblio/pdf/LNRD_270519.pdf" TargetMode="External"/><Relationship Id="rId2" Type="http://schemas.openxmlformats.org/officeDocument/2006/relationships/hyperlink" Target="https://www.hrw.org/es/news/2020/01/30/mexico-propuesta-de-reforma-judicial-viola-derechos-fundamentales" TargetMode="External"/><Relationship Id="rId1" Type="http://schemas.openxmlformats.org/officeDocument/2006/relationships/hyperlink" Target="https://www.jornada.com.mx/2020/04/06/opinion/019o1pol" TargetMode="External"/><Relationship Id="rId6" Type="http://schemas.openxmlformats.org/officeDocument/2006/relationships/hyperlink" Target="https://www.animalpolitico.com/wp-content/uploads/2020/01/INFORME-DERECHOS-HUMANOS.pdf" TargetMode="External"/><Relationship Id="rId11" Type="http://schemas.openxmlformats.org/officeDocument/2006/relationships/hyperlink" Target="https://www.cndh.org.mx/sites/default/files/documentos/2020-07/IE_COVID19_Penitenciarios.pdf" TargetMode="External"/><Relationship Id="rId5" Type="http://schemas.openxmlformats.org/officeDocument/2006/relationships/hyperlink" Target="https://aplicaciones.pgr.gob.mx/normatecasustantiva/Normateca%20Sustantiva/Prot_Inv_Tortura.pdf" TargetMode="External"/><Relationship Id="rId15" Type="http://schemas.openxmlformats.org/officeDocument/2006/relationships/hyperlink" Target="http://www.diputados.gob.mx/LeyesBiblio/pdf/LMigra_130420.pdf" TargetMode="External"/><Relationship Id="rId10" Type="http://schemas.openxmlformats.org/officeDocument/2006/relationships/hyperlink" Target="https://ddd.documenta.org.mx/wp-content/uploads/2020/05/Informe_COVID_fuera_de_las_c%C3%A1rceles_2020.pdf" TargetMode="External"/><Relationship Id="rId4" Type="http://schemas.openxmlformats.org/officeDocument/2006/relationships/hyperlink" Target="http://caravanamigrante.ibero.mx/uploads/monitoreos_pdf/55bd8633c327481d5b40ddfd81455917.pdf" TargetMode="External"/><Relationship Id="rId9" Type="http://schemas.openxmlformats.org/officeDocument/2006/relationships/hyperlink" Target="https://www.animalpolitico.com/la-lucha-cotidiana-de-los-derechos-humanos/personas-privadas-de-libertad-frente-al-covid-19/" TargetMode="External"/><Relationship Id="rId14" Type="http://schemas.openxmlformats.org/officeDocument/2006/relationships/hyperlink" Target="http://www.diputados.gob.mx/LeyesBiblio/ref/lmigr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AA5ED1-66CF-42BA-A7A3-90903B99CFEA}">
  <ds:schemaRefs>
    <ds:schemaRef ds:uri="http://schemas.openxmlformats.org/officeDocument/2006/bibliography"/>
  </ds:schemaRefs>
</ds:datastoreItem>
</file>

<file path=customXml/itemProps2.xml><?xml version="1.0" encoding="utf-8"?>
<ds:datastoreItem xmlns:ds="http://schemas.openxmlformats.org/officeDocument/2006/customXml" ds:itemID="{54B0A908-23AC-4FFD-9664-CA43B2E8B0D6}"/>
</file>

<file path=customXml/itemProps3.xml><?xml version="1.0" encoding="utf-8"?>
<ds:datastoreItem xmlns:ds="http://schemas.openxmlformats.org/officeDocument/2006/customXml" ds:itemID="{CF3BB049-709B-4F7A-8ACC-302EE62C1043}"/>
</file>

<file path=customXml/itemProps4.xml><?xml version="1.0" encoding="utf-8"?>
<ds:datastoreItem xmlns:ds="http://schemas.openxmlformats.org/officeDocument/2006/customXml" ds:itemID="{9FE21882-5249-4C04-9F46-362B5F213E50}"/>
</file>

<file path=docProps/app.xml><?xml version="1.0" encoding="utf-8"?>
<Properties xmlns="http://schemas.openxmlformats.org/officeDocument/2006/extended-properties" xmlns:vt="http://schemas.openxmlformats.org/officeDocument/2006/docPropsVTypes">
  <Template>Normal.dotm</Template>
  <TotalTime>0</TotalTime>
  <Pages>6</Pages>
  <Words>2214</Words>
  <Characters>12625</Characters>
  <Application>Microsoft Office Word</Application>
  <DocSecurity>4</DocSecurity>
  <Lines>105</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Erin Brewer</dc:creator>
  <cp:keywords/>
  <dc:description/>
  <cp:lastModifiedBy>LEOZ INVERNÓN Javier</cp:lastModifiedBy>
  <cp:revision>2</cp:revision>
  <cp:lastPrinted>2020-08-24T10:44:00Z</cp:lastPrinted>
  <dcterms:created xsi:type="dcterms:W3CDTF">2020-08-24T10:59:00Z</dcterms:created>
  <dcterms:modified xsi:type="dcterms:W3CDTF">2020-08-24T10:59:00Z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