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085" w:rsidRDefault="00CD4085" w:rsidP="00CD4085">
      <w:pPr>
        <w:jc w:val="center"/>
      </w:pPr>
    </w:p>
    <w:p w:rsidR="00CD4085" w:rsidRPr="00CE4941" w:rsidRDefault="00CD4085" w:rsidP="00CE4941">
      <w:pPr>
        <w:pStyle w:val="Ttulo1"/>
        <w:spacing w:before="0" w:line="240" w:lineRule="auto"/>
        <w:jc w:val="center"/>
        <w:rPr>
          <w:sz w:val="24"/>
          <w:szCs w:val="20"/>
        </w:rPr>
      </w:pPr>
      <w:r w:rsidRPr="00CE4941">
        <w:rPr>
          <w:szCs w:val="20"/>
        </w:rPr>
        <w:t>Contribución Escrita del Comisionado Nacional de los Derechos Humanos al Comité de Derechos Humanos (CCPR) relativo al Segundo Informe Periódico de Honduras</w:t>
      </w:r>
    </w:p>
    <w:p w:rsidR="00CE4941" w:rsidRDefault="00CD4085" w:rsidP="00CE4941">
      <w:pPr>
        <w:spacing w:after="0" w:line="240" w:lineRule="auto"/>
        <w:jc w:val="center"/>
        <w:rPr>
          <w:rFonts w:ascii="Times New Roman" w:hAnsi="Times New Roman" w:cs="Times New Roman"/>
          <w:b/>
          <w:szCs w:val="20"/>
        </w:rPr>
      </w:pPr>
      <w:r w:rsidRPr="00CE4941">
        <w:rPr>
          <w:rFonts w:ascii="Times New Roman" w:hAnsi="Times New Roman" w:cs="Times New Roman"/>
          <w:b/>
          <w:szCs w:val="20"/>
        </w:rPr>
        <w:t>En ocasión del 120</w:t>
      </w:r>
      <w:r w:rsidRPr="00CE4941">
        <w:rPr>
          <w:rFonts w:ascii="Times New Roman" w:hAnsi="Times New Roman" w:cs="Times New Roman"/>
          <w:b/>
          <w:szCs w:val="20"/>
          <w:vertAlign w:val="superscript"/>
        </w:rPr>
        <w:t xml:space="preserve"> </w:t>
      </w:r>
      <w:r w:rsidRPr="00CE4941">
        <w:rPr>
          <w:rFonts w:ascii="Times New Roman" w:hAnsi="Times New Roman" w:cs="Times New Roman"/>
          <w:b/>
          <w:szCs w:val="20"/>
        </w:rPr>
        <w:t xml:space="preserve">período de sesiones Comité de Derechos Humanos </w:t>
      </w:r>
    </w:p>
    <w:p w:rsidR="00CD4085" w:rsidRPr="00CE4941" w:rsidRDefault="00CD4085" w:rsidP="00CE4941">
      <w:pPr>
        <w:spacing w:after="0" w:line="240" w:lineRule="auto"/>
        <w:jc w:val="center"/>
        <w:rPr>
          <w:rFonts w:ascii="Times New Roman" w:hAnsi="Times New Roman" w:cs="Times New Roman"/>
          <w:b/>
          <w:szCs w:val="20"/>
        </w:rPr>
      </w:pPr>
      <w:r w:rsidRPr="00CE4941">
        <w:rPr>
          <w:rFonts w:ascii="Times New Roman" w:hAnsi="Times New Roman" w:cs="Times New Roman"/>
          <w:b/>
          <w:szCs w:val="20"/>
        </w:rPr>
        <w:t>(3 de Julio-28 de Julio, 2017)</w:t>
      </w:r>
    </w:p>
    <w:p w:rsidR="00CD4085" w:rsidRPr="008765E0" w:rsidRDefault="00CD4085" w:rsidP="00CD4085">
      <w:pPr>
        <w:pStyle w:val="Ttulo2"/>
        <w:jc w:val="both"/>
        <w:rPr>
          <w:rFonts w:ascii="Times New Roman" w:hAnsi="Times New Roman" w:cs="Times New Roman"/>
          <w:sz w:val="20"/>
          <w:szCs w:val="20"/>
        </w:rPr>
      </w:pPr>
      <w:r w:rsidRPr="008765E0">
        <w:rPr>
          <w:rFonts w:ascii="Times New Roman" w:hAnsi="Times New Roman" w:cs="Times New Roman"/>
          <w:sz w:val="20"/>
          <w:szCs w:val="20"/>
        </w:rPr>
        <w:t>El papel constitucional del Comisionado Nacional de los Derechos Humanos (CONADEH)</w:t>
      </w:r>
    </w:p>
    <w:p w:rsidR="00CD4085" w:rsidRDefault="00CD4085" w:rsidP="00CD4085">
      <w:pPr>
        <w:jc w:val="both"/>
        <w:rPr>
          <w:rFonts w:ascii="Times New Roman" w:hAnsi="Times New Roman" w:cs="Times New Roman"/>
          <w:sz w:val="20"/>
          <w:szCs w:val="20"/>
        </w:rPr>
      </w:pPr>
      <w:r w:rsidRPr="008765E0">
        <w:rPr>
          <w:rFonts w:ascii="Times New Roman" w:hAnsi="Times New Roman" w:cs="Times New Roman"/>
          <w:sz w:val="20"/>
          <w:szCs w:val="20"/>
        </w:rPr>
        <w:t>La institución</w:t>
      </w:r>
      <w:r w:rsidR="00B97B02">
        <w:rPr>
          <w:rFonts w:ascii="Times New Roman" w:hAnsi="Times New Roman" w:cs="Times New Roman"/>
          <w:sz w:val="20"/>
          <w:szCs w:val="20"/>
        </w:rPr>
        <w:t xml:space="preserve"> nacional de derechos humanos en Honduras es </w:t>
      </w:r>
      <w:r w:rsidRPr="008765E0">
        <w:rPr>
          <w:rFonts w:ascii="Times New Roman" w:hAnsi="Times New Roman" w:cs="Times New Roman"/>
          <w:sz w:val="20"/>
          <w:szCs w:val="20"/>
        </w:rPr>
        <w:t xml:space="preserve">el Comisionado Nacional de los Derechos Humanos es esencial para asegurar la legitimidad y efectividad en el funcionamiento del Estado democrático y social de Derecho, en su propósito exclusivo de garantizar el respeto de la dignidad y el logro progresivo del bienestar de los habitantes de Honduras. La Constitución de la República lo enfatiza al señalar que: “La persona humana es el fin supremo de la sociedad y del Estado. Todos tienen la obligación de respetarla y protegerla. La dignidad del ser humano es inviolable. Para garantizar los derechos y libertades reconocidos en esta Constitución créase la Institución del Comisionado Nacional de los Derechos Humanos. La organización, prerrogativas y atribuciones del Comisionado Nacional de los Derechos Humanos será objeto de una Ley Especial.” </w:t>
      </w:r>
      <w:r w:rsidRPr="008765E0">
        <w:rPr>
          <w:rStyle w:val="Refdenotaalpie"/>
          <w:rFonts w:ascii="Times New Roman" w:hAnsi="Times New Roman" w:cs="Times New Roman"/>
          <w:sz w:val="20"/>
          <w:szCs w:val="20"/>
        </w:rPr>
        <w:footnoteReference w:id="1"/>
      </w:r>
    </w:p>
    <w:p w:rsidR="008765E0" w:rsidRPr="008765E0" w:rsidRDefault="008765E0" w:rsidP="00CE4941">
      <w:pPr>
        <w:jc w:val="both"/>
        <w:rPr>
          <w:rFonts w:ascii="Times New Roman" w:hAnsi="Times New Roman" w:cs="Times New Roman"/>
          <w:sz w:val="20"/>
          <w:szCs w:val="20"/>
          <w:lang w:val="es-MX"/>
        </w:rPr>
      </w:pPr>
      <w:r w:rsidRPr="008765E0">
        <w:rPr>
          <w:rFonts w:ascii="Times New Roman" w:hAnsi="Times New Roman" w:cs="Times New Roman"/>
          <w:sz w:val="20"/>
          <w:szCs w:val="20"/>
          <w:lang w:val="es-MX"/>
        </w:rPr>
        <w:t>Con el fin de asegurar la legitimidad y efectividad del funcionamiento de la institucionalidad en el marco del Estado democrático y social de Derecho que se centra en garantizar la protección, el respeto de la dignidad y el logro progresivo del bienestar de los habitantes de Honduras: el Comisionado Nacional de los Derechos Humanos, desde el 2014 realizó un proceso de planificación estratégica, funcional y orgánica que se refleja en el Plan de Acción 2014-2020 “Vanguardia de la Dignidad Humana”, en vía de ejecución progresiva en todo el territorio nacional.</w:t>
      </w:r>
      <w:r w:rsidR="00CE4941">
        <w:rPr>
          <w:rFonts w:ascii="Times New Roman" w:hAnsi="Times New Roman" w:cs="Times New Roman"/>
          <w:sz w:val="20"/>
          <w:szCs w:val="20"/>
          <w:lang w:val="es-MX"/>
        </w:rPr>
        <w:t xml:space="preserve"> </w:t>
      </w:r>
      <w:r w:rsidRPr="008765E0">
        <w:rPr>
          <w:rFonts w:ascii="Times New Roman" w:hAnsi="Times New Roman" w:cs="Times New Roman"/>
          <w:sz w:val="20"/>
          <w:szCs w:val="20"/>
          <w:lang w:val="es-MX"/>
        </w:rPr>
        <w:t xml:space="preserve">El Plan de Acción tiene como objetivo general el respeto y promoción de la dignidad humana de todas (os) los habitantes y migrantes; como objetivos específicos: promover la cultura democrática de derechos humanos; impulsar la efectividad en el goce de los servicios públicos; asegurar el cumplimiento, respeto y defensa de todos los derechos humanos y libertades fundamentales; y fortalecer el Estado democrático y social de Derecho. </w:t>
      </w:r>
    </w:p>
    <w:p w:rsidR="00CD4085" w:rsidRPr="00BF375B" w:rsidRDefault="00CD4085" w:rsidP="00CD4085">
      <w:pPr>
        <w:pStyle w:val="H23G"/>
      </w:pPr>
      <w:r w:rsidRPr="00BF375B">
        <w:t>Marco constitucional y jurídico de la aplicación del Pacto (art. 2)</w:t>
      </w:r>
    </w:p>
    <w:p w:rsidR="00D02DD4" w:rsidRPr="00D02DD4" w:rsidRDefault="00D02DD4" w:rsidP="00D02DD4">
      <w:pPr>
        <w:jc w:val="both"/>
        <w:rPr>
          <w:rFonts w:ascii="Times New Roman" w:hAnsi="Times New Roman" w:cs="Times New Roman"/>
          <w:sz w:val="20"/>
          <w:szCs w:val="20"/>
        </w:rPr>
      </w:pPr>
      <w:r w:rsidRPr="00456056">
        <w:rPr>
          <w:rFonts w:ascii="Times New Roman" w:hAnsi="Times New Roman" w:cs="Times New Roman"/>
          <w:sz w:val="20"/>
          <w:lang w:val="es-ES"/>
        </w:rPr>
        <w:t>Con respecto a la solicitud de información del Comité</w:t>
      </w:r>
      <w:r>
        <w:rPr>
          <w:rFonts w:ascii="Times New Roman" w:hAnsi="Times New Roman" w:cs="Times New Roman"/>
          <w:lang w:val="es-ES"/>
        </w:rPr>
        <w:t xml:space="preserve"> </w:t>
      </w:r>
      <w:r w:rsidRPr="00D02DD4">
        <w:rPr>
          <w:rFonts w:ascii="Times New Roman" w:hAnsi="Times New Roman" w:cs="Times New Roman"/>
          <w:sz w:val="20"/>
          <w:szCs w:val="20"/>
        </w:rPr>
        <w:t>relacionada con las acciones realizadas por el CONADEH en referencia a la re acreditación  a categoría de “A” conforme a los Principios de París</w:t>
      </w:r>
      <w:r w:rsidR="00B97B02">
        <w:rPr>
          <w:rFonts w:ascii="Times New Roman" w:hAnsi="Times New Roman" w:cs="Times New Roman"/>
          <w:sz w:val="20"/>
          <w:szCs w:val="20"/>
        </w:rPr>
        <w:t>, la cual Honduras gozó de 2002 a 2011, año en el cual se le colocó en la categoría “B”. E</w:t>
      </w:r>
      <w:r w:rsidRPr="00D02DD4">
        <w:rPr>
          <w:rFonts w:ascii="Times New Roman" w:hAnsi="Times New Roman" w:cs="Times New Roman"/>
          <w:sz w:val="20"/>
          <w:szCs w:val="20"/>
        </w:rPr>
        <w:t xml:space="preserve">l CONADEH ha estado realizando gestiones desde el año 2014, y el año pasado (2016) recibimos las recomendaciones por parte del Sub Comité de Acreditación de la Alianza Global de las Instituciones Nacionales de Derechos Humanos (GANHRI por sus siglas en inglés), en las cuales sugiere la </w:t>
      </w:r>
      <w:proofErr w:type="spellStart"/>
      <w:r w:rsidRPr="00D02DD4">
        <w:rPr>
          <w:rFonts w:ascii="Times New Roman" w:hAnsi="Times New Roman" w:cs="Times New Roman"/>
          <w:sz w:val="20"/>
          <w:szCs w:val="20"/>
        </w:rPr>
        <w:t>reacreditación</w:t>
      </w:r>
      <w:proofErr w:type="spellEnd"/>
      <w:r w:rsidRPr="00D02DD4">
        <w:rPr>
          <w:rFonts w:ascii="Times New Roman" w:hAnsi="Times New Roman" w:cs="Times New Roman"/>
          <w:sz w:val="20"/>
          <w:szCs w:val="20"/>
        </w:rPr>
        <w:t xml:space="preserve"> del CONADEH con la Categoría “B” y no con la categoría “A” que fue la solicitada y documentada por nuestra institución. </w:t>
      </w:r>
    </w:p>
    <w:p w:rsidR="00D02DD4" w:rsidRPr="00D02DD4" w:rsidRDefault="00D02DD4" w:rsidP="00D02DD4">
      <w:pPr>
        <w:jc w:val="both"/>
        <w:rPr>
          <w:rFonts w:ascii="Times New Roman" w:hAnsi="Times New Roman" w:cs="Times New Roman"/>
          <w:sz w:val="20"/>
          <w:szCs w:val="20"/>
        </w:rPr>
      </w:pPr>
      <w:r w:rsidRPr="00D02DD4">
        <w:rPr>
          <w:rFonts w:ascii="Times New Roman" w:hAnsi="Times New Roman" w:cs="Times New Roman"/>
          <w:sz w:val="20"/>
          <w:szCs w:val="20"/>
        </w:rPr>
        <w:t>El CONADEH respondió a cada observación formulada por el Sub Comité de Acreditación con su correspondiente impugnación y la evidencia documentada de su fundamentación</w:t>
      </w:r>
      <w:r w:rsidRPr="00D02DD4">
        <w:rPr>
          <w:rStyle w:val="Refdenotaalpie"/>
          <w:rFonts w:ascii="Times New Roman" w:hAnsi="Times New Roman" w:cs="Times New Roman"/>
          <w:sz w:val="20"/>
          <w:szCs w:val="20"/>
        </w:rPr>
        <w:footnoteReference w:customMarkFollows="1" w:id="2"/>
        <w:t>[1]</w:t>
      </w:r>
      <w:r w:rsidRPr="00D02DD4">
        <w:rPr>
          <w:rFonts w:ascii="Times New Roman" w:hAnsi="Times New Roman" w:cs="Times New Roman"/>
          <w:sz w:val="20"/>
          <w:szCs w:val="20"/>
        </w:rPr>
        <w:t xml:space="preserve">. A ello se agrega un desarrollo explicativo de la impugnación que retoma y profundiza, aún más, lo ya acreditado anteriormente, en la documentación originalmente presentada al Sub Comité de Acreditación. </w:t>
      </w:r>
    </w:p>
    <w:p w:rsidR="00D02DD4" w:rsidRPr="00D02DD4" w:rsidRDefault="00D02DD4" w:rsidP="00D02DD4">
      <w:pPr>
        <w:jc w:val="both"/>
        <w:rPr>
          <w:rFonts w:ascii="Times New Roman" w:hAnsi="Times New Roman" w:cs="Times New Roman"/>
          <w:sz w:val="20"/>
          <w:szCs w:val="20"/>
        </w:rPr>
      </w:pPr>
      <w:r w:rsidRPr="00D02DD4">
        <w:rPr>
          <w:rFonts w:ascii="Times New Roman" w:hAnsi="Times New Roman" w:cs="Times New Roman"/>
          <w:sz w:val="20"/>
          <w:szCs w:val="20"/>
        </w:rPr>
        <w:t xml:space="preserve">El Sub Comité de Acreditación encomia al CONADEH por sus continuos esfuerzos para promover y proteger los derechos humanos a pesar del difícil contexto en el que opera. Las observaciones dadas están relacionadas </w:t>
      </w:r>
      <w:r w:rsidRPr="00D02DD4">
        <w:rPr>
          <w:rFonts w:ascii="Times New Roman" w:hAnsi="Times New Roman" w:cs="Times New Roman"/>
          <w:sz w:val="20"/>
          <w:szCs w:val="20"/>
        </w:rPr>
        <w:lastRenderedPageBreak/>
        <w:t xml:space="preserve">con lo siguiente (respuesta remitida en Junio de 2016) el Comisionado Nacional de los Derechos Humanos brindó una respuesta documentada a cada una de ellas: </w:t>
      </w:r>
    </w:p>
    <w:p w:rsidR="00D02DD4" w:rsidRPr="00D02DD4" w:rsidRDefault="00D02DD4" w:rsidP="00D02DD4">
      <w:pPr>
        <w:pStyle w:val="Prrafodelista"/>
        <w:numPr>
          <w:ilvl w:val="0"/>
          <w:numId w:val="1"/>
        </w:numPr>
        <w:spacing w:after="0" w:line="240" w:lineRule="auto"/>
        <w:jc w:val="both"/>
        <w:rPr>
          <w:rFonts w:ascii="Times New Roman" w:hAnsi="Times New Roman"/>
          <w:b/>
          <w:bCs/>
          <w:sz w:val="20"/>
          <w:szCs w:val="20"/>
        </w:rPr>
      </w:pPr>
      <w:r w:rsidRPr="00D02DD4">
        <w:rPr>
          <w:rFonts w:ascii="Times New Roman" w:hAnsi="Times New Roman"/>
          <w:b/>
          <w:bCs/>
          <w:i/>
          <w:iCs/>
          <w:sz w:val="20"/>
          <w:szCs w:val="20"/>
        </w:rPr>
        <w:t xml:space="preserve">Selección y nombramiento: </w:t>
      </w:r>
      <w:r w:rsidRPr="00D02DD4">
        <w:rPr>
          <w:rFonts w:ascii="Times New Roman" w:hAnsi="Times New Roman"/>
          <w:sz w:val="20"/>
          <w:szCs w:val="20"/>
        </w:rPr>
        <w:t xml:space="preserve">El Congreso Nacional </w:t>
      </w:r>
      <w:r w:rsidR="00B97B02">
        <w:rPr>
          <w:rFonts w:ascii="Times New Roman" w:hAnsi="Times New Roman"/>
          <w:sz w:val="20"/>
          <w:szCs w:val="20"/>
        </w:rPr>
        <w:t>eligió</w:t>
      </w:r>
      <w:r w:rsidRPr="00D02DD4">
        <w:rPr>
          <w:rFonts w:ascii="Times New Roman" w:hAnsi="Times New Roman"/>
          <w:sz w:val="20"/>
          <w:szCs w:val="20"/>
        </w:rPr>
        <w:t xml:space="preserve"> al actual titular del Comisionado Nacional de los Derechos Humanos</w:t>
      </w:r>
      <w:r w:rsidR="00B97B02">
        <w:rPr>
          <w:rFonts w:ascii="Times New Roman" w:hAnsi="Times New Roman"/>
          <w:sz w:val="20"/>
          <w:szCs w:val="20"/>
        </w:rPr>
        <w:t xml:space="preserve"> (2014-2020) siguiendo un proceso abierto e igualitario en la presentación de candidaturas, </w:t>
      </w:r>
      <w:r w:rsidRPr="00D02DD4">
        <w:rPr>
          <w:rFonts w:ascii="Times New Roman" w:hAnsi="Times New Roman"/>
          <w:sz w:val="20"/>
          <w:szCs w:val="20"/>
        </w:rPr>
        <w:t>mediante un proceso de selección y elección claro, transparente y participativo, expresado en el “Reglamento y conceptos de las audiencias públicas para la elección del Comisionado Nacional de los Derechos Humanos” adoptado por la Comisión Especial nombrada por el Congreso Nacional para este proceso.</w:t>
      </w:r>
    </w:p>
    <w:p w:rsidR="00D02DD4" w:rsidRPr="00D02DD4" w:rsidRDefault="00D02DD4" w:rsidP="00D02DD4">
      <w:pPr>
        <w:pStyle w:val="Prrafodelista"/>
        <w:numPr>
          <w:ilvl w:val="0"/>
          <w:numId w:val="1"/>
        </w:numPr>
        <w:spacing w:after="0" w:line="240" w:lineRule="auto"/>
        <w:jc w:val="both"/>
        <w:rPr>
          <w:rFonts w:ascii="Times New Roman" w:hAnsi="Times New Roman"/>
          <w:b/>
          <w:bCs/>
          <w:sz w:val="20"/>
          <w:szCs w:val="20"/>
        </w:rPr>
      </w:pPr>
      <w:r w:rsidRPr="00D02DD4">
        <w:rPr>
          <w:rFonts w:ascii="Times New Roman" w:hAnsi="Times New Roman"/>
          <w:b/>
          <w:bCs/>
          <w:i/>
          <w:iCs/>
          <w:sz w:val="20"/>
          <w:szCs w:val="20"/>
        </w:rPr>
        <w:t>Inmunidad:</w:t>
      </w:r>
      <w:r w:rsidRPr="00D02DD4">
        <w:rPr>
          <w:rFonts w:ascii="Times New Roman" w:hAnsi="Times New Roman"/>
          <w:b/>
          <w:bCs/>
          <w:sz w:val="20"/>
          <w:szCs w:val="20"/>
        </w:rPr>
        <w:t xml:space="preserve"> </w:t>
      </w:r>
      <w:r w:rsidRPr="00D02DD4">
        <w:rPr>
          <w:rFonts w:ascii="Times New Roman" w:hAnsi="Times New Roman"/>
          <w:sz w:val="20"/>
          <w:szCs w:val="20"/>
        </w:rPr>
        <w:t>se le explica al Sub Comité que la Constitución de la República de Honduras</w:t>
      </w:r>
      <w:r w:rsidR="00B97B02">
        <w:rPr>
          <w:rFonts w:ascii="Times New Roman" w:hAnsi="Times New Roman"/>
          <w:sz w:val="20"/>
          <w:szCs w:val="20"/>
        </w:rPr>
        <w:t>, desde el año 2004, se abolió la institución de la inmunidad</w:t>
      </w:r>
      <w:r w:rsidRPr="00D02DD4">
        <w:rPr>
          <w:rFonts w:ascii="Times New Roman" w:hAnsi="Times New Roman"/>
          <w:sz w:val="20"/>
          <w:szCs w:val="20"/>
        </w:rPr>
        <w:t xml:space="preserve"> y, para </w:t>
      </w:r>
      <w:r w:rsidR="00B97B02">
        <w:rPr>
          <w:rFonts w:ascii="Times New Roman" w:hAnsi="Times New Roman"/>
          <w:sz w:val="20"/>
          <w:szCs w:val="20"/>
        </w:rPr>
        <w:t xml:space="preserve"> todos los altos funcionarios del Estado</w:t>
      </w:r>
      <w:r w:rsidRPr="00D02DD4">
        <w:rPr>
          <w:rFonts w:ascii="Times New Roman" w:hAnsi="Times New Roman"/>
          <w:sz w:val="20"/>
          <w:szCs w:val="20"/>
        </w:rPr>
        <w:t>, prevé procesos especiales, ante la Corte Suprema de Justicia.</w:t>
      </w:r>
    </w:p>
    <w:p w:rsidR="00D02DD4" w:rsidRPr="00D02DD4" w:rsidRDefault="00D02DD4" w:rsidP="00D02DD4">
      <w:pPr>
        <w:pStyle w:val="Prrafodelista"/>
        <w:numPr>
          <w:ilvl w:val="0"/>
          <w:numId w:val="1"/>
        </w:numPr>
        <w:spacing w:after="0" w:line="240" w:lineRule="auto"/>
        <w:jc w:val="both"/>
        <w:rPr>
          <w:rFonts w:ascii="Times New Roman" w:hAnsi="Times New Roman"/>
          <w:b/>
          <w:bCs/>
          <w:sz w:val="20"/>
          <w:szCs w:val="20"/>
        </w:rPr>
      </w:pPr>
      <w:r w:rsidRPr="00D02DD4">
        <w:rPr>
          <w:rFonts w:ascii="Times New Roman" w:hAnsi="Times New Roman"/>
          <w:b/>
          <w:bCs/>
          <w:i/>
          <w:iCs/>
          <w:sz w:val="20"/>
          <w:szCs w:val="20"/>
        </w:rPr>
        <w:t>Pluralismo:</w:t>
      </w:r>
      <w:r w:rsidRPr="00D02DD4">
        <w:rPr>
          <w:rFonts w:ascii="Times New Roman" w:hAnsi="Times New Roman"/>
          <w:b/>
          <w:bCs/>
          <w:sz w:val="20"/>
          <w:szCs w:val="20"/>
        </w:rPr>
        <w:t xml:space="preserve"> </w:t>
      </w:r>
      <w:r w:rsidRPr="00D02DD4">
        <w:rPr>
          <w:rFonts w:ascii="Times New Roman" w:hAnsi="Times New Roman"/>
          <w:sz w:val="20"/>
          <w:szCs w:val="20"/>
        </w:rPr>
        <w:t>Para el nombramiento del personal necesario del Comisionado Nacional de los Derechos Humanos, si existen requisitos en la normativa derivada de la Ley Orgánica del CONADEH establecido en el Reglamento o Manual Interno de Personal de CONADEH que establece la no discriminación laboral. El Reglamento Interno de Personal del CONADEH, de aplicación desde 2002 y que actualmente está en revisión para incluir mayores desarrollos en relación con los diferentes segmentos de la sociedad, establece como principio general la no discriminación laboral por motivos de sexo, color, religión, opinión política, posición económica o social, discapacidad o cualquier otra índole. Asimismo, CONADEH aplica el pluralismo como establecido en la Constitución de la República de Honduras y Código del Trabajo en cuanto a la atención a diferentes segmentos de la sociedad, sobre todas esas bases, en los acuerdos de nombramiento del personal está consignada una cláusula específica sobre la materia.</w:t>
      </w:r>
    </w:p>
    <w:p w:rsidR="00D02DD4" w:rsidRPr="00D02DD4" w:rsidRDefault="00D02DD4" w:rsidP="00D02DD4">
      <w:pPr>
        <w:pStyle w:val="Prrafodelista"/>
        <w:numPr>
          <w:ilvl w:val="0"/>
          <w:numId w:val="1"/>
        </w:numPr>
        <w:spacing w:after="0" w:line="240" w:lineRule="auto"/>
        <w:jc w:val="both"/>
        <w:rPr>
          <w:rFonts w:ascii="Times New Roman" w:hAnsi="Times New Roman"/>
          <w:b/>
          <w:bCs/>
          <w:sz w:val="20"/>
          <w:szCs w:val="20"/>
        </w:rPr>
      </w:pPr>
      <w:r w:rsidRPr="00D02DD4">
        <w:rPr>
          <w:rFonts w:ascii="Times New Roman" w:hAnsi="Times New Roman"/>
          <w:b/>
          <w:bCs/>
          <w:i/>
          <w:iCs/>
          <w:sz w:val="20"/>
          <w:szCs w:val="20"/>
        </w:rPr>
        <w:t>Recursos suficientes:</w:t>
      </w:r>
      <w:r w:rsidRPr="00D02DD4">
        <w:rPr>
          <w:rFonts w:ascii="Times New Roman" w:hAnsi="Times New Roman"/>
          <w:b/>
          <w:bCs/>
          <w:sz w:val="20"/>
          <w:szCs w:val="20"/>
        </w:rPr>
        <w:t xml:space="preserve"> </w:t>
      </w:r>
      <w:r w:rsidRPr="00D02DD4">
        <w:rPr>
          <w:rFonts w:ascii="Times New Roman" w:hAnsi="Times New Roman"/>
          <w:sz w:val="20"/>
          <w:szCs w:val="20"/>
        </w:rPr>
        <w:t xml:space="preserve">El CONADEH no ha dejado de cumplir su mandato constitucional debido a limitaciones presupuestarias, su productividad social está reconocida y en determinación libre de sus prioridades y actividades está implementando su Plan de Acción 2014-2020 “Vanguardia de la Dignidad Humana”. Sin embargo, les informamos en </w:t>
      </w:r>
      <w:r w:rsidR="00EC383D">
        <w:rPr>
          <w:rFonts w:ascii="Times New Roman" w:hAnsi="Times New Roman"/>
          <w:sz w:val="20"/>
          <w:szCs w:val="20"/>
        </w:rPr>
        <w:t>e</w:t>
      </w:r>
      <w:r w:rsidRPr="00D02DD4">
        <w:rPr>
          <w:rFonts w:ascii="Times New Roman" w:hAnsi="Times New Roman"/>
          <w:sz w:val="20"/>
          <w:szCs w:val="20"/>
        </w:rPr>
        <w:t>nero de 2016 al Sub Comité que el presupuesto actual del CONADEH cubre únicamente lo esencial de las necesidades requeridas para la ejecución del Plan de Acción. En atención a las atribuciones y funciones que la Constitución de la República</w:t>
      </w:r>
      <w:r w:rsidR="00EC383D">
        <w:rPr>
          <w:rFonts w:ascii="Times New Roman" w:hAnsi="Times New Roman"/>
          <w:sz w:val="20"/>
          <w:szCs w:val="20"/>
        </w:rPr>
        <w:t xml:space="preserve"> y</w:t>
      </w:r>
      <w:r w:rsidRPr="00D02DD4">
        <w:rPr>
          <w:rFonts w:ascii="Times New Roman" w:hAnsi="Times New Roman"/>
          <w:sz w:val="20"/>
          <w:szCs w:val="20"/>
        </w:rPr>
        <w:t xml:space="preserve"> </w:t>
      </w:r>
      <w:r w:rsidR="00EC383D">
        <w:rPr>
          <w:rFonts w:ascii="Times New Roman" w:hAnsi="Times New Roman"/>
          <w:sz w:val="20"/>
          <w:szCs w:val="20"/>
        </w:rPr>
        <w:t xml:space="preserve">la </w:t>
      </w:r>
      <w:r w:rsidRPr="00D02DD4">
        <w:rPr>
          <w:rFonts w:ascii="Times New Roman" w:hAnsi="Times New Roman"/>
          <w:sz w:val="20"/>
          <w:szCs w:val="20"/>
        </w:rPr>
        <w:t xml:space="preserve">Ley Orgánica del CONADEH (como Institución Nacional de Derechos Humanos que debe garantizar el respeto, promoción y protección de los derechos humanos de, como mínimo los 8.6 millones de habitantes y migrantes de Honduras), </w:t>
      </w:r>
      <w:r w:rsidR="00EC383D">
        <w:rPr>
          <w:rFonts w:ascii="Times New Roman" w:hAnsi="Times New Roman"/>
          <w:sz w:val="20"/>
          <w:szCs w:val="20"/>
        </w:rPr>
        <w:t>se</w:t>
      </w:r>
      <w:r w:rsidRPr="00D02DD4">
        <w:rPr>
          <w:rFonts w:ascii="Times New Roman" w:hAnsi="Times New Roman"/>
          <w:sz w:val="20"/>
          <w:szCs w:val="20"/>
        </w:rPr>
        <w:t xml:space="preserve"> ha presentado a la Secretaría de Estado en el Despacho de Finanzas </w:t>
      </w:r>
      <w:r w:rsidR="00B97B02">
        <w:rPr>
          <w:rFonts w:ascii="Times New Roman" w:hAnsi="Times New Roman"/>
          <w:sz w:val="20"/>
          <w:szCs w:val="20"/>
        </w:rPr>
        <w:t xml:space="preserve">prioridades de necesidades financieras que deberían atenderse en el presupuesto que aprueba el Estado. </w:t>
      </w:r>
      <w:r w:rsidR="00EC383D">
        <w:rPr>
          <w:rFonts w:ascii="Times New Roman" w:hAnsi="Times New Roman"/>
          <w:sz w:val="20"/>
          <w:szCs w:val="20"/>
        </w:rPr>
        <w:t>A</w:t>
      </w:r>
      <w:r w:rsidRPr="00D02DD4">
        <w:rPr>
          <w:rFonts w:ascii="Times New Roman" w:hAnsi="Times New Roman"/>
          <w:sz w:val="20"/>
          <w:szCs w:val="20"/>
        </w:rPr>
        <w:t xml:space="preserve">ctualmente (2017) el CONADEH cuenta con un presupuesto de </w:t>
      </w:r>
      <w:r w:rsidRPr="00D02DD4">
        <w:rPr>
          <w:rFonts w:ascii="Times New Roman" w:hAnsi="Times New Roman"/>
          <w:b/>
          <w:bCs/>
          <w:i/>
          <w:iCs/>
          <w:sz w:val="20"/>
          <w:szCs w:val="20"/>
        </w:rPr>
        <w:t>L. 78,544,949.00</w:t>
      </w:r>
      <w:r w:rsidRPr="00D02DD4">
        <w:rPr>
          <w:rFonts w:ascii="Times New Roman" w:hAnsi="Times New Roman"/>
          <w:sz w:val="20"/>
          <w:szCs w:val="20"/>
        </w:rPr>
        <w:t xml:space="preserve"> (setenta y ocho millones, quinientos cuarenta y cuatro mil, novecientos cuare</w:t>
      </w:r>
      <w:r w:rsidR="00B97B02">
        <w:rPr>
          <w:rFonts w:ascii="Times New Roman" w:hAnsi="Times New Roman"/>
          <w:sz w:val="20"/>
          <w:szCs w:val="20"/>
        </w:rPr>
        <w:t>nta y nueve lempiras) y estamos en espera de un próximo aumento en el presupuesto 2018.</w:t>
      </w:r>
    </w:p>
    <w:p w:rsidR="00D02DD4" w:rsidRPr="00D02DD4" w:rsidRDefault="00D02DD4" w:rsidP="00D02DD4">
      <w:pPr>
        <w:pStyle w:val="Prrafodelista"/>
        <w:numPr>
          <w:ilvl w:val="0"/>
          <w:numId w:val="1"/>
        </w:numPr>
        <w:spacing w:after="0" w:line="240" w:lineRule="auto"/>
        <w:jc w:val="both"/>
        <w:rPr>
          <w:rFonts w:ascii="Times New Roman" w:hAnsi="Times New Roman"/>
          <w:sz w:val="20"/>
          <w:szCs w:val="20"/>
        </w:rPr>
      </w:pPr>
      <w:r w:rsidRPr="00D02DD4">
        <w:rPr>
          <w:rFonts w:ascii="Times New Roman" w:hAnsi="Times New Roman"/>
          <w:b/>
          <w:bCs/>
          <w:i/>
          <w:iCs/>
          <w:sz w:val="20"/>
          <w:szCs w:val="20"/>
        </w:rPr>
        <w:t xml:space="preserve">Cooperación con otros órganos de derechos humanos: </w:t>
      </w:r>
      <w:r w:rsidRPr="00D02DD4">
        <w:rPr>
          <w:rFonts w:ascii="Times New Roman" w:hAnsi="Times New Roman"/>
          <w:sz w:val="20"/>
          <w:szCs w:val="20"/>
        </w:rPr>
        <w:t>El CONADEH mantiene relaciones funcionales de trabajo con más de 300 organizaciones de sociedad civil y no gubernamental. El CONADEH dentro de los límites que le permite su actual categoría “B”, mantiene colaboración regular y constructiva con otros órganos de derechos humanos. En su relación con otras INDH, ello ha llevado inclusive a la elección del titular del CONADEH, por unanimidad, a la Presidencia del Consejo Centroamericanos de Procuradoras y Procuradores de los Derechos Humanos (CCPDH) (2015-2016) y a la segunda Vice-Presidencia de la Federación Iberoamerican</w:t>
      </w:r>
      <w:r w:rsidR="00EC383D">
        <w:rPr>
          <w:rFonts w:ascii="Times New Roman" w:hAnsi="Times New Roman"/>
          <w:sz w:val="20"/>
          <w:szCs w:val="20"/>
        </w:rPr>
        <w:t>a</w:t>
      </w:r>
      <w:r w:rsidRPr="00D02DD4">
        <w:rPr>
          <w:rFonts w:ascii="Times New Roman" w:hAnsi="Times New Roman"/>
          <w:sz w:val="20"/>
          <w:szCs w:val="20"/>
        </w:rPr>
        <w:t xml:space="preserve"> del Ombudsman (FIO) (2015-2017).</w:t>
      </w:r>
    </w:p>
    <w:p w:rsidR="00D02DD4" w:rsidRPr="00D02DD4" w:rsidRDefault="00D02DD4" w:rsidP="00D02DD4">
      <w:pPr>
        <w:pStyle w:val="Prrafodelista"/>
        <w:numPr>
          <w:ilvl w:val="0"/>
          <w:numId w:val="1"/>
        </w:numPr>
        <w:spacing w:after="0" w:line="240" w:lineRule="auto"/>
        <w:jc w:val="both"/>
        <w:rPr>
          <w:rFonts w:ascii="Times New Roman" w:hAnsi="Times New Roman"/>
          <w:b/>
          <w:bCs/>
          <w:i/>
          <w:iCs/>
          <w:sz w:val="20"/>
          <w:szCs w:val="20"/>
        </w:rPr>
      </w:pPr>
      <w:r w:rsidRPr="00D02DD4">
        <w:rPr>
          <w:rFonts w:ascii="Times New Roman" w:hAnsi="Times New Roman"/>
          <w:b/>
          <w:bCs/>
          <w:i/>
          <w:iCs/>
          <w:sz w:val="20"/>
          <w:szCs w:val="20"/>
        </w:rPr>
        <w:t xml:space="preserve">Interacción con el Sistema Internacional de Derechos Humanos: </w:t>
      </w:r>
      <w:r w:rsidRPr="00D02DD4">
        <w:rPr>
          <w:rFonts w:ascii="Times New Roman" w:hAnsi="Times New Roman"/>
          <w:sz w:val="20"/>
          <w:szCs w:val="20"/>
        </w:rPr>
        <w:t xml:space="preserve">Tal como se evidencia también en la impugnación anterior, el CONADEH coopera ampliamente con los organismos internacionales y regionales de derechos humanos. </w:t>
      </w:r>
    </w:p>
    <w:p w:rsidR="00D02DD4" w:rsidRDefault="00D02DD4" w:rsidP="00D02DD4">
      <w:pPr>
        <w:pStyle w:val="Prrafodelista"/>
        <w:spacing w:after="0" w:line="240" w:lineRule="auto"/>
        <w:jc w:val="both"/>
        <w:rPr>
          <w:rFonts w:ascii="Times New Roman" w:hAnsi="Times New Roman"/>
          <w:b/>
          <w:bCs/>
          <w:i/>
          <w:iCs/>
          <w:sz w:val="20"/>
          <w:szCs w:val="20"/>
        </w:rPr>
      </w:pPr>
    </w:p>
    <w:p w:rsidR="00B97B02" w:rsidRPr="00807DE9" w:rsidRDefault="00B97B02" w:rsidP="00B97B02">
      <w:pPr>
        <w:pStyle w:val="Prrafodelista"/>
        <w:spacing w:after="0" w:line="240" w:lineRule="auto"/>
        <w:jc w:val="both"/>
        <w:rPr>
          <w:rFonts w:ascii="Times New Roman" w:hAnsi="Times New Roman"/>
          <w:bCs/>
          <w:iCs/>
          <w:sz w:val="20"/>
          <w:szCs w:val="20"/>
        </w:rPr>
      </w:pPr>
      <w:r w:rsidRPr="00807DE9">
        <w:rPr>
          <w:rFonts w:ascii="Times New Roman" w:hAnsi="Times New Roman"/>
          <w:bCs/>
          <w:iCs/>
          <w:sz w:val="20"/>
          <w:szCs w:val="20"/>
        </w:rPr>
        <w:t xml:space="preserve">Hemos remitido contribuciones escritas a distintos órganos internacionales de derechos humanos, entre estos: </w:t>
      </w:r>
    </w:p>
    <w:p w:rsidR="00B97B02" w:rsidRDefault="00807DE9" w:rsidP="00807DE9">
      <w:pPr>
        <w:pStyle w:val="Prrafodelista"/>
        <w:numPr>
          <w:ilvl w:val="0"/>
          <w:numId w:val="5"/>
        </w:numPr>
        <w:spacing w:after="0" w:line="240" w:lineRule="auto"/>
        <w:jc w:val="both"/>
        <w:rPr>
          <w:rFonts w:ascii="Times New Roman" w:hAnsi="Times New Roman"/>
          <w:bCs/>
          <w:iCs/>
          <w:sz w:val="20"/>
          <w:szCs w:val="20"/>
        </w:rPr>
      </w:pPr>
      <w:r w:rsidRPr="00807DE9">
        <w:rPr>
          <w:rFonts w:ascii="Times New Roman" w:hAnsi="Times New Roman"/>
          <w:bCs/>
          <w:iCs/>
          <w:sz w:val="20"/>
          <w:szCs w:val="20"/>
        </w:rPr>
        <w:t>Comité de Protección de los Derechos de Todos los Trabajadores Migratorios y de sus Familiares sobre la situación de los migrantes hondureños</w:t>
      </w:r>
      <w:r>
        <w:rPr>
          <w:rFonts w:ascii="Times New Roman" w:hAnsi="Times New Roman"/>
          <w:bCs/>
          <w:iCs/>
          <w:sz w:val="20"/>
          <w:szCs w:val="20"/>
        </w:rPr>
        <w:t xml:space="preserve"> (agosto 2016)</w:t>
      </w:r>
    </w:p>
    <w:p w:rsidR="00807DE9" w:rsidRDefault="00807DE9" w:rsidP="00807DE9">
      <w:pPr>
        <w:pStyle w:val="Prrafodelista"/>
        <w:numPr>
          <w:ilvl w:val="0"/>
          <w:numId w:val="5"/>
        </w:numPr>
        <w:spacing w:after="0" w:line="240" w:lineRule="auto"/>
        <w:jc w:val="both"/>
        <w:rPr>
          <w:rFonts w:ascii="Times New Roman" w:hAnsi="Times New Roman"/>
          <w:bCs/>
          <w:iCs/>
          <w:sz w:val="20"/>
          <w:szCs w:val="20"/>
        </w:rPr>
      </w:pPr>
      <w:r w:rsidRPr="00807DE9">
        <w:rPr>
          <w:rFonts w:ascii="Times New Roman" w:hAnsi="Times New Roman"/>
          <w:bCs/>
          <w:iCs/>
          <w:sz w:val="20"/>
          <w:szCs w:val="20"/>
        </w:rPr>
        <w:t>Comité para la Eliminación de la Discriminación contra la Mujer</w:t>
      </w:r>
      <w:r>
        <w:rPr>
          <w:rFonts w:ascii="Times New Roman" w:hAnsi="Times New Roman"/>
          <w:bCs/>
          <w:iCs/>
          <w:sz w:val="20"/>
          <w:szCs w:val="20"/>
        </w:rPr>
        <w:t xml:space="preserve"> (Septiembre 2016)</w:t>
      </w:r>
    </w:p>
    <w:p w:rsidR="00807DE9" w:rsidRPr="00B97B02" w:rsidRDefault="00807DE9" w:rsidP="00807DE9">
      <w:pPr>
        <w:pStyle w:val="Prrafodelista"/>
        <w:numPr>
          <w:ilvl w:val="0"/>
          <w:numId w:val="5"/>
        </w:numPr>
        <w:spacing w:after="0" w:line="240" w:lineRule="auto"/>
        <w:jc w:val="both"/>
        <w:rPr>
          <w:rFonts w:ascii="Times New Roman" w:hAnsi="Times New Roman"/>
          <w:bCs/>
          <w:iCs/>
          <w:sz w:val="20"/>
          <w:szCs w:val="20"/>
        </w:rPr>
      </w:pPr>
      <w:r w:rsidRPr="00807DE9">
        <w:rPr>
          <w:rFonts w:ascii="Times New Roman" w:hAnsi="Times New Roman"/>
          <w:bCs/>
          <w:iCs/>
          <w:sz w:val="20"/>
          <w:szCs w:val="20"/>
        </w:rPr>
        <w:t>Comité para los Derechos de las Personas con Discapacidad</w:t>
      </w:r>
      <w:r>
        <w:rPr>
          <w:rFonts w:ascii="Times New Roman" w:hAnsi="Times New Roman"/>
          <w:bCs/>
          <w:iCs/>
          <w:sz w:val="20"/>
          <w:szCs w:val="20"/>
        </w:rPr>
        <w:t xml:space="preserve"> (Febrero 2017)</w:t>
      </w:r>
    </w:p>
    <w:p w:rsidR="00D02DD4" w:rsidRPr="00D02DD4" w:rsidRDefault="00D02DD4" w:rsidP="00D02DD4">
      <w:pPr>
        <w:jc w:val="both"/>
        <w:rPr>
          <w:rFonts w:ascii="Times New Roman" w:hAnsi="Times New Roman" w:cs="Times New Roman"/>
          <w:sz w:val="20"/>
          <w:szCs w:val="20"/>
        </w:rPr>
      </w:pPr>
      <w:r w:rsidRPr="00D02DD4">
        <w:rPr>
          <w:rFonts w:ascii="Times New Roman" w:hAnsi="Times New Roman" w:cs="Times New Roman"/>
          <w:sz w:val="20"/>
          <w:szCs w:val="20"/>
        </w:rPr>
        <w:lastRenderedPageBreak/>
        <w:t>Puede observar</w:t>
      </w:r>
      <w:r w:rsidR="00613064">
        <w:rPr>
          <w:rFonts w:ascii="Times New Roman" w:hAnsi="Times New Roman" w:cs="Times New Roman"/>
          <w:sz w:val="20"/>
          <w:szCs w:val="20"/>
        </w:rPr>
        <w:t>se</w:t>
      </w:r>
      <w:r w:rsidRPr="00D02DD4">
        <w:rPr>
          <w:rFonts w:ascii="Times New Roman" w:hAnsi="Times New Roman" w:cs="Times New Roman"/>
          <w:sz w:val="20"/>
          <w:szCs w:val="20"/>
        </w:rPr>
        <w:t xml:space="preserve"> en el documento adjunto, con más detalle, el desarrollo de cada una de las impugnaciones del CONADEH a las observaciones recibidas.</w:t>
      </w:r>
      <w:r w:rsidR="00613064">
        <w:rPr>
          <w:rFonts w:ascii="Times New Roman" w:hAnsi="Times New Roman" w:cs="Times New Roman"/>
          <w:sz w:val="20"/>
          <w:szCs w:val="20"/>
        </w:rPr>
        <w:t xml:space="preserve"> El CONADEH tuvo respaldo expreso de parte de INDH de la región americana, que conocen más de cerca el papel del CONADEH en la difícil realidad hondureña.</w:t>
      </w:r>
    </w:p>
    <w:p w:rsidR="00D02DD4" w:rsidRPr="00BF375B" w:rsidRDefault="00D02DD4" w:rsidP="00D02DD4">
      <w:pPr>
        <w:pStyle w:val="H23G"/>
      </w:pPr>
      <w:r w:rsidRPr="00BF375B">
        <w:t>No discriminación e igualdad (arts. 2, 3, 9, 17, 26 y 27)</w:t>
      </w:r>
    </w:p>
    <w:p w:rsidR="00CD4085" w:rsidRDefault="005B3A2F" w:rsidP="00CD4085">
      <w:pPr>
        <w:jc w:val="both"/>
        <w:rPr>
          <w:rFonts w:ascii="Times New Roman" w:hAnsi="Times New Roman" w:cs="Times New Roman"/>
          <w:lang w:val="es-MX"/>
        </w:rPr>
      </w:pPr>
      <w:r w:rsidRPr="005B3A2F">
        <w:rPr>
          <w:rFonts w:ascii="Times New Roman" w:hAnsi="Times New Roman" w:cs="Times New Roman"/>
        </w:rPr>
        <w:t xml:space="preserve">Durante el 2016, el CONADEH recibió un total de 10,769 quejas </w:t>
      </w:r>
      <w:r w:rsidRPr="005B3A2F">
        <w:rPr>
          <w:rFonts w:ascii="Times New Roman" w:hAnsi="Times New Roman" w:cs="Times New Roman"/>
          <w:lang w:val="es-MX"/>
        </w:rPr>
        <w:t>provinieron de 239 municipios del país, lo que representa una cobertura de atención aproximadamente de un 80% del total de los municipios en los que el CONADEH ha extendido su alcance en todo el territorio</w:t>
      </w:r>
      <w:r w:rsidR="00EC383D">
        <w:rPr>
          <w:rFonts w:ascii="Times New Roman" w:hAnsi="Times New Roman" w:cs="Times New Roman"/>
          <w:lang w:val="es-MX"/>
        </w:rPr>
        <w:t xml:space="preserve"> nacional</w:t>
      </w:r>
      <w:r w:rsidRPr="005B3A2F">
        <w:rPr>
          <w:rFonts w:ascii="Times New Roman" w:hAnsi="Times New Roman" w:cs="Times New Roman"/>
          <w:lang w:val="es-MX"/>
        </w:rPr>
        <w:t>.</w:t>
      </w:r>
    </w:p>
    <w:p w:rsidR="005B3A2F" w:rsidRDefault="005B3A2F" w:rsidP="00CD4085">
      <w:pPr>
        <w:jc w:val="both"/>
        <w:rPr>
          <w:rFonts w:ascii="Times New Roman" w:hAnsi="Times New Roman" w:cs="Times New Roman"/>
        </w:rPr>
      </w:pPr>
      <w:r w:rsidRPr="005B3A2F">
        <w:rPr>
          <w:rFonts w:ascii="Times New Roman" w:hAnsi="Times New Roman" w:cs="Times New Roman"/>
        </w:rPr>
        <w:t xml:space="preserve">Del total de las quejas, 9,586 estuvieron relacionadas directa o indirectamente con los sectores y grupos </w:t>
      </w:r>
      <w:r>
        <w:rPr>
          <w:rFonts w:ascii="Times New Roman" w:hAnsi="Times New Roman" w:cs="Times New Roman"/>
        </w:rPr>
        <w:t>en condición de vulnerabilidad</w:t>
      </w:r>
      <w:r w:rsidR="00EC383D">
        <w:rPr>
          <w:rFonts w:ascii="Times New Roman" w:hAnsi="Times New Roman" w:cs="Times New Roman"/>
        </w:rPr>
        <w:t>, de la siguiente manera:</w:t>
      </w:r>
    </w:p>
    <w:tbl>
      <w:tblPr>
        <w:tblStyle w:val="Tabladecuadrcula3-nfasis11"/>
        <w:tblpPr w:leftFromText="141" w:rightFromText="141" w:vertAnchor="text" w:horzAnchor="margin" w:tblpXSpec="right" w:tblpY="24"/>
        <w:tblW w:w="0" w:type="auto"/>
        <w:tblLook w:val="04A0" w:firstRow="1" w:lastRow="0" w:firstColumn="1" w:lastColumn="0" w:noHBand="0" w:noVBand="1"/>
      </w:tblPr>
      <w:tblGrid>
        <w:gridCol w:w="2977"/>
        <w:gridCol w:w="1017"/>
      </w:tblGrid>
      <w:tr w:rsidR="005B3A2F" w:rsidRPr="005B3A2F" w:rsidTr="005B3A2F">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szCs w:val="20"/>
                <w:lang w:eastAsia="es-ES"/>
              </w:rPr>
            </w:pPr>
            <w:r w:rsidRPr="005B3A2F">
              <w:rPr>
                <w:rFonts w:ascii="Times New Roman" w:eastAsia="Times New Roman" w:hAnsi="Times New Roman" w:cs="Times New Roman"/>
                <w:color w:val="000000"/>
                <w:sz w:val="20"/>
                <w:szCs w:val="20"/>
                <w:lang w:eastAsia="es-ES"/>
              </w:rPr>
              <w:t xml:space="preserve">Grupos en Condición de Vulnerabilidad </w:t>
            </w:r>
          </w:p>
        </w:tc>
        <w:tc>
          <w:tcPr>
            <w:tcW w:w="1017" w:type="dxa"/>
            <w:noWrap/>
            <w:hideMark/>
          </w:tcPr>
          <w:p w:rsidR="005B3A2F" w:rsidRPr="005B3A2F" w:rsidRDefault="005B3A2F" w:rsidP="005B3A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lang w:eastAsia="es-ES"/>
              </w:rPr>
            </w:pPr>
            <w:r w:rsidRPr="005B3A2F">
              <w:rPr>
                <w:rFonts w:ascii="Times New Roman" w:eastAsia="Times New Roman" w:hAnsi="Times New Roman" w:cs="Times New Roman"/>
                <w:color w:val="000000"/>
                <w:sz w:val="20"/>
                <w:szCs w:val="20"/>
                <w:lang w:eastAsia="es-ES"/>
              </w:rPr>
              <w:t>Cantidad</w:t>
            </w:r>
          </w:p>
        </w:tc>
      </w:tr>
      <w:tr w:rsidR="005B3A2F" w:rsidRPr="000667F6" w:rsidTr="005B3A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Mujeres</w:t>
            </w:r>
          </w:p>
        </w:tc>
        <w:tc>
          <w:tcPr>
            <w:tcW w:w="1017" w:type="dxa"/>
            <w:noWrap/>
            <w:hideMark/>
          </w:tcPr>
          <w:p w:rsidR="005B3A2F" w:rsidRPr="005B3A2F" w:rsidRDefault="005B3A2F" w:rsidP="005B3A2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4,529</w:t>
            </w:r>
          </w:p>
        </w:tc>
      </w:tr>
      <w:tr w:rsidR="005B3A2F" w:rsidRPr="000667F6" w:rsidTr="005B3A2F">
        <w:trPr>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Niñez</w:t>
            </w:r>
          </w:p>
        </w:tc>
        <w:tc>
          <w:tcPr>
            <w:tcW w:w="1017" w:type="dxa"/>
            <w:noWrap/>
            <w:hideMark/>
          </w:tcPr>
          <w:p w:rsidR="005B3A2F" w:rsidRPr="005B3A2F" w:rsidRDefault="005B3A2F" w:rsidP="005B3A2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2,016</w:t>
            </w:r>
          </w:p>
        </w:tc>
      </w:tr>
      <w:tr w:rsidR="005B3A2F" w:rsidRPr="000667F6" w:rsidTr="005B3A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Adultos Mayores</w:t>
            </w:r>
          </w:p>
        </w:tc>
        <w:tc>
          <w:tcPr>
            <w:tcW w:w="1017" w:type="dxa"/>
            <w:noWrap/>
            <w:hideMark/>
          </w:tcPr>
          <w:p w:rsidR="005B3A2F" w:rsidRPr="005B3A2F" w:rsidRDefault="005B3A2F" w:rsidP="005B3A2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1,528</w:t>
            </w:r>
          </w:p>
        </w:tc>
      </w:tr>
      <w:tr w:rsidR="005B3A2F" w:rsidRPr="000667F6" w:rsidTr="005B3A2F">
        <w:trPr>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Desplazamiento Interno</w:t>
            </w:r>
          </w:p>
        </w:tc>
        <w:tc>
          <w:tcPr>
            <w:tcW w:w="1017" w:type="dxa"/>
            <w:noWrap/>
            <w:hideMark/>
          </w:tcPr>
          <w:p w:rsidR="005B3A2F" w:rsidRPr="005B3A2F" w:rsidRDefault="005B3A2F" w:rsidP="005B3A2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757</w:t>
            </w:r>
          </w:p>
        </w:tc>
      </w:tr>
      <w:tr w:rsidR="005B3A2F" w:rsidRPr="000667F6" w:rsidTr="005B3A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Personas con Discapacidad</w:t>
            </w:r>
          </w:p>
        </w:tc>
        <w:tc>
          <w:tcPr>
            <w:tcW w:w="1017" w:type="dxa"/>
            <w:noWrap/>
            <w:hideMark/>
          </w:tcPr>
          <w:p w:rsidR="005B3A2F" w:rsidRPr="005B3A2F" w:rsidRDefault="005B3A2F" w:rsidP="005B3A2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465</w:t>
            </w:r>
          </w:p>
        </w:tc>
      </w:tr>
      <w:tr w:rsidR="005B3A2F" w:rsidRPr="000667F6" w:rsidTr="005B3A2F">
        <w:trPr>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Personas Migrantes</w:t>
            </w:r>
          </w:p>
        </w:tc>
        <w:tc>
          <w:tcPr>
            <w:tcW w:w="1017" w:type="dxa"/>
            <w:noWrap/>
            <w:hideMark/>
          </w:tcPr>
          <w:p w:rsidR="005B3A2F" w:rsidRPr="005B3A2F" w:rsidRDefault="005B3A2F" w:rsidP="005B3A2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81</w:t>
            </w:r>
          </w:p>
        </w:tc>
      </w:tr>
      <w:tr w:rsidR="005B3A2F" w:rsidRPr="000667F6" w:rsidTr="005B3A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Pueblos Indígenas</w:t>
            </w:r>
          </w:p>
        </w:tc>
        <w:tc>
          <w:tcPr>
            <w:tcW w:w="1017" w:type="dxa"/>
            <w:noWrap/>
            <w:hideMark/>
          </w:tcPr>
          <w:p w:rsidR="005B3A2F" w:rsidRPr="005B3A2F" w:rsidRDefault="005B3A2F" w:rsidP="005B3A2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78</w:t>
            </w:r>
          </w:p>
        </w:tc>
      </w:tr>
      <w:tr w:rsidR="005B3A2F" w:rsidRPr="000667F6" w:rsidTr="005B3A2F">
        <w:trPr>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Diversidad Sexual</w:t>
            </w:r>
          </w:p>
        </w:tc>
        <w:tc>
          <w:tcPr>
            <w:tcW w:w="1017" w:type="dxa"/>
            <w:noWrap/>
            <w:hideMark/>
          </w:tcPr>
          <w:p w:rsidR="005B3A2F" w:rsidRPr="005B3A2F" w:rsidRDefault="005B3A2F" w:rsidP="005B3A2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74</w:t>
            </w:r>
          </w:p>
        </w:tc>
      </w:tr>
      <w:tr w:rsidR="005B3A2F" w:rsidRPr="000667F6" w:rsidTr="005B3A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Personas con VIH</w:t>
            </w:r>
          </w:p>
        </w:tc>
        <w:tc>
          <w:tcPr>
            <w:tcW w:w="1017" w:type="dxa"/>
            <w:noWrap/>
            <w:hideMark/>
          </w:tcPr>
          <w:p w:rsidR="005B3A2F" w:rsidRPr="005B3A2F" w:rsidRDefault="005B3A2F" w:rsidP="005B3A2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lang w:eastAsia="es-ES"/>
              </w:rPr>
            </w:pPr>
            <w:r w:rsidRPr="005B3A2F">
              <w:rPr>
                <w:rFonts w:ascii="Times New Roman" w:eastAsia="Times New Roman" w:hAnsi="Times New Roman" w:cs="Times New Roman"/>
                <w:color w:val="000000"/>
                <w:sz w:val="20"/>
                <w:lang w:eastAsia="es-ES"/>
              </w:rPr>
              <w:t>58</w:t>
            </w:r>
          </w:p>
        </w:tc>
      </w:tr>
      <w:tr w:rsidR="005B3A2F" w:rsidRPr="000667F6" w:rsidTr="005B3A2F">
        <w:trPr>
          <w:trHeight w:val="300"/>
        </w:trPr>
        <w:tc>
          <w:tcPr>
            <w:cnfStyle w:val="001000000000" w:firstRow="0" w:lastRow="0" w:firstColumn="1" w:lastColumn="0" w:oddVBand="0" w:evenVBand="0" w:oddHBand="0" w:evenHBand="0" w:firstRowFirstColumn="0" w:firstRowLastColumn="0" w:lastRowFirstColumn="0" w:lastRowLastColumn="0"/>
            <w:tcW w:w="2977" w:type="dxa"/>
            <w:noWrap/>
            <w:hideMark/>
          </w:tcPr>
          <w:p w:rsidR="005B3A2F" w:rsidRPr="005B3A2F" w:rsidRDefault="005B3A2F" w:rsidP="005B3A2F">
            <w:pPr>
              <w:rPr>
                <w:rFonts w:ascii="Times New Roman" w:eastAsia="Times New Roman" w:hAnsi="Times New Roman" w:cs="Times New Roman"/>
                <w:b/>
                <w:color w:val="000000"/>
                <w:sz w:val="20"/>
                <w:lang w:eastAsia="es-ES"/>
              </w:rPr>
            </w:pPr>
            <w:r w:rsidRPr="005B3A2F">
              <w:rPr>
                <w:rFonts w:ascii="Times New Roman" w:eastAsia="Times New Roman" w:hAnsi="Times New Roman" w:cs="Times New Roman"/>
                <w:b/>
                <w:color w:val="000000"/>
                <w:sz w:val="20"/>
                <w:lang w:eastAsia="es-ES"/>
              </w:rPr>
              <w:t>TOTAL</w:t>
            </w:r>
          </w:p>
        </w:tc>
        <w:tc>
          <w:tcPr>
            <w:tcW w:w="1017" w:type="dxa"/>
            <w:noWrap/>
            <w:hideMark/>
          </w:tcPr>
          <w:p w:rsidR="005B3A2F" w:rsidRPr="005B3A2F" w:rsidRDefault="005B3A2F" w:rsidP="005B3A2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0"/>
                <w:lang w:eastAsia="es-ES"/>
              </w:rPr>
            </w:pPr>
            <w:r w:rsidRPr="005B3A2F">
              <w:rPr>
                <w:rFonts w:ascii="Times New Roman" w:eastAsia="Times New Roman" w:hAnsi="Times New Roman" w:cs="Times New Roman"/>
                <w:b/>
                <w:color w:val="000000"/>
                <w:sz w:val="20"/>
                <w:lang w:eastAsia="es-ES"/>
              </w:rPr>
              <w:t>9,586</w:t>
            </w:r>
          </w:p>
        </w:tc>
      </w:tr>
    </w:tbl>
    <w:p w:rsidR="005B3A2F" w:rsidRDefault="005B3A2F" w:rsidP="005B3A2F">
      <w:pPr>
        <w:pStyle w:val="Epgrafe"/>
        <w:jc w:val="center"/>
        <w:rPr>
          <w:rFonts w:ascii="Times New Roman" w:hAnsi="Times New Roman" w:cs="Times New Roman"/>
          <w:b/>
          <w:i/>
          <w:sz w:val="20"/>
          <w:szCs w:val="20"/>
        </w:rPr>
      </w:pPr>
    </w:p>
    <w:p w:rsidR="005B3A2F" w:rsidRDefault="005B3A2F" w:rsidP="005B3A2F">
      <w:pPr>
        <w:pStyle w:val="Epgrafe"/>
        <w:jc w:val="center"/>
        <w:rPr>
          <w:rFonts w:ascii="Times New Roman" w:hAnsi="Times New Roman" w:cs="Times New Roman"/>
          <w:b/>
          <w:i/>
          <w:sz w:val="20"/>
          <w:szCs w:val="20"/>
        </w:rPr>
      </w:pPr>
    </w:p>
    <w:p w:rsidR="005B3A2F" w:rsidRPr="005B3A2F" w:rsidRDefault="005B3A2F" w:rsidP="005B3A2F">
      <w:pPr>
        <w:pStyle w:val="Epgrafe"/>
        <w:jc w:val="center"/>
        <w:rPr>
          <w:rFonts w:ascii="Times New Roman" w:hAnsi="Times New Roman" w:cs="Times New Roman"/>
          <w:b/>
          <w:i/>
          <w:sz w:val="20"/>
          <w:szCs w:val="20"/>
        </w:rPr>
      </w:pPr>
      <w:r w:rsidRPr="00CE4941">
        <w:rPr>
          <w:rFonts w:ascii="Times New Roman" w:hAnsi="Times New Roman" w:cs="Times New Roman"/>
          <w:b/>
          <w:i/>
          <w:szCs w:val="20"/>
        </w:rPr>
        <w:t xml:space="preserve">Número de denuncias atendidas por oficina regional y departamental del CONADEH durante el 2016 según grupo </w:t>
      </w:r>
      <w:r w:rsidR="00EC383D" w:rsidRPr="00CE4941">
        <w:rPr>
          <w:rFonts w:ascii="Times New Roman" w:hAnsi="Times New Roman" w:cs="Times New Roman"/>
          <w:b/>
          <w:i/>
          <w:szCs w:val="20"/>
        </w:rPr>
        <w:t>en condición de vulnerabilidad</w:t>
      </w:r>
      <w:r w:rsidRPr="005B3A2F">
        <w:rPr>
          <w:rFonts w:ascii="Times New Roman" w:hAnsi="Times New Roman" w:cs="Times New Roman"/>
          <w:b/>
          <w:i/>
          <w:sz w:val="20"/>
          <w:szCs w:val="20"/>
        </w:rPr>
        <w:t>.</w:t>
      </w:r>
    </w:p>
    <w:p w:rsidR="00CE4941" w:rsidRDefault="00CE4941" w:rsidP="00CD4085">
      <w:pPr>
        <w:jc w:val="both"/>
        <w:rPr>
          <w:rFonts w:ascii="Times New Roman" w:hAnsi="Times New Roman" w:cs="Times New Roman"/>
          <w:b/>
          <w:sz w:val="10"/>
        </w:rPr>
      </w:pPr>
    </w:p>
    <w:p w:rsidR="00CE4941" w:rsidRDefault="00CE4941" w:rsidP="00CD4085">
      <w:pPr>
        <w:jc w:val="both"/>
        <w:rPr>
          <w:rFonts w:ascii="Times New Roman" w:hAnsi="Times New Roman" w:cs="Times New Roman"/>
          <w:b/>
          <w:sz w:val="10"/>
        </w:rPr>
      </w:pPr>
    </w:p>
    <w:p w:rsidR="005B3A2F" w:rsidRDefault="00CE4941" w:rsidP="00CD4085">
      <w:pPr>
        <w:jc w:val="both"/>
        <w:rPr>
          <w:rFonts w:ascii="Times New Roman" w:hAnsi="Times New Roman" w:cs="Times New Roman"/>
        </w:rPr>
      </w:pPr>
      <w:r w:rsidRPr="00EC383D">
        <w:rPr>
          <w:rFonts w:ascii="Times New Roman" w:hAnsi="Times New Roman" w:cs="Times New Roman"/>
          <w:b/>
          <w:sz w:val="10"/>
        </w:rPr>
        <w:t>Fuente</w:t>
      </w:r>
      <w:r>
        <w:rPr>
          <w:rFonts w:ascii="Times New Roman" w:hAnsi="Times New Roman" w:cs="Times New Roman"/>
          <w:b/>
          <w:sz w:val="10"/>
        </w:rPr>
        <w:t>:</w:t>
      </w:r>
      <w:r w:rsidRPr="00EC383D">
        <w:rPr>
          <w:rFonts w:ascii="Times New Roman" w:hAnsi="Times New Roman" w:cs="Times New Roman"/>
          <w:b/>
          <w:sz w:val="10"/>
        </w:rPr>
        <w:t xml:space="preserve"> CONADEH, Informe Anual 2016</w:t>
      </w:r>
    </w:p>
    <w:p w:rsidR="005B3A2F" w:rsidRDefault="005B3A2F" w:rsidP="00CD4085">
      <w:pPr>
        <w:jc w:val="both"/>
        <w:rPr>
          <w:rFonts w:ascii="Times New Roman" w:hAnsi="Times New Roman" w:cs="Times New Roman"/>
        </w:rPr>
      </w:pPr>
    </w:p>
    <w:p w:rsidR="005B3A2F" w:rsidRDefault="005B3A2F" w:rsidP="00CD4085">
      <w:pPr>
        <w:jc w:val="both"/>
        <w:rPr>
          <w:rFonts w:ascii="Times New Roman" w:hAnsi="Times New Roman" w:cs="Times New Roman"/>
        </w:rPr>
      </w:pPr>
    </w:p>
    <w:p w:rsidR="005B3A2F" w:rsidRPr="00BF375B" w:rsidRDefault="005B3A2F" w:rsidP="005B3A2F">
      <w:pPr>
        <w:pStyle w:val="H23G"/>
      </w:pPr>
      <w:r w:rsidRPr="00BF375B">
        <w:t>Violencia contra la mujer (arts. 3 y 7)</w:t>
      </w:r>
    </w:p>
    <w:p w:rsidR="005B3A2F" w:rsidRPr="005B3A2F" w:rsidRDefault="005B3A2F" w:rsidP="005B3A2F">
      <w:pPr>
        <w:jc w:val="both"/>
        <w:rPr>
          <w:rFonts w:ascii="Times New Roman" w:hAnsi="Times New Roman" w:cs="Times New Roman"/>
          <w:sz w:val="20"/>
          <w:szCs w:val="20"/>
          <w:lang w:val="es-ES"/>
        </w:rPr>
      </w:pPr>
      <w:r w:rsidRPr="005B3A2F">
        <w:rPr>
          <w:rFonts w:ascii="Times New Roman" w:hAnsi="Times New Roman" w:cs="Times New Roman"/>
          <w:sz w:val="20"/>
          <w:szCs w:val="20"/>
          <w:lang w:val="es-ES"/>
        </w:rPr>
        <w:t>Para el CONADEH es motivo de preocupación las muertes violentas de mujeres, sobre todo, por el ensañamiento y el tipo de violen</w:t>
      </w:r>
      <w:r w:rsidR="00613064">
        <w:rPr>
          <w:rFonts w:ascii="Times New Roman" w:hAnsi="Times New Roman" w:cs="Times New Roman"/>
          <w:sz w:val="20"/>
          <w:szCs w:val="20"/>
          <w:lang w:val="es-ES"/>
        </w:rPr>
        <w:t>cia que se utiliza en cada caso, s</w:t>
      </w:r>
      <w:r w:rsidRPr="005B3A2F">
        <w:rPr>
          <w:rFonts w:ascii="Times New Roman" w:hAnsi="Times New Roman" w:cs="Times New Roman"/>
          <w:sz w:val="20"/>
          <w:szCs w:val="20"/>
          <w:lang w:val="es-ES"/>
        </w:rPr>
        <w:t xml:space="preserve">ituación que refleja un patrón </w:t>
      </w:r>
      <w:r w:rsidR="00613064">
        <w:rPr>
          <w:rFonts w:ascii="Times New Roman" w:hAnsi="Times New Roman" w:cs="Times New Roman"/>
          <w:sz w:val="20"/>
          <w:szCs w:val="20"/>
          <w:lang w:val="es-ES"/>
        </w:rPr>
        <w:t>contra el cual el Estado debe controlar y erradicar. E</w:t>
      </w:r>
      <w:r w:rsidRPr="005B3A2F">
        <w:rPr>
          <w:rFonts w:ascii="Times New Roman" w:hAnsi="Times New Roman" w:cs="Times New Roman"/>
          <w:sz w:val="20"/>
          <w:szCs w:val="20"/>
          <w:lang w:val="es-ES"/>
        </w:rPr>
        <w:t>l femicidio constituye la mayor y más grave violación de los derechos humanos de la mujer. La falta de estrategias de carácter preventivo e investigativo, contribuye al predominio de la impunidad.</w:t>
      </w:r>
    </w:p>
    <w:p w:rsidR="005B3A2F" w:rsidRPr="005B3A2F" w:rsidRDefault="005B3A2F" w:rsidP="005B3A2F">
      <w:pPr>
        <w:jc w:val="both"/>
        <w:rPr>
          <w:rFonts w:ascii="Times New Roman" w:hAnsi="Times New Roman" w:cs="Times New Roman"/>
          <w:sz w:val="20"/>
          <w:szCs w:val="20"/>
          <w:lang w:val="es-ES"/>
        </w:rPr>
      </w:pPr>
      <w:r w:rsidRPr="005B3A2F">
        <w:rPr>
          <w:rFonts w:ascii="Times New Roman" w:hAnsi="Times New Roman" w:cs="Times New Roman"/>
          <w:sz w:val="20"/>
          <w:szCs w:val="20"/>
          <w:lang w:val="es-ES"/>
        </w:rPr>
        <w:t>Se estima que entre el año 2006 y 2016 murieron alrededor de 4,787 mujeres en circunstancias violentas. Cifra que podría aumentar de mantenerse la tendencia de muerte de una víctima cada 18 horas. En 2016, perdieron la vida de manera violenta 466 mujeres</w:t>
      </w:r>
      <w:r>
        <w:rPr>
          <w:rFonts w:ascii="Times New Roman" w:hAnsi="Times New Roman" w:cs="Times New Roman"/>
          <w:sz w:val="20"/>
          <w:szCs w:val="20"/>
          <w:lang w:val="es-ES"/>
        </w:rPr>
        <w:t xml:space="preserve">. </w:t>
      </w:r>
    </w:p>
    <w:p w:rsidR="005B3A2F" w:rsidRPr="005B3A2F" w:rsidRDefault="005B3A2F" w:rsidP="005B3A2F">
      <w:pPr>
        <w:pStyle w:val="Epgrafe"/>
        <w:jc w:val="center"/>
        <w:rPr>
          <w:rFonts w:ascii="Times New Roman" w:hAnsi="Times New Roman" w:cs="Times New Roman"/>
          <w:b/>
          <w:i/>
          <w:sz w:val="16"/>
        </w:rPr>
      </w:pPr>
      <w:bookmarkStart w:id="0" w:name="_Toc480815771"/>
      <w:r w:rsidRPr="005B3A2F">
        <w:rPr>
          <w:rFonts w:ascii="Times New Roman" w:hAnsi="Times New Roman" w:cs="Times New Roman"/>
          <w:b/>
          <w:i/>
          <w:caps w:val="0"/>
          <w:sz w:val="16"/>
        </w:rPr>
        <w:t>NÚMERO Y PROMEDIO DIARIO Y MENSUAL DE MUJERES QUE HAN PERDIDO LA VIDA DE MANERA VIOLENTA, 2006-2016</w:t>
      </w:r>
      <w:bookmarkEnd w:id="0"/>
    </w:p>
    <w:tbl>
      <w:tblPr>
        <w:tblStyle w:val="Tabladecuadrcula4-nfasis51"/>
        <w:tblW w:w="9143" w:type="dxa"/>
        <w:tblLook w:val="04A0" w:firstRow="1" w:lastRow="0" w:firstColumn="1" w:lastColumn="0" w:noHBand="0" w:noVBand="1"/>
      </w:tblPr>
      <w:tblGrid>
        <w:gridCol w:w="1092"/>
        <w:gridCol w:w="665"/>
        <w:gridCol w:w="665"/>
        <w:gridCol w:w="665"/>
        <w:gridCol w:w="667"/>
        <w:gridCol w:w="665"/>
        <w:gridCol w:w="665"/>
        <w:gridCol w:w="665"/>
        <w:gridCol w:w="665"/>
        <w:gridCol w:w="665"/>
        <w:gridCol w:w="665"/>
        <w:gridCol w:w="734"/>
        <w:gridCol w:w="665"/>
      </w:tblGrid>
      <w:tr w:rsidR="005B3A2F" w:rsidRPr="005B3A2F" w:rsidTr="00D40E94">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1092" w:type="dxa"/>
            <w:vAlign w:val="center"/>
          </w:tcPr>
          <w:p w:rsidR="005B3A2F" w:rsidRPr="005B3A2F" w:rsidRDefault="005B3A2F" w:rsidP="00D40E94">
            <w:pPr>
              <w:jc w:val="center"/>
              <w:rPr>
                <w:rFonts w:ascii="Times New Roman" w:hAnsi="Times New Roman" w:cs="Times New Roman"/>
                <w:sz w:val="16"/>
                <w:szCs w:val="16"/>
              </w:rPr>
            </w:pPr>
            <w:r w:rsidRPr="005B3A2F">
              <w:rPr>
                <w:rFonts w:ascii="Times New Roman" w:hAnsi="Times New Roman" w:cs="Times New Roman"/>
                <w:sz w:val="16"/>
                <w:szCs w:val="16"/>
              </w:rPr>
              <w:t>Año</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2006</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2007</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2008</w:t>
            </w:r>
          </w:p>
        </w:tc>
        <w:tc>
          <w:tcPr>
            <w:tcW w:w="667"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2009</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2010</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2011</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2012</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2013</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2014</w:t>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2015</w:t>
            </w:r>
          </w:p>
        </w:tc>
        <w:tc>
          <w:tcPr>
            <w:tcW w:w="734"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2016</w:t>
            </w:r>
            <w:r w:rsidRPr="005B3A2F">
              <w:rPr>
                <w:rStyle w:val="Refdenotaalpie"/>
                <w:rFonts w:ascii="Times New Roman" w:hAnsi="Times New Roman" w:cs="Times New Roman"/>
                <w:sz w:val="16"/>
                <w:szCs w:val="16"/>
              </w:rPr>
              <w:footnoteReference w:id="3"/>
            </w:r>
          </w:p>
        </w:tc>
        <w:tc>
          <w:tcPr>
            <w:tcW w:w="665" w:type="dxa"/>
            <w:vAlign w:val="center"/>
          </w:tcPr>
          <w:p w:rsidR="005B3A2F" w:rsidRPr="005B3A2F" w:rsidRDefault="005B3A2F" w:rsidP="00D40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Total</w:t>
            </w:r>
          </w:p>
        </w:tc>
      </w:tr>
      <w:tr w:rsidR="005B3A2F" w:rsidRPr="005B3A2F" w:rsidTr="00D40E94">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092" w:type="dxa"/>
            <w:vAlign w:val="center"/>
          </w:tcPr>
          <w:p w:rsidR="005B3A2F" w:rsidRPr="005B3A2F" w:rsidRDefault="005B3A2F" w:rsidP="00D40E94">
            <w:pPr>
              <w:jc w:val="center"/>
              <w:rPr>
                <w:rFonts w:ascii="Times New Roman" w:hAnsi="Times New Roman" w:cs="Times New Roman"/>
                <w:sz w:val="16"/>
                <w:szCs w:val="16"/>
              </w:rPr>
            </w:pPr>
            <w:r w:rsidRPr="005B3A2F">
              <w:rPr>
                <w:rFonts w:ascii="Times New Roman" w:hAnsi="Times New Roman" w:cs="Times New Roman"/>
                <w:sz w:val="16"/>
                <w:szCs w:val="16"/>
              </w:rPr>
              <w:t>Cantidad</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202</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295</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313</w:t>
            </w:r>
          </w:p>
        </w:tc>
        <w:tc>
          <w:tcPr>
            <w:tcW w:w="667"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363</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385</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512</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606</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636</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531</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478</w:t>
            </w:r>
          </w:p>
        </w:tc>
        <w:tc>
          <w:tcPr>
            <w:tcW w:w="734"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466</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4787</w:t>
            </w:r>
          </w:p>
        </w:tc>
      </w:tr>
      <w:tr w:rsidR="005B3A2F" w:rsidRPr="005B3A2F" w:rsidTr="00D40E94">
        <w:trPr>
          <w:trHeight w:val="246"/>
        </w:trPr>
        <w:tc>
          <w:tcPr>
            <w:cnfStyle w:val="001000000000" w:firstRow="0" w:lastRow="0" w:firstColumn="1" w:lastColumn="0" w:oddVBand="0" w:evenVBand="0" w:oddHBand="0" w:evenHBand="0" w:firstRowFirstColumn="0" w:firstRowLastColumn="0" w:lastRowFirstColumn="0" w:lastRowLastColumn="0"/>
            <w:tcW w:w="1092" w:type="dxa"/>
            <w:vAlign w:val="center"/>
          </w:tcPr>
          <w:p w:rsidR="005B3A2F" w:rsidRPr="005B3A2F" w:rsidRDefault="005B3A2F" w:rsidP="00D40E94">
            <w:pPr>
              <w:jc w:val="center"/>
              <w:rPr>
                <w:rFonts w:ascii="Times New Roman" w:hAnsi="Times New Roman" w:cs="Times New Roman"/>
                <w:sz w:val="16"/>
                <w:szCs w:val="16"/>
              </w:rPr>
            </w:pPr>
            <w:r w:rsidRPr="005B3A2F">
              <w:rPr>
                <w:rFonts w:ascii="Times New Roman" w:hAnsi="Times New Roman" w:cs="Times New Roman"/>
                <w:sz w:val="16"/>
                <w:szCs w:val="16"/>
              </w:rPr>
              <w:t>Promedio Mensual</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16.83</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24.58</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26.08</w:t>
            </w:r>
          </w:p>
        </w:tc>
        <w:tc>
          <w:tcPr>
            <w:tcW w:w="667"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30.25</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32.08</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42.66</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38.83</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52.5</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44.25</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39.83</w:t>
            </w:r>
          </w:p>
        </w:tc>
        <w:tc>
          <w:tcPr>
            <w:tcW w:w="734"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38.83</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5B3A2F" w:rsidRPr="005B3A2F" w:rsidTr="00D40E94">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092" w:type="dxa"/>
            <w:vAlign w:val="center"/>
          </w:tcPr>
          <w:p w:rsidR="005B3A2F" w:rsidRPr="005B3A2F" w:rsidRDefault="005B3A2F" w:rsidP="00D40E94">
            <w:pPr>
              <w:jc w:val="center"/>
              <w:rPr>
                <w:rFonts w:ascii="Times New Roman" w:hAnsi="Times New Roman" w:cs="Times New Roman"/>
                <w:sz w:val="16"/>
                <w:szCs w:val="16"/>
              </w:rPr>
            </w:pPr>
            <w:r w:rsidRPr="005B3A2F">
              <w:rPr>
                <w:rFonts w:ascii="Times New Roman" w:hAnsi="Times New Roman" w:cs="Times New Roman"/>
                <w:sz w:val="16"/>
                <w:szCs w:val="16"/>
              </w:rPr>
              <w:t>Promedio Diario</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0.56</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0.81</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0.86</w:t>
            </w:r>
          </w:p>
        </w:tc>
        <w:tc>
          <w:tcPr>
            <w:tcW w:w="667"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0.99</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1.05</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1.40</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1.29</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1.77</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1.47</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1.32</w:t>
            </w:r>
          </w:p>
        </w:tc>
        <w:tc>
          <w:tcPr>
            <w:tcW w:w="734"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1.29</w:t>
            </w:r>
          </w:p>
        </w:tc>
        <w:tc>
          <w:tcPr>
            <w:tcW w:w="665" w:type="dxa"/>
            <w:vAlign w:val="center"/>
          </w:tcPr>
          <w:p w:rsidR="005B3A2F" w:rsidRPr="005B3A2F" w:rsidRDefault="005B3A2F" w:rsidP="00D40E9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r>
      <w:tr w:rsidR="005B3A2F" w:rsidRPr="005B3A2F" w:rsidTr="00D40E94">
        <w:trPr>
          <w:trHeight w:val="456"/>
        </w:trPr>
        <w:tc>
          <w:tcPr>
            <w:cnfStyle w:val="001000000000" w:firstRow="0" w:lastRow="0" w:firstColumn="1" w:lastColumn="0" w:oddVBand="0" w:evenVBand="0" w:oddHBand="0" w:evenHBand="0" w:firstRowFirstColumn="0" w:firstRowLastColumn="0" w:lastRowFirstColumn="0" w:lastRowLastColumn="0"/>
            <w:tcW w:w="3753" w:type="dxa"/>
            <w:gridSpan w:val="5"/>
            <w:vAlign w:val="center"/>
          </w:tcPr>
          <w:p w:rsidR="005B3A2F" w:rsidRPr="005B3A2F" w:rsidRDefault="005B3A2F" w:rsidP="00D40E94">
            <w:pPr>
              <w:jc w:val="center"/>
              <w:rPr>
                <w:rFonts w:ascii="Times New Roman" w:hAnsi="Times New Roman" w:cs="Times New Roman"/>
                <w:sz w:val="16"/>
                <w:szCs w:val="16"/>
              </w:rPr>
            </w:pPr>
            <w:r w:rsidRPr="005B3A2F">
              <w:rPr>
                <w:rFonts w:ascii="Times New Roman" w:hAnsi="Times New Roman" w:cs="Times New Roman"/>
                <w:sz w:val="16"/>
                <w:szCs w:val="16"/>
              </w:rPr>
              <w:lastRenderedPageBreak/>
              <w:t>Muertes por horas; en promedio, en Honduras, muere violentamente una mujer cada:</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23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17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14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13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16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18 horas</w:t>
            </w:r>
          </w:p>
        </w:tc>
        <w:tc>
          <w:tcPr>
            <w:tcW w:w="734"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5B3A2F">
              <w:rPr>
                <w:rFonts w:ascii="Times New Roman" w:hAnsi="Times New Roman" w:cs="Times New Roman"/>
                <w:sz w:val="16"/>
                <w:szCs w:val="16"/>
              </w:rPr>
              <w:t>18 horas</w:t>
            </w:r>
          </w:p>
        </w:tc>
        <w:tc>
          <w:tcPr>
            <w:tcW w:w="665" w:type="dxa"/>
            <w:vAlign w:val="center"/>
          </w:tcPr>
          <w:p w:rsidR="005B3A2F" w:rsidRPr="005B3A2F" w:rsidRDefault="005B3A2F" w:rsidP="00D40E9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bl>
    <w:p w:rsidR="005B3A2F" w:rsidRPr="005B3A2F" w:rsidRDefault="005B3A2F" w:rsidP="005B3A2F">
      <w:pPr>
        <w:jc w:val="both"/>
        <w:rPr>
          <w:rFonts w:ascii="Times New Roman" w:hAnsi="Times New Roman" w:cs="Times New Roman"/>
          <w:sz w:val="20"/>
          <w:szCs w:val="20"/>
          <w:lang w:val="es-ES"/>
        </w:rPr>
      </w:pPr>
    </w:p>
    <w:p w:rsidR="00E9019E" w:rsidRDefault="005B3A2F">
      <w:pPr>
        <w:rPr>
          <w:rFonts w:ascii="Times New Roman" w:hAnsi="Times New Roman" w:cs="Times New Roman"/>
          <w:sz w:val="20"/>
          <w:szCs w:val="20"/>
        </w:rPr>
      </w:pPr>
      <w:r w:rsidRPr="005B3A2F">
        <w:rPr>
          <w:rFonts w:ascii="Times New Roman" w:hAnsi="Times New Roman" w:cs="Times New Roman"/>
          <w:sz w:val="20"/>
          <w:szCs w:val="20"/>
        </w:rPr>
        <w:t xml:space="preserve">En el 2016, </w:t>
      </w:r>
      <w:r w:rsidR="00613064">
        <w:rPr>
          <w:rFonts w:ascii="Times New Roman" w:hAnsi="Times New Roman" w:cs="Times New Roman"/>
          <w:sz w:val="20"/>
          <w:szCs w:val="20"/>
        </w:rPr>
        <w:t>el CONADEH recibió 1,786 quejas</w:t>
      </w:r>
      <w:r w:rsidRPr="005B3A2F">
        <w:rPr>
          <w:rFonts w:ascii="Times New Roman" w:hAnsi="Times New Roman" w:cs="Times New Roman"/>
          <w:sz w:val="20"/>
          <w:szCs w:val="20"/>
        </w:rPr>
        <w:t xml:space="preserve"> de mujeres, relacionadas con el derecho a la vida e integridad personal</w:t>
      </w:r>
      <w:r>
        <w:rPr>
          <w:rFonts w:ascii="Times New Roman" w:hAnsi="Times New Roman" w:cs="Times New Roman"/>
          <w:sz w:val="20"/>
          <w:szCs w:val="20"/>
        </w:rPr>
        <w:t xml:space="preserve">. </w:t>
      </w:r>
    </w:p>
    <w:p w:rsidR="005B3A2F" w:rsidRDefault="005B3A2F" w:rsidP="00BA2653">
      <w:pPr>
        <w:jc w:val="both"/>
        <w:rPr>
          <w:rFonts w:ascii="Times New Roman" w:hAnsi="Times New Roman" w:cs="Times New Roman"/>
          <w:sz w:val="20"/>
          <w:szCs w:val="20"/>
        </w:rPr>
      </w:pPr>
      <w:r w:rsidRPr="005B3A2F">
        <w:rPr>
          <w:rFonts w:ascii="Times New Roman" w:hAnsi="Times New Roman" w:cs="Times New Roman"/>
          <w:sz w:val="20"/>
          <w:szCs w:val="20"/>
        </w:rPr>
        <w:t>La Unidad de Desplazamiento Interno del CONADEH, identificó 757 casos de desplazamiento, entre las quejas registradas en el CONADEH, de los cuales el 50.5% corresponde a mujeres. Sin embargo, dada la naturaleza de la recepción de quejas es importante aclarar que una parte de los registros (91 casos equivalente al 12%) incluyen mujeres que presentaron quejas sobre hechos de violencia con respect</w:t>
      </w:r>
      <w:r w:rsidR="00613064">
        <w:rPr>
          <w:rFonts w:ascii="Times New Roman" w:hAnsi="Times New Roman" w:cs="Times New Roman"/>
          <w:sz w:val="20"/>
          <w:szCs w:val="20"/>
        </w:rPr>
        <w:t>o a familiares, amigos o vecinos</w:t>
      </w:r>
      <w:r w:rsidRPr="005B3A2F">
        <w:rPr>
          <w:rFonts w:ascii="Times New Roman" w:hAnsi="Times New Roman" w:cs="Times New Roman"/>
          <w:sz w:val="20"/>
          <w:szCs w:val="20"/>
        </w:rPr>
        <w:t xml:space="preserve"> y que derivaron en una situación de riesgo o desplazamiento para ellos.</w:t>
      </w:r>
      <w:r w:rsidR="00BA2653">
        <w:rPr>
          <w:rFonts w:ascii="Times New Roman" w:hAnsi="Times New Roman" w:cs="Times New Roman"/>
          <w:sz w:val="20"/>
          <w:szCs w:val="20"/>
        </w:rPr>
        <w:t xml:space="preserve"> </w:t>
      </w:r>
    </w:p>
    <w:p w:rsidR="00BA2653" w:rsidRDefault="0053114C" w:rsidP="0053114C">
      <w:pPr>
        <w:jc w:val="both"/>
        <w:rPr>
          <w:rFonts w:ascii="Times New Roman" w:hAnsi="Times New Roman" w:cs="Times New Roman"/>
          <w:b/>
          <w:sz w:val="20"/>
          <w:szCs w:val="20"/>
        </w:rPr>
      </w:pPr>
      <w:r w:rsidRPr="0053114C">
        <w:rPr>
          <w:rFonts w:ascii="Times New Roman" w:hAnsi="Times New Roman" w:cs="Times New Roman"/>
          <w:b/>
          <w:sz w:val="20"/>
          <w:szCs w:val="20"/>
        </w:rPr>
        <w:t xml:space="preserve">Derecho a la vida y a la seguridad personal y prohibición de la tortura y otros tratos o penas crueles, </w:t>
      </w:r>
      <w:r>
        <w:rPr>
          <w:rFonts w:ascii="Times New Roman" w:hAnsi="Times New Roman" w:cs="Times New Roman"/>
          <w:b/>
          <w:sz w:val="20"/>
          <w:szCs w:val="20"/>
        </w:rPr>
        <w:t>i</w:t>
      </w:r>
      <w:r w:rsidRPr="0053114C">
        <w:rPr>
          <w:rFonts w:ascii="Times New Roman" w:hAnsi="Times New Roman" w:cs="Times New Roman"/>
          <w:b/>
          <w:sz w:val="20"/>
          <w:szCs w:val="20"/>
        </w:rPr>
        <w:t>nhumanos o degradantes (arts. 2, 6, 7, 9 y 24)</w:t>
      </w:r>
    </w:p>
    <w:tbl>
      <w:tblPr>
        <w:tblStyle w:val="Tabladecuadrcula3-nfasis11"/>
        <w:tblpPr w:leftFromText="141" w:rightFromText="141" w:vertAnchor="text" w:horzAnchor="margin" w:tblpXSpec="right" w:tblpY="550"/>
        <w:tblW w:w="4678" w:type="dxa"/>
        <w:tblLook w:val="04A0" w:firstRow="1" w:lastRow="0" w:firstColumn="1" w:lastColumn="0" w:noHBand="0" w:noVBand="1"/>
      </w:tblPr>
      <w:tblGrid>
        <w:gridCol w:w="2729"/>
        <w:gridCol w:w="1949"/>
      </w:tblGrid>
      <w:tr w:rsidR="0053114C" w:rsidRPr="008A3216" w:rsidTr="0053114C">
        <w:trPr>
          <w:cnfStyle w:val="100000000000" w:firstRow="1" w:lastRow="0" w:firstColumn="0" w:lastColumn="0" w:oddVBand="0" w:evenVBand="0" w:oddHBand="0" w:evenHBand="0" w:firstRowFirstColumn="0" w:firstRowLastColumn="0" w:lastRowFirstColumn="0" w:lastRowLastColumn="0"/>
          <w:trHeight w:val="416"/>
        </w:trPr>
        <w:tc>
          <w:tcPr>
            <w:cnfStyle w:val="001000000100" w:firstRow="0" w:lastRow="0" w:firstColumn="1" w:lastColumn="0" w:oddVBand="0" w:evenVBand="0" w:oddHBand="0" w:evenHBand="0" w:firstRowFirstColumn="1" w:firstRowLastColumn="0" w:lastRowFirstColumn="0" w:lastRowLastColumn="0"/>
            <w:tcW w:w="2729" w:type="dxa"/>
            <w:noWrap/>
            <w:hideMark/>
          </w:tcPr>
          <w:p w:rsidR="0053114C" w:rsidRPr="0006027A" w:rsidRDefault="0053114C" w:rsidP="0053114C">
            <w:pPr>
              <w:rPr>
                <w:rFonts w:ascii="Calibri" w:eastAsia="Times New Roman" w:hAnsi="Calibri" w:cs="Times New Roman"/>
                <w:color w:val="000000"/>
                <w:sz w:val="20"/>
                <w:lang w:eastAsia="es-ES"/>
              </w:rPr>
            </w:pPr>
            <w:r w:rsidRPr="0006027A">
              <w:rPr>
                <w:rFonts w:ascii="Calibri" w:eastAsia="Times New Roman" w:hAnsi="Calibri" w:cs="Times New Roman"/>
                <w:color w:val="000000"/>
                <w:sz w:val="20"/>
                <w:lang w:eastAsia="es-ES"/>
              </w:rPr>
              <w:t xml:space="preserve">Modalidad Violatoria </w:t>
            </w:r>
          </w:p>
        </w:tc>
        <w:tc>
          <w:tcPr>
            <w:tcW w:w="1949" w:type="dxa"/>
            <w:hideMark/>
          </w:tcPr>
          <w:p w:rsidR="0053114C" w:rsidRPr="0006027A" w:rsidRDefault="0053114C" w:rsidP="0053114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06027A">
              <w:rPr>
                <w:rFonts w:ascii="Calibri" w:eastAsia="Times New Roman" w:hAnsi="Calibri" w:cs="Times New Roman"/>
                <w:color w:val="000000"/>
                <w:sz w:val="20"/>
                <w:lang w:eastAsia="es-ES"/>
              </w:rPr>
              <w:t>Cantidad</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Integridad personal</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2</w:t>
            </w:r>
            <w:r>
              <w:rPr>
                <w:rFonts w:ascii="Calibri" w:eastAsia="Times New Roman" w:hAnsi="Calibri" w:cs="Times New Roman"/>
                <w:color w:val="000000"/>
                <w:sz w:val="20"/>
                <w:lang w:eastAsia="es-ES"/>
              </w:rPr>
              <w:t>,</w:t>
            </w:r>
            <w:r w:rsidRPr="00344472">
              <w:rPr>
                <w:rFonts w:ascii="Calibri" w:eastAsia="Times New Roman" w:hAnsi="Calibri" w:cs="Times New Roman"/>
                <w:color w:val="000000"/>
                <w:sz w:val="20"/>
                <w:lang w:eastAsia="es-ES"/>
              </w:rPr>
              <w:t>178</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Vida</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1</w:t>
            </w:r>
            <w:r>
              <w:rPr>
                <w:rFonts w:ascii="Calibri" w:eastAsia="Times New Roman" w:hAnsi="Calibri" w:cs="Times New Roman"/>
                <w:color w:val="000000"/>
                <w:sz w:val="20"/>
                <w:lang w:eastAsia="es-ES"/>
              </w:rPr>
              <w:t>,</w:t>
            </w:r>
            <w:r w:rsidRPr="00344472">
              <w:rPr>
                <w:rFonts w:ascii="Calibri" w:eastAsia="Times New Roman" w:hAnsi="Calibri" w:cs="Times New Roman"/>
                <w:color w:val="000000"/>
                <w:sz w:val="20"/>
                <w:lang w:eastAsia="es-ES"/>
              </w:rPr>
              <w:t>430</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Derecho de petición</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930</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Familia</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446</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Propiedad</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244</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Honra y dignidad</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162</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Nombre</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37</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Políticos</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10</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Personalidad Jurídica</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3</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Rectificación y Respuesta</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2</w:t>
            </w:r>
          </w:p>
        </w:tc>
      </w:tr>
      <w:tr w:rsidR="0053114C" w:rsidRPr="00344472" w:rsidTr="005311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Nacionalidad</w:t>
            </w:r>
          </w:p>
        </w:tc>
        <w:tc>
          <w:tcPr>
            <w:tcW w:w="1949" w:type="dxa"/>
            <w:noWrap/>
            <w:hideMark/>
          </w:tcPr>
          <w:p w:rsidR="0053114C" w:rsidRPr="00344472" w:rsidRDefault="0053114C" w:rsidP="0053114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es-ES"/>
              </w:rPr>
            </w:pPr>
            <w:r w:rsidRPr="00344472">
              <w:rPr>
                <w:rFonts w:ascii="Calibri" w:eastAsia="Times New Roman" w:hAnsi="Calibri" w:cs="Times New Roman"/>
                <w:color w:val="000000"/>
                <w:sz w:val="20"/>
                <w:lang w:eastAsia="es-ES"/>
              </w:rPr>
              <w:t>2</w:t>
            </w:r>
          </w:p>
        </w:tc>
      </w:tr>
      <w:tr w:rsidR="0053114C" w:rsidRPr="00344472" w:rsidTr="0053114C">
        <w:trPr>
          <w:trHeight w:val="300"/>
        </w:trPr>
        <w:tc>
          <w:tcPr>
            <w:cnfStyle w:val="001000000000" w:firstRow="0" w:lastRow="0" w:firstColumn="1" w:lastColumn="0" w:oddVBand="0" w:evenVBand="0" w:oddHBand="0" w:evenHBand="0" w:firstRowFirstColumn="0" w:firstRowLastColumn="0" w:lastRowFirstColumn="0" w:lastRowLastColumn="0"/>
            <w:tcW w:w="2729" w:type="dxa"/>
            <w:noWrap/>
            <w:hideMark/>
          </w:tcPr>
          <w:p w:rsidR="0053114C" w:rsidRPr="00344472" w:rsidRDefault="0053114C" w:rsidP="0053114C">
            <w:pPr>
              <w:rPr>
                <w:rFonts w:ascii="Calibri" w:eastAsia="Times New Roman" w:hAnsi="Calibri" w:cs="Times New Roman"/>
                <w:b/>
                <w:bCs/>
                <w:color w:val="000000"/>
                <w:sz w:val="20"/>
                <w:lang w:eastAsia="es-ES"/>
              </w:rPr>
            </w:pPr>
            <w:r w:rsidRPr="00344472">
              <w:rPr>
                <w:rFonts w:ascii="Calibri" w:eastAsia="Times New Roman" w:hAnsi="Calibri" w:cs="Times New Roman"/>
                <w:b/>
                <w:bCs/>
                <w:color w:val="000000"/>
                <w:sz w:val="20"/>
                <w:lang w:eastAsia="es-ES"/>
              </w:rPr>
              <w:t>Total general</w:t>
            </w:r>
          </w:p>
        </w:tc>
        <w:tc>
          <w:tcPr>
            <w:tcW w:w="1949" w:type="dxa"/>
            <w:noWrap/>
            <w:hideMark/>
          </w:tcPr>
          <w:p w:rsidR="0053114C" w:rsidRPr="00344472" w:rsidRDefault="0053114C" w:rsidP="0053114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es-ES"/>
              </w:rPr>
            </w:pPr>
            <w:r w:rsidRPr="00344472">
              <w:rPr>
                <w:rFonts w:ascii="Calibri" w:eastAsia="Times New Roman" w:hAnsi="Calibri" w:cs="Times New Roman"/>
                <w:b/>
                <w:bCs/>
                <w:color w:val="000000"/>
                <w:sz w:val="20"/>
                <w:lang w:eastAsia="es-ES"/>
              </w:rPr>
              <w:t>5,444</w:t>
            </w:r>
          </w:p>
        </w:tc>
      </w:tr>
    </w:tbl>
    <w:p w:rsidR="0053114C" w:rsidRDefault="0053114C" w:rsidP="0053114C">
      <w:pPr>
        <w:jc w:val="both"/>
        <w:rPr>
          <w:rFonts w:ascii="Times New Roman" w:hAnsi="Times New Roman" w:cs="Times New Roman"/>
          <w:sz w:val="20"/>
          <w:szCs w:val="20"/>
        </w:rPr>
      </w:pPr>
      <w:r w:rsidRPr="0053114C">
        <w:rPr>
          <w:rFonts w:ascii="Times New Roman" w:hAnsi="Times New Roman" w:cs="Times New Roman"/>
          <w:sz w:val="20"/>
          <w:szCs w:val="20"/>
        </w:rPr>
        <w:t>Durante el 2016, el CONADEH atendió un total de 5,444 quejas que corresponden a Derechos Civiles y Políticos</w:t>
      </w:r>
      <w:r>
        <w:rPr>
          <w:rFonts w:ascii="Times New Roman" w:hAnsi="Times New Roman" w:cs="Times New Roman"/>
          <w:sz w:val="20"/>
          <w:szCs w:val="20"/>
        </w:rPr>
        <w:t xml:space="preserve">. </w:t>
      </w:r>
    </w:p>
    <w:p w:rsidR="0053114C" w:rsidRDefault="0053114C" w:rsidP="0053114C">
      <w:pPr>
        <w:jc w:val="both"/>
        <w:rPr>
          <w:rFonts w:ascii="Times New Roman" w:hAnsi="Times New Roman" w:cs="Times New Roman"/>
          <w:sz w:val="20"/>
          <w:szCs w:val="20"/>
        </w:rPr>
      </w:pPr>
    </w:p>
    <w:p w:rsidR="0053114C" w:rsidRDefault="0053114C" w:rsidP="0053114C">
      <w:pPr>
        <w:jc w:val="both"/>
        <w:rPr>
          <w:rFonts w:ascii="Times New Roman" w:hAnsi="Times New Roman" w:cs="Times New Roman"/>
          <w:sz w:val="20"/>
          <w:szCs w:val="20"/>
        </w:rPr>
      </w:pPr>
    </w:p>
    <w:p w:rsidR="0053114C" w:rsidRDefault="0053114C" w:rsidP="0053114C">
      <w:pPr>
        <w:jc w:val="both"/>
        <w:rPr>
          <w:rFonts w:ascii="Times New Roman" w:hAnsi="Times New Roman" w:cs="Times New Roman"/>
          <w:sz w:val="20"/>
          <w:szCs w:val="20"/>
        </w:rPr>
      </w:pPr>
    </w:p>
    <w:p w:rsidR="0053114C" w:rsidRPr="00344472" w:rsidRDefault="0053114C" w:rsidP="0053114C">
      <w:pPr>
        <w:pStyle w:val="Epgrafe"/>
        <w:jc w:val="center"/>
        <w:rPr>
          <w:rFonts w:ascii="Calibri Light" w:eastAsia="MS Mincho" w:hAnsi="Calibri Light" w:cs="Gisha"/>
          <w:b/>
          <w:i/>
        </w:rPr>
      </w:pPr>
      <w:r w:rsidRPr="00344472">
        <w:rPr>
          <w:b/>
          <w:i/>
          <w:caps w:val="0"/>
          <w:sz w:val="16"/>
        </w:rPr>
        <w:t>NÚMERO DE</w:t>
      </w:r>
      <w:r w:rsidR="006A2A64">
        <w:rPr>
          <w:b/>
          <w:i/>
          <w:caps w:val="0"/>
          <w:sz w:val="16"/>
        </w:rPr>
        <w:t xml:space="preserve"> QUEJAS</w:t>
      </w:r>
      <w:r w:rsidRPr="00344472">
        <w:rPr>
          <w:b/>
          <w:i/>
          <w:caps w:val="0"/>
          <w:sz w:val="16"/>
        </w:rPr>
        <w:t xml:space="preserve"> ATENDIDAS SEGÚN TIPIFICACIÓN DE DERECHOS PERSONALÍSIMOS A NIVEL NACIONAL DURANTE EL 2016.</w:t>
      </w:r>
    </w:p>
    <w:p w:rsidR="0053114C" w:rsidRPr="0053114C" w:rsidRDefault="0053114C" w:rsidP="0053114C">
      <w:pPr>
        <w:jc w:val="both"/>
        <w:rPr>
          <w:rFonts w:ascii="Times New Roman" w:hAnsi="Times New Roman" w:cs="Times New Roman"/>
          <w:sz w:val="20"/>
          <w:szCs w:val="20"/>
        </w:rPr>
      </w:pPr>
    </w:p>
    <w:p w:rsidR="0053114C" w:rsidRDefault="0053114C" w:rsidP="0053114C">
      <w:pPr>
        <w:jc w:val="both"/>
        <w:rPr>
          <w:rFonts w:ascii="Times New Roman" w:hAnsi="Times New Roman" w:cs="Times New Roman"/>
          <w:b/>
          <w:sz w:val="20"/>
          <w:szCs w:val="20"/>
        </w:rPr>
      </w:pPr>
    </w:p>
    <w:p w:rsidR="0053114C" w:rsidRDefault="0053114C" w:rsidP="0053114C">
      <w:pPr>
        <w:jc w:val="both"/>
        <w:rPr>
          <w:rFonts w:ascii="Times New Roman" w:hAnsi="Times New Roman" w:cs="Times New Roman"/>
          <w:b/>
          <w:sz w:val="20"/>
          <w:szCs w:val="20"/>
        </w:rPr>
      </w:pPr>
    </w:p>
    <w:p w:rsidR="0053114C" w:rsidRDefault="0053114C" w:rsidP="0053114C">
      <w:pPr>
        <w:jc w:val="both"/>
        <w:rPr>
          <w:rFonts w:ascii="Times New Roman" w:hAnsi="Times New Roman" w:cs="Times New Roman"/>
          <w:b/>
          <w:sz w:val="20"/>
          <w:szCs w:val="20"/>
        </w:rPr>
      </w:pPr>
    </w:p>
    <w:p w:rsidR="0053114C" w:rsidRDefault="0053114C" w:rsidP="0053114C">
      <w:pPr>
        <w:jc w:val="both"/>
        <w:rPr>
          <w:rFonts w:ascii="Times New Roman" w:hAnsi="Times New Roman" w:cs="Times New Roman"/>
          <w:b/>
          <w:sz w:val="20"/>
          <w:szCs w:val="20"/>
        </w:rPr>
      </w:pPr>
    </w:p>
    <w:p w:rsidR="0053114C" w:rsidRDefault="0053114C" w:rsidP="0053114C">
      <w:pPr>
        <w:jc w:val="both"/>
        <w:rPr>
          <w:rFonts w:ascii="Times New Roman" w:hAnsi="Times New Roman" w:cs="Times New Roman"/>
          <w:sz w:val="20"/>
          <w:szCs w:val="20"/>
        </w:rPr>
      </w:pPr>
      <w:r w:rsidRPr="0053114C">
        <w:rPr>
          <w:rFonts w:ascii="Times New Roman" w:hAnsi="Times New Roman" w:cs="Times New Roman"/>
          <w:sz w:val="20"/>
          <w:szCs w:val="20"/>
        </w:rPr>
        <w:t>Violaciones al derecho a la vida y a la integridad personal continúan siendo las denuncias que el CONADEH ha recibido en mayor cantidad, y durante el 2016, de las 5,444 denuncias atendidas po</w:t>
      </w:r>
      <w:r>
        <w:rPr>
          <w:rFonts w:ascii="Times New Roman" w:hAnsi="Times New Roman" w:cs="Times New Roman"/>
          <w:sz w:val="20"/>
          <w:szCs w:val="20"/>
        </w:rPr>
        <w:t xml:space="preserve">r violaciones a estos derechos. </w:t>
      </w:r>
    </w:p>
    <w:p w:rsidR="0053114C" w:rsidRDefault="0053114C" w:rsidP="0053114C">
      <w:pPr>
        <w:jc w:val="both"/>
        <w:rPr>
          <w:rFonts w:ascii="Times New Roman" w:hAnsi="Times New Roman" w:cs="Times New Roman"/>
          <w:sz w:val="20"/>
          <w:szCs w:val="20"/>
        </w:rPr>
      </w:pPr>
      <w:r w:rsidRPr="0053114C">
        <w:rPr>
          <w:rFonts w:ascii="Times New Roman" w:hAnsi="Times New Roman" w:cs="Times New Roman"/>
          <w:sz w:val="20"/>
          <w:szCs w:val="20"/>
        </w:rPr>
        <w:t xml:space="preserve">El CONADEH atendió un total de 1,430 denuncias por presuntas violaciones del derecho a la vida. Las amenazas a muerte son la principal modalidad violatoria denunciada ante el CONADEH en lo que a derecho a la vida se refiere, siendo estas un total de 1,239 quejas </w:t>
      </w:r>
      <w:r w:rsidR="00613064">
        <w:rPr>
          <w:rFonts w:ascii="Times New Roman" w:hAnsi="Times New Roman" w:cs="Times New Roman"/>
          <w:sz w:val="20"/>
          <w:szCs w:val="20"/>
        </w:rPr>
        <w:t>atendidas por esta Institución. E</w:t>
      </w:r>
      <w:r w:rsidRPr="0053114C">
        <w:rPr>
          <w:rFonts w:ascii="Times New Roman" w:hAnsi="Times New Roman" w:cs="Times New Roman"/>
          <w:sz w:val="20"/>
          <w:szCs w:val="20"/>
        </w:rPr>
        <w:t>l mayor número (820) corresponden a los departamentos de Francisco Morazán (487) y Cortés (333).</w:t>
      </w:r>
      <w:r w:rsidR="00CE4941">
        <w:rPr>
          <w:rFonts w:ascii="Times New Roman" w:hAnsi="Times New Roman" w:cs="Times New Roman"/>
          <w:sz w:val="20"/>
          <w:szCs w:val="20"/>
        </w:rPr>
        <w:t xml:space="preserve"> </w:t>
      </w:r>
      <w:r w:rsidRPr="0053114C">
        <w:rPr>
          <w:rFonts w:ascii="Times New Roman" w:hAnsi="Times New Roman" w:cs="Times New Roman"/>
          <w:sz w:val="20"/>
          <w:szCs w:val="20"/>
        </w:rPr>
        <w:t>Otras modalidades importantes que generan denuncia son los asesinatos, homicidios, desaparición forzada o involuntaria de personas, y extorsión, entre otras</w:t>
      </w:r>
      <w:r>
        <w:rPr>
          <w:rFonts w:ascii="Times New Roman" w:hAnsi="Times New Roman" w:cs="Times New Roman"/>
          <w:sz w:val="20"/>
          <w:szCs w:val="20"/>
        </w:rPr>
        <w:t xml:space="preserve">. </w:t>
      </w:r>
    </w:p>
    <w:p w:rsidR="0053114C" w:rsidRDefault="0053114C" w:rsidP="0053114C">
      <w:pPr>
        <w:jc w:val="both"/>
        <w:rPr>
          <w:rFonts w:ascii="Times New Roman" w:hAnsi="Times New Roman" w:cs="Times New Roman"/>
          <w:sz w:val="20"/>
          <w:szCs w:val="20"/>
        </w:rPr>
      </w:pPr>
      <w:r>
        <w:rPr>
          <w:rFonts w:ascii="Times New Roman" w:hAnsi="Times New Roman" w:cs="Times New Roman"/>
          <w:sz w:val="20"/>
          <w:szCs w:val="20"/>
        </w:rPr>
        <w:t>E</w:t>
      </w:r>
      <w:r w:rsidRPr="0053114C">
        <w:rPr>
          <w:rFonts w:ascii="Times New Roman" w:hAnsi="Times New Roman" w:cs="Times New Roman"/>
          <w:sz w:val="20"/>
          <w:szCs w:val="20"/>
        </w:rPr>
        <w:t>l CONADEH atendió un total de 2,178 denuncias por presuntas violaciones del Derecho a la Integridad Personal, éstas reflejan mayor incidencia en amenazas, coacción o intimidación por autoridad o servidor público; malos tratos de servidores públicos de salud, seguridad y educación; maltrato por transgresión por particulares y maltrato por omisión de particulares, entre otros</w:t>
      </w:r>
      <w:r>
        <w:rPr>
          <w:rFonts w:ascii="Times New Roman" w:hAnsi="Times New Roman" w:cs="Times New Roman"/>
          <w:sz w:val="20"/>
          <w:szCs w:val="20"/>
        </w:rPr>
        <w:t xml:space="preserve">. </w:t>
      </w:r>
    </w:p>
    <w:p w:rsidR="0053114C" w:rsidRDefault="00337CD7" w:rsidP="0053114C">
      <w:pPr>
        <w:jc w:val="both"/>
        <w:rPr>
          <w:rFonts w:ascii="Times New Roman" w:hAnsi="Times New Roman" w:cs="Times New Roman"/>
          <w:sz w:val="20"/>
          <w:szCs w:val="20"/>
        </w:rPr>
      </w:pPr>
      <w:r w:rsidRPr="00337CD7">
        <w:rPr>
          <w:rFonts w:ascii="Times New Roman" w:hAnsi="Times New Roman" w:cs="Times New Roman"/>
          <w:sz w:val="20"/>
          <w:szCs w:val="20"/>
        </w:rPr>
        <w:lastRenderedPageBreak/>
        <w:t>La Unidad de Desplazamiento Forzado Interno del CONADEH identificó 757 c</w:t>
      </w:r>
      <w:r w:rsidR="00613064">
        <w:rPr>
          <w:rFonts w:ascii="Times New Roman" w:hAnsi="Times New Roman" w:cs="Times New Roman"/>
          <w:sz w:val="20"/>
          <w:szCs w:val="20"/>
        </w:rPr>
        <w:t>asos en total, entre los cuales</w:t>
      </w:r>
      <w:r w:rsidRPr="00337CD7">
        <w:rPr>
          <w:rFonts w:ascii="Times New Roman" w:hAnsi="Times New Roman" w:cs="Times New Roman"/>
          <w:sz w:val="20"/>
          <w:szCs w:val="20"/>
        </w:rPr>
        <w:t xml:space="preserve"> cabe mencionar que 370 constituyen casos de situación de riesgo y 387 casos de desplazamiento. Estos, en proporción a las quejas totales (10,769) recibidas en las diecinueve oficinas del CONADEH representan el 7%, y en relación a las denuncias recibidas por vulneraciones a los derechos a la vida e integridad personal (3,608), representan el 21%.</w:t>
      </w:r>
    </w:p>
    <w:p w:rsidR="00337CD7" w:rsidRPr="00A1623F" w:rsidRDefault="00337CD7" w:rsidP="0053114C">
      <w:pPr>
        <w:jc w:val="both"/>
        <w:rPr>
          <w:rFonts w:ascii="Times New Roman" w:hAnsi="Times New Roman" w:cs="Times New Roman"/>
          <w:sz w:val="20"/>
          <w:szCs w:val="20"/>
        </w:rPr>
      </w:pPr>
      <w:r w:rsidRPr="00337CD7">
        <w:rPr>
          <w:rFonts w:ascii="Times New Roman" w:hAnsi="Times New Roman" w:cs="Times New Roman"/>
          <w:sz w:val="20"/>
          <w:szCs w:val="20"/>
        </w:rPr>
        <w:t xml:space="preserve">De acuerdo con las causas inmediatas que generan situaciones de riesgo o desplazamiento interno forzado por violencia, se incluye: la violencia generalizada manifestada por las operaciones del crimen organizado, maras, pandillas, bandas criminales, narcotráfico, vendettas; y por otras situaciones de violencia en el contexto de la </w:t>
      </w:r>
      <w:r w:rsidRPr="00A1623F">
        <w:rPr>
          <w:rFonts w:ascii="Times New Roman" w:hAnsi="Times New Roman" w:cs="Times New Roman"/>
          <w:sz w:val="20"/>
          <w:szCs w:val="20"/>
        </w:rPr>
        <w:t>discriminación por motivos de género, orientación sexual e identidad de género y personas infectadas con VIH/SIDA. También, situaciones relacionadas con conflictos de tenencia de tierras en zonas habitadas por pueblos indígenas.</w:t>
      </w:r>
    </w:p>
    <w:p w:rsidR="007A41A7" w:rsidRPr="00A1623F" w:rsidRDefault="00226377" w:rsidP="007A41A7">
      <w:pPr>
        <w:jc w:val="both"/>
        <w:rPr>
          <w:rFonts w:ascii="Times New Roman" w:hAnsi="Times New Roman" w:cs="Times New Roman"/>
          <w:sz w:val="20"/>
          <w:szCs w:val="20"/>
        </w:rPr>
      </w:pPr>
      <w:r w:rsidRPr="00A1623F">
        <w:rPr>
          <w:rFonts w:ascii="Times New Roman" w:hAnsi="Times New Roman" w:cs="Times New Roman"/>
          <w:sz w:val="20"/>
          <w:szCs w:val="20"/>
        </w:rPr>
        <w:t xml:space="preserve">El CONADEH, en 2016, presentó un informe al Relator de las Naciones Unidas sobre Ejecuciones Extrajudiciales, Sumarias y Arbitrarias, con información sobre el accionar del CONADEH donde se manifiesta el </w:t>
      </w:r>
      <w:r w:rsidR="007A41A7" w:rsidRPr="00A1623F">
        <w:rPr>
          <w:rFonts w:ascii="Times New Roman" w:hAnsi="Times New Roman" w:cs="Times New Roman"/>
          <w:sz w:val="20"/>
          <w:szCs w:val="20"/>
        </w:rPr>
        <w:t xml:space="preserve">compromiso estrecho y sistemático </w:t>
      </w:r>
      <w:r w:rsidRPr="00A1623F">
        <w:rPr>
          <w:rFonts w:ascii="Times New Roman" w:hAnsi="Times New Roman" w:cs="Times New Roman"/>
          <w:sz w:val="20"/>
          <w:szCs w:val="20"/>
        </w:rPr>
        <w:t xml:space="preserve">en relación </w:t>
      </w:r>
      <w:r w:rsidR="007A41A7" w:rsidRPr="00A1623F">
        <w:rPr>
          <w:rFonts w:ascii="Times New Roman" w:hAnsi="Times New Roman" w:cs="Times New Roman"/>
          <w:sz w:val="20"/>
          <w:szCs w:val="20"/>
        </w:rPr>
        <w:t>con el derecho a la vida</w:t>
      </w:r>
      <w:r w:rsidR="00613064">
        <w:rPr>
          <w:rFonts w:ascii="Times New Roman" w:hAnsi="Times New Roman" w:cs="Times New Roman"/>
          <w:sz w:val="20"/>
          <w:szCs w:val="20"/>
        </w:rPr>
        <w:t>.</w:t>
      </w:r>
      <w:r w:rsidR="007A41A7" w:rsidRPr="00A1623F">
        <w:rPr>
          <w:rFonts w:ascii="Times New Roman" w:hAnsi="Times New Roman" w:cs="Times New Roman"/>
          <w:sz w:val="20"/>
          <w:szCs w:val="20"/>
        </w:rPr>
        <w:t xml:space="preserve"> </w:t>
      </w:r>
      <w:r w:rsidR="00613064">
        <w:rPr>
          <w:rFonts w:ascii="Times New Roman" w:hAnsi="Times New Roman" w:cs="Times New Roman"/>
          <w:sz w:val="20"/>
          <w:szCs w:val="20"/>
        </w:rPr>
        <w:t>E</w:t>
      </w:r>
      <w:r w:rsidR="007A41A7" w:rsidRPr="00A1623F">
        <w:rPr>
          <w:rFonts w:ascii="Times New Roman" w:hAnsi="Times New Roman" w:cs="Times New Roman"/>
          <w:sz w:val="20"/>
          <w:szCs w:val="20"/>
        </w:rPr>
        <w:t>l Plan de Acción 2014-2020 del CONADEH “Vanguardia de la Dignidad Humana” va dirigido a impulsar la mayor efectivi</w:t>
      </w:r>
      <w:r w:rsidR="00613064">
        <w:rPr>
          <w:rFonts w:ascii="Times New Roman" w:hAnsi="Times New Roman" w:cs="Times New Roman"/>
          <w:sz w:val="20"/>
          <w:szCs w:val="20"/>
        </w:rPr>
        <w:t>dad del derecho a la vida digna</w:t>
      </w:r>
      <w:r w:rsidR="007A41A7" w:rsidRPr="00A1623F">
        <w:rPr>
          <w:rFonts w:ascii="Times New Roman" w:hAnsi="Times New Roman" w:cs="Times New Roman"/>
          <w:sz w:val="20"/>
          <w:szCs w:val="20"/>
        </w:rPr>
        <w:t xml:space="preserve"> que atiende su consideración como derecho supremo y esencial para poder gozar los demás, y lo ubica en su posición</w:t>
      </w:r>
      <w:r w:rsidR="00613064">
        <w:rPr>
          <w:rFonts w:ascii="Times New Roman" w:hAnsi="Times New Roman" w:cs="Times New Roman"/>
          <w:sz w:val="20"/>
          <w:szCs w:val="20"/>
        </w:rPr>
        <w:t xml:space="preserve"> central</w:t>
      </w:r>
      <w:r w:rsidR="007A41A7" w:rsidRPr="00A1623F">
        <w:rPr>
          <w:rFonts w:ascii="Times New Roman" w:hAnsi="Times New Roman" w:cs="Times New Roman"/>
          <w:sz w:val="20"/>
          <w:szCs w:val="20"/>
        </w:rPr>
        <w:t xml:space="preserve"> dentro de la indivisibilidad de los derechos humanos. </w:t>
      </w:r>
    </w:p>
    <w:p w:rsidR="007A41A7" w:rsidRPr="00A1623F" w:rsidRDefault="007A41A7" w:rsidP="007A41A7">
      <w:pPr>
        <w:jc w:val="both"/>
        <w:rPr>
          <w:rFonts w:ascii="Times New Roman" w:hAnsi="Times New Roman" w:cs="Times New Roman"/>
          <w:sz w:val="20"/>
          <w:szCs w:val="20"/>
        </w:rPr>
      </w:pPr>
      <w:r w:rsidRPr="00A1623F">
        <w:rPr>
          <w:rFonts w:ascii="Times New Roman" w:hAnsi="Times New Roman" w:cs="Times New Roman"/>
          <w:sz w:val="20"/>
          <w:szCs w:val="20"/>
        </w:rPr>
        <w:t xml:space="preserve">En lo que se </w:t>
      </w:r>
      <w:r w:rsidR="00613064">
        <w:rPr>
          <w:rFonts w:ascii="Times New Roman" w:hAnsi="Times New Roman" w:cs="Times New Roman"/>
          <w:sz w:val="20"/>
          <w:szCs w:val="20"/>
        </w:rPr>
        <w:t>conciern</w:t>
      </w:r>
      <w:r w:rsidRPr="00A1623F">
        <w:rPr>
          <w:rFonts w:ascii="Times New Roman" w:hAnsi="Times New Roman" w:cs="Times New Roman"/>
          <w:sz w:val="20"/>
          <w:szCs w:val="20"/>
        </w:rPr>
        <w:t>e al nivel de protección del derecho a la vida y las medidas para prevenir ataques contra la vida e integridad física de las personas, y asegurar la justicia y rendición de cuentas por dichas violaciones, es de dejar constancia que el derecho a la vida y la prevención de amenazas contra ese derecho de las personas y la justicia y  rendición de cuentas por sus violaciones, es objeto constante y sostenido de medidas de protección por parte del CONADEH, y de la promoción intensa y creciente de su conocimiento y valor que, por medio de capacitaciones, realiza el CONADEH entre las y los habitantes de Honduras.</w:t>
      </w:r>
    </w:p>
    <w:p w:rsidR="00337CD7" w:rsidRDefault="00337CD7" w:rsidP="00337CD7">
      <w:pPr>
        <w:jc w:val="both"/>
        <w:rPr>
          <w:rFonts w:ascii="Times New Roman" w:hAnsi="Times New Roman" w:cs="Times New Roman"/>
          <w:b/>
          <w:sz w:val="20"/>
          <w:szCs w:val="20"/>
        </w:rPr>
      </w:pPr>
      <w:r w:rsidRPr="00337CD7">
        <w:rPr>
          <w:rFonts w:ascii="Times New Roman" w:hAnsi="Times New Roman" w:cs="Times New Roman"/>
          <w:b/>
          <w:sz w:val="20"/>
          <w:szCs w:val="20"/>
        </w:rPr>
        <w:t>Derecho a la libertad y a la seguridad personales, tratamiento de las personas privadas de libertad, derecho a un juicio imparcial e independencia del Poder Judicial (arts. 7, 9, 10, 14 y 17)</w:t>
      </w:r>
    </w:p>
    <w:p w:rsid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A partir del 2015, se habilitó treinta (30) centros penitenciarios para adultos. De acuerdo a datos del Instituto Nacional Penitenciario (INP), la población penitenciaria</w:t>
      </w:r>
      <w:r w:rsidR="00613064">
        <w:rPr>
          <w:rFonts w:ascii="Times New Roman" w:hAnsi="Times New Roman" w:cs="Times New Roman"/>
          <w:sz w:val="20"/>
          <w:szCs w:val="20"/>
        </w:rPr>
        <w:t>, al</w:t>
      </w:r>
      <w:r w:rsidRPr="008A46BE">
        <w:rPr>
          <w:rFonts w:ascii="Times New Roman" w:hAnsi="Times New Roman" w:cs="Times New Roman"/>
          <w:sz w:val="20"/>
          <w:szCs w:val="20"/>
        </w:rPr>
        <w:t xml:space="preserve"> 2016, era de 17,544 personas. De estas, 9,675 personas se encuentran procesadas y 7,869 condenadas.</w:t>
      </w:r>
      <w:r w:rsidR="00CE4941">
        <w:rPr>
          <w:rFonts w:ascii="Times New Roman" w:hAnsi="Times New Roman" w:cs="Times New Roman"/>
          <w:sz w:val="20"/>
          <w:szCs w:val="20"/>
        </w:rPr>
        <w:t xml:space="preserve"> </w:t>
      </w:r>
      <w:r w:rsidRPr="008A46BE">
        <w:rPr>
          <w:rFonts w:ascii="Times New Roman" w:hAnsi="Times New Roman" w:cs="Times New Roman"/>
          <w:sz w:val="20"/>
          <w:szCs w:val="20"/>
        </w:rPr>
        <w:t>Existe sobrepoblación en estos centros, considerando que dichos establecimientos solo tienen capacidad para recluir 8,000 personas, lo que muestra que actualmente la población sobrepasa, en más de un 100 por ciento, su capacidad.</w:t>
      </w:r>
    </w:p>
    <w:p w:rsid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Los centros de privados de libertad en Honduras se han caracterizado por el hacinamiento, la carencia de los medios de rehabilitación, el desentendimiento del Estado sobre su responsabilidad con los privados de libertad, la introducción de armas, drogas y licores, fugas y un régimen disciplinario en manos de algunos internos. Todo lo que ha provocado enfrentamientos y muerte entre los reclusos en diferentes centros penales, y actividades delictivas contra la sociedad.</w:t>
      </w:r>
    </w:p>
    <w:p w:rsidR="008A46BE" w:rsidRP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 xml:space="preserve">Durante el 2016, CONADEH realizó 303 inspecciones a los centros penales del país. En esas visitas, se ha constatado que la situación de los centros penitenciarios poco ha cambiado y su problemática tiende a agudizarse, siendo del conocimiento público- de acuerdo a lo expresado también en los medios de comunicación- la participación de privados de libertad en actividades del crimen organizado, como extorsiones, secuestros, sicariato, entre otros, demostrando la mala gobernanza incompatible con la normativa nacional e internacional. </w:t>
      </w:r>
      <w:r w:rsidR="00613064">
        <w:rPr>
          <w:rFonts w:ascii="Times New Roman" w:hAnsi="Times New Roman" w:cs="Times New Roman"/>
          <w:sz w:val="20"/>
          <w:szCs w:val="20"/>
        </w:rPr>
        <w:t>Es positiva la acción del Estado de retomar el control interno de dichos centros e ir percibiendo los problemas de seguridad incluyendo el hacinamiento.</w:t>
      </w:r>
    </w:p>
    <w:p w:rsidR="008A46BE" w:rsidRP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lastRenderedPageBreak/>
        <w:t xml:space="preserve">En lo que se refiere a los Centros Penales de Máxima Seguridad, el CONADEH </w:t>
      </w:r>
      <w:r w:rsidR="0045310D">
        <w:rPr>
          <w:rFonts w:ascii="Times New Roman" w:hAnsi="Times New Roman" w:cs="Times New Roman"/>
          <w:sz w:val="20"/>
          <w:szCs w:val="20"/>
        </w:rPr>
        <w:t>llama perseverantemente a recordar que propósito del sistema penitenciario (más allá del castigo conforme a ley) es la rehabilitación de las personas y su reintegración social; y</w:t>
      </w:r>
      <w:r w:rsidRPr="008A46BE">
        <w:rPr>
          <w:rFonts w:ascii="Times New Roman" w:hAnsi="Times New Roman" w:cs="Times New Roman"/>
          <w:sz w:val="20"/>
          <w:szCs w:val="20"/>
        </w:rPr>
        <w:t xml:space="preserve"> que </w:t>
      </w:r>
      <w:r w:rsidR="0045310D">
        <w:rPr>
          <w:rFonts w:ascii="Times New Roman" w:hAnsi="Times New Roman" w:cs="Times New Roman"/>
          <w:sz w:val="20"/>
          <w:szCs w:val="20"/>
        </w:rPr>
        <w:t xml:space="preserve">el traslado de privados de libertad a </w:t>
      </w:r>
      <w:r w:rsidRPr="008A46BE">
        <w:rPr>
          <w:rFonts w:ascii="Times New Roman" w:hAnsi="Times New Roman" w:cs="Times New Roman"/>
          <w:sz w:val="20"/>
          <w:szCs w:val="20"/>
        </w:rPr>
        <w:t>las mismas deben ser excepcionales y únicamente para personas que ponen en peligro a la sociedad y el orden interno dentro de las prisiones.</w:t>
      </w:r>
    </w:p>
    <w:p w:rsidR="008A46BE" w:rsidRP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Si bien la Constitución, las leyes y los tratados internacionales establecen expresamente que debe respetarse la dignidad inherente al ser humano, que es aplicable también a las personas privadas de libertad, el Estado tiene la potestad de tomar medidas de seguridad aplicables a los privados de libertad, respetando sus derechos humanos.</w:t>
      </w:r>
    </w:p>
    <w:p w:rsidR="0045310D"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Para proteger a la sociedad, se puede tomar medidas excepcionales, inclusive de aislamiento, siempre y cuando esas medidas estén detalladas, estén previstas e individualizadas. Esas medidas de aislamiento no se pueden generalizar para todas las personas, tienen que ser individuales, legales, de carácter temporal y ser objeto de supervisión.</w:t>
      </w:r>
      <w:r w:rsidR="0045310D">
        <w:rPr>
          <w:rFonts w:ascii="Times New Roman" w:hAnsi="Times New Roman" w:cs="Times New Roman"/>
          <w:sz w:val="20"/>
          <w:szCs w:val="20"/>
        </w:rPr>
        <w:t xml:space="preserve"> Esas medidas no deben traer consigo </w:t>
      </w:r>
      <w:r w:rsidRPr="008A46BE">
        <w:rPr>
          <w:rFonts w:ascii="Times New Roman" w:hAnsi="Times New Roman" w:cs="Times New Roman"/>
          <w:sz w:val="20"/>
          <w:szCs w:val="20"/>
        </w:rPr>
        <w:t xml:space="preserve">penas adicionales a las establecidas en las sentencias y </w:t>
      </w:r>
      <w:r w:rsidR="0045310D">
        <w:rPr>
          <w:rFonts w:ascii="Times New Roman" w:hAnsi="Times New Roman" w:cs="Times New Roman"/>
          <w:sz w:val="20"/>
          <w:szCs w:val="20"/>
        </w:rPr>
        <w:t>a aplicar actos de</w:t>
      </w:r>
      <w:r w:rsidRPr="008A46BE">
        <w:rPr>
          <w:rFonts w:ascii="Times New Roman" w:hAnsi="Times New Roman" w:cs="Times New Roman"/>
          <w:sz w:val="20"/>
          <w:szCs w:val="20"/>
        </w:rPr>
        <w:t xml:space="preserve"> tortura, tratos crueles inhumanos o degradantes. </w:t>
      </w:r>
    </w:p>
    <w:p w:rsidR="008A46BE" w:rsidRP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En el país hay instituciones</w:t>
      </w:r>
      <w:r w:rsidR="0045310D">
        <w:rPr>
          <w:rFonts w:ascii="Times New Roman" w:hAnsi="Times New Roman" w:cs="Times New Roman"/>
          <w:sz w:val="20"/>
          <w:szCs w:val="20"/>
        </w:rPr>
        <w:t xml:space="preserve"> que deben también velar por la protección y el respeto de los derechos humanos de los detenidos</w:t>
      </w:r>
      <w:r w:rsidRPr="008A46BE">
        <w:rPr>
          <w:rFonts w:ascii="Times New Roman" w:hAnsi="Times New Roman" w:cs="Times New Roman"/>
          <w:sz w:val="20"/>
          <w:szCs w:val="20"/>
        </w:rPr>
        <w:t>, como el Poder Judicial que, a través de los jueces de ejecución, vigila como se están ejecutando las penas. Además, el Ministerio Público, a través de la Fiscalía de Derechos Humanos, creó una Unidad que se encarga de verificar la situación de las personas privadas de libertad en los centros penales. Se cuenta también con el Comité Nacional contra la Tortura, Tratos Crueles, Inhumanos o Degradantes (CONAPREV), que es la institución especializada que verifica, en todos los centros de detención, cómo se encuentran las personas privadas de libertad.</w:t>
      </w:r>
    </w:p>
    <w:p w:rsidR="008A46BE" w:rsidRDefault="008A46BE" w:rsidP="008A46BE">
      <w:pPr>
        <w:jc w:val="both"/>
        <w:rPr>
          <w:rFonts w:ascii="Times New Roman" w:hAnsi="Times New Roman" w:cs="Times New Roman"/>
          <w:sz w:val="20"/>
          <w:szCs w:val="20"/>
        </w:rPr>
      </w:pPr>
      <w:r w:rsidRPr="008A46BE">
        <w:rPr>
          <w:rFonts w:ascii="Times New Roman" w:hAnsi="Times New Roman" w:cs="Times New Roman"/>
          <w:sz w:val="20"/>
          <w:szCs w:val="20"/>
        </w:rPr>
        <w:t>El CONADEH denunció que autoridades penitenciarias negaron el ingreso del personal de esta Institución al Centro Penitenciario de Ilama, Santa Bárbara, pese a que, por ley, tanto las autoridades civiles, militares o de cualquier índole, tienen la obligación de permitir el acceso a personal de este ente estatal. Las autoridades dieron su explicación</w:t>
      </w:r>
      <w:r w:rsidR="0045310D">
        <w:rPr>
          <w:rFonts w:ascii="Times New Roman" w:hAnsi="Times New Roman" w:cs="Times New Roman"/>
          <w:sz w:val="20"/>
          <w:szCs w:val="20"/>
        </w:rPr>
        <w:t xml:space="preserve"> y se excusaron</w:t>
      </w:r>
      <w:r w:rsidRPr="008A46BE">
        <w:rPr>
          <w:rFonts w:ascii="Times New Roman" w:hAnsi="Times New Roman" w:cs="Times New Roman"/>
          <w:sz w:val="20"/>
          <w:szCs w:val="20"/>
        </w:rPr>
        <w:t>. Finalmente, el CONADEH pudo realizar inspecciones a dicho centro en seguimiento a quejas presentadas por parientes y apoderados legales de los privados de libertad. Como resultado de las mismas, en octubre del 2016, remitió un oficio al Director de dicho Centro presentando recomendaciones, relacionadas con derechos fundamentales como la salud, alimentación y acceso al agua. Varias de las recomendaciones han sido acatadas, brindando una mejor atención especialmente en el tema de salud de los privados de libertad.</w:t>
      </w:r>
    </w:p>
    <w:p w:rsidR="00A1623F" w:rsidRPr="00A1623F" w:rsidRDefault="00A1623F" w:rsidP="00A1623F">
      <w:pPr>
        <w:jc w:val="both"/>
        <w:rPr>
          <w:rFonts w:ascii="Times New Roman" w:hAnsi="Times New Roman" w:cs="Times New Roman"/>
          <w:sz w:val="20"/>
          <w:szCs w:val="20"/>
        </w:rPr>
      </w:pPr>
      <w:r>
        <w:rPr>
          <w:rFonts w:ascii="Times New Roman" w:hAnsi="Times New Roman" w:cs="Times New Roman"/>
          <w:sz w:val="20"/>
          <w:szCs w:val="20"/>
        </w:rPr>
        <w:t>En relación a la independencia del Poder Judicial,</w:t>
      </w:r>
      <w:r w:rsidR="00E26FB9">
        <w:rPr>
          <w:rFonts w:ascii="Times New Roman" w:hAnsi="Times New Roman" w:cs="Times New Roman"/>
          <w:sz w:val="20"/>
          <w:szCs w:val="20"/>
        </w:rPr>
        <w:t xml:space="preserve"> y al proceso de elección de los Magistrados de la Corte Suprema de Justicia, el cual comenzó desde el 2015,</w:t>
      </w:r>
      <w:r>
        <w:rPr>
          <w:rFonts w:ascii="Times New Roman" w:hAnsi="Times New Roman" w:cs="Times New Roman"/>
          <w:sz w:val="20"/>
          <w:szCs w:val="20"/>
        </w:rPr>
        <w:t xml:space="preserve"> l</w:t>
      </w:r>
      <w:r w:rsidRPr="00A1623F">
        <w:rPr>
          <w:rFonts w:ascii="Times New Roman" w:hAnsi="Times New Roman" w:cs="Times New Roman"/>
          <w:sz w:val="20"/>
          <w:szCs w:val="20"/>
        </w:rPr>
        <w:t>a Junta Nominadora para la Elección de Candidatos a Magistrados de la Corte Suprema de Justicia entregó la nómina de candidatos y candidatas, con una anticipación de siete días, para facilitar el examen y debate de las candidaturas, por el Congreso Nacional y pueblo hondureño, antes de la fecha de elección prevista para el 25 de enero del 2016. El Comisionado Nacional de los Derechos Humanos presentó un informe especial sobre el proceso de nominación de candidatos y candidatas a Magistrados (as) de la Corte Suprema de Justicia (CSJ) que expuso el trabajo realizado por dicha Junta y el proceso que se siguió para escoger a los candidatos (as), teniendo como finalidad la integración de una CSJ comprometida con la independencia e imparcialidad en la impartición de justicia. El CONADEH cumplió, asimismo, con su compromiso de supervisar e ir haciendo las recomendaciones orientadas hacia esa finalidad.</w:t>
      </w:r>
    </w:p>
    <w:p w:rsidR="00A1623F" w:rsidRPr="008A46BE" w:rsidRDefault="00A1623F" w:rsidP="00A1623F">
      <w:pPr>
        <w:jc w:val="both"/>
        <w:rPr>
          <w:rFonts w:ascii="Times New Roman" w:hAnsi="Times New Roman" w:cs="Times New Roman"/>
          <w:sz w:val="20"/>
          <w:szCs w:val="20"/>
        </w:rPr>
      </w:pPr>
      <w:r w:rsidRPr="00A1623F">
        <w:rPr>
          <w:rFonts w:ascii="Times New Roman" w:hAnsi="Times New Roman" w:cs="Times New Roman"/>
          <w:sz w:val="20"/>
          <w:szCs w:val="20"/>
        </w:rPr>
        <w:t xml:space="preserve">Desde el inicio del proceso, el CONADEH asumió el compromiso legal y ético de poner en práctica toda su capacidad y acción hasta cumplir con la función única, de la Junta Nominadora, de presentar, ante el Congreso Nacional, los candidatos idóneos para desempeñarse, independiente e imparcialmente, en la Corte </w:t>
      </w:r>
      <w:r w:rsidRPr="00A1623F">
        <w:rPr>
          <w:rFonts w:ascii="Times New Roman" w:hAnsi="Times New Roman" w:cs="Times New Roman"/>
          <w:sz w:val="20"/>
          <w:szCs w:val="20"/>
        </w:rPr>
        <w:lastRenderedPageBreak/>
        <w:t>Suprema de Justicia. Es de subrayar, que el Titular del CONADEH, aseguró una participación diferente de la institución de ese proceso para que se realizase su participación conforme a sus atribuciones legales de garantizar la protección, respeto y promoción de los derechos humanos y fortalecer el Estado de Derecho.</w:t>
      </w:r>
    </w:p>
    <w:p w:rsidR="008A46BE" w:rsidRDefault="008A46BE" w:rsidP="00337CD7">
      <w:pPr>
        <w:jc w:val="both"/>
        <w:rPr>
          <w:rFonts w:ascii="Times New Roman" w:hAnsi="Times New Roman" w:cs="Times New Roman"/>
          <w:b/>
          <w:sz w:val="20"/>
          <w:szCs w:val="20"/>
        </w:rPr>
      </w:pPr>
      <w:r w:rsidRPr="008A46BE">
        <w:rPr>
          <w:rFonts w:ascii="Times New Roman" w:hAnsi="Times New Roman" w:cs="Times New Roman"/>
          <w:b/>
          <w:sz w:val="20"/>
          <w:szCs w:val="20"/>
        </w:rPr>
        <w:t>Derecho a la intimidad y a la libertad de expresión y de asociación y de reunión pacífica (arts. 9, 17, 19, 21, 22 y 25)</w:t>
      </w:r>
    </w:p>
    <w:p w:rsidR="00B20B63" w:rsidRPr="00B20B63" w:rsidRDefault="00B20B63" w:rsidP="00B20B63">
      <w:pPr>
        <w:jc w:val="both"/>
        <w:rPr>
          <w:rFonts w:ascii="Times New Roman" w:hAnsi="Times New Roman" w:cs="Times New Roman"/>
          <w:b/>
          <w:sz w:val="20"/>
          <w:szCs w:val="20"/>
        </w:rPr>
      </w:pPr>
      <w:r>
        <w:rPr>
          <w:rFonts w:ascii="Times New Roman" w:hAnsi="Times New Roman" w:cs="Times New Roman"/>
          <w:b/>
          <w:sz w:val="20"/>
          <w:szCs w:val="20"/>
        </w:rPr>
        <w:t>Libertad de expresión</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Durante el 2016, quedó evidenciado, una vez más, que el ejercicio del periodismo es una ocupación de alto riesgo y una tarea difícil de realizar producto de la ola de violencia que afecta al país.</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Este año se caracterizó por una serie de hechos contra la libertad de expresión y de información, que van desde el cierre de medios, querellas en los tribunales, amenazas, atentados, agresiones y solicitudes de asilo para salvaguardar la vida y la muerte en circunstancias violentas y aún impunes de, al menos, cuatro personas ligadas a los medios de comunicación.</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En la lucha contra la impunidad, una persona fue encontrada culpable de la muerte violenta de un comunicador social mientras que otras fueron dejadas en libertad luego de no encontrar su culpabilidad en la muerte de periodistas.</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Es indiscutible que tanto los periodistas como los medios de comunicación tienen un papel y una responsabilidad muy grande para que el ejercicio debido de las libertades de pensamiento, opinión, información y expresión, de las que resulta una opinión pública bien informada y bien orientada, requisito indispensable para la verdadera democracia.</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La denuncia de la arbitrariedad y de la impunidad, es la cuota con que los periodistas y los medios han aportado y aportan al proyecto social hondureño, cuando han cumplido o cumplen a cabalidad su noble misión.</w:t>
      </w:r>
    </w:p>
    <w:p w:rsidR="00B20B63" w:rsidRPr="00B20B63" w:rsidRDefault="00B20B63" w:rsidP="00B20B63">
      <w:pPr>
        <w:jc w:val="both"/>
        <w:rPr>
          <w:rFonts w:ascii="Times New Roman" w:hAnsi="Times New Roman" w:cs="Times New Roman"/>
          <w:b/>
          <w:sz w:val="20"/>
          <w:szCs w:val="20"/>
        </w:rPr>
      </w:pPr>
      <w:r w:rsidRPr="00B20B63">
        <w:rPr>
          <w:rFonts w:ascii="Times New Roman" w:hAnsi="Times New Roman" w:cs="Times New Roman"/>
          <w:b/>
          <w:sz w:val="20"/>
          <w:szCs w:val="20"/>
        </w:rPr>
        <w:t>Muerte violenta de personas ligadas a medios de comunicación</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 xml:space="preserve">Durante el 2016, el CONADEH registró cuatro hechos violentos –incluida una de muerte múltiple- en los que perdieron la vida en circunstancias violentas 4 personas ligadas a medios de comunicación y 4 particulares, tres de las víctimas laboraban como locutores y uno como productor de televisión. </w:t>
      </w:r>
    </w:p>
    <w:p w:rsidR="00B20B63" w:rsidRP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Las cuatro personas, todas del sexo masculino, fueron ultimadas con armas de fuego; una murió en San Pedro Sula, departamento de Cortés; otra en Lepaera, Lempira; una en Morazán, Yoro y la última en Jesús de Otoro, Intibucá.</w:t>
      </w:r>
    </w:p>
    <w:p w:rsidR="00B20B63" w:rsidRDefault="00B20B63" w:rsidP="00B20B63">
      <w:pPr>
        <w:jc w:val="both"/>
        <w:rPr>
          <w:rFonts w:ascii="Times New Roman" w:hAnsi="Times New Roman" w:cs="Times New Roman"/>
          <w:sz w:val="20"/>
          <w:szCs w:val="20"/>
        </w:rPr>
      </w:pPr>
      <w:r w:rsidRPr="00B20B63">
        <w:rPr>
          <w:rFonts w:ascii="Times New Roman" w:hAnsi="Times New Roman" w:cs="Times New Roman"/>
          <w:sz w:val="20"/>
          <w:szCs w:val="20"/>
        </w:rPr>
        <w:t>Ninguna de las víctimas había presentado denuncias</w:t>
      </w:r>
      <w:r w:rsidR="0045310D">
        <w:rPr>
          <w:rFonts w:ascii="Times New Roman" w:hAnsi="Times New Roman" w:cs="Times New Roman"/>
          <w:sz w:val="20"/>
          <w:szCs w:val="20"/>
        </w:rPr>
        <w:t>,</w:t>
      </w:r>
      <w:r w:rsidRPr="00B20B63">
        <w:rPr>
          <w:rFonts w:ascii="Times New Roman" w:hAnsi="Times New Roman" w:cs="Times New Roman"/>
          <w:sz w:val="20"/>
          <w:szCs w:val="20"/>
        </w:rPr>
        <w:t xml:space="preserve"> ante el Comisionado Nacional de los Derechos Humanos</w:t>
      </w:r>
      <w:r w:rsidR="0045310D">
        <w:rPr>
          <w:rFonts w:ascii="Times New Roman" w:hAnsi="Times New Roman" w:cs="Times New Roman"/>
          <w:sz w:val="20"/>
          <w:szCs w:val="20"/>
        </w:rPr>
        <w:t>,</w:t>
      </w:r>
      <w:r w:rsidRPr="00B20B63">
        <w:rPr>
          <w:rFonts w:ascii="Times New Roman" w:hAnsi="Times New Roman" w:cs="Times New Roman"/>
          <w:sz w:val="20"/>
          <w:szCs w:val="20"/>
        </w:rPr>
        <w:t xml:space="preserve"> de haber sido objeto de amenazas.</w:t>
      </w:r>
    </w:p>
    <w:p w:rsidR="00B20B63" w:rsidRPr="00B20B63" w:rsidRDefault="00B20B63" w:rsidP="00337CD7">
      <w:pPr>
        <w:jc w:val="both"/>
        <w:rPr>
          <w:rFonts w:ascii="Times New Roman" w:hAnsi="Times New Roman" w:cs="Times New Roman"/>
          <w:b/>
          <w:sz w:val="20"/>
          <w:szCs w:val="20"/>
        </w:rPr>
      </w:pPr>
      <w:r>
        <w:rPr>
          <w:rFonts w:ascii="Times New Roman" w:hAnsi="Times New Roman" w:cs="Times New Roman"/>
          <w:b/>
          <w:sz w:val="20"/>
          <w:szCs w:val="20"/>
        </w:rPr>
        <w:t>Derecho a asociarse libremente con otras</w:t>
      </w:r>
    </w:p>
    <w:p w:rsidR="00A354C7" w:rsidRDefault="00B20B63" w:rsidP="00337CD7">
      <w:pPr>
        <w:jc w:val="both"/>
        <w:rPr>
          <w:rFonts w:ascii="Times New Roman" w:hAnsi="Times New Roman" w:cs="Times New Roman"/>
          <w:sz w:val="20"/>
          <w:szCs w:val="20"/>
        </w:rPr>
      </w:pPr>
      <w:r w:rsidRPr="00B20B63">
        <w:rPr>
          <w:rFonts w:ascii="Times New Roman" w:hAnsi="Times New Roman" w:cs="Times New Roman"/>
          <w:sz w:val="20"/>
          <w:szCs w:val="20"/>
        </w:rPr>
        <w:t>Sumadas a las 699 denuncias atendidas por violaciones a los derechos de los trabajadores (as), el CONADEH atendió 9 denuncias respecto a violaciones a derechos sindicales, tales como actos ilícitos que afectan los derechos de los dirigentes laborales en el sector público; coacción para formar parte de una asociación sindical específica; cancelación arbitraria de la personalidad jurídica a sindicatos o asociaciones de trabajadores; expulsión ilegal de miembros o afiliados de la asociación sindical; obstrucción de la actividad sindical o de asociación laboral en el sector público y persecución contra trabajadores y sus organizaciones.</w:t>
      </w:r>
    </w:p>
    <w:p w:rsidR="008A46BE" w:rsidRDefault="008A46BE" w:rsidP="008A46BE">
      <w:pPr>
        <w:pStyle w:val="H23G"/>
      </w:pPr>
      <w:r w:rsidRPr="00BF375B">
        <w:lastRenderedPageBreak/>
        <w:t>Protección de los niños (arts. 2, 7, 9, 10, 13, 24 y 26)</w:t>
      </w:r>
    </w:p>
    <w:p w:rsidR="00B20B63" w:rsidRPr="00226377" w:rsidRDefault="00B20B63" w:rsidP="00B20B63">
      <w:pPr>
        <w:jc w:val="both"/>
        <w:rPr>
          <w:rFonts w:ascii="Times New Roman" w:hAnsi="Times New Roman" w:cs="Times New Roman"/>
          <w:sz w:val="20"/>
          <w:lang w:eastAsia="es-ES"/>
        </w:rPr>
      </w:pPr>
      <w:r w:rsidRPr="00226377">
        <w:rPr>
          <w:rFonts w:ascii="Times New Roman" w:hAnsi="Times New Roman" w:cs="Times New Roman"/>
          <w:sz w:val="20"/>
          <w:lang w:eastAsia="es-ES"/>
        </w:rPr>
        <w:t>En Honduras, el sector de Niñas, Niños y Adolescentes (NNA) representa el 43% de la población total, de esta el 38% son infantes, el 33% niñez y el 29% jóvenes.</w:t>
      </w:r>
    </w:p>
    <w:p w:rsidR="00B20B63" w:rsidRPr="00226377" w:rsidRDefault="00B20B63" w:rsidP="00B20B63">
      <w:pPr>
        <w:jc w:val="both"/>
        <w:rPr>
          <w:rFonts w:ascii="Times New Roman" w:hAnsi="Times New Roman" w:cs="Times New Roman"/>
          <w:sz w:val="20"/>
          <w:lang w:eastAsia="es-ES"/>
        </w:rPr>
      </w:pPr>
      <w:r w:rsidRPr="00226377">
        <w:rPr>
          <w:rFonts w:ascii="Times New Roman" w:hAnsi="Times New Roman" w:cs="Times New Roman"/>
          <w:sz w:val="20"/>
          <w:lang w:eastAsia="es-ES"/>
        </w:rPr>
        <w:t>En el 2016, el CONADEH atendió 2,016 quejas relacionadas con los derechos de las niñas, niños y adolescentes. El 77.92 % (1,571) de las quejas están relacionadas con derecho a la vida e integridad personal, a la familia (incumplimiento de responsabilidades familiares; abandono del niño (a) por parte de su familia; actos en contra de la unidad e integración familiar; limitaciones del derecho del niño(a) a conocer a sus padres; limitaciones ilegítimas al contacto de los niños (as) con sus padres y hermanos; entre otros); 11.45% (231) relacionadas con derechos económicos, sociales y culturales; 5.60% (113) relacionadas con el acceso a la justicia y el debido proceso; y 5% (101) fueron orientaciones y acompañamientos realizados por el CONADEH.</w:t>
      </w:r>
    </w:p>
    <w:p w:rsidR="008A46BE" w:rsidRDefault="008A46BE" w:rsidP="008A46BE">
      <w:pPr>
        <w:pStyle w:val="H23G"/>
      </w:pPr>
      <w:r w:rsidRPr="00BF375B">
        <w:t>Acceso a la justicia y participación en los asuntos públicos (arts. 14 y 25)</w:t>
      </w:r>
    </w:p>
    <w:p w:rsidR="00B20B63" w:rsidRDefault="00B20B63" w:rsidP="00B20B63">
      <w:pPr>
        <w:jc w:val="both"/>
        <w:rPr>
          <w:rFonts w:ascii="Times New Roman" w:hAnsi="Times New Roman" w:cs="Times New Roman"/>
          <w:sz w:val="20"/>
          <w:szCs w:val="20"/>
          <w:lang w:val="es-ES" w:eastAsia="es-ES"/>
        </w:rPr>
      </w:pPr>
      <w:r w:rsidRPr="00B20B63">
        <w:rPr>
          <w:rFonts w:ascii="Times New Roman" w:hAnsi="Times New Roman" w:cs="Times New Roman"/>
          <w:sz w:val="20"/>
          <w:szCs w:val="20"/>
          <w:lang w:val="es-ES" w:eastAsia="es-ES"/>
        </w:rPr>
        <w:t>Un total de 1,441 denuncias fueron atendidas por las oficinas del CONADEH, a nivel nacional</w:t>
      </w:r>
      <w:r w:rsidR="0045310D">
        <w:rPr>
          <w:rFonts w:ascii="Times New Roman" w:hAnsi="Times New Roman" w:cs="Times New Roman"/>
          <w:sz w:val="20"/>
          <w:szCs w:val="20"/>
          <w:lang w:val="es-ES" w:eastAsia="es-ES"/>
        </w:rPr>
        <w:t>,</w:t>
      </w:r>
      <w:r w:rsidRPr="00B20B63">
        <w:rPr>
          <w:rFonts w:ascii="Times New Roman" w:hAnsi="Times New Roman" w:cs="Times New Roman"/>
          <w:sz w:val="20"/>
          <w:szCs w:val="20"/>
          <w:lang w:val="es-ES" w:eastAsia="es-ES"/>
        </w:rPr>
        <w:t xml:space="preserve"> durante el 2016 por falta de Acceso a la Justicia y Debido Proceso Legal; No recepción de denuncia planteada; Retardo en la admisión de la Demanda y Retardo en la admisión de un recurso</w:t>
      </w:r>
      <w:r>
        <w:rPr>
          <w:rFonts w:ascii="Times New Roman" w:hAnsi="Times New Roman" w:cs="Times New Roman"/>
          <w:sz w:val="20"/>
          <w:szCs w:val="20"/>
          <w:lang w:val="es-ES" w:eastAsia="es-ES"/>
        </w:rPr>
        <w:t xml:space="preserve">. </w:t>
      </w:r>
    </w:p>
    <w:p w:rsidR="00B20B63" w:rsidRPr="00226377" w:rsidRDefault="00B20B63" w:rsidP="00B20B63">
      <w:pPr>
        <w:pStyle w:val="Epgrafe"/>
        <w:jc w:val="center"/>
        <w:rPr>
          <w:rFonts w:ascii="Times New Roman" w:hAnsi="Times New Roman" w:cs="Times New Roman"/>
          <w:b/>
          <w:i/>
          <w:szCs w:val="20"/>
        </w:rPr>
      </w:pPr>
      <w:r w:rsidRPr="00226377">
        <w:rPr>
          <w:rFonts w:ascii="Times New Roman" w:hAnsi="Times New Roman" w:cs="Times New Roman"/>
          <w:b/>
          <w:i/>
          <w:caps w:val="0"/>
          <w:szCs w:val="20"/>
        </w:rPr>
        <w:t>NÚMERO DE DENUNCIAS POR FALTA DE ACCESO A LA JUSTICIA Y DEBIDO PROCESO LEGAL, DURANTE EL 2016, A NIVEL NACIONAL.</w:t>
      </w:r>
    </w:p>
    <w:tbl>
      <w:tblPr>
        <w:tblStyle w:val="Tabladelista7concolores-nfasis51"/>
        <w:tblW w:w="0" w:type="auto"/>
        <w:jc w:val="center"/>
        <w:tblLayout w:type="fixed"/>
        <w:tblLook w:val="04A0" w:firstRow="1" w:lastRow="0" w:firstColumn="1" w:lastColumn="0" w:noHBand="0" w:noVBand="1"/>
      </w:tblPr>
      <w:tblGrid>
        <w:gridCol w:w="4394"/>
        <w:gridCol w:w="1624"/>
      </w:tblGrid>
      <w:tr w:rsidR="00B20B63" w:rsidRPr="003C410D" w:rsidTr="00226377">
        <w:trPr>
          <w:cnfStyle w:val="100000000000" w:firstRow="1" w:lastRow="0" w:firstColumn="0" w:lastColumn="0" w:oddVBand="0" w:evenVBand="0" w:oddHBand="0" w:evenHBand="0" w:firstRowFirstColumn="0" w:firstRowLastColumn="0" w:lastRowFirstColumn="0" w:lastRowLastColumn="0"/>
          <w:trHeight w:val="236"/>
          <w:jc w:val="center"/>
        </w:trPr>
        <w:tc>
          <w:tcPr>
            <w:cnfStyle w:val="001000000100" w:firstRow="0" w:lastRow="0" w:firstColumn="1" w:lastColumn="0" w:oddVBand="0" w:evenVBand="0" w:oddHBand="0" w:evenHBand="0" w:firstRowFirstColumn="1"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b/>
                <w:bCs/>
                <w:color w:val="000000"/>
                <w:sz w:val="20"/>
                <w:szCs w:val="20"/>
                <w:lang w:eastAsia="es-ES"/>
              </w:rPr>
            </w:pPr>
            <w:r w:rsidRPr="003C410D">
              <w:rPr>
                <w:rFonts w:ascii="Times New Roman" w:eastAsia="Times New Roman" w:hAnsi="Times New Roman" w:cs="Times New Roman"/>
                <w:b/>
                <w:bCs/>
                <w:color w:val="000000"/>
                <w:sz w:val="20"/>
                <w:szCs w:val="20"/>
                <w:lang w:eastAsia="es-ES"/>
              </w:rPr>
              <w:t>Modalidad Violatoria</w:t>
            </w:r>
          </w:p>
        </w:tc>
        <w:tc>
          <w:tcPr>
            <w:tcW w:w="1624" w:type="dxa"/>
            <w:hideMark/>
          </w:tcPr>
          <w:p w:rsidR="00B20B63" w:rsidRPr="003C410D" w:rsidRDefault="00B20B63" w:rsidP="00D40E9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0"/>
                <w:szCs w:val="20"/>
                <w:lang w:eastAsia="es-ES"/>
              </w:rPr>
            </w:pPr>
            <w:r w:rsidRPr="003C410D">
              <w:rPr>
                <w:rFonts w:ascii="Times New Roman" w:eastAsia="Times New Roman" w:hAnsi="Times New Roman" w:cs="Times New Roman"/>
                <w:b/>
                <w:bCs/>
                <w:color w:val="000000"/>
                <w:sz w:val="20"/>
                <w:szCs w:val="20"/>
                <w:lang w:eastAsia="es-ES"/>
              </w:rPr>
              <w:t>Cantidad</w:t>
            </w:r>
          </w:p>
        </w:tc>
      </w:tr>
      <w:tr w:rsidR="00B20B63" w:rsidRPr="003C410D" w:rsidTr="00226377">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Acceso a la Justicia y Debido proceso legal</w:t>
            </w:r>
          </w:p>
        </w:tc>
        <w:tc>
          <w:tcPr>
            <w:tcW w:w="1624" w:type="dxa"/>
            <w:noWrap/>
            <w:vAlign w:val="center"/>
            <w:hideMark/>
          </w:tcPr>
          <w:p w:rsidR="00B20B63" w:rsidRPr="003C410D" w:rsidRDefault="00B20B63" w:rsidP="00D40E9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1,392</w:t>
            </w:r>
          </w:p>
        </w:tc>
      </w:tr>
      <w:tr w:rsidR="00B20B63" w:rsidRPr="003C410D" w:rsidTr="00226377">
        <w:trPr>
          <w:trHeight w:val="300"/>
          <w:jc w:val="center"/>
        </w:trPr>
        <w:tc>
          <w:tcPr>
            <w:cnfStyle w:val="001000000000" w:firstRow="0" w:lastRow="0" w:firstColumn="1" w:lastColumn="0" w:oddVBand="0" w:evenVBand="0" w:oddHBand="0" w:evenHBand="0" w:firstRowFirstColumn="0"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No recepción de denuncia planteada</w:t>
            </w:r>
          </w:p>
        </w:tc>
        <w:tc>
          <w:tcPr>
            <w:tcW w:w="1624" w:type="dxa"/>
            <w:noWrap/>
            <w:vAlign w:val="center"/>
            <w:hideMark/>
          </w:tcPr>
          <w:p w:rsidR="00B20B63" w:rsidRPr="003C410D" w:rsidRDefault="00B20B63" w:rsidP="00D40E9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37</w:t>
            </w:r>
          </w:p>
        </w:tc>
      </w:tr>
      <w:tr w:rsidR="00B20B63" w:rsidRPr="003C410D" w:rsidTr="002263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Retardo en la admisión de la Demanda</w:t>
            </w:r>
          </w:p>
        </w:tc>
        <w:tc>
          <w:tcPr>
            <w:tcW w:w="1624" w:type="dxa"/>
            <w:noWrap/>
            <w:vAlign w:val="center"/>
            <w:hideMark/>
          </w:tcPr>
          <w:p w:rsidR="00B20B63" w:rsidRPr="003C410D" w:rsidRDefault="00B20B63" w:rsidP="00D40E9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8</w:t>
            </w:r>
          </w:p>
        </w:tc>
      </w:tr>
      <w:tr w:rsidR="00B20B63" w:rsidRPr="003C410D" w:rsidTr="00226377">
        <w:trPr>
          <w:trHeight w:val="300"/>
          <w:jc w:val="center"/>
        </w:trPr>
        <w:tc>
          <w:tcPr>
            <w:cnfStyle w:val="001000000000" w:firstRow="0" w:lastRow="0" w:firstColumn="1" w:lastColumn="0" w:oddVBand="0" w:evenVBand="0" w:oddHBand="0" w:evenHBand="0" w:firstRowFirstColumn="0"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Retardo en la admisión de un Recurso</w:t>
            </w:r>
          </w:p>
        </w:tc>
        <w:tc>
          <w:tcPr>
            <w:tcW w:w="1624" w:type="dxa"/>
            <w:noWrap/>
            <w:vAlign w:val="center"/>
            <w:hideMark/>
          </w:tcPr>
          <w:p w:rsidR="00B20B63" w:rsidRPr="003C410D" w:rsidRDefault="00B20B63" w:rsidP="00D40E94">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lang w:eastAsia="es-ES"/>
              </w:rPr>
            </w:pPr>
            <w:r w:rsidRPr="003C410D">
              <w:rPr>
                <w:rFonts w:ascii="Times New Roman" w:eastAsia="Times New Roman" w:hAnsi="Times New Roman" w:cs="Times New Roman"/>
                <w:color w:val="000000"/>
                <w:sz w:val="20"/>
                <w:szCs w:val="20"/>
                <w:lang w:eastAsia="es-ES"/>
              </w:rPr>
              <w:t>4</w:t>
            </w:r>
          </w:p>
        </w:tc>
      </w:tr>
      <w:tr w:rsidR="00B20B63" w:rsidRPr="003C410D" w:rsidTr="002263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394" w:type="dxa"/>
            <w:noWrap/>
            <w:hideMark/>
          </w:tcPr>
          <w:p w:rsidR="00B20B63" w:rsidRPr="003C410D" w:rsidRDefault="00B20B63" w:rsidP="00D40E94">
            <w:pPr>
              <w:rPr>
                <w:rFonts w:ascii="Times New Roman" w:eastAsia="Times New Roman" w:hAnsi="Times New Roman" w:cs="Times New Roman"/>
                <w:b/>
                <w:bCs/>
                <w:color w:val="000000"/>
                <w:sz w:val="20"/>
                <w:szCs w:val="20"/>
                <w:lang w:eastAsia="es-ES"/>
              </w:rPr>
            </w:pPr>
            <w:r w:rsidRPr="003C410D">
              <w:rPr>
                <w:rFonts w:ascii="Times New Roman" w:eastAsia="Times New Roman" w:hAnsi="Times New Roman" w:cs="Times New Roman"/>
                <w:b/>
                <w:bCs/>
                <w:color w:val="000000"/>
                <w:sz w:val="20"/>
                <w:szCs w:val="20"/>
                <w:lang w:eastAsia="es-ES"/>
              </w:rPr>
              <w:t>Total general</w:t>
            </w:r>
          </w:p>
        </w:tc>
        <w:tc>
          <w:tcPr>
            <w:tcW w:w="1624" w:type="dxa"/>
            <w:noWrap/>
            <w:vAlign w:val="center"/>
            <w:hideMark/>
          </w:tcPr>
          <w:p w:rsidR="00B20B63" w:rsidRPr="003C410D" w:rsidRDefault="00B20B63" w:rsidP="00D40E9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0"/>
                <w:szCs w:val="20"/>
                <w:lang w:eastAsia="es-ES"/>
              </w:rPr>
            </w:pPr>
            <w:r w:rsidRPr="003C410D">
              <w:rPr>
                <w:rFonts w:ascii="Times New Roman" w:eastAsia="Times New Roman" w:hAnsi="Times New Roman" w:cs="Times New Roman"/>
                <w:b/>
                <w:bCs/>
                <w:color w:val="000000"/>
                <w:sz w:val="20"/>
                <w:szCs w:val="20"/>
                <w:lang w:eastAsia="es-ES"/>
              </w:rPr>
              <w:t>1,441</w:t>
            </w:r>
          </w:p>
        </w:tc>
      </w:tr>
    </w:tbl>
    <w:p w:rsidR="00B20B63" w:rsidRDefault="00B20B63" w:rsidP="00B20B63">
      <w:pPr>
        <w:jc w:val="both"/>
        <w:rPr>
          <w:rFonts w:ascii="Times New Roman" w:hAnsi="Times New Roman" w:cs="Times New Roman"/>
          <w:sz w:val="20"/>
          <w:szCs w:val="20"/>
          <w:lang w:val="es-ES" w:eastAsia="es-ES"/>
        </w:rPr>
      </w:pPr>
    </w:p>
    <w:p w:rsidR="003C410D" w:rsidRPr="003C410D" w:rsidRDefault="003C410D" w:rsidP="003C410D">
      <w:pPr>
        <w:jc w:val="both"/>
        <w:rPr>
          <w:rFonts w:ascii="Times New Roman" w:hAnsi="Times New Roman" w:cs="Times New Roman"/>
          <w:sz w:val="20"/>
          <w:szCs w:val="20"/>
          <w:lang w:eastAsia="es-ES"/>
        </w:rPr>
      </w:pPr>
      <w:r w:rsidRPr="003C410D">
        <w:rPr>
          <w:rFonts w:ascii="Times New Roman" w:hAnsi="Times New Roman" w:cs="Times New Roman"/>
          <w:sz w:val="20"/>
          <w:szCs w:val="20"/>
          <w:lang w:eastAsia="es-ES"/>
        </w:rPr>
        <w:t>Las peticiones de acción</w:t>
      </w:r>
      <w:r w:rsidR="0045310D">
        <w:rPr>
          <w:rFonts w:ascii="Times New Roman" w:hAnsi="Times New Roman" w:cs="Times New Roman"/>
          <w:sz w:val="20"/>
          <w:szCs w:val="20"/>
          <w:lang w:eastAsia="es-ES"/>
        </w:rPr>
        <w:t>,</w:t>
      </w:r>
      <w:r w:rsidRPr="003C410D">
        <w:rPr>
          <w:rFonts w:ascii="Times New Roman" w:hAnsi="Times New Roman" w:cs="Times New Roman"/>
          <w:sz w:val="20"/>
          <w:szCs w:val="20"/>
          <w:lang w:eastAsia="es-ES"/>
        </w:rPr>
        <w:t xml:space="preserve"> hacia el CONADEH</w:t>
      </w:r>
      <w:r w:rsidR="0045310D">
        <w:rPr>
          <w:rFonts w:ascii="Times New Roman" w:hAnsi="Times New Roman" w:cs="Times New Roman"/>
          <w:sz w:val="20"/>
          <w:szCs w:val="20"/>
          <w:lang w:eastAsia="es-ES"/>
        </w:rPr>
        <w:t>,</w:t>
      </w:r>
      <w:r w:rsidRPr="003C410D">
        <w:rPr>
          <w:rFonts w:ascii="Times New Roman" w:hAnsi="Times New Roman" w:cs="Times New Roman"/>
          <w:sz w:val="20"/>
          <w:szCs w:val="20"/>
          <w:lang w:eastAsia="es-ES"/>
        </w:rPr>
        <w:t xml:space="preserve"> de las personas que se ven perjudicadas de alguna manera en el Acceso a la Justicia y Debido Proceso Legal, es generalmente porque se han visto en la necesidad de </w:t>
      </w:r>
      <w:r w:rsidR="0045310D">
        <w:rPr>
          <w:rFonts w:ascii="Times New Roman" w:hAnsi="Times New Roman" w:cs="Times New Roman"/>
          <w:sz w:val="20"/>
          <w:szCs w:val="20"/>
          <w:lang w:eastAsia="es-ES"/>
        </w:rPr>
        <w:t>conoc</w:t>
      </w:r>
      <w:r w:rsidRPr="003C410D">
        <w:rPr>
          <w:rFonts w:ascii="Times New Roman" w:hAnsi="Times New Roman" w:cs="Times New Roman"/>
          <w:sz w:val="20"/>
          <w:szCs w:val="20"/>
          <w:lang w:eastAsia="es-ES"/>
        </w:rPr>
        <w:t>er cuál es el curso de las investigaciones de las instituciones encargadas de la justicia en Honduras, las cuales muchas veces, manifiestan lentitud en los procesos, falta de interés, falta de información, entre otros.</w:t>
      </w:r>
    </w:p>
    <w:p w:rsidR="003C410D" w:rsidRPr="003C410D" w:rsidRDefault="003C410D" w:rsidP="003C410D">
      <w:pPr>
        <w:jc w:val="both"/>
        <w:rPr>
          <w:rFonts w:ascii="Times New Roman" w:hAnsi="Times New Roman" w:cs="Times New Roman"/>
          <w:sz w:val="20"/>
          <w:szCs w:val="20"/>
          <w:lang w:eastAsia="es-ES"/>
        </w:rPr>
      </w:pPr>
      <w:r w:rsidRPr="003C410D">
        <w:rPr>
          <w:rFonts w:ascii="Times New Roman" w:hAnsi="Times New Roman" w:cs="Times New Roman"/>
          <w:sz w:val="20"/>
          <w:szCs w:val="20"/>
          <w:lang w:eastAsia="es-ES"/>
        </w:rPr>
        <w:t xml:space="preserve">La deuda de la justicia con el pueblo sigue siendo grande y atenderla requiere de una mayor coordinación y funcionalidad responsable entre quienes se encargan de capturar y llevar a los supuestos delincuentes ante los tribunales y los encargados de impartir justicia. El sistema de justicia ha sido afectado también por algunos de sus operadores que se han confabulado con el crimen organizado y el narcotráfico, prueba de ello es que se ha dictado tres sentencias condenatorias </w:t>
      </w:r>
      <w:r w:rsidR="0045310D">
        <w:rPr>
          <w:rFonts w:ascii="Times New Roman" w:hAnsi="Times New Roman" w:cs="Times New Roman"/>
          <w:sz w:val="20"/>
          <w:szCs w:val="20"/>
          <w:lang w:eastAsia="es-ES"/>
        </w:rPr>
        <w:t>de</w:t>
      </w:r>
      <w:r w:rsidRPr="003C410D">
        <w:rPr>
          <w:rFonts w:ascii="Times New Roman" w:hAnsi="Times New Roman" w:cs="Times New Roman"/>
          <w:sz w:val="20"/>
          <w:szCs w:val="20"/>
          <w:lang w:eastAsia="es-ES"/>
        </w:rPr>
        <w:t xml:space="preserve"> Jueces, por ese tipo de relaciones ilícitas.</w:t>
      </w:r>
    </w:p>
    <w:p w:rsidR="003C410D" w:rsidRPr="003C410D" w:rsidRDefault="003C410D" w:rsidP="003C410D">
      <w:pPr>
        <w:jc w:val="both"/>
        <w:rPr>
          <w:rFonts w:ascii="Times New Roman" w:hAnsi="Times New Roman" w:cs="Times New Roman"/>
          <w:sz w:val="20"/>
          <w:szCs w:val="20"/>
          <w:lang w:eastAsia="es-ES"/>
        </w:rPr>
      </w:pPr>
      <w:r w:rsidRPr="003C410D">
        <w:rPr>
          <w:rFonts w:ascii="Times New Roman" w:hAnsi="Times New Roman" w:cs="Times New Roman"/>
          <w:sz w:val="20"/>
          <w:szCs w:val="20"/>
          <w:lang w:eastAsia="es-ES"/>
        </w:rPr>
        <w:t>El grado de confianza que tienen las personas en el sistema de justicia es también una barrera para el acceso a la misma. Se puede visualizar una barrera institucional en la dificultad del sistema judicial de atender a los habitantes, en todo el territorio, con defensores públicos; la poca disponibilidad de información que oriente a las personas sobre cómo obtener los servicios jurídicos gratuitos proporcionados por instituciones públicas y paraestatales; la carencia de logística; el personal sin experiencia y el debido profesionalismo.</w:t>
      </w:r>
    </w:p>
    <w:p w:rsidR="003C410D" w:rsidRPr="003C410D" w:rsidRDefault="003C410D" w:rsidP="003C410D">
      <w:pPr>
        <w:jc w:val="both"/>
        <w:rPr>
          <w:rFonts w:ascii="Times New Roman" w:hAnsi="Times New Roman" w:cs="Times New Roman"/>
          <w:sz w:val="20"/>
          <w:szCs w:val="20"/>
          <w:lang w:eastAsia="es-ES"/>
        </w:rPr>
      </w:pPr>
      <w:r w:rsidRPr="003C410D">
        <w:rPr>
          <w:rFonts w:ascii="Times New Roman" w:hAnsi="Times New Roman" w:cs="Times New Roman"/>
          <w:sz w:val="20"/>
          <w:szCs w:val="20"/>
          <w:lang w:eastAsia="es-ES"/>
        </w:rPr>
        <w:t>De acuerdo a la competencia Cuasi Jurisdiccional del CONADEH: todos los habitantes pueden presentar quejas</w:t>
      </w:r>
      <w:r w:rsidR="0045310D">
        <w:rPr>
          <w:rFonts w:ascii="Times New Roman" w:hAnsi="Times New Roman" w:cs="Times New Roman"/>
          <w:sz w:val="20"/>
          <w:szCs w:val="20"/>
          <w:lang w:eastAsia="es-ES"/>
        </w:rPr>
        <w:t>,</w:t>
      </w:r>
      <w:r w:rsidRPr="003C410D">
        <w:rPr>
          <w:rFonts w:ascii="Times New Roman" w:hAnsi="Times New Roman" w:cs="Times New Roman"/>
          <w:sz w:val="20"/>
          <w:szCs w:val="20"/>
          <w:lang w:eastAsia="es-ES"/>
        </w:rPr>
        <w:t xml:space="preserve"> por cualquier medio ante el Comisionado Nacional de los Derechos Humanos. Toda queja presentada al CONADEH </w:t>
      </w:r>
      <w:r w:rsidR="0045310D">
        <w:rPr>
          <w:rFonts w:ascii="Times New Roman" w:hAnsi="Times New Roman" w:cs="Times New Roman"/>
          <w:sz w:val="20"/>
          <w:szCs w:val="20"/>
          <w:lang w:eastAsia="es-ES"/>
        </w:rPr>
        <w:t xml:space="preserve">es </w:t>
      </w:r>
      <w:r w:rsidRPr="003C410D">
        <w:rPr>
          <w:rFonts w:ascii="Times New Roman" w:hAnsi="Times New Roman" w:cs="Times New Roman"/>
          <w:sz w:val="20"/>
          <w:szCs w:val="20"/>
          <w:lang w:eastAsia="es-ES"/>
        </w:rPr>
        <w:t>registrada y se da acuse de recibo de la misma, se tramita</w:t>
      </w:r>
      <w:r w:rsidR="0045310D">
        <w:rPr>
          <w:rFonts w:ascii="Times New Roman" w:hAnsi="Times New Roman" w:cs="Times New Roman"/>
          <w:sz w:val="20"/>
          <w:szCs w:val="20"/>
          <w:lang w:eastAsia="es-ES"/>
        </w:rPr>
        <w:t xml:space="preserve"> </w:t>
      </w:r>
      <w:r w:rsidRPr="003C410D">
        <w:rPr>
          <w:rFonts w:ascii="Times New Roman" w:hAnsi="Times New Roman" w:cs="Times New Roman"/>
          <w:sz w:val="20"/>
          <w:szCs w:val="20"/>
          <w:lang w:eastAsia="es-ES"/>
        </w:rPr>
        <w:t>o rechaza</w:t>
      </w:r>
      <w:r w:rsidR="0045310D">
        <w:rPr>
          <w:rFonts w:ascii="Times New Roman" w:hAnsi="Times New Roman" w:cs="Times New Roman"/>
          <w:sz w:val="20"/>
          <w:szCs w:val="20"/>
          <w:lang w:eastAsia="es-ES"/>
        </w:rPr>
        <w:t>. En este último caso, se hace</w:t>
      </w:r>
      <w:r w:rsidRPr="003C410D">
        <w:rPr>
          <w:rFonts w:ascii="Times New Roman" w:hAnsi="Times New Roman" w:cs="Times New Roman"/>
          <w:sz w:val="20"/>
          <w:szCs w:val="20"/>
          <w:lang w:eastAsia="es-ES"/>
        </w:rPr>
        <w:t xml:space="preserve"> por escrito motivado, informando al interesado </w:t>
      </w:r>
      <w:r w:rsidR="0045310D">
        <w:rPr>
          <w:rFonts w:ascii="Times New Roman" w:hAnsi="Times New Roman" w:cs="Times New Roman"/>
          <w:sz w:val="20"/>
          <w:szCs w:val="20"/>
          <w:lang w:eastAsia="es-ES"/>
        </w:rPr>
        <w:t>las</w:t>
      </w:r>
      <w:r w:rsidRPr="003C410D">
        <w:rPr>
          <w:rFonts w:ascii="Times New Roman" w:hAnsi="Times New Roman" w:cs="Times New Roman"/>
          <w:sz w:val="20"/>
          <w:szCs w:val="20"/>
          <w:lang w:eastAsia="es-ES"/>
        </w:rPr>
        <w:t xml:space="preserve"> acciones</w:t>
      </w:r>
      <w:r w:rsidR="0045310D">
        <w:rPr>
          <w:rFonts w:ascii="Times New Roman" w:hAnsi="Times New Roman" w:cs="Times New Roman"/>
          <w:sz w:val="20"/>
          <w:szCs w:val="20"/>
          <w:lang w:eastAsia="es-ES"/>
        </w:rPr>
        <w:t xml:space="preserve"> que</w:t>
      </w:r>
      <w:r w:rsidRPr="003C410D">
        <w:rPr>
          <w:rFonts w:ascii="Times New Roman" w:hAnsi="Times New Roman" w:cs="Times New Roman"/>
          <w:sz w:val="20"/>
          <w:szCs w:val="20"/>
          <w:lang w:eastAsia="es-ES"/>
        </w:rPr>
        <w:t xml:space="preserve"> puede ejercitar.</w:t>
      </w:r>
      <w:r w:rsidR="0045310D">
        <w:rPr>
          <w:rFonts w:ascii="Times New Roman" w:hAnsi="Times New Roman" w:cs="Times New Roman"/>
          <w:sz w:val="20"/>
          <w:szCs w:val="20"/>
          <w:lang w:eastAsia="es-ES"/>
        </w:rPr>
        <w:t xml:space="preserve"> Por disposición expresa </w:t>
      </w:r>
      <w:r w:rsidR="0045310D">
        <w:rPr>
          <w:rFonts w:ascii="Times New Roman" w:hAnsi="Times New Roman" w:cs="Times New Roman"/>
          <w:sz w:val="20"/>
          <w:szCs w:val="20"/>
          <w:lang w:eastAsia="es-ES"/>
        </w:rPr>
        <w:lastRenderedPageBreak/>
        <w:t>de su Ley Orgánica, l</w:t>
      </w:r>
      <w:r w:rsidRPr="003C410D">
        <w:rPr>
          <w:rFonts w:ascii="Times New Roman" w:hAnsi="Times New Roman" w:cs="Times New Roman"/>
          <w:sz w:val="20"/>
          <w:szCs w:val="20"/>
          <w:lang w:eastAsia="es-ES"/>
        </w:rPr>
        <w:t>a in</w:t>
      </w:r>
      <w:r w:rsidR="0045310D">
        <w:rPr>
          <w:rFonts w:ascii="Times New Roman" w:hAnsi="Times New Roman" w:cs="Times New Roman"/>
          <w:sz w:val="20"/>
          <w:szCs w:val="20"/>
          <w:lang w:eastAsia="es-ES"/>
        </w:rPr>
        <w:t>stitución del CONADEH no entra</w:t>
      </w:r>
      <w:r w:rsidRPr="003C410D">
        <w:rPr>
          <w:rFonts w:ascii="Times New Roman" w:hAnsi="Times New Roman" w:cs="Times New Roman"/>
          <w:sz w:val="20"/>
          <w:szCs w:val="20"/>
          <w:lang w:eastAsia="es-ES"/>
        </w:rPr>
        <w:t xml:space="preserve"> en el examen individual de aquellas quejas sobre las que esté pendiente res</w:t>
      </w:r>
      <w:r w:rsidR="00FC4D5C">
        <w:rPr>
          <w:rFonts w:ascii="Times New Roman" w:hAnsi="Times New Roman" w:cs="Times New Roman"/>
          <w:sz w:val="20"/>
          <w:szCs w:val="20"/>
          <w:lang w:eastAsia="es-ES"/>
        </w:rPr>
        <w:t>olución judicial y lo suspende</w:t>
      </w:r>
      <w:r w:rsidRPr="003C410D">
        <w:rPr>
          <w:rFonts w:ascii="Times New Roman" w:hAnsi="Times New Roman" w:cs="Times New Roman"/>
          <w:sz w:val="20"/>
          <w:szCs w:val="20"/>
          <w:lang w:eastAsia="es-ES"/>
        </w:rPr>
        <w:t xml:space="preserve"> si iniciada su actuación, se interpusiese por la persona interesada, demanda o recurso ante los tribunales. </w:t>
      </w:r>
    </w:p>
    <w:p w:rsidR="003C410D" w:rsidRDefault="003C410D" w:rsidP="003C410D">
      <w:pPr>
        <w:jc w:val="both"/>
        <w:rPr>
          <w:rFonts w:ascii="Times New Roman" w:hAnsi="Times New Roman" w:cs="Times New Roman"/>
          <w:sz w:val="20"/>
          <w:szCs w:val="20"/>
          <w:lang w:eastAsia="es-ES"/>
        </w:rPr>
      </w:pPr>
      <w:r w:rsidRPr="003C410D">
        <w:rPr>
          <w:rFonts w:ascii="Times New Roman" w:hAnsi="Times New Roman" w:cs="Times New Roman"/>
          <w:sz w:val="20"/>
          <w:szCs w:val="20"/>
          <w:lang w:eastAsia="es-ES"/>
        </w:rPr>
        <w:t>El CONADEH no es competente para modificar o anular los actos o resoluciones de la Administración, pero puede sugerir se modifiquen los criterios que lo generaron. Tampoco puede modificar las sentencias judiciales, pero vela por el libre acceso de las personas ante los órganos jurisdiccionales y para que éstos actúen con la debida diligencia y celeridad personal</w:t>
      </w:r>
      <w:r>
        <w:rPr>
          <w:rFonts w:ascii="Times New Roman" w:hAnsi="Times New Roman" w:cs="Times New Roman"/>
          <w:sz w:val="20"/>
          <w:szCs w:val="20"/>
          <w:lang w:eastAsia="es-ES"/>
        </w:rPr>
        <w:t xml:space="preserve">. </w:t>
      </w:r>
      <w:r w:rsidRPr="003C410D">
        <w:rPr>
          <w:rFonts w:ascii="Times New Roman" w:hAnsi="Times New Roman" w:cs="Times New Roman"/>
          <w:sz w:val="20"/>
          <w:szCs w:val="20"/>
          <w:lang w:eastAsia="es-ES"/>
        </w:rPr>
        <w:t xml:space="preserve">  </w:t>
      </w:r>
    </w:p>
    <w:p w:rsidR="00A1623F" w:rsidRDefault="00A1623F" w:rsidP="00A1623F">
      <w:pPr>
        <w:jc w:val="both"/>
        <w:rPr>
          <w:rFonts w:ascii="Times New Roman" w:hAnsi="Times New Roman" w:cs="Times New Roman"/>
          <w:sz w:val="20"/>
          <w:szCs w:val="20"/>
          <w:lang w:eastAsia="es-ES"/>
        </w:rPr>
      </w:pPr>
      <w:r>
        <w:rPr>
          <w:rFonts w:ascii="Times New Roman" w:hAnsi="Times New Roman" w:cs="Times New Roman"/>
          <w:sz w:val="20"/>
          <w:szCs w:val="20"/>
          <w:lang w:eastAsia="es-ES"/>
        </w:rPr>
        <w:t>Como parte de la cooperación interinstitucional, e</w:t>
      </w:r>
      <w:r w:rsidRPr="00A1623F">
        <w:rPr>
          <w:rFonts w:ascii="Times New Roman" w:hAnsi="Times New Roman" w:cs="Times New Roman"/>
          <w:sz w:val="20"/>
          <w:szCs w:val="20"/>
          <w:lang w:eastAsia="es-ES"/>
        </w:rPr>
        <w:t xml:space="preserve">l CONADEH abordó con la Misión de Apoyo contra la Corrupción y la Impunidad en Honduras (MACCIH) la situación de la corrupción en el país y sus impactos negativos en el goce de los derechos humanos. El CONADEH calificó como un hecho importante que las víctimas de corrupción que han sido violentados en sus derechos, tengan acceso a la justicia. El Defensor del Pueblo expresó, a la MACCIH, su preocupación por los actos de corrupción que se dieron en el Instituto Hondureño de Seguridad Social (IHSS) y que afectaron directamente a los derechohabientes. </w:t>
      </w:r>
      <w:r>
        <w:rPr>
          <w:rFonts w:ascii="Times New Roman" w:hAnsi="Times New Roman" w:cs="Times New Roman"/>
          <w:sz w:val="20"/>
          <w:szCs w:val="20"/>
          <w:lang w:eastAsia="es-ES"/>
        </w:rPr>
        <w:t>C</w:t>
      </w:r>
      <w:r w:rsidRPr="00A1623F">
        <w:rPr>
          <w:rFonts w:ascii="Times New Roman" w:hAnsi="Times New Roman" w:cs="Times New Roman"/>
          <w:sz w:val="20"/>
          <w:szCs w:val="20"/>
          <w:lang w:eastAsia="es-ES"/>
        </w:rPr>
        <w:t>onsideró que, para mayor efectividad del trabajo de la MACCIH, se necesita tener las mayores posibilidades de acceso a toda la documentación que necesite. Es importante que la mayor transparencia se haga efectiva en todos los procesos que implican la transformación del sistema de justicia.</w:t>
      </w:r>
      <w:r>
        <w:rPr>
          <w:rFonts w:ascii="Times New Roman" w:hAnsi="Times New Roman" w:cs="Times New Roman"/>
          <w:sz w:val="20"/>
          <w:szCs w:val="20"/>
          <w:lang w:eastAsia="es-ES"/>
        </w:rPr>
        <w:t xml:space="preserve"> </w:t>
      </w:r>
      <w:r w:rsidRPr="00A1623F">
        <w:rPr>
          <w:rFonts w:ascii="Times New Roman" w:hAnsi="Times New Roman" w:cs="Times New Roman"/>
          <w:sz w:val="20"/>
          <w:szCs w:val="20"/>
          <w:lang w:eastAsia="es-ES"/>
        </w:rPr>
        <w:t>En la lucha contra la corrupción y la impunidad, la MACCIH debe encontrarse con el compromiso del Estado de dar todo su máximo aporte para que el trabajo sea efectivo y que todas las condiciones apropiadas, para ese trabajo, puedan brindarse.</w:t>
      </w:r>
    </w:p>
    <w:p w:rsidR="00A1623F" w:rsidRPr="00A1623F" w:rsidRDefault="00A1623F" w:rsidP="003C410D">
      <w:pPr>
        <w:jc w:val="both"/>
        <w:rPr>
          <w:rFonts w:ascii="Times New Roman" w:hAnsi="Times New Roman" w:cs="Times New Roman"/>
          <w:sz w:val="20"/>
          <w:szCs w:val="20"/>
          <w:lang w:val="es-ES" w:eastAsia="es-ES"/>
        </w:rPr>
      </w:pPr>
      <w:r>
        <w:rPr>
          <w:rFonts w:ascii="Times New Roman" w:hAnsi="Times New Roman" w:cs="Times New Roman"/>
          <w:sz w:val="20"/>
          <w:szCs w:val="20"/>
          <w:lang w:eastAsia="es-ES"/>
        </w:rPr>
        <w:t>S</w:t>
      </w:r>
      <w:r w:rsidRPr="00A1623F">
        <w:rPr>
          <w:rFonts w:ascii="Times New Roman" w:hAnsi="Times New Roman" w:cs="Times New Roman"/>
          <w:sz w:val="20"/>
          <w:szCs w:val="20"/>
          <w:lang w:eastAsia="es-ES"/>
        </w:rPr>
        <w:t>obre las medidas adoptadas para garantizar que las próximas elecciones generales, previstas para finales de 2017, se lleven a cabo de manera libre, imparcial y transparente,</w:t>
      </w:r>
      <w:r>
        <w:rPr>
          <w:rFonts w:ascii="Times New Roman" w:hAnsi="Times New Roman" w:cs="Times New Roman"/>
          <w:sz w:val="20"/>
          <w:szCs w:val="20"/>
          <w:lang w:eastAsia="es-ES"/>
        </w:rPr>
        <w:t xml:space="preserve"> el CONADEH</w:t>
      </w:r>
      <w:r w:rsidR="00FC4D5C">
        <w:rPr>
          <w:rFonts w:ascii="Times New Roman" w:hAnsi="Times New Roman" w:cs="Times New Roman"/>
          <w:sz w:val="20"/>
          <w:szCs w:val="20"/>
          <w:lang w:eastAsia="es-ES"/>
        </w:rPr>
        <w:t xml:space="preserve"> realizó en  marzo del 2017, en el marco de las elecciones primarias e internas, un proceso de Observación Electoral Actica con Enfoque de Derechos Humanos y </w:t>
      </w:r>
      <w:r>
        <w:rPr>
          <w:rFonts w:ascii="Times New Roman" w:hAnsi="Times New Roman" w:cs="Times New Roman"/>
          <w:sz w:val="20"/>
          <w:szCs w:val="20"/>
          <w:lang w:eastAsia="es-ES"/>
        </w:rPr>
        <w:t xml:space="preserve"> se encuentra en la gestión de implementar el </w:t>
      </w:r>
      <w:r w:rsidRPr="00A1623F">
        <w:rPr>
          <w:rFonts w:ascii="Times New Roman" w:hAnsi="Times New Roman" w:cs="Times New Roman"/>
          <w:sz w:val="20"/>
          <w:szCs w:val="20"/>
          <w:lang w:eastAsia="es-ES"/>
        </w:rPr>
        <w:t>Proyecto</w:t>
      </w:r>
      <w:r>
        <w:rPr>
          <w:rFonts w:ascii="Times New Roman" w:hAnsi="Times New Roman" w:cs="Times New Roman"/>
          <w:sz w:val="20"/>
          <w:szCs w:val="20"/>
          <w:lang w:eastAsia="es-ES"/>
        </w:rPr>
        <w:t>:</w:t>
      </w:r>
      <w:r w:rsidRPr="00A1623F">
        <w:rPr>
          <w:rFonts w:ascii="Times New Roman" w:hAnsi="Times New Roman" w:cs="Times New Roman"/>
          <w:sz w:val="20"/>
          <w:szCs w:val="20"/>
          <w:lang w:eastAsia="es-ES"/>
        </w:rPr>
        <w:t xml:space="preserve"> “</w:t>
      </w:r>
      <w:r w:rsidRPr="00A1623F">
        <w:rPr>
          <w:rFonts w:ascii="Times New Roman" w:hAnsi="Times New Roman" w:cs="Times New Roman"/>
          <w:i/>
          <w:sz w:val="20"/>
          <w:szCs w:val="20"/>
          <w:lang w:eastAsia="es-ES"/>
        </w:rPr>
        <w:t>Observación Electoral Activa de las Elecciones Generales 2017 en Honduras, con Enfoque de Derechos Humanos en los Municipios de Bienestar Solidario (MBS)</w:t>
      </w:r>
      <w:r w:rsidRPr="00A1623F">
        <w:rPr>
          <w:rFonts w:ascii="Times New Roman" w:hAnsi="Times New Roman" w:cs="Times New Roman"/>
          <w:sz w:val="20"/>
          <w:szCs w:val="20"/>
          <w:lang w:eastAsia="es-ES"/>
        </w:rPr>
        <w:t>”</w:t>
      </w:r>
      <w:r>
        <w:rPr>
          <w:rFonts w:ascii="Times New Roman" w:hAnsi="Times New Roman" w:cs="Times New Roman"/>
          <w:sz w:val="20"/>
          <w:szCs w:val="20"/>
          <w:lang w:eastAsia="es-ES"/>
        </w:rPr>
        <w:t>, con el objetivo de c</w:t>
      </w:r>
      <w:r w:rsidRPr="00A1623F">
        <w:rPr>
          <w:rFonts w:ascii="Times New Roman" w:hAnsi="Times New Roman" w:cs="Times New Roman"/>
          <w:sz w:val="20"/>
          <w:szCs w:val="20"/>
          <w:lang w:eastAsia="es-ES"/>
        </w:rPr>
        <w:t>ontribuir a fortalecer y garantizar el derecho a la participación política, en particular al voto (elegir y ser electo) de los y las ciudadanos/as hondureños/as, con especial énfasis en las personas en condición de vulnerabilidad , que han sido tradicionalmente marginados o excluidos.</w:t>
      </w:r>
      <w:r w:rsidR="00E26FB9">
        <w:rPr>
          <w:rFonts w:ascii="Times New Roman" w:hAnsi="Times New Roman" w:cs="Times New Roman"/>
          <w:sz w:val="20"/>
          <w:szCs w:val="20"/>
          <w:lang w:eastAsia="es-ES"/>
        </w:rPr>
        <w:t xml:space="preserve"> Es de mencionar que el CONADEH ha participado activamente en la observación en cada uno de los procesos de elecciones tanto internas como generales desde el año 2005. </w:t>
      </w:r>
    </w:p>
    <w:p w:rsidR="008A46BE" w:rsidRDefault="008A46BE" w:rsidP="00337CD7">
      <w:pPr>
        <w:jc w:val="both"/>
        <w:rPr>
          <w:rFonts w:ascii="Times New Roman" w:hAnsi="Times New Roman" w:cs="Times New Roman"/>
          <w:b/>
          <w:sz w:val="20"/>
          <w:szCs w:val="20"/>
        </w:rPr>
      </w:pPr>
      <w:r w:rsidRPr="008A46BE">
        <w:rPr>
          <w:rFonts w:ascii="Times New Roman" w:hAnsi="Times New Roman" w:cs="Times New Roman"/>
          <w:b/>
          <w:sz w:val="20"/>
          <w:szCs w:val="20"/>
        </w:rPr>
        <w:t>Derechos de las personas pertenecientes a minorías (arts. 2, 26 y 27)</w:t>
      </w:r>
    </w:p>
    <w:p w:rsidR="00226377" w:rsidRDefault="00226377" w:rsidP="00226377">
      <w:pPr>
        <w:jc w:val="both"/>
        <w:rPr>
          <w:rFonts w:ascii="Times New Roman" w:hAnsi="Times New Roman" w:cs="Times New Roman"/>
          <w:sz w:val="20"/>
          <w:szCs w:val="20"/>
          <w:lang w:val="es-MX"/>
        </w:rPr>
      </w:pPr>
      <w:r w:rsidRPr="003C410D">
        <w:rPr>
          <w:rFonts w:ascii="Times New Roman" w:hAnsi="Times New Roman" w:cs="Times New Roman"/>
          <w:sz w:val="20"/>
          <w:szCs w:val="20"/>
          <w:lang w:val="es-MX"/>
        </w:rPr>
        <w:t xml:space="preserve">Durante el 2016, el CONADEH atendió en su mayoría, denuncias por violaciones a los grupos y sectores vulnerados de la población, con un total de 9,586. </w:t>
      </w:r>
    </w:p>
    <w:p w:rsidR="00226377" w:rsidRDefault="00226377" w:rsidP="00226377">
      <w:pPr>
        <w:jc w:val="both"/>
        <w:rPr>
          <w:rFonts w:ascii="Times New Roman" w:hAnsi="Times New Roman" w:cs="Times New Roman"/>
          <w:sz w:val="20"/>
          <w:szCs w:val="20"/>
        </w:rPr>
      </w:pPr>
      <w:r>
        <w:rPr>
          <w:rFonts w:ascii="Times New Roman" w:hAnsi="Times New Roman" w:cs="Times New Roman"/>
          <w:sz w:val="20"/>
          <w:szCs w:val="20"/>
        </w:rPr>
        <w:t xml:space="preserve">Además de las quejas presentadas por mujeres y niñez, ya antes mencionadas, el CONADEH ha atendido quejas de adultos mayores, personas desplazadas por violencia, personas con discapacidad, migrantes, pueblos indígenas y Afrohondureños, personas de la diversidad sexual, y personas con VIH. </w:t>
      </w:r>
    </w:p>
    <w:tbl>
      <w:tblPr>
        <w:tblStyle w:val="Tabladecuadrcula3-nfasis11"/>
        <w:tblpPr w:leftFromText="141" w:rightFromText="141" w:vertAnchor="text" w:horzAnchor="page" w:tblpX="2973" w:tblpY="46"/>
        <w:tblW w:w="0" w:type="auto"/>
        <w:tblLook w:val="04A0" w:firstRow="1" w:lastRow="0" w:firstColumn="1" w:lastColumn="0" w:noHBand="0" w:noVBand="1"/>
      </w:tblPr>
      <w:tblGrid>
        <w:gridCol w:w="4077"/>
        <w:gridCol w:w="937"/>
      </w:tblGrid>
      <w:tr w:rsidR="00FC4D5C" w:rsidRPr="00CE4941" w:rsidTr="00FC4D5C">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szCs w:val="20"/>
                <w:lang w:eastAsia="es-ES"/>
              </w:rPr>
            </w:pPr>
            <w:r w:rsidRPr="00CE4941">
              <w:rPr>
                <w:rFonts w:ascii="Times New Roman" w:eastAsia="Times New Roman" w:hAnsi="Times New Roman" w:cs="Times New Roman"/>
                <w:color w:val="000000"/>
                <w:sz w:val="18"/>
                <w:szCs w:val="20"/>
                <w:lang w:eastAsia="es-ES"/>
              </w:rPr>
              <w:t xml:space="preserve">Grupos en Condición de Vulnerabilidad </w:t>
            </w:r>
          </w:p>
        </w:tc>
        <w:tc>
          <w:tcPr>
            <w:tcW w:w="937" w:type="dxa"/>
            <w:noWrap/>
            <w:hideMark/>
          </w:tcPr>
          <w:p w:rsidR="00FC4D5C" w:rsidRPr="00CE4941" w:rsidRDefault="00FC4D5C" w:rsidP="00FC4D5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20"/>
                <w:lang w:eastAsia="es-ES"/>
              </w:rPr>
            </w:pPr>
            <w:r w:rsidRPr="00CE4941">
              <w:rPr>
                <w:rFonts w:ascii="Times New Roman" w:eastAsia="Times New Roman" w:hAnsi="Times New Roman" w:cs="Times New Roman"/>
                <w:color w:val="000000"/>
                <w:sz w:val="18"/>
                <w:szCs w:val="20"/>
                <w:lang w:eastAsia="es-ES"/>
              </w:rPr>
              <w:t>Cantidad</w:t>
            </w:r>
          </w:p>
        </w:tc>
      </w:tr>
      <w:tr w:rsidR="00FC4D5C" w:rsidRPr="00CE4941" w:rsidTr="00FC4D5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Mujeres</w:t>
            </w:r>
          </w:p>
        </w:tc>
        <w:tc>
          <w:tcPr>
            <w:tcW w:w="937" w:type="dxa"/>
            <w:noWrap/>
            <w:hideMark/>
          </w:tcPr>
          <w:p w:rsidR="00FC4D5C" w:rsidRPr="00CE4941" w:rsidRDefault="00FC4D5C" w:rsidP="00FC4D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4,529</w:t>
            </w:r>
          </w:p>
        </w:tc>
      </w:tr>
      <w:tr w:rsidR="00FC4D5C" w:rsidRPr="00CE4941" w:rsidTr="00FC4D5C">
        <w:trPr>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Niñez</w:t>
            </w:r>
          </w:p>
        </w:tc>
        <w:tc>
          <w:tcPr>
            <w:tcW w:w="937" w:type="dxa"/>
            <w:noWrap/>
            <w:hideMark/>
          </w:tcPr>
          <w:p w:rsidR="00FC4D5C" w:rsidRPr="00CE4941" w:rsidRDefault="00FC4D5C" w:rsidP="00FC4D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2,016</w:t>
            </w:r>
          </w:p>
        </w:tc>
      </w:tr>
      <w:tr w:rsidR="00FC4D5C" w:rsidRPr="00CE4941" w:rsidTr="00FC4D5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Adultos Mayores</w:t>
            </w:r>
          </w:p>
        </w:tc>
        <w:tc>
          <w:tcPr>
            <w:tcW w:w="937" w:type="dxa"/>
            <w:noWrap/>
            <w:hideMark/>
          </w:tcPr>
          <w:p w:rsidR="00FC4D5C" w:rsidRPr="00CE4941" w:rsidRDefault="00FC4D5C" w:rsidP="00FC4D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1,528</w:t>
            </w:r>
          </w:p>
        </w:tc>
      </w:tr>
      <w:tr w:rsidR="00FC4D5C" w:rsidRPr="00CE4941" w:rsidTr="00FC4D5C">
        <w:trPr>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Desplazamiento Interno</w:t>
            </w:r>
          </w:p>
        </w:tc>
        <w:tc>
          <w:tcPr>
            <w:tcW w:w="937" w:type="dxa"/>
            <w:noWrap/>
            <w:hideMark/>
          </w:tcPr>
          <w:p w:rsidR="00FC4D5C" w:rsidRPr="00CE4941" w:rsidRDefault="00FC4D5C" w:rsidP="00FC4D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757</w:t>
            </w:r>
          </w:p>
        </w:tc>
      </w:tr>
      <w:tr w:rsidR="00FC4D5C" w:rsidRPr="00CE4941" w:rsidTr="00FC4D5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Personas con Discapacidad</w:t>
            </w:r>
          </w:p>
        </w:tc>
        <w:tc>
          <w:tcPr>
            <w:tcW w:w="937" w:type="dxa"/>
            <w:noWrap/>
            <w:hideMark/>
          </w:tcPr>
          <w:p w:rsidR="00FC4D5C" w:rsidRPr="00CE4941" w:rsidRDefault="00FC4D5C" w:rsidP="00FC4D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465</w:t>
            </w:r>
          </w:p>
        </w:tc>
      </w:tr>
      <w:tr w:rsidR="00FC4D5C" w:rsidRPr="00CE4941" w:rsidTr="00FC4D5C">
        <w:trPr>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Personas Migrantes</w:t>
            </w:r>
          </w:p>
        </w:tc>
        <w:tc>
          <w:tcPr>
            <w:tcW w:w="937" w:type="dxa"/>
            <w:noWrap/>
            <w:hideMark/>
          </w:tcPr>
          <w:p w:rsidR="00FC4D5C" w:rsidRPr="00CE4941" w:rsidRDefault="00FC4D5C" w:rsidP="00FC4D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81</w:t>
            </w:r>
          </w:p>
        </w:tc>
      </w:tr>
      <w:tr w:rsidR="00FC4D5C" w:rsidRPr="00CE4941" w:rsidTr="00FC4D5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Pueblos Indígenas</w:t>
            </w:r>
          </w:p>
        </w:tc>
        <w:tc>
          <w:tcPr>
            <w:tcW w:w="937" w:type="dxa"/>
            <w:noWrap/>
            <w:hideMark/>
          </w:tcPr>
          <w:p w:rsidR="00FC4D5C" w:rsidRPr="00CE4941" w:rsidRDefault="00FC4D5C" w:rsidP="00FC4D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78</w:t>
            </w:r>
          </w:p>
        </w:tc>
      </w:tr>
      <w:tr w:rsidR="00FC4D5C" w:rsidRPr="00CE4941" w:rsidTr="00FC4D5C">
        <w:trPr>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lastRenderedPageBreak/>
              <w:t>Diversidad Sexual</w:t>
            </w:r>
          </w:p>
        </w:tc>
        <w:tc>
          <w:tcPr>
            <w:tcW w:w="937" w:type="dxa"/>
            <w:noWrap/>
            <w:hideMark/>
          </w:tcPr>
          <w:p w:rsidR="00FC4D5C" w:rsidRPr="00CE4941" w:rsidRDefault="00FC4D5C" w:rsidP="00FC4D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74</w:t>
            </w:r>
          </w:p>
        </w:tc>
      </w:tr>
      <w:tr w:rsidR="00FC4D5C" w:rsidRPr="00CE4941" w:rsidTr="00FC4D5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Personas con VIH</w:t>
            </w:r>
          </w:p>
        </w:tc>
        <w:tc>
          <w:tcPr>
            <w:tcW w:w="937" w:type="dxa"/>
            <w:noWrap/>
            <w:hideMark/>
          </w:tcPr>
          <w:p w:rsidR="00FC4D5C" w:rsidRPr="00CE4941" w:rsidRDefault="00FC4D5C" w:rsidP="00FC4D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lang w:eastAsia="es-ES"/>
              </w:rPr>
            </w:pPr>
            <w:r w:rsidRPr="00CE4941">
              <w:rPr>
                <w:rFonts w:ascii="Times New Roman" w:eastAsia="Times New Roman" w:hAnsi="Times New Roman" w:cs="Times New Roman"/>
                <w:color w:val="000000"/>
                <w:sz w:val="18"/>
                <w:lang w:eastAsia="es-ES"/>
              </w:rPr>
              <w:t>58</w:t>
            </w:r>
          </w:p>
        </w:tc>
      </w:tr>
      <w:tr w:rsidR="00FC4D5C" w:rsidRPr="00CE4941" w:rsidTr="00FC4D5C">
        <w:trPr>
          <w:trHeight w:val="300"/>
        </w:trPr>
        <w:tc>
          <w:tcPr>
            <w:cnfStyle w:val="001000000000" w:firstRow="0" w:lastRow="0" w:firstColumn="1" w:lastColumn="0" w:oddVBand="0" w:evenVBand="0" w:oddHBand="0" w:evenHBand="0" w:firstRowFirstColumn="0" w:firstRowLastColumn="0" w:lastRowFirstColumn="0" w:lastRowLastColumn="0"/>
            <w:tcW w:w="4077" w:type="dxa"/>
            <w:noWrap/>
            <w:hideMark/>
          </w:tcPr>
          <w:p w:rsidR="00FC4D5C" w:rsidRPr="00CE4941" w:rsidRDefault="00FC4D5C" w:rsidP="00FC4D5C">
            <w:pPr>
              <w:rPr>
                <w:rFonts w:ascii="Times New Roman" w:eastAsia="Times New Roman" w:hAnsi="Times New Roman" w:cs="Times New Roman"/>
                <w:b/>
                <w:color w:val="000000"/>
                <w:sz w:val="18"/>
                <w:lang w:eastAsia="es-ES"/>
              </w:rPr>
            </w:pPr>
            <w:r w:rsidRPr="00CE4941">
              <w:rPr>
                <w:rFonts w:ascii="Times New Roman" w:eastAsia="Times New Roman" w:hAnsi="Times New Roman" w:cs="Times New Roman"/>
                <w:b/>
                <w:color w:val="000000"/>
                <w:sz w:val="18"/>
                <w:lang w:eastAsia="es-ES"/>
              </w:rPr>
              <w:t>TOTAL</w:t>
            </w:r>
          </w:p>
        </w:tc>
        <w:tc>
          <w:tcPr>
            <w:tcW w:w="937" w:type="dxa"/>
            <w:noWrap/>
            <w:hideMark/>
          </w:tcPr>
          <w:p w:rsidR="00FC4D5C" w:rsidRPr="00CE4941" w:rsidRDefault="00FC4D5C" w:rsidP="00FC4D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8"/>
                <w:lang w:eastAsia="es-ES"/>
              </w:rPr>
            </w:pPr>
            <w:r w:rsidRPr="00CE4941">
              <w:rPr>
                <w:rFonts w:ascii="Times New Roman" w:eastAsia="Times New Roman" w:hAnsi="Times New Roman" w:cs="Times New Roman"/>
                <w:b/>
                <w:color w:val="000000"/>
                <w:sz w:val="18"/>
                <w:lang w:eastAsia="es-ES"/>
              </w:rPr>
              <w:t>9,586</w:t>
            </w:r>
          </w:p>
        </w:tc>
      </w:tr>
    </w:tbl>
    <w:p w:rsidR="00226377" w:rsidRPr="00337CD7" w:rsidRDefault="00226377" w:rsidP="00337CD7">
      <w:pPr>
        <w:jc w:val="both"/>
        <w:rPr>
          <w:rFonts w:ascii="Times New Roman" w:hAnsi="Times New Roman" w:cs="Times New Roman"/>
          <w:b/>
          <w:sz w:val="20"/>
          <w:szCs w:val="20"/>
        </w:rPr>
      </w:pPr>
    </w:p>
    <w:p w:rsidR="00C65515" w:rsidRDefault="00C65515" w:rsidP="0053114C">
      <w:pPr>
        <w:jc w:val="both"/>
        <w:rPr>
          <w:rFonts w:ascii="Times New Roman" w:hAnsi="Times New Roman" w:cs="Times New Roman"/>
          <w:sz w:val="20"/>
          <w:szCs w:val="20"/>
        </w:rPr>
      </w:pPr>
    </w:p>
    <w:p w:rsidR="00C65515" w:rsidRDefault="00C65515" w:rsidP="0053114C">
      <w:pPr>
        <w:jc w:val="both"/>
        <w:rPr>
          <w:rFonts w:ascii="Times New Roman" w:hAnsi="Times New Roman" w:cs="Times New Roman"/>
          <w:sz w:val="20"/>
          <w:szCs w:val="20"/>
        </w:rPr>
      </w:pPr>
    </w:p>
    <w:p w:rsidR="00226377" w:rsidRDefault="00226377" w:rsidP="0053114C">
      <w:pPr>
        <w:jc w:val="both"/>
        <w:rPr>
          <w:rFonts w:ascii="Times New Roman" w:hAnsi="Times New Roman" w:cs="Times New Roman"/>
          <w:b/>
          <w:sz w:val="20"/>
          <w:szCs w:val="20"/>
        </w:rPr>
      </w:pPr>
    </w:p>
    <w:p w:rsidR="00226377" w:rsidRDefault="00226377" w:rsidP="0053114C">
      <w:pPr>
        <w:jc w:val="both"/>
        <w:rPr>
          <w:rFonts w:ascii="Times New Roman" w:hAnsi="Times New Roman" w:cs="Times New Roman"/>
          <w:b/>
          <w:sz w:val="20"/>
          <w:szCs w:val="20"/>
        </w:rPr>
      </w:pPr>
    </w:p>
    <w:p w:rsidR="00226377" w:rsidRDefault="00226377" w:rsidP="0053114C">
      <w:pPr>
        <w:jc w:val="both"/>
        <w:rPr>
          <w:rFonts w:ascii="Times New Roman" w:hAnsi="Times New Roman" w:cs="Times New Roman"/>
          <w:b/>
          <w:sz w:val="20"/>
          <w:szCs w:val="20"/>
        </w:rPr>
      </w:pPr>
    </w:p>
    <w:p w:rsidR="00226377" w:rsidRDefault="00226377" w:rsidP="0053114C">
      <w:pPr>
        <w:jc w:val="both"/>
        <w:rPr>
          <w:rFonts w:ascii="Times New Roman" w:hAnsi="Times New Roman" w:cs="Times New Roman"/>
          <w:b/>
          <w:sz w:val="20"/>
          <w:szCs w:val="20"/>
        </w:rPr>
      </w:pPr>
    </w:p>
    <w:p w:rsidR="00C65515" w:rsidRPr="00C65515" w:rsidRDefault="00C65515" w:rsidP="0053114C">
      <w:pPr>
        <w:jc w:val="both"/>
        <w:rPr>
          <w:rFonts w:ascii="Times New Roman" w:hAnsi="Times New Roman" w:cs="Times New Roman"/>
          <w:b/>
          <w:sz w:val="20"/>
          <w:szCs w:val="20"/>
        </w:rPr>
      </w:pPr>
      <w:r>
        <w:rPr>
          <w:rFonts w:ascii="Times New Roman" w:hAnsi="Times New Roman" w:cs="Times New Roman"/>
          <w:b/>
          <w:sz w:val="20"/>
          <w:szCs w:val="20"/>
        </w:rPr>
        <w:t>Adultos Mayores</w:t>
      </w:r>
    </w:p>
    <w:p w:rsidR="003C410D" w:rsidRPr="003C410D" w:rsidRDefault="003C410D" w:rsidP="003C410D">
      <w:pPr>
        <w:jc w:val="both"/>
        <w:rPr>
          <w:rFonts w:ascii="Times New Roman" w:hAnsi="Times New Roman" w:cs="Times New Roman"/>
          <w:sz w:val="20"/>
          <w:szCs w:val="20"/>
        </w:rPr>
      </w:pPr>
      <w:r w:rsidRPr="003C410D">
        <w:rPr>
          <w:rFonts w:ascii="Times New Roman" w:hAnsi="Times New Roman" w:cs="Times New Roman"/>
          <w:sz w:val="20"/>
          <w:szCs w:val="20"/>
        </w:rPr>
        <w:t>En 2016, el CONADEH atendió un total de 1,528 quejas de personas adultas mayores, relacionadas con el derecho a la vida, petición, acceso a la justicia, salud, trabajo y alimentación. La Unidad de Desplazamiento Forzamiento Interno del CONADEH, en el 2016, identificó 757 casos de situaciones de riesgo o desplazamiento interno forzado por violencia, de los cuales el 4% corresponde a personas adultas mayores. Siendo importante mencionar que en los casos presentados a nuestras oficinas a nivel nacional se han brindado acompañamientos a diversas instituciones del Estado, para dar seguimiento a casos o procedimientos que se han instado ente las organizaciones del Estado, para verificar y garantizar los derechos humanos de las personas adulto mayor</w:t>
      </w:r>
      <w:r w:rsidR="00FC4D5C">
        <w:rPr>
          <w:rFonts w:ascii="Times New Roman" w:hAnsi="Times New Roman" w:cs="Times New Roman"/>
          <w:sz w:val="20"/>
          <w:szCs w:val="20"/>
        </w:rPr>
        <w:t>. Asimismo</w:t>
      </w:r>
      <w:r w:rsidRPr="003C410D">
        <w:rPr>
          <w:rFonts w:ascii="Times New Roman" w:hAnsi="Times New Roman" w:cs="Times New Roman"/>
          <w:sz w:val="20"/>
          <w:szCs w:val="20"/>
        </w:rPr>
        <w:t xml:space="preserve">  asimismo el CONADEH facilita la </w:t>
      </w:r>
      <w:r w:rsidR="00FC4D5C">
        <w:rPr>
          <w:rFonts w:ascii="Times New Roman" w:hAnsi="Times New Roman" w:cs="Times New Roman"/>
          <w:sz w:val="20"/>
          <w:szCs w:val="20"/>
        </w:rPr>
        <w:t>presentación de denuncias por las personas adultas</w:t>
      </w:r>
      <w:r w:rsidRPr="003C410D">
        <w:rPr>
          <w:rFonts w:ascii="Times New Roman" w:hAnsi="Times New Roman" w:cs="Times New Roman"/>
          <w:sz w:val="20"/>
          <w:szCs w:val="20"/>
        </w:rPr>
        <w:t xml:space="preserve"> mayor</w:t>
      </w:r>
      <w:r w:rsidR="00FC4D5C">
        <w:rPr>
          <w:rFonts w:ascii="Times New Roman" w:hAnsi="Times New Roman" w:cs="Times New Roman"/>
          <w:sz w:val="20"/>
          <w:szCs w:val="20"/>
        </w:rPr>
        <w:t>es</w:t>
      </w:r>
      <w:r w:rsidRPr="003C410D">
        <w:rPr>
          <w:rFonts w:ascii="Times New Roman" w:hAnsi="Times New Roman" w:cs="Times New Roman"/>
          <w:sz w:val="20"/>
          <w:szCs w:val="20"/>
        </w:rPr>
        <w:t xml:space="preserve"> a través de las OMBUDSM</w:t>
      </w:r>
      <w:r w:rsidR="00226377">
        <w:rPr>
          <w:rFonts w:ascii="Times New Roman" w:hAnsi="Times New Roman" w:cs="Times New Roman"/>
          <w:sz w:val="20"/>
          <w:szCs w:val="20"/>
        </w:rPr>
        <w:t>Ó</w:t>
      </w:r>
      <w:r w:rsidRPr="003C410D">
        <w:rPr>
          <w:rFonts w:ascii="Times New Roman" w:hAnsi="Times New Roman" w:cs="Times New Roman"/>
          <w:sz w:val="20"/>
          <w:szCs w:val="20"/>
        </w:rPr>
        <w:t>VIL</w:t>
      </w:r>
      <w:r w:rsidR="00226377">
        <w:rPr>
          <w:rFonts w:ascii="Times New Roman" w:hAnsi="Times New Roman" w:cs="Times New Roman"/>
          <w:sz w:val="20"/>
          <w:szCs w:val="20"/>
        </w:rPr>
        <w:t>ES</w:t>
      </w:r>
      <w:r w:rsidRPr="003C410D">
        <w:rPr>
          <w:rFonts w:ascii="Times New Roman" w:hAnsi="Times New Roman" w:cs="Times New Roman"/>
          <w:sz w:val="20"/>
          <w:szCs w:val="20"/>
        </w:rPr>
        <w:t xml:space="preserve"> que visitan las comunidades de todos los departamentos de la República, generando así un acercamiento continuo.    </w:t>
      </w:r>
    </w:p>
    <w:p w:rsidR="003C410D" w:rsidRDefault="003C410D" w:rsidP="003C410D">
      <w:pPr>
        <w:jc w:val="both"/>
        <w:rPr>
          <w:rFonts w:ascii="Times New Roman" w:hAnsi="Times New Roman" w:cs="Times New Roman"/>
          <w:sz w:val="20"/>
          <w:szCs w:val="20"/>
        </w:rPr>
      </w:pPr>
      <w:r w:rsidRPr="003C410D">
        <w:rPr>
          <w:rFonts w:ascii="Times New Roman" w:hAnsi="Times New Roman" w:cs="Times New Roman"/>
          <w:sz w:val="20"/>
          <w:szCs w:val="20"/>
        </w:rPr>
        <w:t>La espiral de violencia deriva en hechos que directa o indirectamente producen daño a los derechos y garantías de la persona mayor, en los ámbitos de la seguridad, libertad e integridad personal, también, se incluyen factores que afectan la protección familiar y comunitaria u otras que conducen a la expulsión de la comunidad .  Dada las afectaciones para este grupo poblacional en condición de vulnerabilidad, se debe de tomar en consideración, para las medidas de prevención, protección y atención, el enfoque diferencial basado en el respeto de los derechos humanos.</w:t>
      </w:r>
    </w:p>
    <w:p w:rsidR="003C410D" w:rsidRDefault="00C65515" w:rsidP="003C410D">
      <w:pPr>
        <w:jc w:val="both"/>
        <w:rPr>
          <w:rFonts w:ascii="Times New Roman" w:hAnsi="Times New Roman" w:cs="Times New Roman"/>
          <w:b/>
          <w:sz w:val="20"/>
          <w:szCs w:val="20"/>
        </w:rPr>
      </w:pPr>
      <w:r>
        <w:rPr>
          <w:rFonts w:ascii="Times New Roman" w:hAnsi="Times New Roman" w:cs="Times New Roman"/>
          <w:b/>
          <w:sz w:val="20"/>
          <w:szCs w:val="20"/>
        </w:rPr>
        <w:t>Personas con Discapacidad</w:t>
      </w:r>
    </w:p>
    <w:p w:rsidR="00C65515" w:rsidRPr="00C65515" w:rsidRDefault="00C65515" w:rsidP="00C65515">
      <w:pPr>
        <w:jc w:val="both"/>
        <w:rPr>
          <w:rFonts w:ascii="Times New Roman" w:hAnsi="Times New Roman" w:cs="Times New Roman"/>
          <w:sz w:val="20"/>
          <w:szCs w:val="20"/>
        </w:rPr>
      </w:pPr>
      <w:r w:rsidRPr="00C65515">
        <w:rPr>
          <w:rFonts w:ascii="Times New Roman" w:hAnsi="Times New Roman" w:cs="Times New Roman"/>
          <w:sz w:val="20"/>
          <w:szCs w:val="20"/>
        </w:rPr>
        <w:t xml:space="preserve">Las personas con discapacidad en Honduras continúan enfrentando enormes limitaciones, para el ejercicio y goce de sus derechos, por la desigualdad de condiciones a las que, a diario, son sometidas y falta de accesibilidad a diversos servicios, lo que les coloca en serias dificultades para alcanzar una vida independiente e inclusiva en la sociedad o su comunidad. </w:t>
      </w:r>
    </w:p>
    <w:p w:rsidR="00C65515" w:rsidRDefault="00C65515" w:rsidP="00C65515">
      <w:pPr>
        <w:jc w:val="both"/>
        <w:rPr>
          <w:rFonts w:ascii="Times New Roman" w:hAnsi="Times New Roman" w:cs="Times New Roman"/>
          <w:sz w:val="20"/>
          <w:szCs w:val="20"/>
        </w:rPr>
      </w:pPr>
      <w:r w:rsidRPr="00C65515">
        <w:rPr>
          <w:rFonts w:ascii="Times New Roman" w:hAnsi="Times New Roman" w:cs="Times New Roman"/>
          <w:sz w:val="20"/>
          <w:szCs w:val="20"/>
        </w:rPr>
        <w:t>Persiste una debilidad generalizada en las instituciones estatales para registrar y desagregar la discapacidad y para ofrecer condiciones idóneas de accesibilidad, ajustes razonables y apoyos diferenciados a dicha población. Además, el país aún no cuenta con un sistema nacional de monitoreo y evaluación para medir los avances y resultados en materia de inclusión y participación de las personas con discapacidad, así como de cumplimiento de todos sus derechos.</w:t>
      </w:r>
    </w:p>
    <w:p w:rsidR="00C65515" w:rsidRDefault="00C65515" w:rsidP="00C65515">
      <w:pPr>
        <w:jc w:val="both"/>
        <w:rPr>
          <w:rFonts w:ascii="Times New Roman" w:hAnsi="Times New Roman" w:cs="Times New Roman"/>
          <w:sz w:val="20"/>
          <w:szCs w:val="20"/>
        </w:rPr>
      </w:pPr>
      <w:r w:rsidRPr="00C65515">
        <w:rPr>
          <w:rFonts w:ascii="Times New Roman" w:hAnsi="Times New Roman" w:cs="Times New Roman"/>
          <w:sz w:val="20"/>
          <w:szCs w:val="20"/>
        </w:rPr>
        <w:t xml:space="preserve">Durante el año 2016, el CONADEH incrementó, en relación al año 2015,la recepción de denuncias de violaciones a derechos humanos, reportando 465 quejas de personas con discapacidad, de las cuales el 60.31% corresponde a denuncias relacionadas con el derecho a la vida, integridad personal, honra y dignidad, familia y derecho a petición; 20.63% relacionadas con el derecho a la educación, trabajo, salud y seguridad </w:t>
      </w:r>
      <w:r w:rsidRPr="00C65515">
        <w:rPr>
          <w:rFonts w:ascii="Times New Roman" w:hAnsi="Times New Roman" w:cs="Times New Roman"/>
          <w:sz w:val="20"/>
          <w:szCs w:val="20"/>
        </w:rPr>
        <w:lastRenderedPageBreak/>
        <w:t>social; 8.73% sobre acceso a la justicia y debido proceso legal y el 10.31% restante corresponde a acompañamientos y orientaciones.</w:t>
      </w:r>
    </w:p>
    <w:p w:rsidR="00C65515" w:rsidRDefault="00C65515" w:rsidP="00C65515">
      <w:pPr>
        <w:jc w:val="both"/>
        <w:rPr>
          <w:rFonts w:ascii="Times New Roman" w:hAnsi="Times New Roman" w:cs="Times New Roman"/>
          <w:b/>
          <w:sz w:val="20"/>
          <w:szCs w:val="20"/>
        </w:rPr>
      </w:pPr>
      <w:r>
        <w:rPr>
          <w:rFonts w:ascii="Times New Roman" w:hAnsi="Times New Roman" w:cs="Times New Roman"/>
          <w:b/>
          <w:sz w:val="20"/>
          <w:szCs w:val="20"/>
        </w:rPr>
        <w:t>Personas Migrantes</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 xml:space="preserve">De acuerdo a datos del Observatorio Consular y Migratorio de Honduras (CONMIGHO), en el 2016, hubo un total de 69,370 hondureños retornados (56,533 hombres y 12,837 mujeres). </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Los Departamentos que muestran un mayor número de personas retornadas/repatriadas son Cortés, Francisco Morazán y Olancho, departamentos donde se concentra la mayor cantidad de población, a nivel nacional.</w:t>
      </w:r>
    </w:p>
    <w:p w:rsidR="00C65515"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En 2016, el CONADEH atendió 81 quejas de personas migrantes. Muchos hondureños están desplazándose internamente y/o emigrando hacia otros países por la situación de pobreza y desocupación, y ser víctimas de la violencia, amenazas e intimidaciones, asesinatos de familiares, extorsiones, violación y asesinato de mujeres y niñas, a menudo como resultado de las actividades ilícitas de las pandillas y maras y/o crimen organizado.</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Se reconoce los esfuerzos por parte del Gobierno de Honduras en la recepción de hondureños retornados, sin embargo, estos no son suficientes. Existe preocupación que los migrantes no estén recibiendo el tratamiento adecuado en su retorno al país. Se recomienda al Estado de Honduras la creación de una política pública nacional migratoria expre</w:t>
      </w:r>
      <w:r w:rsidR="00FC4D5C">
        <w:rPr>
          <w:rFonts w:ascii="Times New Roman" w:hAnsi="Times New Roman" w:cs="Times New Roman"/>
          <w:sz w:val="20"/>
          <w:szCs w:val="20"/>
        </w:rPr>
        <w:t xml:space="preserve">sa que proteja a los migrantes, </w:t>
      </w:r>
      <w:r w:rsidRPr="006C54B3">
        <w:rPr>
          <w:rFonts w:ascii="Times New Roman" w:hAnsi="Times New Roman" w:cs="Times New Roman"/>
          <w:sz w:val="20"/>
          <w:szCs w:val="20"/>
        </w:rPr>
        <w:t xml:space="preserve">sin </w:t>
      </w:r>
      <w:r w:rsidR="00FC4D5C">
        <w:rPr>
          <w:rFonts w:ascii="Times New Roman" w:hAnsi="Times New Roman" w:cs="Times New Roman"/>
          <w:sz w:val="20"/>
          <w:szCs w:val="20"/>
        </w:rPr>
        <w:t xml:space="preserve">perjuicio de la constatación de haberse puesto </w:t>
      </w:r>
      <w:r w:rsidRPr="006C54B3">
        <w:rPr>
          <w:rFonts w:ascii="Times New Roman" w:hAnsi="Times New Roman" w:cs="Times New Roman"/>
          <w:sz w:val="20"/>
          <w:szCs w:val="20"/>
        </w:rPr>
        <w:t>en vigencia algunas leyes y mecanismos institucionales que crean un marco legal migratorio.</w:t>
      </w:r>
    </w:p>
    <w:p w:rsid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Muchas personas migrantes acuden a las diferentes oficinas del Comisionado Nacional de los Derechos Humanos solicitando medidas de seguridad pertinentes para salvaguardar su vida e integridad personal. Se les toma la queja, se les brinda asesoramiento para que realicen las acciones necesarias para solicitar refugio en otros países y se les extiende constancia de haber interpuesto queja o denuncia para que puedan gestionar su solicitud de refugio en otro país, por razones de seguridad.</w:t>
      </w:r>
    </w:p>
    <w:p w:rsidR="006C54B3" w:rsidRDefault="006C54B3" w:rsidP="006C54B3">
      <w:pPr>
        <w:jc w:val="both"/>
        <w:rPr>
          <w:rFonts w:ascii="Times New Roman" w:hAnsi="Times New Roman" w:cs="Times New Roman"/>
          <w:b/>
          <w:sz w:val="20"/>
          <w:szCs w:val="20"/>
        </w:rPr>
      </w:pPr>
      <w:r>
        <w:rPr>
          <w:rFonts w:ascii="Times New Roman" w:hAnsi="Times New Roman" w:cs="Times New Roman"/>
          <w:b/>
          <w:sz w:val="20"/>
          <w:szCs w:val="20"/>
        </w:rPr>
        <w:t>Personas Desplazadas</w:t>
      </w:r>
    </w:p>
    <w:p w:rsidR="006C54B3" w:rsidRPr="006C54B3" w:rsidRDefault="006C54B3" w:rsidP="006C54B3">
      <w:pPr>
        <w:jc w:val="both"/>
        <w:rPr>
          <w:rFonts w:ascii="Times New Roman" w:hAnsi="Times New Roman" w:cs="Times New Roman"/>
          <w:sz w:val="20"/>
          <w:szCs w:val="20"/>
        </w:rPr>
      </w:pPr>
      <w:r>
        <w:rPr>
          <w:rFonts w:ascii="Times New Roman" w:hAnsi="Times New Roman" w:cs="Times New Roman"/>
          <w:sz w:val="20"/>
          <w:szCs w:val="20"/>
        </w:rPr>
        <w:t>De las quejas atendidas en el CONADEH, se</w:t>
      </w:r>
      <w:r w:rsidRPr="006C54B3">
        <w:rPr>
          <w:rFonts w:ascii="Times New Roman" w:hAnsi="Times New Roman" w:cs="Times New Roman"/>
          <w:sz w:val="20"/>
          <w:szCs w:val="20"/>
        </w:rPr>
        <w:t xml:space="preserve"> identificó 757 casos en total</w:t>
      </w:r>
      <w:r>
        <w:rPr>
          <w:rFonts w:ascii="Times New Roman" w:hAnsi="Times New Roman" w:cs="Times New Roman"/>
          <w:sz w:val="20"/>
          <w:szCs w:val="20"/>
        </w:rPr>
        <w:t xml:space="preserve"> de desplazamiento</w:t>
      </w:r>
      <w:r w:rsidRPr="006C54B3">
        <w:rPr>
          <w:rFonts w:ascii="Times New Roman" w:hAnsi="Times New Roman" w:cs="Times New Roman"/>
          <w:sz w:val="20"/>
          <w:szCs w:val="20"/>
        </w:rPr>
        <w:t>, entre los cuales, cabe mencionar que 370 constituyen casos de situación de riesgo y 387 casos de desplazamiento. Estos, en proporción a las quejas totales (10,769) recibidas en diecinueve oficinas del CONADEH a nivel nacional representan el 7%, y en relación, a las denuncias recibidas por vulneraciones a los derechos a la vida e integridad personal (3,608) representan el 21%.</w:t>
      </w:r>
      <w:r w:rsidR="00CE4941">
        <w:rPr>
          <w:rFonts w:ascii="Times New Roman" w:hAnsi="Times New Roman" w:cs="Times New Roman"/>
          <w:sz w:val="20"/>
          <w:szCs w:val="20"/>
        </w:rPr>
        <w:t xml:space="preserve"> </w:t>
      </w:r>
      <w:r w:rsidRPr="006C54B3">
        <w:rPr>
          <w:rFonts w:ascii="Times New Roman" w:hAnsi="Times New Roman" w:cs="Times New Roman"/>
          <w:sz w:val="20"/>
          <w:szCs w:val="20"/>
        </w:rPr>
        <w:t>El 58% de las peticiones indica casos individuales en situación de riesgo o desplazamiento, mientras el 41% se refiere a unidades familiares, en donde tres o más miembros de la familia huyen por efecto de la violencia.</w:t>
      </w:r>
    </w:p>
    <w:p w:rsid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Entre las causas inmediatas que generan situaciones de riesgo o desplazamiento interno forzado por violencia, se incluye: la violencia generalizada manifestada por las operaciones del crimen organizado, maras, pandillas, bandas criminales, narcotráfico, vendettas; y por otras situaciones de violencia en el contexto de la discriminación por motivos de género, orientación sexual e identidad de género y personas infectadas con VIH/SIDA. Se incluye también situaciones relacionadas con conflictos de tenencia de tierras en zonas habitadas por pueblos indígenas.</w:t>
      </w:r>
    </w:p>
    <w:p w:rsid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 xml:space="preserve">En relación a los hechos específicos de violencia, las amenazas de muerte (39.5%), extorsión (18.5%), asesinatos de familiares (13.2%) y el reclutamiento forzoso de niños, niñas y adolescentes (8.2%) constituyen las principales causas, seguidas de: tentativa de homicidio (6.7%), violencia sexual (2.4%), lesiones (2.4%), violencia doméstica (2.0%), Despojo de tierra (1.5%), expulsión de vivienda (1.3%), rapto o secuestro (1.3%), </w:t>
      </w:r>
      <w:r w:rsidRPr="006C54B3">
        <w:rPr>
          <w:rFonts w:ascii="Times New Roman" w:hAnsi="Times New Roman" w:cs="Times New Roman"/>
          <w:sz w:val="20"/>
          <w:szCs w:val="20"/>
        </w:rPr>
        <w:lastRenderedPageBreak/>
        <w:t>usurpación de propiedad (1.1%) y violencia intrafamiliar(1.1%), y en menor medida hechos violatorios como: la discriminación (0.8%), atentado a negocio (0.1%).</w:t>
      </w:r>
    </w:p>
    <w:p w:rsid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 xml:space="preserve">De acuerdo a lo anterior, las quejas identificadas demuestran que, en lo concerniente a los presuntos responsables de los hechos violatorios, se encuentran: en la categoría “otros” sujetos desconocidos (34%), las maras de manera general (12%), de forma específica, la Pandilla Barrio 18 (16%) y Mara </w:t>
      </w:r>
      <w:proofErr w:type="spellStart"/>
      <w:r w:rsidRPr="006C54B3">
        <w:rPr>
          <w:rFonts w:ascii="Times New Roman" w:hAnsi="Times New Roman" w:cs="Times New Roman"/>
          <w:sz w:val="20"/>
          <w:szCs w:val="20"/>
        </w:rPr>
        <w:t>Salvatrucha</w:t>
      </w:r>
      <w:proofErr w:type="spellEnd"/>
      <w:r w:rsidRPr="006C54B3">
        <w:rPr>
          <w:rFonts w:ascii="Times New Roman" w:hAnsi="Times New Roman" w:cs="Times New Roman"/>
          <w:sz w:val="20"/>
          <w:szCs w:val="20"/>
        </w:rPr>
        <w:t xml:space="preserve"> MS-13 (11%). En algunos casos los victimarios son cercanos a las víctimas como: la pareja (4%), familiar (4%), vecino (3%). En adición, las bandas criminales (6%), narcotraficantes (3%) y policías (4%).</w:t>
      </w:r>
    </w:p>
    <w:p w:rsidR="00226377" w:rsidRPr="00A1623F" w:rsidRDefault="00226377" w:rsidP="00226377">
      <w:pPr>
        <w:jc w:val="both"/>
        <w:rPr>
          <w:rFonts w:ascii="Times New Roman" w:hAnsi="Times New Roman" w:cs="Times New Roman"/>
          <w:b/>
          <w:sz w:val="20"/>
          <w:szCs w:val="20"/>
        </w:rPr>
      </w:pPr>
      <w:r w:rsidRPr="00A1623F">
        <w:rPr>
          <w:rFonts w:ascii="Times New Roman" w:hAnsi="Times New Roman" w:cs="Times New Roman"/>
          <w:b/>
          <w:sz w:val="20"/>
          <w:szCs w:val="20"/>
        </w:rPr>
        <w:t>Problemática del Bajo Aguán sobre el derecho a la vida y a la integridad personal</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El CONADEH registró entre el 2009 y el 2012, la muerte violenta de alrededor de 92 personas, entre ellos: 53 campesinos; 18 guardias de seguridad; cuatro policías; dos (2) soldados; cinco (5) empleados de una de las empresas agroexportadoras, un (1) apoderado legal del movimiento campesino y nueve (9) particulares. Pese al acuerdo entre las partes en octubre de 2012, aun no se les pone fin al conflicto armado interno que se vive en esa zona del país. En los últimos 2 años esta situación presenta con una tendencia a la disminución, sin embargo, persisten las invasiones y desalojos, portación ilegal de armas, saqueos y destrucción.</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En el 2014, se atendió en oficinas del Comisionado Nacional de los Derechos Humanos, denuncias o quejas del Observatorio Permanente de Derechos Humanos del Aguan (OPDHA) en relación a su derecho de petición, en cuanto a acciones solicitadas al Gobierno orientadas a resolver el conflicto del Aguán y la falta de respuestas al mismo. Se abrió expediente de investigación y exhortó al Gobierno a dar respuesta a la petición del OPDHA, mediante informes sobre las acciones que se han realizado en la zona. Las instancias del CONADEH propiciaron la presencia de la Secretaría de Derechos Humanos, Justicia, Gobernación y Descentralización y la respuesta de ésta al CONADEH en cuanto a las medidas tomadas y voluntad de propiciar una solución integral.</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 xml:space="preserve">El CONADEH ha recibido las visitas de representantes de empresas de la zona, quienes se han hecho acompañar por expertos en solución de conflictos. Se escuchó sus posiciones y se recomendó el diálogo con los campesinos, en la búsqueda de soluciones permanentes, evitando el uso de la fuerza. Asimismo, se recibió a representantes del Banco Mundial para abordar este tema, a quienes se le facilitó la información al respecto. Se ha recomendado constantemente el diálogo entre las partes para encontrar una solución pacífica e integral que posibilite la convivencia armónica y el desarrollo sostenible y resuelva la problemática de la tenencia y producción de la tierra, fundamentada en el derecho humano al desarrollo, con el fin de estimular a los empresarios agrícolas a invertir, respetar plenamente los derechos humanos y asegurar la participación de los campesinos organizados y no organizados en el desarrollo, y en la distribución equitativa de los beneficios que se deriven del mismo. </w:t>
      </w:r>
    </w:p>
    <w:p w:rsidR="00226377" w:rsidRPr="00A1623F" w:rsidRDefault="00FC4D5C" w:rsidP="00226377">
      <w:pPr>
        <w:jc w:val="both"/>
        <w:rPr>
          <w:rFonts w:ascii="Times New Roman" w:hAnsi="Times New Roman" w:cs="Times New Roman"/>
          <w:sz w:val="20"/>
          <w:szCs w:val="20"/>
        </w:rPr>
      </w:pPr>
      <w:r>
        <w:rPr>
          <w:rFonts w:ascii="Times New Roman" w:hAnsi="Times New Roman" w:cs="Times New Roman"/>
          <w:sz w:val="20"/>
          <w:szCs w:val="20"/>
        </w:rPr>
        <w:t>Sobre la base</w:t>
      </w:r>
      <w:r w:rsidR="00226377" w:rsidRPr="00A1623F">
        <w:rPr>
          <w:rFonts w:ascii="Times New Roman" w:hAnsi="Times New Roman" w:cs="Times New Roman"/>
          <w:sz w:val="20"/>
          <w:szCs w:val="20"/>
        </w:rPr>
        <w:t xml:space="preserve"> de lo anterior, durante el 2015, y en atención a hecho que vulneran también derechos humanos, el CONADEH emitió algunas observaciones al documento de la situación de los Derechos Humanos en Honduras, elaborado por la CIDH, en ocasión de su visita a Honduras en diciembre de 2014. El 29 de noviembre del 2015, en el municipio de Tocoa, fueron embestidos por un vehículo particular desconocido, sin placas y de color blanco, dos defensores de derechos humanos, quienes sufrieron algunas heridas. La denuncia fue presentada ante el CONADEH y ante las demás autoridades competentes, y está en proceso de investigación. Así mismo, el viernes 27 de noviembre </w:t>
      </w:r>
      <w:r w:rsidR="00CE4941" w:rsidRPr="00A1623F">
        <w:rPr>
          <w:rFonts w:ascii="Times New Roman" w:hAnsi="Times New Roman" w:cs="Times New Roman"/>
          <w:sz w:val="20"/>
          <w:szCs w:val="20"/>
        </w:rPr>
        <w:t xml:space="preserve">de 2015 </w:t>
      </w:r>
      <w:r w:rsidR="00226377" w:rsidRPr="00A1623F">
        <w:rPr>
          <w:rFonts w:ascii="Times New Roman" w:hAnsi="Times New Roman" w:cs="Times New Roman"/>
          <w:sz w:val="20"/>
          <w:szCs w:val="20"/>
        </w:rPr>
        <w:t xml:space="preserve">se abrió de oficio denuncia por un atentado a un representante de las comunidades afro hondureños, por su oposición a supuestos actos consistentes en expropiación forzosa y venta de terrenos de propiedad garífuna a empresario extranjeros.  </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 xml:space="preserve">Con respecto a la Finca Panamá, localizada en el Municipio de Trujillo, los campesinos han manifestado al CONADEH que ellos lo que realmente quieren es que los guardias de seguridad se salgan de la finca porque consideran que ponen en peligro su integridad personal, pero los propietarios de la finca se oponen a sacar su </w:t>
      </w:r>
      <w:r w:rsidRPr="00A1623F">
        <w:rPr>
          <w:rFonts w:ascii="Times New Roman" w:hAnsi="Times New Roman" w:cs="Times New Roman"/>
          <w:sz w:val="20"/>
          <w:szCs w:val="20"/>
        </w:rPr>
        <w:lastRenderedPageBreak/>
        <w:t>personal de seguridad, porque aducen que esa finca ha sido objeto de innumerables ocupaciones por parte de los campesinos y, por lo tanto, esto ha dado lugar incontables desalojos por parte de las fuerzas de seguridad del Estado. Desde el año 2014 los campesinos han desistido de tomarse la finca. Es importante mencionar que, en el 2015, ha disminuido significativamente las acciones de desalojo y las acciones de violencia en el Departamento de Colón en cuanto a este tema.</w:t>
      </w:r>
      <w:r w:rsidR="00CE4941" w:rsidRPr="00A1623F">
        <w:rPr>
          <w:rFonts w:ascii="Times New Roman" w:hAnsi="Times New Roman" w:cs="Times New Roman"/>
          <w:sz w:val="20"/>
          <w:szCs w:val="20"/>
        </w:rPr>
        <w:t xml:space="preserve"> </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Con el Observatorio Permanente de Derechos Humanos (OPDHA), (grupo de sociedad civil constituido como defensores de los derechos humanos de los campesinos y que visitan constantemente los asentamientos), se ha coordinado acciones de recepción de denuncias con acompañamiento de los peticionarios ante las instancias competentes.</w:t>
      </w:r>
      <w:r w:rsidR="00CE4941" w:rsidRPr="00A1623F">
        <w:rPr>
          <w:rFonts w:ascii="Times New Roman" w:hAnsi="Times New Roman" w:cs="Times New Roman"/>
          <w:sz w:val="20"/>
          <w:szCs w:val="20"/>
        </w:rPr>
        <w:t xml:space="preserve"> </w:t>
      </w:r>
      <w:r w:rsidRPr="00A1623F">
        <w:rPr>
          <w:rFonts w:ascii="Times New Roman" w:hAnsi="Times New Roman" w:cs="Times New Roman"/>
          <w:sz w:val="20"/>
          <w:szCs w:val="20"/>
        </w:rPr>
        <w:t>En el 2015, el CONADEH recibió cinco (5) denuncias relacionadas a este tema, tipificadas como amenazas a muerte, en todos los casos se les ha dado el acompañamiento respectivo al Ministerio Público, DNIC o Policía Nacional Preventiva en su caso por parte de los investigadores del CONADEH.</w:t>
      </w:r>
    </w:p>
    <w:p w:rsidR="00226377" w:rsidRPr="00A1623F"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Se ha dialogado con miembros del Observatorio Permanente de Derechos Humanos, sobre las preocupaciones fundamentales de los campesinos, las cuales se resumen de la siguiente forma: La inseguridad, la militarización del Valle del Aguan que consideran conlleva a abusos por parte de los cuerpos de seguridad sobre todo en detenciones ilegales y lesiones a los campesinos y destrucción de bienes de su propiedad, el incumplimiento del Gobierno Central desde el año del 2010 de la entrega de 11,000 hectáreas a los campesinos, de las cuales solo se han entregado 4,000, y el esclarecimiento de los homicidios y desapariciones relacionados con la problemática por medio de los entes investigativos del Estado.</w:t>
      </w:r>
    </w:p>
    <w:p w:rsidR="00226377" w:rsidRDefault="00226377" w:rsidP="00226377">
      <w:pPr>
        <w:jc w:val="both"/>
        <w:rPr>
          <w:rFonts w:ascii="Times New Roman" w:hAnsi="Times New Roman" w:cs="Times New Roman"/>
          <w:sz w:val="20"/>
          <w:szCs w:val="20"/>
        </w:rPr>
      </w:pPr>
      <w:r w:rsidRPr="00A1623F">
        <w:rPr>
          <w:rFonts w:ascii="Times New Roman" w:hAnsi="Times New Roman" w:cs="Times New Roman"/>
          <w:sz w:val="20"/>
          <w:szCs w:val="20"/>
        </w:rPr>
        <w:t>El CONADEH reiter</w:t>
      </w:r>
      <w:r w:rsidR="00CE4941" w:rsidRPr="00A1623F">
        <w:rPr>
          <w:rFonts w:ascii="Times New Roman" w:hAnsi="Times New Roman" w:cs="Times New Roman"/>
          <w:sz w:val="20"/>
          <w:szCs w:val="20"/>
        </w:rPr>
        <w:t>ó</w:t>
      </w:r>
      <w:r w:rsidRPr="00A1623F">
        <w:rPr>
          <w:rFonts w:ascii="Times New Roman" w:hAnsi="Times New Roman" w:cs="Times New Roman"/>
          <w:sz w:val="20"/>
          <w:szCs w:val="20"/>
        </w:rPr>
        <w:t xml:space="preserve"> al Gobierno atender las recomendaciones formuladas (por medio del Secretario de Estado en los Despachos de Derechos Humanos, Justicia, Gobernación y Descentralización) el 18 de diciembre de 2014, sobre la solución integral durable de la situación crítica del respeto, protección y promoción de los derechos humanos en la región del Bajo Aguán. El CONADEH recomendó al Estado impulsar la solución de dicha situación y conflicto, estableciendo un proceso de mediación o conciliación entre las partes con la presencia del Gobierno y del CONADEH. El inicio del proceso estaría precedido de consultas, coordinación, investigación, intercambio y verificación de información objetiva y cierta, y determinación del esfuerzo y recursos disponibles para incentivar la solución integral y durable entre las partes.</w:t>
      </w:r>
      <w:r w:rsidR="00CE4941" w:rsidRPr="00A1623F">
        <w:rPr>
          <w:rFonts w:ascii="Times New Roman" w:hAnsi="Times New Roman" w:cs="Times New Roman"/>
          <w:sz w:val="20"/>
          <w:szCs w:val="20"/>
        </w:rPr>
        <w:t xml:space="preserve"> </w:t>
      </w:r>
      <w:r w:rsidRPr="00A1623F">
        <w:rPr>
          <w:rFonts w:ascii="Times New Roman" w:hAnsi="Times New Roman" w:cs="Times New Roman"/>
          <w:sz w:val="20"/>
          <w:szCs w:val="20"/>
        </w:rPr>
        <w:t xml:space="preserve">Mientras esa solución se logra, </w:t>
      </w:r>
      <w:r w:rsidR="00CE4941" w:rsidRPr="00A1623F">
        <w:rPr>
          <w:rFonts w:ascii="Times New Roman" w:hAnsi="Times New Roman" w:cs="Times New Roman"/>
          <w:sz w:val="20"/>
          <w:szCs w:val="20"/>
        </w:rPr>
        <w:t>se</w:t>
      </w:r>
      <w:r w:rsidRPr="00A1623F">
        <w:rPr>
          <w:rFonts w:ascii="Times New Roman" w:hAnsi="Times New Roman" w:cs="Times New Roman"/>
          <w:sz w:val="20"/>
          <w:szCs w:val="20"/>
        </w:rPr>
        <w:t xml:space="preserve"> instó a aplicar la Política y Plan de Acción de Derechos Humanos y orientar recursos para el desarrollo e inclusión social de los habitantes de la región; asegurar la observancia de las medidas cautelares dictadas por la Comisión Interamericana de Derechos Humanos y prevenir nuevos conflictos que pongan en peligro la vida e integridad de los habitantes.</w:t>
      </w:r>
    </w:p>
    <w:p w:rsidR="00B22963" w:rsidRPr="00CD64E8" w:rsidRDefault="00B22963" w:rsidP="00B22963">
      <w:pPr>
        <w:jc w:val="both"/>
        <w:rPr>
          <w:rFonts w:ascii="Times New Roman" w:hAnsi="Times New Roman" w:cs="Times New Roman"/>
          <w:sz w:val="20"/>
          <w:szCs w:val="20"/>
        </w:rPr>
      </w:pPr>
      <w:r w:rsidRPr="00CD64E8">
        <w:rPr>
          <w:rFonts w:ascii="Times New Roman" w:hAnsi="Times New Roman" w:cs="Times New Roman"/>
          <w:sz w:val="20"/>
          <w:szCs w:val="20"/>
        </w:rPr>
        <w:t>Para el 2016 se reportó</w:t>
      </w:r>
      <w:bookmarkStart w:id="1" w:name="_GoBack"/>
      <w:bookmarkEnd w:id="1"/>
      <w:r w:rsidRPr="00CD64E8">
        <w:rPr>
          <w:rFonts w:ascii="Times New Roman" w:hAnsi="Times New Roman" w:cs="Times New Roman"/>
          <w:sz w:val="20"/>
          <w:szCs w:val="20"/>
        </w:rPr>
        <w:t xml:space="preserve"> la muerte del presidente del MUCA, José Ángel Flores y su acompañante Silmer Dionisio George, el día 18 de octubre de 2016. Actualmente, la Secretaría de Justicia y Derechos Humanos trabaja en la implementación de la medida cautelar MC50-2014, que es una medida colectiva que beneficia </w:t>
      </w:r>
      <w:r w:rsidR="00CD64E8" w:rsidRPr="00CD64E8">
        <w:rPr>
          <w:rFonts w:ascii="Times New Roman" w:hAnsi="Times New Roman" w:cs="Times New Roman"/>
          <w:sz w:val="20"/>
          <w:szCs w:val="20"/>
        </w:rPr>
        <w:t xml:space="preserve">aproximadamente a 130 personas. </w:t>
      </w:r>
    </w:p>
    <w:p w:rsidR="006C54B3" w:rsidRDefault="006C54B3" w:rsidP="006C54B3">
      <w:pPr>
        <w:jc w:val="both"/>
        <w:rPr>
          <w:rFonts w:ascii="Times New Roman" w:hAnsi="Times New Roman" w:cs="Times New Roman"/>
          <w:b/>
          <w:sz w:val="20"/>
          <w:szCs w:val="20"/>
        </w:rPr>
      </w:pPr>
      <w:r>
        <w:rPr>
          <w:rFonts w:ascii="Times New Roman" w:hAnsi="Times New Roman" w:cs="Times New Roman"/>
          <w:b/>
          <w:sz w:val="20"/>
          <w:szCs w:val="20"/>
        </w:rPr>
        <w:t>Pueblos Indígenas y Afrohondureños</w:t>
      </w:r>
    </w:p>
    <w:p w:rsidR="006C54B3" w:rsidRPr="006C54B3" w:rsidRDefault="006C54B3" w:rsidP="006C54B3">
      <w:pPr>
        <w:jc w:val="both"/>
        <w:rPr>
          <w:rFonts w:ascii="Times New Roman" w:hAnsi="Times New Roman" w:cs="Times New Roman"/>
          <w:sz w:val="20"/>
          <w:szCs w:val="20"/>
          <w:lang w:val="es-MX"/>
        </w:rPr>
      </w:pPr>
      <w:r w:rsidRPr="006C54B3">
        <w:rPr>
          <w:rFonts w:ascii="Times New Roman" w:hAnsi="Times New Roman" w:cs="Times New Roman"/>
          <w:sz w:val="20"/>
          <w:szCs w:val="20"/>
          <w:lang w:val="es-MX"/>
        </w:rPr>
        <w:t xml:space="preserve">El CONADEH brinda acciones de tutela prestando atención inmediata y seguimiento a las denuncias sobre violaciones a los derechos humanos de estos grupos poblacionales. En 2016, este ente estatal atendió un total de 78 quejas, de personas de pueblos indígenas y afrohondureñas. Estas quejas están relacionadas con el derecho a la vida e integridad personal; acceso a la justicia y debido proceso legal; derecho a la propiedad; ambiente sano; acceso a los servicios públicos, entre otros. </w:t>
      </w:r>
    </w:p>
    <w:p w:rsidR="006C54B3" w:rsidRDefault="006C54B3" w:rsidP="006C54B3">
      <w:pPr>
        <w:jc w:val="both"/>
        <w:rPr>
          <w:rFonts w:ascii="Times New Roman" w:hAnsi="Times New Roman" w:cs="Times New Roman"/>
          <w:sz w:val="20"/>
          <w:szCs w:val="20"/>
          <w:lang w:val="es-MX"/>
        </w:rPr>
      </w:pPr>
      <w:r w:rsidRPr="006C54B3">
        <w:rPr>
          <w:rFonts w:ascii="Times New Roman" w:hAnsi="Times New Roman" w:cs="Times New Roman"/>
          <w:sz w:val="20"/>
          <w:szCs w:val="20"/>
          <w:lang w:val="es-MX"/>
        </w:rPr>
        <w:t xml:space="preserve">En los crímenes que se han cometido contra líderes indígenas, el CONADEH ha iniciado de oficio las investigaciones y ha constatado, en algunos casos, que existen órdenes de captura contra los responsables. Como parte de las diligencias realizadas por el CONADEH, se ha solicitado a la Secretaría de Seguridad </w:t>
      </w:r>
      <w:r w:rsidRPr="006C54B3">
        <w:rPr>
          <w:rFonts w:ascii="Times New Roman" w:hAnsi="Times New Roman" w:cs="Times New Roman"/>
          <w:sz w:val="20"/>
          <w:szCs w:val="20"/>
          <w:lang w:val="es-MX"/>
        </w:rPr>
        <w:lastRenderedPageBreak/>
        <w:t>ejecutar tanto las órdenes de captura que ya fueron impartidas por el juzgado correspondiente, como las medidas cautelares dictadas por la Comisión Interamericana de Derechos Humanos.</w:t>
      </w:r>
    </w:p>
    <w:p w:rsidR="006C54B3" w:rsidRDefault="006C54B3" w:rsidP="006C54B3">
      <w:pPr>
        <w:jc w:val="both"/>
        <w:rPr>
          <w:rFonts w:ascii="Times New Roman" w:hAnsi="Times New Roman" w:cs="Times New Roman"/>
          <w:b/>
          <w:sz w:val="20"/>
          <w:szCs w:val="20"/>
        </w:rPr>
      </w:pPr>
      <w:r w:rsidRPr="006C54B3">
        <w:rPr>
          <w:rFonts w:ascii="Times New Roman" w:hAnsi="Times New Roman" w:cs="Times New Roman"/>
          <w:b/>
          <w:sz w:val="20"/>
          <w:szCs w:val="20"/>
        </w:rPr>
        <w:t>Consulta Libre, Previa e Informada (CLPI)</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En los años 2013 y 2015 la Confederación de Pueblos Autóctonos de Honduras (CONPAH) elaboró propuestas de anteproyecto de Ley de Consulta Libre, Previa e Informada.  Asimismo, la Dirección General de Pueblos Indígenas y Afrohondureños (DINAFROH) desarrolló un borrador de anteproyecto de ley en 2015.</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En mayo de 2015, el Gobierno estableció una Mesa Interinstitucional para el Convenio 169 conformada por 19 instituciones de Gobierno y coordinada por la DINAFROH. Desde noviembre a mayo de 2016, la Mesa Interinstitucional elaboró una versión final de Anteproyecto de consulta previa basada en los borradores elaborados por CONPAH y DINAFROH y en los comentarios de otras entidades estatales. El PNUD acompañó el trabajo de la Mesa Interinstitucional en la elaboración del Anteproyecto y, a solicitud del Gobierno, brindó apoyo para la facilitación de reuniones con representantes indígenas sobre la versión del Anteproyecto desarrollada por la Mesa Interinstitucional.</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 xml:space="preserve">Por otro lado, organizaciones vinculadas al Observatorio de los Derechos de los Pueblos Indígenas han elaborado su propio anteproyecto de “Ley Marco de consulta, consentimiento previo, libre e informado a los pueblos indígenas”, presentado en el Congreso Nacional el 30 de mayo de 2016. Las principales organizaciones que forman parte del Observatorio, la Organización Fraternal Negra Hondureña (OFRANEH) y el Consejo Cívico de Organizaciones Populares e Indígenas de Honduras (COPINH) han criticado públicamente el proceso de elaboración y de socialización del Anteproyecto de consulta previa que ha llevado a cabo el Gobierno. </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El Centro de Estudio para la Democracia (CESPAD) ha expresado que “la Ley de Consulta que el gobierno prepara, no cuenta con el consentimiento de los grupos originarios y no originarios del país, ya que tal y como han denunciado en reiteradas ocasiones, se les ha marginado de ese proceso.</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Respondiendo a una solicitud del Gobierno de Honduras, el Programa de las Naciones Unidas para el Desarrollo (PNUD)  ha acompañado el diálogo con los Pueblos Indígenas y Afrohondureños, sobre la base del documento-borrador del Anteproyecto de Ley Marco de Consulta Previa para Pueblos Indígenas y Afrohondureños preparado por una Comisión Interinstitu</w:t>
      </w:r>
      <w:r>
        <w:rPr>
          <w:rFonts w:ascii="Times New Roman" w:hAnsi="Times New Roman" w:cs="Times New Roman"/>
          <w:sz w:val="20"/>
          <w:szCs w:val="20"/>
        </w:rPr>
        <w:t>cional del Gobierno de Honduras</w:t>
      </w:r>
      <w:r w:rsidRPr="006C54B3">
        <w:rPr>
          <w:rFonts w:ascii="Times New Roman" w:hAnsi="Times New Roman" w:cs="Times New Roman"/>
          <w:sz w:val="20"/>
          <w:szCs w:val="20"/>
        </w:rPr>
        <w:t>.</w:t>
      </w:r>
    </w:p>
    <w:p w:rsidR="006C54B3" w:rsidRPr="006C54B3" w:rsidRDefault="006C54B3" w:rsidP="006C54B3">
      <w:pPr>
        <w:jc w:val="both"/>
        <w:rPr>
          <w:rFonts w:ascii="Times New Roman" w:hAnsi="Times New Roman" w:cs="Times New Roman"/>
          <w:sz w:val="20"/>
          <w:szCs w:val="20"/>
        </w:rPr>
      </w:pPr>
      <w:r w:rsidRPr="006C54B3">
        <w:rPr>
          <w:rFonts w:ascii="Times New Roman" w:hAnsi="Times New Roman" w:cs="Times New Roman"/>
          <w:sz w:val="20"/>
          <w:szCs w:val="20"/>
        </w:rPr>
        <w:t>De acuerdo a información del PNUD, tras una invitación abierta a todas las organizaciones e institucionalidad indígena y afrohondureña a participar en el proceso, durante los seis meses de mayo a octubre de 2016, más de 1400 personas pertenecientes a 103 organizaciones, federaciones, consejos territoriales, consejos de ancianos y patronatos, entre otros (2), participaron en 18 talleres de diálogo con la Comisión Interinstitucional del Gobierno de Honduras, los mismos que se llevaron a cabo en los territorios de los Pueblos.</w:t>
      </w:r>
      <w:r w:rsidR="00A1623F">
        <w:rPr>
          <w:rFonts w:ascii="Times New Roman" w:hAnsi="Times New Roman" w:cs="Times New Roman"/>
          <w:sz w:val="20"/>
          <w:szCs w:val="20"/>
        </w:rPr>
        <w:t xml:space="preserve"> </w:t>
      </w:r>
      <w:r w:rsidRPr="006C54B3">
        <w:rPr>
          <w:rFonts w:ascii="Times New Roman" w:hAnsi="Times New Roman" w:cs="Times New Roman"/>
          <w:sz w:val="20"/>
          <w:szCs w:val="20"/>
        </w:rPr>
        <w:t xml:space="preserve">Posteriormente, el CONADEH estuvo presente en la Asamblea de los Pueblos Indígenas, en donde se analizaría el anteproyecto de la Ley de la Consulta Libre, Previa e Informada, invitación que fue realizada por la Confederación de Pueblos Autóctonos de Honduras (CONPAH). </w:t>
      </w:r>
    </w:p>
    <w:p w:rsidR="006C54B3" w:rsidRDefault="006C54B3" w:rsidP="006C54B3">
      <w:pPr>
        <w:jc w:val="both"/>
        <w:rPr>
          <w:rFonts w:ascii="Times New Roman" w:hAnsi="Times New Roman" w:cs="Times New Roman"/>
          <w:b/>
          <w:sz w:val="20"/>
          <w:szCs w:val="20"/>
        </w:rPr>
      </w:pPr>
      <w:r w:rsidRPr="006C54B3">
        <w:rPr>
          <w:rFonts w:ascii="Times New Roman" w:hAnsi="Times New Roman" w:cs="Times New Roman"/>
          <w:sz w:val="20"/>
          <w:szCs w:val="20"/>
        </w:rPr>
        <w:t>Una de las observaciones que se realizó por parte del pueblo Lenca, era que no se les tomaba como parte de CONPAH, y que los dos personas que están en el grupo trabajo no eran representantes de los pueblos Lencas, ya que no eran reconocidos por ellos. Siendo así que manifestaron que ellos no estaban en contra de la Ley, pero que no estaban conforme de la manera en que se estaba realizando, por lo que pedirían al Presidente de la Republica una audiencia para hacerle los planteamientos que ellos consideraban oportunos para ser agregadas a la Ley que está en discusión.</w:t>
      </w:r>
      <w:r w:rsidR="00A1623F">
        <w:rPr>
          <w:rFonts w:ascii="Times New Roman" w:hAnsi="Times New Roman" w:cs="Times New Roman"/>
          <w:sz w:val="20"/>
          <w:szCs w:val="20"/>
        </w:rPr>
        <w:t xml:space="preserve"> </w:t>
      </w:r>
      <w:r w:rsidRPr="006C54B3">
        <w:rPr>
          <w:rFonts w:ascii="Times New Roman" w:hAnsi="Times New Roman" w:cs="Times New Roman"/>
          <w:sz w:val="20"/>
          <w:szCs w:val="20"/>
        </w:rPr>
        <w:t>A la fecha no se ha informado que dicha reunión se haya llevado a cabo, ya que se les ofreció de parte del CONADEH acompañamiento</w:t>
      </w:r>
      <w:r w:rsidRPr="006C54B3">
        <w:rPr>
          <w:rFonts w:ascii="Times New Roman" w:hAnsi="Times New Roman" w:cs="Times New Roman"/>
          <w:b/>
          <w:sz w:val="20"/>
          <w:szCs w:val="20"/>
        </w:rPr>
        <w:t>.</w:t>
      </w:r>
    </w:p>
    <w:p w:rsidR="00926F19" w:rsidRDefault="00926F19" w:rsidP="006C54B3">
      <w:pPr>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Personas de la Diversidad Sexual </w:t>
      </w:r>
    </w:p>
    <w:p w:rsidR="00926F19" w:rsidRPr="00926F19" w:rsidRDefault="00926F19" w:rsidP="00926F19">
      <w:pPr>
        <w:jc w:val="both"/>
        <w:rPr>
          <w:rFonts w:ascii="Times New Roman" w:hAnsi="Times New Roman" w:cs="Times New Roman"/>
          <w:sz w:val="20"/>
          <w:szCs w:val="20"/>
          <w:lang w:val="es-MX"/>
        </w:rPr>
      </w:pPr>
      <w:r w:rsidRPr="00926F19">
        <w:rPr>
          <w:rFonts w:ascii="Times New Roman" w:hAnsi="Times New Roman" w:cs="Times New Roman"/>
          <w:sz w:val="20"/>
          <w:szCs w:val="20"/>
          <w:lang w:val="es-MX"/>
        </w:rPr>
        <w:t>El Comisionado Nacional de los Derechos Humanos, desde la Oficina Central y las diferentes Oficinas, a nivel nacional, ha mantenido acciones de vigilancia, promoción, protección y defensoría de los derechos humanos de la población de la diversidad sexual, entre las cuales un porcentaje significativo se enfoca en la prevención de la violencia o violación de derechos a este grupo poblacional, así como la atención a las quejas.</w:t>
      </w:r>
    </w:p>
    <w:p w:rsidR="00926F19" w:rsidRPr="00926F19" w:rsidRDefault="00926F19" w:rsidP="00926F19">
      <w:pPr>
        <w:jc w:val="both"/>
        <w:rPr>
          <w:rFonts w:ascii="Times New Roman" w:hAnsi="Times New Roman" w:cs="Times New Roman"/>
          <w:sz w:val="20"/>
          <w:szCs w:val="20"/>
          <w:lang w:val="es-MX"/>
        </w:rPr>
      </w:pPr>
      <w:r w:rsidRPr="00926F19">
        <w:rPr>
          <w:rFonts w:ascii="Times New Roman" w:hAnsi="Times New Roman" w:cs="Times New Roman"/>
          <w:sz w:val="20"/>
          <w:szCs w:val="20"/>
          <w:lang w:val="es-MX"/>
        </w:rPr>
        <w:t>Entre los principales problemas que enfrenta la comunidad LGBTI en Honduras en relación a disfrute de derechos están:</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La falta de empoderamiento en la temática de derechos humanos y la especialidad que conlleva la promoción y defensa de los mismos como grupos vulnerados.</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La mayoría de los miembros del grupo LGTBI tienen una formación de educación primaria y secundaria inconclusa, pocos con una formación universitaria.</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La comunidad de la diversidad sexual se enfrenta el temor a ser discriminada y estigmatizada por la familia, los servicios educativos, las iglesias en sus diferentes denominaciones, los servicios de salud, operadores de justicia y la sociedad en general.</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El Estado no les acredita un documento de identificación de acuerdo a su género. En el caso de las personas transexuales por medio de un acuerdo con las autoridades del Registro Nacional de las Personas, se logró el cambio de foto en el documento de identidad de acuerdo a imagen actual.</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Frente a la cantidad de muertes violentas y otras agresiones físicas, morales, sexuales y verbales, el grupo LGTBI manifiesta encontrar pocas respuestas en las diferentes instancias del Estado.</w:t>
      </w:r>
    </w:p>
    <w:p w:rsidR="00926F19" w:rsidRPr="00926F19" w:rsidRDefault="00926F19" w:rsidP="00926F19">
      <w:pPr>
        <w:pStyle w:val="Prrafodelista"/>
        <w:numPr>
          <w:ilvl w:val="0"/>
          <w:numId w:val="3"/>
        </w:numPr>
        <w:jc w:val="both"/>
        <w:rPr>
          <w:rFonts w:ascii="Times New Roman" w:hAnsi="Times New Roman"/>
          <w:sz w:val="20"/>
          <w:szCs w:val="20"/>
          <w:lang w:val="es-MX"/>
        </w:rPr>
      </w:pPr>
      <w:r w:rsidRPr="00926F19">
        <w:rPr>
          <w:rFonts w:ascii="Times New Roman" w:hAnsi="Times New Roman"/>
          <w:sz w:val="20"/>
          <w:szCs w:val="20"/>
          <w:lang w:val="es-MX"/>
        </w:rPr>
        <w:t>En la mayoría de los municipios del interior del país, no existe representación por parte de las instancias responsables, para brindar el acompañamiento y seguimiento oportuno a las denuncias presentadas, ante las diferentes instituciones del Estado.</w:t>
      </w:r>
    </w:p>
    <w:p w:rsidR="00926F19" w:rsidRDefault="00926F19" w:rsidP="00926F19">
      <w:pPr>
        <w:jc w:val="both"/>
        <w:rPr>
          <w:rFonts w:ascii="Times New Roman" w:hAnsi="Times New Roman" w:cs="Times New Roman"/>
          <w:sz w:val="20"/>
          <w:szCs w:val="20"/>
          <w:lang w:val="es-MX"/>
        </w:rPr>
      </w:pPr>
      <w:r w:rsidRPr="00926F19">
        <w:rPr>
          <w:rFonts w:ascii="Times New Roman" w:hAnsi="Times New Roman" w:cs="Times New Roman"/>
          <w:sz w:val="20"/>
          <w:szCs w:val="20"/>
          <w:lang w:val="es-MX"/>
        </w:rPr>
        <w:t>Para mejorar la promoción y defensa de derechos humanos de la diversidad sexual, el CONADEH por medio de acciones mancomunadas y coordinadas entre su Defensoría Nacional de la Diversidad Sexual y las oficinas departamentales y regionales, proporcionando respuesta a este grupo poblacional para el goce de sus derechos, en muchas ocasiones, restringidos debido a su condición, incluyendo la capacitación a la Policía Nacional, Militar y Municipal para disminuir los índices de estigma y discriminación, pretendiendo mejorar la seguridad ciudadana y el fortalecimiento de los colectivos locales en temas de crecimiento inclusivo y apropiación de derechos, así como en la participación en la revisión y propuestas de cambios y creación de normas para favorecer el goce de derechos de dicho sector y el monitoreo y asesoramiento a las quejas y denuncias provenientes de este colectivo.</w:t>
      </w:r>
    </w:p>
    <w:p w:rsidR="00926F19" w:rsidRDefault="00926F19" w:rsidP="00926F19">
      <w:pPr>
        <w:jc w:val="both"/>
        <w:rPr>
          <w:rFonts w:ascii="Times New Roman" w:hAnsi="Times New Roman" w:cs="Times New Roman"/>
          <w:sz w:val="20"/>
          <w:szCs w:val="20"/>
          <w:lang w:val="es-MX"/>
        </w:rPr>
      </w:pPr>
      <w:r w:rsidRPr="00926F19">
        <w:rPr>
          <w:rFonts w:ascii="Times New Roman" w:hAnsi="Times New Roman" w:cs="Times New Roman"/>
          <w:sz w:val="20"/>
          <w:szCs w:val="20"/>
          <w:lang w:val="es-MX"/>
        </w:rPr>
        <w:t>Se continuó el proceso de la revisión de la Ley de Identidad de Género y se impulsa la revisión y ajustes de la Ley de Registro Nacional de las Personas, con la finalidad de lograr tomar en cuenta las necesidades de la comunidad transexual en alianza con la Asociación Cozumel Trans. Se participó en la elaboración de la política, impulsada por la Secretaria de Salud, de Servicios de Salud Libres de Estigma y Discriminación hacia las Poblaciones Claves.</w:t>
      </w:r>
      <w:r w:rsidR="00CE4941">
        <w:rPr>
          <w:rFonts w:ascii="Times New Roman" w:hAnsi="Times New Roman" w:cs="Times New Roman"/>
          <w:sz w:val="20"/>
          <w:szCs w:val="20"/>
          <w:lang w:val="es-MX"/>
        </w:rPr>
        <w:t xml:space="preserve"> </w:t>
      </w:r>
      <w:r w:rsidRPr="00926F19">
        <w:rPr>
          <w:rFonts w:ascii="Times New Roman" w:hAnsi="Times New Roman" w:cs="Times New Roman"/>
          <w:sz w:val="20"/>
          <w:szCs w:val="20"/>
          <w:lang w:val="es-MX"/>
        </w:rPr>
        <w:t>El CONADEH durante el periodo 2016 atendió un total de 74 quejas de violación a derechos humanos interpuestas por parte de personas o grupos LGTBI, a nivel Nacional.</w:t>
      </w:r>
    </w:p>
    <w:p w:rsidR="00926F19" w:rsidRDefault="00926F19" w:rsidP="00926F19">
      <w:pPr>
        <w:jc w:val="both"/>
        <w:rPr>
          <w:rFonts w:ascii="Times New Roman" w:hAnsi="Times New Roman" w:cs="Times New Roman"/>
          <w:b/>
          <w:sz w:val="20"/>
          <w:szCs w:val="20"/>
          <w:lang w:val="es-MX"/>
        </w:rPr>
      </w:pPr>
      <w:r>
        <w:rPr>
          <w:rFonts w:ascii="Times New Roman" w:hAnsi="Times New Roman" w:cs="Times New Roman"/>
          <w:b/>
          <w:sz w:val="20"/>
          <w:szCs w:val="20"/>
          <w:lang w:val="es-MX"/>
        </w:rPr>
        <w:t>Personas con VIH</w:t>
      </w:r>
    </w:p>
    <w:p w:rsid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En el 2016, el país muestra una prevalencia estimada de VIH y sida de 0.4 personas por cada cien mil habitantes, según los datos proporcionados por el Departamento de ITS y VIH y sida de la Secretaría de Salud. El patrón predominante de transmisión es el sexual (91.4%), seguido por la transmisión perinatal (5.7%) y sanguínea (0.4%).</w:t>
      </w:r>
    </w:p>
    <w:p w:rsid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lastRenderedPageBreak/>
        <w:t>La vulnerabilidad a la infección y a sus efectos fomenta la violación de derechos, y la actitud social hacia las personas con VIH, genera a su vez transgresión de los mismos. De manera que el enfoque de los derechos humanos en la respuesta a la epidemia y tratamiento de sus efectos, es un elemento primordial. Las violaciones a este grupo poblacional están vinculadas principalmente al goce de los derechos a la salud, al trabajo y a la integridad personal.</w:t>
      </w:r>
    </w:p>
    <w:p w:rsidR="00926F19" w:rsidRDefault="00926F19" w:rsidP="00926F19">
      <w:pPr>
        <w:jc w:val="both"/>
        <w:rPr>
          <w:rFonts w:ascii="Times New Roman" w:hAnsi="Times New Roman" w:cs="Times New Roman"/>
          <w:sz w:val="20"/>
          <w:szCs w:val="20"/>
        </w:rPr>
      </w:pPr>
      <w:r>
        <w:rPr>
          <w:rFonts w:ascii="Times New Roman" w:hAnsi="Times New Roman" w:cs="Times New Roman"/>
          <w:sz w:val="20"/>
          <w:szCs w:val="20"/>
        </w:rPr>
        <w:t xml:space="preserve">Durante el 2016, el CONADEH atendió 58 </w:t>
      </w:r>
      <w:r w:rsidRPr="00926F19">
        <w:rPr>
          <w:rFonts w:ascii="Times New Roman" w:hAnsi="Times New Roman" w:cs="Times New Roman"/>
          <w:sz w:val="20"/>
          <w:szCs w:val="20"/>
        </w:rPr>
        <w:t xml:space="preserve">quejas </w:t>
      </w:r>
      <w:r>
        <w:rPr>
          <w:rFonts w:ascii="Times New Roman" w:hAnsi="Times New Roman" w:cs="Times New Roman"/>
          <w:sz w:val="20"/>
          <w:szCs w:val="20"/>
        </w:rPr>
        <w:t>de personas con VIH, relacionadas con</w:t>
      </w:r>
      <w:r w:rsidRPr="00926F19">
        <w:rPr>
          <w:rFonts w:ascii="Times New Roman" w:hAnsi="Times New Roman" w:cs="Times New Roman"/>
          <w:sz w:val="20"/>
          <w:szCs w:val="20"/>
        </w:rPr>
        <w:t xml:space="preserve"> integridad personal; derecho al trabajo</w:t>
      </w:r>
      <w:r>
        <w:rPr>
          <w:rFonts w:ascii="Times New Roman" w:hAnsi="Times New Roman" w:cs="Times New Roman"/>
          <w:sz w:val="20"/>
          <w:szCs w:val="20"/>
        </w:rPr>
        <w:t xml:space="preserve">; </w:t>
      </w:r>
      <w:r w:rsidRPr="00926F19">
        <w:rPr>
          <w:rFonts w:ascii="Times New Roman" w:hAnsi="Times New Roman" w:cs="Times New Roman"/>
          <w:sz w:val="20"/>
          <w:szCs w:val="20"/>
        </w:rPr>
        <w:t>derecho a la vida; derecho al debido proceso; derecho a la salud; y derecho a la seguridad y privacidad personal.</w:t>
      </w:r>
    </w:p>
    <w:p w:rsidR="00926F19" w:rsidRDefault="00926F19" w:rsidP="00926F19">
      <w:pPr>
        <w:jc w:val="both"/>
        <w:rPr>
          <w:rFonts w:ascii="Times New Roman" w:hAnsi="Times New Roman" w:cs="Times New Roman"/>
          <w:b/>
          <w:sz w:val="20"/>
          <w:szCs w:val="20"/>
        </w:rPr>
      </w:pPr>
      <w:r>
        <w:rPr>
          <w:rFonts w:ascii="Times New Roman" w:hAnsi="Times New Roman" w:cs="Times New Roman"/>
          <w:b/>
          <w:sz w:val="20"/>
          <w:szCs w:val="20"/>
        </w:rPr>
        <w:t xml:space="preserve">Recomendaciones del CONADEH </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 xml:space="preserve">El Estado debe de tomar medidas integrales encaminadas a asegurar la seguridad ciudadana de las y los hondureños, a fin de prevenir amenazas a la vida, a la integridad personal, a la propiedad, y en general al goce efectivo de los derechos humanos. Para el CONADEH es motivo de preocupación, que el Estado no disponga aún de la adecuada investigación para determinar la autoría directa o intelectual de los delitos. </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El CONADEH ha abogado por una mayor unidad entre el pueblo y el Gobierno contra la impunidad, y para defender el derecho a la vida de las personas. Para atender las causas de esta problemática es necesario tener en cuenta consideraciones no solamente de protección policíaco-militar, sino que aspectos que tienen que ver con el combate a la pobreza, la discriminación, el desempleo y subempleo, y con la necesidad de abrir nuevas oportunidades para que la población viva dignamente.</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La lucha contra la impunidad es fundamental. La impunidad no solo proviene de la falta de articulación y coordinación eficiente entre los operadores de justicia y de una preparación técnica correspondiente en materia de investigación, sino también de la inacción de la sociedad que no denuncia los hechos delictivos y no contribuye con los órganos del Estado en brindar información, lo que permite que el delito progrese. La impunidad entorpece el goce efectivo de los derechos humanos en Honduras y luchar contra ella debe ser una actividad constante y permanente.</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Es imprescindible que el Estado de Honduras adelante de manera urgente investigaciones que conduzcan a esclarecer las interminables muertes de personas de pueblos indígenas y afrohondureños, líderes sindicales, niñas, niños y adolescentes, mujeres, defensores y defensoras de derechos humanos, periodistas y comunicadores sociales, personas LGTBI, abogados y operadores de justicia; y a que se enjuicie y castigue a las personas responsables del delito. Se requiere intensificar y profundizar las investigaciones de manera pronta, diligente e imparcial, y aplicar las sanciones penales que correspondan, a fin de evitar la impunidad y la repetición de hechos similares.</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La deuda de la justicia con el pueblo sigue siendo grande y atenderla requiere de una mayor coordinación y funcionalidad responsable entre quienes se encargan de capturar y llevar a los supuestos delincuentes ante los tribunales y los encargados de impartir justicia. El sistema de justicia ha sido afectado también por algunos de sus operadores que se han confabulado con el crimen organizado y el narcotráfico, prueba de ello es que se ha dictado tres sentencias condenatorias a Jueces, por ese tipo de relaciones ilícitas.</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t>El grado de confianza que tienen las personas en el sistema de justicia es también una barrera para el acceso a la misma. Se puede visualizar una barrera institucional en la dificultad del sistema judicial de atender a los habitantes, en todo el territorio, con defensores públicos; la poca disponibilidad de información que oriente a las personas sobre cómo obtener los servicios jurídicos gratuitos proporcionados por instituciones públicas y paraestatales; la carencia de logística; el personal sin experiencia y el debido profesionalismo.</w:t>
      </w:r>
    </w:p>
    <w:p w:rsidR="00926F19" w:rsidRPr="00926F19" w:rsidRDefault="00926F19" w:rsidP="00926F19">
      <w:pPr>
        <w:jc w:val="both"/>
        <w:rPr>
          <w:rFonts w:ascii="Times New Roman" w:hAnsi="Times New Roman" w:cs="Times New Roman"/>
          <w:sz w:val="20"/>
          <w:szCs w:val="20"/>
        </w:rPr>
      </w:pPr>
      <w:r w:rsidRPr="00926F19">
        <w:rPr>
          <w:rFonts w:ascii="Times New Roman" w:hAnsi="Times New Roman" w:cs="Times New Roman"/>
          <w:sz w:val="20"/>
          <w:szCs w:val="20"/>
        </w:rPr>
        <w:lastRenderedPageBreak/>
        <w:t>El CONADEH está vigilante del trabajo que realiza las autoridades encargadas de la seguridad en el país y verifica que el mismo se haga en el marco del respeto de la dignidad humana. El CONADEH también reitera su recomendación de realizar capacitaciones en derechos humanos de los grupos en condición de vulnerabilidad, a todos los funcionarios públicos involucrados en el proceso de atención de casos presentados por estas personas, aplicando las normas nacionales e internacionales para conocer de los mismos en forma adecuada, en respeto a la integridad y dignidad de la víctimas y sus familiares, tanto al momento de la denuncia como en el proceso judicial.</w:t>
      </w:r>
    </w:p>
    <w:sectPr w:rsidR="00926F19" w:rsidRPr="00926F19">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36A" w:rsidRDefault="0098036A" w:rsidP="00CD4085">
      <w:pPr>
        <w:spacing w:after="0" w:line="240" w:lineRule="auto"/>
      </w:pPr>
      <w:r>
        <w:separator/>
      </w:r>
    </w:p>
  </w:endnote>
  <w:endnote w:type="continuationSeparator" w:id="0">
    <w:p w:rsidR="0098036A" w:rsidRDefault="0098036A" w:rsidP="00CD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isha">
    <w:panose1 w:val="020B0502040204020203"/>
    <w:charset w:val="00"/>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36A" w:rsidRDefault="0098036A" w:rsidP="00CD4085">
      <w:pPr>
        <w:spacing w:after="0" w:line="240" w:lineRule="auto"/>
      </w:pPr>
      <w:r>
        <w:separator/>
      </w:r>
    </w:p>
  </w:footnote>
  <w:footnote w:type="continuationSeparator" w:id="0">
    <w:p w:rsidR="0098036A" w:rsidRDefault="0098036A" w:rsidP="00CD4085">
      <w:pPr>
        <w:spacing w:after="0" w:line="240" w:lineRule="auto"/>
      </w:pPr>
      <w:r>
        <w:continuationSeparator/>
      </w:r>
    </w:p>
  </w:footnote>
  <w:footnote w:id="1">
    <w:p w:rsidR="00CD4085" w:rsidRDefault="00CD4085" w:rsidP="00CD4085">
      <w:pPr>
        <w:pStyle w:val="Textonotapie"/>
      </w:pPr>
      <w:r>
        <w:rPr>
          <w:rStyle w:val="Refdenotaalpie"/>
        </w:rPr>
        <w:footnoteRef/>
      </w:r>
      <w:r>
        <w:t xml:space="preserve"> </w:t>
      </w:r>
      <w:r w:rsidRPr="009A2AC4">
        <w:rPr>
          <w:rFonts w:asciiTheme="majorHAnsi" w:hAnsiTheme="majorHAnsi"/>
        </w:rPr>
        <w:t>Artículo 59 de la Constitución de la República de Honduras</w:t>
      </w:r>
    </w:p>
  </w:footnote>
  <w:footnote w:id="2">
    <w:p w:rsidR="00D02DD4" w:rsidRDefault="00D02DD4" w:rsidP="00D02DD4">
      <w:pPr>
        <w:pStyle w:val="Textonotapie"/>
        <w:rPr>
          <w:rFonts w:ascii="Calibri" w:hAnsi="Calibri"/>
        </w:rPr>
      </w:pPr>
      <w:r>
        <w:rPr>
          <w:rStyle w:val="Refdenotaalpie"/>
        </w:rPr>
        <w:t>[1]</w:t>
      </w:r>
      <w:r>
        <w:t xml:space="preserve"> Adjunto Escrito de Impugnación del Comisionado Nacional de los Derechos Humanos</w:t>
      </w:r>
    </w:p>
  </w:footnote>
  <w:footnote w:id="3">
    <w:p w:rsidR="005B3A2F" w:rsidRDefault="005B3A2F" w:rsidP="005B3A2F">
      <w:pPr>
        <w:pStyle w:val="Textonotapie"/>
      </w:pPr>
      <w:r>
        <w:rPr>
          <w:rStyle w:val="Refdenotaalpie"/>
        </w:rPr>
        <w:footnoteRef/>
      </w:r>
      <w:r>
        <w:t xml:space="preserve"> </w:t>
      </w:r>
      <w:r w:rsidRPr="005B3A2F">
        <w:rPr>
          <w:rFonts w:ascii="Times New Roman" w:hAnsi="Times New Roman" w:cs="Times New Roman"/>
          <w:sz w:val="16"/>
        </w:rPr>
        <w:t>Hasta noviembre de 2016 de acuerdo a datos de la Secretaría de Seguridad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4" w:rsidRDefault="00843084">
    <w:pPr>
      <w:pStyle w:val="Encabezado"/>
    </w:pPr>
    <w:r>
      <w:rPr>
        <w:noProof/>
        <w:lang w:eastAsia="es-HN"/>
      </w:rPr>
      <w:drawing>
        <wp:anchor distT="0" distB="0" distL="114300" distR="114300" simplePos="0" relativeHeight="251659264" behindDoc="1" locked="0" layoutInCell="1" allowOverlap="1" wp14:anchorId="347D6A6C" wp14:editId="4A6880CF">
          <wp:simplePos x="0" y="0"/>
          <wp:positionH relativeFrom="column">
            <wp:posOffset>-809625</wp:posOffset>
          </wp:positionH>
          <wp:positionV relativeFrom="paragraph">
            <wp:posOffset>-372110</wp:posOffset>
          </wp:positionV>
          <wp:extent cx="1414780" cy="635000"/>
          <wp:effectExtent l="0" t="0" r="0" b="0"/>
          <wp:wrapSquare wrapText="bothSides"/>
          <wp:docPr id="3" name="Imagen 3" descr="C:\Users\CONADEH\AppData\Local\Microsoft\Windows\Temporary Internet Files\Content.Outlook\823L2RS1\Logo Final CONADEH-versiontarje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ADEH\AppData\Local\Microsoft\Windows\Temporary Internet Files\Content.Outlook\823L2RS1\Logo Final CONADEH-versiontarjet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4780" cy="63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373B9"/>
    <w:multiLevelType w:val="hybridMultilevel"/>
    <w:tmpl w:val="949CAC2C"/>
    <w:lvl w:ilvl="0" w:tplc="480A0003">
      <w:start w:val="1"/>
      <w:numFmt w:val="bullet"/>
      <w:lvlText w:val="o"/>
      <w:lvlJc w:val="left"/>
      <w:pPr>
        <w:ind w:left="1440" w:hanging="360"/>
      </w:pPr>
      <w:rPr>
        <w:rFonts w:ascii="Courier New" w:hAnsi="Courier New" w:cs="Courier New"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1">
    <w:nsid w:val="4A4B5BC6"/>
    <w:multiLevelType w:val="hybridMultilevel"/>
    <w:tmpl w:val="171E1D3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
    <w:nsid w:val="72FB4D2E"/>
    <w:multiLevelType w:val="hybridMultilevel"/>
    <w:tmpl w:val="84F401FC"/>
    <w:lvl w:ilvl="0" w:tplc="480A0001">
      <w:start w:val="1"/>
      <w:numFmt w:val="bullet"/>
      <w:lvlText w:val=""/>
      <w:lvlJc w:val="left"/>
      <w:pPr>
        <w:ind w:left="720" w:hanging="360"/>
      </w:pPr>
      <w:rPr>
        <w:rFonts w:ascii="Symbol" w:hAnsi="Symbol" w:hint="default"/>
      </w:rPr>
    </w:lvl>
    <w:lvl w:ilvl="1" w:tplc="480A0003">
      <w:start w:val="1"/>
      <w:numFmt w:val="bullet"/>
      <w:lvlText w:val="o"/>
      <w:lvlJc w:val="left"/>
      <w:pPr>
        <w:ind w:left="1440" w:hanging="360"/>
      </w:pPr>
      <w:rPr>
        <w:rFonts w:ascii="Courier New" w:hAnsi="Courier New" w:cs="Courier New" w:hint="default"/>
      </w:rPr>
    </w:lvl>
    <w:lvl w:ilvl="2" w:tplc="480A0005">
      <w:start w:val="1"/>
      <w:numFmt w:val="bullet"/>
      <w:lvlText w:val=""/>
      <w:lvlJc w:val="left"/>
      <w:pPr>
        <w:ind w:left="2160" w:hanging="360"/>
      </w:pPr>
      <w:rPr>
        <w:rFonts w:ascii="Wingdings" w:hAnsi="Wingdings" w:hint="default"/>
      </w:rPr>
    </w:lvl>
    <w:lvl w:ilvl="3" w:tplc="480A0001">
      <w:start w:val="1"/>
      <w:numFmt w:val="bullet"/>
      <w:lvlText w:val=""/>
      <w:lvlJc w:val="left"/>
      <w:pPr>
        <w:ind w:left="2880" w:hanging="360"/>
      </w:pPr>
      <w:rPr>
        <w:rFonts w:ascii="Symbol" w:hAnsi="Symbol" w:hint="default"/>
      </w:rPr>
    </w:lvl>
    <w:lvl w:ilvl="4" w:tplc="480A0003">
      <w:start w:val="1"/>
      <w:numFmt w:val="bullet"/>
      <w:lvlText w:val="o"/>
      <w:lvlJc w:val="left"/>
      <w:pPr>
        <w:ind w:left="3600" w:hanging="360"/>
      </w:pPr>
      <w:rPr>
        <w:rFonts w:ascii="Courier New" w:hAnsi="Courier New" w:cs="Courier New" w:hint="default"/>
      </w:rPr>
    </w:lvl>
    <w:lvl w:ilvl="5" w:tplc="480A0005">
      <w:start w:val="1"/>
      <w:numFmt w:val="bullet"/>
      <w:lvlText w:val=""/>
      <w:lvlJc w:val="left"/>
      <w:pPr>
        <w:ind w:left="4320" w:hanging="360"/>
      </w:pPr>
      <w:rPr>
        <w:rFonts w:ascii="Wingdings" w:hAnsi="Wingdings" w:hint="default"/>
      </w:rPr>
    </w:lvl>
    <w:lvl w:ilvl="6" w:tplc="480A0001">
      <w:start w:val="1"/>
      <w:numFmt w:val="bullet"/>
      <w:lvlText w:val=""/>
      <w:lvlJc w:val="left"/>
      <w:pPr>
        <w:ind w:left="5040" w:hanging="360"/>
      </w:pPr>
      <w:rPr>
        <w:rFonts w:ascii="Symbol" w:hAnsi="Symbol" w:hint="default"/>
      </w:rPr>
    </w:lvl>
    <w:lvl w:ilvl="7" w:tplc="480A0003">
      <w:start w:val="1"/>
      <w:numFmt w:val="bullet"/>
      <w:lvlText w:val="o"/>
      <w:lvlJc w:val="left"/>
      <w:pPr>
        <w:ind w:left="5760" w:hanging="360"/>
      </w:pPr>
      <w:rPr>
        <w:rFonts w:ascii="Courier New" w:hAnsi="Courier New" w:cs="Courier New" w:hint="default"/>
      </w:rPr>
    </w:lvl>
    <w:lvl w:ilvl="8" w:tplc="480A0005">
      <w:start w:val="1"/>
      <w:numFmt w:val="bullet"/>
      <w:lvlText w:val=""/>
      <w:lvlJc w:val="left"/>
      <w:pPr>
        <w:ind w:left="6480" w:hanging="360"/>
      </w:pPr>
      <w:rPr>
        <w:rFonts w:ascii="Wingdings" w:hAnsi="Wingdings" w:hint="default"/>
      </w:rPr>
    </w:lvl>
  </w:abstractNum>
  <w:abstractNum w:abstractNumId="3">
    <w:nsid w:val="74204D90"/>
    <w:multiLevelType w:val="hybridMultilevel"/>
    <w:tmpl w:val="81B20FD6"/>
    <w:lvl w:ilvl="0" w:tplc="480A0003">
      <w:start w:val="1"/>
      <w:numFmt w:val="bullet"/>
      <w:lvlText w:val="o"/>
      <w:lvlJc w:val="left"/>
      <w:pPr>
        <w:ind w:left="1440" w:hanging="360"/>
      </w:pPr>
      <w:rPr>
        <w:rFonts w:ascii="Courier New" w:hAnsi="Courier New" w:cs="Courier New"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num w:numId="1">
    <w:abstractNumId w:val="2"/>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085"/>
    <w:rsid w:val="00071747"/>
    <w:rsid w:val="00213DED"/>
    <w:rsid w:val="00226377"/>
    <w:rsid w:val="00337CD7"/>
    <w:rsid w:val="003A24BA"/>
    <w:rsid w:val="003C410D"/>
    <w:rsid w:val="003F2EC6"/>
    <w:rsid w:val="00434E22"/>
    <w:rsid w:val="0045310D"/>
    <w:rsid w:val="00456056"/>
    <w:rsid w:val="0053114C"/>
    <w:rsid w:val="005B3A2F"/>
    <w:rsid w:val="00613064"/>
    <w:rsid w:val="00666D95"/>
    <w:rsid w:val="006A2A64"/>
    <w:rsid w:val="006C54B3"/>
    <w:rsid w:val="00770401"/>
    <w:rsid w:val="00782581"/>
    <w:rsid w:val="007A41A7"/>
    <w:rsid w:val="00807DE9"/>
    <w:rsid w:val="00843084"/>
    <w:rsid w:val="008765E0"/>
    <w:rsid w:val="008A46BE"/>
    <w:rsid w:val="008F00FA"/>
    <w:rsid w:val="00926F19"/>
    <w:rsid w:val="0098036A"/>
    <w:rsid w:val="00A1623F"/>
    <w:rsid w:val="00A354C7"/>
    <w:rsid w:val="00B20B63"/>
    <w:rsid w:val="00B22963"/>
    <w:rsid w:val="00B97B02"/>
    <w:rsid w:val="00BA2653"/>
    <w:rsid w:val="00BF21E6"/>
    <w:rsid w:val="00C65515"/>
    <w:rsid w:val="00C76594"/>
    <w:rsid w:val="00CD4085"/>
    <w:rsid w:val="00CD64E8"/>
    <w:rsid w:val="00CE4941"/>
    <w:rsid w:val="00D02DD4"/>
    <w:rsid w:val="00E26FB9"/>
    <w:rsid w:val="00E43E93"/>
    <w:rsid w:val="00E9019E"/>
    <w:rsid w:val="00EC383D"/>
    <w:rsid w:val="00FC4D5C"/>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085"/>
  </w:style>
  <w:style w:type="paragraph" w:styleId="Ttulo1">
    <w:name w:val="heading 1"/>
    <w:basedOn w:val="Normal"/>
    <w:next w:val="Normal"/>
    <w:link w:val="Ttulo1Car"/>
    <w:uiPriority w:val="9"/>
    <w:qFormat/>
    <w:rsid w:val="00CD40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D40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B20B63"/>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ar"/>
    <w:uiPriority w:val="9"/>
    <w:semiHidden/>
    <w:unhideWhenUsed/>
    <w:qFormat/>
    <w:rsid w:val="00A1623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4085"/>
    <w:rPr>
      <w:rFonts w:asciiTheme="majorHAnsi" w:eastAsiaTheme="majorEastAsia" w:hAnsiTheme="majorHAnsi" w:cstheme="majorBidi"/>
      <w:b/>
      <w:bCs/>
      <w:color w:val="365F91" w:themeColor="accent1" w:themeShade="BF"/>
      <w:sz w:val="28"/>
      <w:szCs w:val="28"/>
    </w:rPr>
  </w:style>
  <w:style w:type="paragraph" w:customStyle="1" w:styleId="H23G">
    <w:name w:val="_ H_2/3_G"/>
    <w:basedOn w:val="Normal"/>
    <w:next w:val="Normal"/>
    <w:qFormat/>
    <w:rsid w:val="00CD408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character" w:customStyle="1" w:styleId="Ttulo2Car">
    <w:name w:val="Título 2 Car"/>
    <w:basedOn w:val="Fuentedeprrafopredeter"/>
    <w:link w:val="Ttulo2"/>
    <w:uiPriority w:val="9"/>
    <w:rsid w:val="00CD4085"/>
    <w:rPr>
      <w:rFonts w:asciiTheme="majorHAnsi" w:eastAsiaTheme="majorEastAsia" w:hAnsiTheme="majorHAnsi" w:cstheme="majorBidi"/>
      <w:b/>
      <w:bCs/>
      <w:color w:val="4F81BD" w:themeColor="accent1"/>
      <w:sz w:val="26"/>
      <w:szCs w:val="26"/>
    </w:rPr>
  </w:style>
  <w:style w:type="paragraph" w:styleId="Textonotapie">
    <w:name w:val="footnote text"/>
    <w:aliases w:val="Footnote reference,FA Fu,Footnote Text Char Char Char Char Char,Footnote Text Char Char Char Char,Footnote Text Char Char Char,footnote text,Footnote Text Cha,FA Fußnotentext,FA Fuﬂnotentext,FA Fu?notentext,Ca,ft,fn, Ca"/>
    <w:basedOn w:val="Normal"/>
    <w:link w:val="TextonotapieCar"/>
    <w:uiPriority w:val="99"/>
    <w:unhideWhenUsed/>
    <w:rsid w:val="00CD4085"/>
    <w:pPr>
      <w:spacing w:after="0" w:line="240" w:lineRule="auto"/>
    </w:pPr>
    <w:rPr>
      <w:sz w:val="20"/>
      <w:szCs w:val="20"/>
    </w:rPr>
  </w:style>
  <w:style w:type="character" w:customStyle="1" w:styleId="TextonotapieCar">
    <w:name w:val="Texto nota pie Car"/>
    <w:aliases w:val="Footnote reference Car,FA Fu Car,Footnote Text Char Char Char Char Char Car,Footnote Text Char Char Char Char Car,Footnote Text Char Char Char Car,footnote text Car,Footnote Text Cha Car,FA Fußnotentext Car,FA Fuﬂnotentext Car,Ca Car"/>
    <w:basedOn w:val="Fuentedeprrafopredeter"/>
    <w:link w:val="Textonotapie"/>
    <w:uiPriority w:val="99"/>
    <w:rsid w:val="00CD4085"/>
    <w:rPr>
      <w:sz w:val="20"/>
      <w:szCs w:val="20"/>
    </w:rPr>
  </w:style>
  <w:style w:type="character" w:styleId="Refdenotaalpie">
    <w:name w:val="footnote reference"/>
    <w:aliases w:val="Footnotes refss,Texto de nota al pie,Appel note de bas de page,referencia nota al pie,BVI fnr,Footnote number,f,Ref. de nota al pie.,Footnote symbol,Footnote,4_G,16 Point,Superscript 6 Point,Texto nota al pie,Ref. de nota al pi,Ref"/>
    <w:basedOn w:val="Fuentedeprrafopredeter"/>
    <w:uiPriority w:val="99"/>
    <w:unhideWhenUsed/>
    <w:rsid w:val="00CD4085"/>
    <w:rPr>
      <w:vertAlign w:val="superscript"/>
    </w:rPr>
  </w:style>
  <w:style w:type="paragraph" w:styleId="Prrafodelista">
    <w:name w:val="List Paragraph"/>
    <w:basedOn w:val="Normal"/>
    <w:uiPriority w:val="34"/>
    <w:qFormat/>
    <w:rsid w:val="00D02DD4"/>
    <w:pPr>
      <w:ind w:left="720"/>
      <w:contextualSpacing/>
    </w:pPr>
    <w:rPr>
      <w:rFonts w:ascii="Calibri" w:hAnsi="Calibri" w:cs="Times New Roman"/>
    </w:rPr>
  </w:style>
  <w:style w:type="paragraph" w:styleId="Epgrafe">
    <w:name w:val="caption"/>
    <w:basedOn w:val="Normal"/>
    <w:next w:val="Normal"/>
    <w:uiPriority w:val="35"/>
    <w:unhideWhenUsed/>
    <w:qFormat/>
    <w:rsid w:val="005B3A2F"/>
    <w:pPr>
      <w:spacing w:line="252" w:lineRule="auto"/>
    </w:pPr>
    <w:rPr>
      <w:rFonts w:asciiTheme="majorHAnsi" w:eastAsiaTheme="majorEastAsia" w:hAnsiTheme="majorHAnsi" w:cstheme="majorBidi"/>
      <w:caps/>
      <w:spacing w:val="10"/>
      <w:sz w:val="18"/>
      <w:szCs w:val="18"/>
    </w:rPr>
  </w:style>
  <w:style w:type="table" w:customStyle="1" w:styleId="Tabladecuadrcula3-nfasis11">
    <w:name w:val="Tabla de cuadrícula 3 - Énfasis 11"/>
    <w:basedOn w:val="Tablanormal"/>
    <w:uiPriority w:val="48"/>
    <w:rsid w:val="005B3A2F"/>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cuadrcula4-nfasis51">
    <w:name w:val="Tabla de cuadrícula 4 - Énfasis 51"/>
    <w:basedOn w:val="Tablanormal"/>
    <w:uiPriority w:val="49"/>
    <w:rsid w:val="005B3A2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Encabezado">
    <w:name w:val="header"/>
    <w:basedOn w:val="Normal"/>
    <w:link w:val="EncabezadoCar"/>
    <w:uiPriority w:val="99"/>
    <w:unhideWhenUsed/>
    <w:rsid w:val="005B3A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A2F"/>
  </w:style>
  <w:style w:type="paragraph" w:styleId="Piedepgina">
    <w:name w:val="footer"/>
    <w:basedOn w:val="Normal"/>
    <w:link w:val="PiedepginaCar"/>
    <w:uiPriority w:val="99"/>
    <w:unhideWhenUsed/>
    <w:rsid w:val="005B3A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A2F"/>
  </w:style>
  <w:style w:type="character" w:customStyle="1" w:styleId="Ttulo3Car">
    <w:name w:val="Título 3 Car"/>
    <w:basedOn w:val="Fuentedeprrafopredeter"/>
    <w:link w:val="Ttulo3"/>
    <w:uiPriority w:val="9"/>
    <w:semiHidden/>
    <w:rsid w:val="00B20B63"/>
    <w:rPr>
      <w:rFonts w:asciiTheme="majorHAnsi" w:eastAsiaTheme="majorEastAsia" w:hAnsiTheme="majorHAnsi" w:cstheme="majorBidi"/>
      <w:b/>
      <w:bCs/>
      <w:color w:val="4F81BD" w:themeColor="accent1"/>
    </w:rPr>
  </w:style>
  <w:style w:type="table" w:customStyle="1" w:styleId="Tabladelista7concolores-nfasis51">
    <w:name w:val="Tabla de lista 7 con colores - Énfasis 51"/>
    <w:basedOn w:val="Tablanormal"/>
    <w:uiPriority w:val="52"/>
    <w:rsid w:val="00B20B63"/>
    <w:pPr>
      <w:spacing w:after="0" w:line="240" w:lineRule="auto"/>
    </w:pPr>
    <w:rPr>
      <w:color w:val="31849B" w:themeColor="accent5" w:themeShade="BF"/>
      <w:lang w:val="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tulo5Car">
    <w:name w:val="Título 5 Car"/>
    <w:basedOn w:val="Fuentedeprrafopredeter"/>
    <w:link w:val="Ttulo5"/>
    <w:uiPriority w:val="9"/>
    <w:semiHidden/>
    <w:rsid w:val="00A1623F"/>
    <w:rPr>
      <w:rFonts w:asciiTheme="majorHAnsi" w:eastAsiaTheme="majorEastAsia" w:hAnsiTheme="majorHAnsi" w:cstheme="majorBidi"/>
      <w:color w:val="365F91"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085"/>
  </w:style>
  <w:style w:type="paragraph" w:styleId="Ttulo1">
    <w:name w:val="heading 1"/>
    <w:basedOn w:val="Normal"/>
    <w:next w:val="Normal"/>
    <w:link w:val="Ttulo1Car"/>
    <w:uiPriority w:val="9"/>
    <w:qFormat/>
    <w:rsid w:val="00CD40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D40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B20B63"/>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ar"/>
    <w:uiPriority w:val="9"/>
    <w:semiHidden/>
    <w:unhideWhenUsed/>
    <w:qFormat/>
    <w:rsid w:val="00A1623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4085"/>
    <w:rPr>
      <w:rFonts w:asciiTheme="majorHAnsi" w:eastAsiaTheme="majorEastAsia" w:hAnsiTheme="majorHAnsi" w:cstheme="majorBidi"/>
      <w:b/>
      <w:bCs/>
      <w:color w:val="365F91" w:themeColor="accent1" w:themeShade="BF"/>
      <w:sz w:val="28"/>
      <w:szCs w:val="28"/>
    </w:rPr>
  </w:style>
  <w:style w:type="paragraph" w:customStyle="1" w:styleId="H23G">
    <w:name w:val="_ H_2/3_G"/>
    <w:basedOn w:val="Normal"/>
    <w:next w:val="Normal"/>
    <w:qFormat/>
    <w:rsid w:val="00CD408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character" w:customStyle="1" w:styleId="Ttulo2Car">
    <w:name w:val="Título 2 Car"/>
    <w:basedOn w:val="Fuentedeprrafopredeter"/>
    <w:link w:val="Ttulo2"/>
    <w:uiPriority w:val="9"/>
    <w:rsid w:val="00CD4085"/>
    <w:rPr>
      <w:rFonts w:asciiTheme="majorHAnsi" w:eastAsiaTheme="majorEastAsia" w:hAnsiTheme="majorHAnsi" w:cstheme="majorBidi"/>
      <w:b/>
      <w:bCs/>
      <w:color w:val="4F81BD" w:themeColor="accent1"/>
      <w:sz w:val="26"/>
      <w:szCs w:val="26"/>
    </w:rPr>
  </w:style>
  <w:style w:type="paragraph" w:styleId="Textonotapie">
    <w:name w:val="footnote text"/>
    <w:aliases w:val="Footnote reference,FA Fu,Footnote Text Char Char Char Char Char,Footnote Text Char Char Char Char,Footnote Text Char Char Char,footnote text,Footnote Text Cha,FA Fußnotentext,FA Fuﬂnotentext,FA Fu?notentext,Ca,ft,fn, Ca"/>
    <w:basedOn w:val="Normal"/>
    <w:link w:val="TextonotapieCar"/>
    <w:uiPriority w:val="99"/>
    <w:unhideWhenUsed/>
    <w:rsid w:val="00CD4085"/>
    <w:pPr>
      <w:spacing w:after="0" w:line="240" w:lineRule="auto"/>
    </w:pPr>
    <w:rPr>
      <w:sz w:val="20"/>
      <w:szCs w:val="20"/>
    </w:rPr>
  </w:style>
  <w:style w:type="character" w:customStyle="1" w:styleId="TextonotapieCar">
    <w:name w:val="Texto nota pie Car"/>
    <w:aliases w:val="Footnote reference Car,FA Fu Car,Footnote Text Char Char Char Char Char Car,Footnote Text Char Char Char Char Car,Footnote Text Char Char Char Car,footnote text Car,Footnote Text Cha Car,FA Fußnotentext Car,FA Fuﬂnotentext Car,Ca Car"/>
    <w:basedOn w:val="Fuentedeprrafopredeter"/>
    <w:link w:val="Textonotapie"/>
    <w:uiPriority w:val="99"/>
    <w:rsid w:val="00CD4085"/>
    <w:rPr>
      <w:sz w:val="20"/>
      <w:szCs w:val="20"/>
    </w:rPr>
  </w:style>
  <w:style w:type="character" w:styleId="Refdenotaalpie">
    <w:name w:val="footnote reference"/>
    <w:aliases w:val="Footnotes refss,Texto de nota al pie,Appel note de bas de page,referencia nota al pie,BVI fnr,Footnote number,f,Ref. de nota al pie.,Footnote symbol,Footnote,4_G,16 Point,Superscript 6 Point,Texto nota al pie,Ref. de nota al pi,Ref"/>
    <w:basedOn w:val="Fuentedeprrafopredeter"/>
    <w:uiPriority w:val="99"/>
    <w:unhideWhenUsed/>
    <w:rsid w:val="00CD4085"/>
    <w:rPr>
      <w:vertAlign w:val="superscript"/>
    </w:rPr>
  </w:style>
  <w:style w:type="paragraph" w:styleId="Prrafodelista">
    <w:name w:val="List Paragraph"/>
    <w:basedOn w:val="Normal"/>
    <w:uiPriority w:val="34"/>
    <w:qFormat/>
    <w:rsid w:val="00D02DD4"/>
    <w:pPr>
      <w:ind w:left="720"/>
      <w:contextualSpacing/>
    </w:pPr>
    <w:rPr>
      <w:rFonts w:ascii="Calibri" w:hAnsi="Calibri" w:cs="Times New Roman"/>
    </w:rPr>
  </w:style>
  <w:style w:type="paragraph" w:styleId="Epgrafe">
    <w:name w:val="caption"/>
    <w:basedOn w:val="Normal"/>
    <w:next w:val="Normal"/>
    <w:uiPriority w:val="35"/>
    <w:unhideWhenUsed/>
    <w:qFormat/>
    <w:rsid w:val="005B3A2F"/>
    <w:pPr>
      <w:spacing w:line="252" w:lineRule="auto"/>
    </w:pPr>
    <w:rPr>
      <w:rFonts w:asciiTheme="majorHAnsi" w:eastAsiaTheme="majorEastAsia" w:hAnsiTheme="majorHAnsi" w:cstheme="majorBidi"/>
      <w:caps/>
      <w:spacing w:val="10"/>
      <w:sz w:val="18"/>
      <w:szCs w:val="18"/>
    </w:rPr>
  </w:style>
  <w:style w:type="table" w:customStyle="1" w:styleId="Tabladecuadrcula3-nfasis11">
    <w:name w:val="Tabla de cuadrícula 3 - Énfasis 11"/>
    <w:basedOn w:val="Tablanormal"/>
    <w:uiPriority w:val="48"/>
    <w:rsid w:val="005B3A2F"/>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cuadrcula4-nfasis51">
    <w:name w:val="Tabla de cuadrícula 4 - Énfasis 51"/>
    <w:basedOn w:val="Tablanormal"/>
    <w:uiPriority w:val="49"/>
    <w:rsid w:val="005B3A2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Encabezado">
    <w:name w:val="header"/>
    <w:basedOn w:val="Normal"/>
    <w:link w:val="EncabezadoCar"/>
    <w:uiPriority w:val="99"/>
    <w:unhideWhenUsed/>
    <w:rsid w:val="005B3A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A2F"/>
  </w:style>
  <w:style w:type="paragraph" w:styleId="Piedepgina">
    <w:name w:val="footer"/>
    <w:basedOn w:val="Normal"/>
    <w:link w:val="PiedepginaCar"/>
    <w:uiPriority w:val="99"/>
    <w:unhideWhenUsed/>
    <w:rsid w:val="005B3A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A2F"/>
  </w:style>
  <w:style w:type="character" w:customStyle="1" w:styleId="Ttulo3Car">
    <w:name w:val="Título 3 Car"/>
    <w:basedOn w:val="Fuentedeprrafopredeter"/>
    <w:link w:val="Ttulo3"/>
    <w:uiPriority w:val="9"/>
    <w:semiHidden/>
    <w:rsid w:val="00B20B63"/>
    <w:rPr>
      <w:rFonts w:asciiTheme="majorHAnsi" w:eastAsiaTheme="majorEastAsia" w:hAnsiTheme="majorHAnsi" w:cstheme="majorBidi"/>
      <w:b/>
      <w:bCs/>
      <w:color w:val="4F81BD" w:themeColor="accent1"/>
    </w:rPr>
  </w:style>
  <w:style w:type="table" w:customStyle="1" w:styleId="Tabladelista7concolores-nfasis51">
    <w:name w:val="Tabla de lista 7 con colores - Énfasis 51"/>
    <w:basedOn w:val="Tablanormal"/>
    <w:uiPriority w:val="52"/>
    <w:rsid w:val="00B20B63"/>
    <w:pPr>
      <w:spacing w:after="0" w:line="240" w:lineRule="auto"/>
    </w:pPr>
    <w:rPr>
      <w:color w:val="31849B" w:themeColor="accent5" w:themeShade="BF"/>
      <w:lang w:val="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tulo5Car">
    <w:name w:val="Título 5 Car"/>
    <w:basedOn w:val="Fuentedeprrafopredeter"/>
    <w:link w:val="Ttulo5"/>
    <w:uiPriority w:val="9"/>
    <w:semiHidden/>
    <w:rsid w:val="00A1623F"/>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06038">
      <w:bodyDiv w:val="1"/>
      <w:marLeft w:val="0"/>
      <w:marRight w:val="0"/>
      <w:marTop w:val="0"/>
      <w:marBottom w:val="0"/>
      <w:divBdr>
        <w:top w:val="none" w:sz="0" w:space="0" w:color="auto"/>
        <w:left w:val="none" w:sz="0" w:space="0" w:color="auto"/>
        <w:bottom w:val="none" w:sz="0" w:space="0" w:color="auto"/>
        <w:right w:val="none" w:sz="0" w:space="0" w:color="auto"/>
      </w:divBdr>
    </w:div>
    <w:div w:id="318770317">
      <w:bodyDiv w:val="1"/>
      <w:marLeft w:val="0"/>
      <w:marRight w:val="0"/>
      <w:marTop w:val="0"/>
      <w:marBottom w:val="0"/>
      <w:divBdr>
        <w:top w:val="none" w:sz="0" w:space="0" w:color="auto"/>
        <w:left w:val="none" w:sz="0" w:space="0" w:color="auto"/>
        <w:bottom w:val="none" w:sz="0" w:space="0" w:color="auto"/>
        <w:right w:val="none" w:sz="0" w:space="0" w:color="auto"/>
      </w:divBdr>
    </w:div>
    <w:div w:id="62050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9342A3-09FD-4908-AAFE-8081A847DB8F}"/>
</file>

<file path=customXml/itemProps2.xml><?xml version="1.0" encoding="utf-8"?>
<ds:datastoreItem xmlns:ds="http://schemas.openxmlformats.org/officeDocument/2006/customXml" ds:itemID="{9578C689-3251-4913-98C3-342AD07172BE}"/>
</file>

<file path=customXml/itemProps3.xml><?xml version="1.0" encoding="utf-8"?>
<ds:datastoreItem xmlns:ds="http://schemas.openxmlformats.org/officeDocument/2006/customXml" ds:itemID="{2200A7E8-FDAC-45D8-9AA6-8B86BEA3D63D}"/>
</file>

<file path=docProps/app.xml><?xml version="1.0" encoding="utf-8"?>
<Properties xmlns="http://schemas.openxmlformats.org/officeDocument/2006/extended-properties" xmlns:vt="http://schemas.openxmlformats.org/officeDocument/2006/docPropsVTypes">
  <Template>Normal</Template>
  <TotalTime>6</TotalTime>
  <Pages>17</Pages>
  <Words>9090</Words>
  <Characters>49996</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CONADEH</dc:creator>
  <cp:lastModifiedBy>CONADEH</cp:lastModifiedBy>
  <cp:revision>2</cp:revision>
  <dcterms:created xsi:type="dcterms:W3CDTF">2017-06-28T14:24:00Z</dcterms:created>
  <dcterms:modified xsi:type="dcterms:W3CDTF">2017-06-28T14:24:00Z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