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696EE" w14:textId="77777777" w:rsidR="003D5960" w:rsidRDefault="003D5960" w:rsidP="003D5960">
      <w:pPr>
        <w:pStyle w:val="header1"/>
        <w:jc w:val="center"/>
      </w:pPr>
      <w:r>
        <w:t>Alternative</w:t>
      </w:r>
      <w:r w:rsidR="00D33543" w:rsidRPr="002804E7">
        <w:t xml:space="preserve"> Report for CEDAW examination for the ninth periodic report of New Zealand</w:t>
      </w:r>
      <w:r w:rsidR="002804E7">
        <w:t xml:space="preserve"> </w:t>
      </w:r>
    </w:p>
    <w:p w14:paraId="0DF46065" w14:textId="048F50AC" w:rsidR="00D33543" w:rsidRPr="002804E7" w:rsidRDefault="002804E7" w:rsidP="003D5960">
      <w:pPr>
        <w:pStyle w:val="header1"/>
        <w:jc w:val="center"/>
      </w:pPr>
      <w:r>
        <w:t>(89</w:t>
      </w:r>
      <w:r w:rsidRPr="002804E7">
        <w:rPr>
          <w:vertAlign w:val="superscript"/>
        </w:rPr>
        <w:t>th</w:t>
      </w:r>
      <w:r>
        <w:t xml:space="preserve"> Session)</w:t>
      </w:r>
    </w:p>
    <w:p w14:paraId="7322C5AD" w14:textId="77777777" w:rsidR="002804E7" w:rsidRDefault="002804E7" w:rsidP="002804E7">
      <w:pPr>
        <w:pStyle w:val="Heading2"/>
        <w:jc w:val="center"/>
        <w:rPr>
          <w:rFonts w:asciiTheme="minorHAnsi" w:hAnsiTheme="minorHAnsi"/>
          <w:b/>
          <w:color w:val="373545" w:themeColor="text2"/>
          <w:sz w:val="28"/>
          <w:szCs w:val="28"/>
        </w:rPr>
      </w:pPr>
    </w:p>
    <w:p w14:paraId="18066686" w14:textId="77777777" w:rsidR="002804E7" w:rsidRDefault="002804E7" w:rsidP="002804E7">
      <w:pPr>
        <w:pStyle w:val="Heading2"/>
        <w:jc w:val="center"/>
        <w:rPr>
          <w:rFonts w:asciiTheme="minorHAnsi" w:hAnsiTheme="minorHAnsi"/>
          <w:b/>
          <w:color w:val="373545" w:themeColor="text2"/>
          <w:sz w:val="28"/>
          <w:szCs w:val="28"/>
        </w:rPr>
      </w:pPr>
      <w:r w:rsidRPr="002804E7">
        <w:rPr>
          <w:rFonts w:asciiTheme="minorHAnsi" w:hAnsiTheme="minorHAnsi"/>
          <w:b/>
          <w:color w:val="373545" w:themeColor="text2"/>
          <w:sz w:val="28"/>
          <w:szCs w:val="28"/>
        </w:rPr>
        <w:t xml:space="preserve">Submitted by </w:t>
      </w:r>
    </w:p>
    <w:p w14:paraId="4897F314" w14:textId="5C611005" w:rsidR="002804E7" w:rsidRDefault="002804E7" w:rsidP="002804E7">
      <w:pPr>
        <w:pStyle w:val="Heading2"/>
        <w:jc w:val="center"/>
        <w:rPr>
          <w:rFonts w:asciiTheme="minorHAnsi" w:hAnsiTheme="minorHAnsi"/>
          <w:b/>
          <w:color w:val="373545" w:themeColor="text2"/>
          <w:sz w:val="28"/>
          <w:szCs w:val="28"/>
        </w:rPr>
      </w:pPr>
      <w:r w:rsidRPr="002804E7">
        <w:rPr>
          <w:rFonts w:asciiTheme="minorHAnsi" w:hAnsiTheme="minorHAnsi"/>
          <w:b/>
          <w:color w:val="373545" w:themeColor="text2"/>
          <w:sz w:val="28"/>
          <w:szCs w:val="28"/>
        </w:rPr>
        <w:t>The Coalition for the Safety of Women and Children</w:t>
      </w:r>
    </w:p>
    <w:p w14:paraId="1561DD3D" w14:textId="77777777" w:rsidR="0034775B" w:rsidRPr="002804E7" w:rsidRDefault="0034775B" w:rsidP="0034775B">
      <w:pPr>
        <w:pStyle w:val="Heading3"/>
        <w:jc w:val="center"/>
        <w:rPr>
          <w:rFonts w:asciiTheme="minorHAnsi" w:hAnsiTheme="minorHAnsi"/>
          <w:b/>
          <w:color w:val="373545" w:themeColor="text2"/>
          <w:sz w:val="28"/>
          <w:szCs w:val="28"/>
        </w:rPr>
      </w:pPr>
      <w:r w:rsidRPr="002804E7">
        <w:rPr>
          <w:rFonts w:asciiTheme="minorHAnsi" w:hAnsiTheme="minorHAnsi"/>
          <w:b/>
          <w:color w:val="373545" w:themeColor="text2"/>
          <w:sz w:val="28"/>
          <w:szCs w:val="28"/>
        </w:rPr>
        <w:t>August 2024</w:t>
      </w:r>
    </w:p>
    <w:p w14:paraId="3B784656" w14:textId="77777777" w:rsidR="0034775B" w:rsidRPr="0034775B" w:rsidRDefault="0034775B" w:rsidP="0034775B">
      <w:pPr>
        <w:rPr>
          <w:lang w:eastAsia="zh-TW"/>
        </w:rPr>
      </w:pPr>
    </w:p>
    <w:p w14:paraId="08551C49" w14:textId="3864BEBF" w:rsidR="00D33543" w:rsidRPr="00FF7D24" w:rsidRDefault="0034775B" w:rsidP="00D33543">
      <w:pPr>
        <w:pStyle w:val="Heading2"/>
        <w:jc w:val="center"/>
        <w:rPr>
          <w:color w:val="373545" w:themeColor="text2"/>
        </w:rPr>
      </w:pPr>
      <w:r>
        <w:rPr>
          <w:noProof/>
        </w:rPr>
        <w:drawing>
          <wp:inline distT="0" distB="0" distL="0" distR="0" wp14:anchorId="0BF67F87" wp14:editId="7986A73A">
            <wp:extent cx="4448032" cy="1914525"/>
            <wp:effectExtent l="0" t="0" r="0" b="0"/>
            <wp:docPr id="2" name="Picture 2" descr="C:\Users\Deborah Mackenzie\Downloads\croppe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borah Mackenzie\Downloads\cropped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337" cy="1921543"/>
                    </a:xfrm>
                    <a:prstGeom prst="rect">
                      <a:avLst/>
                    </a:prstGeom>
                    <a:noFill/>
                    <a:ln>
                      <a:noFill/>
                    </a:ln>
                  </pic:spPr>
                </pic:pic>
              </a:graphicData>
            </a:graphic>
          </wp:inline>
        </w:drawing>
      </w:r>
    </w:p>
    <w:p w14:paraId="442AE413" w14:textId="7FC9E513" w:rsidR="002804E7" w:rsidRDefault="002804E7" w:rsidP="002804E7">
      <w:pPr>
        <w:pStyle w:val="NormalWeb"/>
        <w:jc w:val="center"/>
      </w:pPr>
    </w:p>
    <w:p w14:paraId="12F8F9CA" w14:textId="772DEEC2" w:rsidR="00D33543" w:rsidRPr="00D33543" w:rsidRDefault="00D33543" w:rsidP="00A66953">
      <w:pPr>
        <w:rPr>
          <w:sz w:val="24"/>
          <w:szCs w:val="24"/>
          <w:lang w:eastAsia="en-NZ"/>
        </w:rPr>
      </w:pPr>
      <w:r w:rsidRPr="00D33543">
        <w:rPr>
          <w:lang w:eastAsia="en-NZ"/>
        </w:rPr>
        <w:t xml:space="preserve">Please find below </w:t>
      </w:r>
      <w:r w:rsidR="00A66953">
        <w:rPr>
          <w:lang w:eastAsia="en-NZ"/>
        </w:rPr>
        <w:t>an alternative NGO report</w:t>
      </w:r>
      <w:r w:rsidRPr="00D33543">
        <w:rPr>
          <w:lang w:eastAsia="en-NZ"/>
        </w:rPr>
        <w:t xml:space="preserve"> prepared by </w:t>
      </w:r>
      <w:r w:rsidR="003D5960">
        <w:rPr>
          <w:lang w:eastAsia="en-NZ"/>
        </w:rPr>
        <w:t>T</w:t>
      </w:r>
      <w:r w:rsidRPr="00D33543">
        <w:rPr>
          <w:lang w:eastAsia="en-NZ"/>
        </w:rPr>
        <w:t>he Coalition for the Safety of Women and Children (</w:t>
      </w:r>
      <w:r w:rsidR="00A66953">
        <w:rPr>
          <w:lang w:eastAsia="en-NZ"/>
        </w:rPr>
        <w:t>the Coalition</w:t>
      </w:r>
      <w:r w:rsidR="00F52750" w:rsidRPr="00F52750">
        <w:rPr>
          <w:lang w:eastAsia="en-NZ"/>
        </w:rPr>
        <w:t xml:space="preserve"> – </w:t>
      </w:r>
      <w:r w:rsidR="001775A3">
        <w:rPr>
          <w:lang w:eastAsia="en-NZ"/>
        </w:rPr>
        <w:t xml:space="preserve">members in </w:t>
      </w:r>
      <w:hyperlink w:anchor="_Appendix_2" w:history="1">
        <w:r w:rsidR="00F52750" w:rsidRPr="00E4533E">
          <w:rPr>
            <w:rStyle w:val="Hyperlink"/>
            <w:lang w:eastAsia="en-NZ"/>
          </w:rPr>
          <w:t>Appendix 2</w:t>
        </w:r>
      </w:hyperlink>
      <w:r w:rsidRPr="00F52750">
        <w:rPr>
          <w:lang w:eastAsia="en-NZ"/>
        </w:rPr>
        <w:t>)</w:t>
      </w:r>
      <w:r w:rsidRPr="00D33543">
        <w:rPr>
          <w:lang w:eastAsia="en-NZ"/>
        </w:rPr>
        <w:t xml:space="preserve"> to assist the committee </w:t>
      </w:r>
      <w:r>
        <w:rPr>
          <w:lang w:eastAsia="en-NZ"/>
        </w:rPr>
        <w:t>in the examination of</w:t>
      </w:r>
      <w:r w:rsidRPr="00D33543">
        <w:rPr>
          <w:lang w:eastAsia="en-NZ"/>
        </w:rPr>
        <w:t xml:space="preserve"> </w:t>
      </w:r>
      <w:r w:rsidR="0012136D">
        <w:rPr>
          <w:rFonts w:ascii="Calibri" w:hAnsi="Calibri" w:cs="Calibri"/>
        </w:rPr>
        <w:t xml:space="preserve">(NZ) </w:t>
      </w:r>
      <w:r w:rsidRPr="00D33543">
        <w:rPr>
          <w:lang w:eastAsia="en-NZ"/>
        </w:rPr>
        <w:t>State Party.</w:t>
      </w:r>
      <w:r>
        <w:rPr>
          <w:rFonts w:ascii="Calibri" w:hAnsi="Calibri" w:cs="Calibri"/>
        </w:rPr>
        <w:t xml:space="preserve"> </w:t>
      </w:r>
      <w:r w:rsidRPr="00D33543">
        <w:rPr>
          <w:lang w:eastAsia="en-NZ"/>
        </w:rPr>
        <w:t xml:space="preserve">This </w:t>
      </w:r>
      <w:r w:rsidR="00A66953">
        <w:rPr>
          <w:lang w:eastAsia="en-NZ"/>
        </w:rPr>
        <w:t xml:space="preserve">report </w:t>
      </w:r>
      <w:r w:rsidRPr="00D33543">
        <w:rPr>
          <w:lang w:eastAsia="en-NZ"/>
        </w:rPr>
        <w:t>can be posted on the CEDAW website.</w:t>
      </w:r>
    </w:p>
    <w:p w14:paraId="749379EB" w14:textId="77777777" w:rsidR="002804E7" w:rsidRPr="00B523AA" w:rsidRDefault="002804E7" w:rsidP="003A43D4">
      <w:pPr>
        <w:pStyle w:val="header2"/>
      </w:pPr>
      <w:r w:rsidRPr="00B523AA">
        <w:t>Introduction</w:t>
      </w:r>
    </w:p>
    <w:p w14:paraId="58B92DC5" w14:textId="6919FCCE" w:rsidR="00C106DA" w:rsidRDefault="00C106DA" w:rsidP="002804E7">
      <w:pPr>
        <w:spacing w:before="240" w:line="240" w:lineRule="auto"/>
        <w:rPr>
          <w:rFonts w:eastAsia="Times New Roman" w:cstheme="minorHAnsi"/>
          <w:color w:val="000000"/>
          <w:lang w:eastAsia="en-NZ"/>
        </w:rPr>
      </w:pPr>
      <w:r>
        <w:rPr>
          <w:rFonts w:eastAsia="Times New Roman" w:cstheme="minorHAnsi"/>
          <w:color w:val="000000"/>
          <w:lang w:eastAsia="en-NZ"/>
        </w:rPr>
        <w:t xml:space="preserve">The Coalition and The Backbone Collective </w:t>
      </w:r>
      <w:r w:rsidR="00136BB8">
        <w:rPr>
          <w:rFonts w:eastAsia="Times New Roman" w:cstheme="minorHAnsi"/>
          <w:color w:val="000000"/>
          <w:lang w:eastAsia="en-NZ"/>
        </w:rPr>
        <w:t xml:space="preserve">(Backbone) </w:t>
      </w:r>
      <w:r>
        <w:rPr>
          <w:rFonts w:eastAsia="Times New Roman" w:cstheme="minorHAnsi"/>
          <w:color w:val="000000"/>
          <w:lang w:eastAsia="en-NZ"/>
        </w:rPr>
        <w:t xml:space="preserve">have previously made submissions to the CEDAW committee (2018, 2020, 2022, 2023) regarding the </w:t>
      </w:r>
      <w:r w:rsidR="0012136D">
        <w:rPr>
          <w:rFonts w:eastAsia="Times New Roman" w:cstheme="minorHAnsi"/>
          <w:color w:val="000000"/>
          <w:lang w:eastAsia="en-NZ"/>
        </w:rPr>
        <w:t xml:space="preserve">NZ </w:t>
      </w:r>
      <w:r>
        <w:rPr>
          <w:rFonts w:eastAsia="Times New Roman" w:cstheme="minorHAnsi"/>
          <w:color w:val="000000"/>
          <w:lang w:eastAsia="en-NZ"/>
        </w:rPr>
        <w:t xml:space="preserve">State’s Party response to </w:t>
      </w:r>
      <w:r w:rsidR="00AA13B0" w:rsidRPr="00D33543">
        <w:rPr>
          <w:rFonts w:eastAsia="Times New Roman" w:cstheme="minorHAnsi"/>
          <w:color w:val="000000"/>
          <w:lang w:eastAsia="en-NZ"/>
        </w:rPr>
        <w:t>gender-based violence against women</w:t>
      </w:r>
      <w:r w:rsidR="00AA13B0">
        <w:rPr>
          <w:rFonts w:eastAsia="Times New Roman" w:cstheme="minorHAnsi"/>
          <w:color w:val="000000"/>
          <w:lang w:eastAsia="en-NZ"/>
        </w:rPr>
        <w:t xml:space="preserve"> and children</w:t>
      </w:r>
      <w:r w:rsidR="00AA13B0" w:rsidRPr="00D33543">
        <w:rPr>
          <w:rFonts w:eastAsia="Times New Roman" w:cstheme="minorHAnsi"/>
          <w:color w:val="000000"/>
          <w:lang w:eastAsia="en-NZ"/>
        </w:rPr>
        <w:t>.</w:t>
      </w:r>
      <w:r w:rsidR="00AA13B0">
        <w:rPr>
          <w:rFonts w:eastAsia="Times New Roman" w:cstheme="minorHAnsi"/>
          <w:color w:val="000000"/>
          <w:lang w:eastAsia="en-NZ"/>
        </w:rPr>
        <w:t xml:space="preserve"> </w:t>
      </w:r>
    </w:p>
    <w:p w14:paraId="531DD314" w14:textId="17CF4750" w:rsidR="00A93823" w:rsidRDefault="00A93823">
      <w:pPr>
        <w:rPr>
          <w:rFonts w:cstheme="minorHAnsi"/>
        </w:rPr>
      </w:pPr>
      <w:r>
        <w:rPr>
          <w:rFonts w:cstheme="minorHAnsi"/>
        </w:rPr>
        <w:t>W</w:t>
      </w:r>
      <w:r w:rsidR="005F6DF0">
        <w:rPr>
          <w:rFonts w:cstheme="minorHAnsi"/>
        </w:rPr>
        <w:t>e</w:t>
      </w:r>
      <w:r>
        <w:rPr>
          <w:rFonts w:cstheme="minorHAnsi"/>
        </w:rPr>
        <w:t xml:space="preserve"> provide evidence in this alternative report </w:t>
      </w:r>
      <w:r w:rsidR="00E4533E">
        <w:rPr>
          <w:rFonts w:cstheme="minorHAnsi"/>
        </w:rPr>
        <w:t xml:space="preserve">contradicting </w:t>
      </w:r>
      <w:r>
        <w:rPr>
          <w:rFonts w:cstheme="minorHAnsi"/>
        </w:rPr>
        <w:t xml:space="preserve">some of the </w:t>
      </w:r>
      <w:r w:rsidR="00E2798B">
        <w:rPr>
          <w:rFonts w:cstheme="minorHAnsi"/>
        </w:rPr>
        <w:t>State party</w:t>
      </w:r>
      <w:r w:rsidR="00E4533E">
        <w:rPr>
          <w:rFonts w:cstheme="minorHAnsi"/>
        </w:rPr>
        <w:t>’s statements</w:t>
      </w:r>
      <w:r w:rsidR="00E2798B">
        <w:rPr>
          <w:rFonts w:cstheme="minorHAnsi"/>
        </w:rPr>
        <w:t xml:space="preserve"> to CEDAW. W</w:t>
      </w:r>
      <w:r>
        <w:rPr>
          <w:rFonts w:cstheme="minorHAnsi"/>
        </w:rPr>
        <w:t>e provide information relating to the everyday experiences of women and children who face sever</w:t>
      </w:r>
      <w:r w:rsidR="005F6DF0">
        <w:rPr>
          <w:rFonts w:cstheme="minorHAnsi"/>
        </w:rPr>
        <w:t>e</w:t>
      </w:r>
      <w:r>
        <w:rPr>
          <w:rFonts w:cstheme="minorHAnsi"/>
        </w:rPr>
        <w:t xml:space="preserve"> discrimination when attempting to escape abuse, recover and live freely. </w:t>
      </w:r>
      <w:r w:rsidR="00FB33B3">
        <w:rPr>
          <w:rFonts w:cstheme="minorHAnsi"/>
        </w:rPr>
        <w:t>I</w:t>
      </w:r>
      <w:r>
        <w:rPr>
          <w:rFonts w:cstheme="minorHAnsi"/>
        </w:rPr>
        <w:t xml:space="preserve">mportantly, hundreds of women </w:t>
      </w:r>
      <w:r w:rsidR="00BC5DF8">
        <w:rPr>
          <w:rFonts w:cstheme="minorHAnsi"/>
        </w:rPr>
        <w:t>victim-survivors</w:t>
      </w:r>
      <w:r>
        <w:rPr>
          <w:rFonts w:cstheme="minorHAnsi"/>
        </w:rPr>
        <w:t xml:space="preserve"> </w:t>
      </w:r>
      <w:r w:rsidR="00BC5DF8">
        <w:rPr>
          <w:rFonts w:cstheme="minorHAnsi"/>
        </w:rPr>
        <w:t xml:space="preserve">(VS) </w:t>
      </w:r>
      <w:r w:rsidR="00E4533E">
        <w:rPr>
          <w:rFonts w:cstheme="minorHAnsi"/>
        </w:rPr>
        <w:t xml:space="preserve">tell us the responses of </w:t>
      </w:r>
      <w:r w:rsidR="005F6DF0">
        <w:rPr>
          <w:rFonts w:cstheme="minorHAnsi"/>
        </w:rPr>
        <w:t xml:space="preserve">some </w:t>
      </w:r>
      <w:r>
        <w:rPr>
          <w:rFonts w:cstheme="minorHAnsi"/>
        </w:rPr>
        <w:t>state agenc</w:t>
      </w:r>
      <w:r w:rsidR="005F6DF0">
        <w:rPr>
          <w:rFonts w:cstheme="minorHAnsi"/>
        </w:rPr>
        <w:t>ies</w:t>
      </w:r>
      <w:r>
        <w:rPr>
          <w:rFonts w:cstheme="minorHAnsi"/>
        </w:rPr>
        <w:t xml:space="preserve"> </w:t>
      </w:r>
      <w:r w:rsidR="005F6DF0">
        <w:rPr>
          <w:rFonts w:cstheme="minorHAnsi"/>
        </w:rPr>
        <w:t>(</w:t>
      </w:r>
      <w:r w:rsidR="00E4533E">
        <w:rPr>
          <w:rFonts w:cstheme="minorHAnsi"/>
        </w:rPr>
        <w:t xml:space="preserve">including </w:t>
      </w:r>
      <w:r w:rsidR="005F6DF0">
        <w:rPr>
          <w:rFonts w:cstheme="minorHAnsi"/>
        </w:rPr>
        <w:t>the Family Court, NZ Police and Oranga Tamariki</w:t>
      </w:r>
      <w:r w:rsidR="00E4533E">
        <w:rPr>
          <w:rFonts w:cstheme="minorHAnsi"/>
        </w:rPr>
        <w:t xml:space="preserve"> – child protection</w:t>
      </w:r>
      <w:r w:rsidR="005F6DF0">
        <w:rPr>
          <w:rFonts w:cstheme="minorHAnsi"/>
        </w:rPr>
        <w:t xml:space="preserve">) </w:t>
      </w:r>
      <w:r>
        <w:rPr>
          <w:rFonts w:cstheme="minorHAnsi"/>
        </w:rPr>
        <w:t>create a</w:t>
      </w:r>
      <w:r w:rsidR="009F7A75">
        <w:rPr>
          <w:rFonts w:cstheme="minorHAnsi"/>
        </w:rPr>
        <w:t xml:space="preserve">n unsurmountable </w:t>
      </w:r>
      <w:r>
        <w:rPr>
          <w:rFonts w:cstheme="minorHAnsi"/>
        </w:rPr>
        <w:t>barrier to safety</w:t>
      </w:r>
      <w:r w:rsidR="00E4533E">
        <w:rPr>
          <w:rFonts w:cstheme="minorHAnsi"/>
        </w:rPr>
        <w:t>,</w:t>
      </w:r>
      <w:r>
        <w:rPr>
          <w:rFonts w:cstheme="minorHAnsi"/>
        </w:rPr>
        <w:t xml:space="preserve"> further traumatise them </w:t>
      </w:r>
      <w:r w:rsidR="00E4533E">
        <w:rPr>
          <w:rFonts w:cstheme="minorHAnsi"/>
        </w:rPr>
        <w:t xml:space="preserve">and their children, </w:t>
      </w:r>
      <w:r>
        <w:rPr>
          <w:rFonts w:cstheme="minorHAnsi"/>
        </w:rPr>
        <w:t xml:space="preserve">and </w:t>
      </w:r>
      <w:r w:rsidR="005F6DF0">
        <w:rPr>
          <w:rFonts w:cstheme="minorHAnsi"/>
        </w:rPr>
        <w:t xml:space="preserve">can </w:t>
      </w:r>
      <w:r>
        <w:rPr>
          <w:rFonts w:cstheme="minorHAnsi"/>
        </w:rPr>
        <w:t>place them in greater danger</w:t>
      </w:r>
      <w:r w:rsidR="00E4533E">
        <w:rPr>
          <w:rFonts w:cstheme="minorHAnsi"/>
        </w:rPr>
        <w:t>,</w:t>
      </w:r>
      <w:r w:rsidR="00A66953">
        <w:rPr>
          <w:rFonts w:cstheme="minorHAnsi"/>
        </w:rPr>
        <w:t xml:space="preserve"> as the </w:t>
      </w:r>
      <w:r>
        <w:rPr>
          <w:rFonts w:cstheme="minorHAnsi"/>
        </w:rPr>
        <w:t xml:space="preserve">infographic </w:t>
      </w:r>
      <w:r w:rsidR="00A66953">
        <w:rPr>
          <w:rFonts w:cstheme="minorHAnsi"/>
        </w:rPr>
        <w:t>below</w:t>
      </w:r>
      <w:r w:rsidR="00E4533E">
        <w:rPr>
          <w:rFonts w:cstheme="minorHAnsi"/>
        </w:rPr>
        <w:t xml:space="preserve"> shows</w:t>
      </w:r>
      <w:r>
        <w:t>.</w:t>
      </w:r>
    </w:p>
    <w:p w14:paraId="22EF54F1" w14:textId="3EB46247" w:rsidR="00A66953" w:rsidRPr="00A66953" w:rsidRDefault="00A66953" w:rsidP="00A66953">
      <w:pPr>
        <w:spacing w:before="100" w:beforeAutospacing="1" w:after="100" w:afterAutospacing="1" w:line="240" w:lineRule="auto"/>
        <w:rPr>
          <w:rFonts w:ascii="Times New Roman" w:eastAsia="Times New Roman" w:hAnsi="Times New Roman" w:cs="Times New Roman"/>
          <w:sz w:val="24"/>
          <w:szCs w:val="24"/>
          <w:lang w:eastAsia="en-NZ"/>
        </w:rPr>
      </w:pPr>
      <w:r w:rsidRPr="00A66953">
        <w:rPr>
          <w:rFonts w:ascii="Times New Roman" w:eastAsia="Times New Roman" w:hAnsi="Times New Roman" w:cs="Times New Roman"/>
          <w:noProof/>
          <w:sz w:val="24"/>
          <w:szCs w:val="24"/>
          <w:lang w:eastAsia="en-NZ"/>
        </w:rPr>
        <w:lastRenderedPageBreak/>
        <w:drawing>
          <wp:inline distT="0" distB="0" distL="0" distR="0" wp14:anchorId="46A7803C" wp14:editId="67332E04">
            <wp:extent cx="6562381" cy="4639310"/>
            <wp:effectExtent l="0" t="0" r="0" b="8890"/>
            <wp:docPr id="11" name="Picture 11" descr="C:\Users\Deborah Mackenzie\My Drive (deb@backbone.org.nz)\Admin\Admin\2024 projects\Briefing to incoming govt 2024\Infographics system abuse\BB System perpetrator infograph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borah Mackenzie\My Drive (deb@backbone.org.nz)\Admin\Admin\2024 projects\Briefing to incoming govt 2024\Infographics system abuse\BB System perpetrator infographi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86134" cy="4656102"/>
                    </a:xfrm>
                    <a:prstGeom prst="rect">
                      <a:avLst/>
                    </a:prstGeom>
                    <a:noFill/>
                    <a:ln>
                      <a:noFill/>
                    </a:ln>
                  </pic:spPr>
                </pic:pic>
              </a:graphicData>
            </a:graphic>
          </wp:inline>
        </w:drawing>
      </w:r>
    </w:p>
    <w:p w14:paraId="2CA24FD5" w14:textId="12644A4E" w:rsidR="00B4194F" w:rsidRDefault="0097093C" w:rsidP="00BA4814">
      <w:r w:rsidRPr="00850EDE">
        <w:t xml:space="preserve">In 2022, we made a </w:t>
      </w:r>
      <w:hyperlink r:id="rId10" w:history="1">
        <w:r w:rsidRPr="00AC5DE4">
          <w:rPr>
            <w:rStyle w:val="Hyperlink"/>
          </w:rPr>
          <w:t>submission</w:t>
        </w:r>
      </w:hyperlink>
      <w:r w:rsidRPr="00850EDE">
        <w:t xml:space="preserve"> to inform the List of Issues that </w:t>
      </w:r>
      <w:r w:rsidR="0012136D">
        <w:t>NZ</w:t>
      </w:r>
      <w:r w:rsidR="00BC5DF8">
        <w:t xml:space="preserve"> </w:t>
      </w:r>
      <w:r w:rsidRPr="00850EDE">
        <w:t xml:space="preserve">would be questioned on in this examination. We ask that the Committee also draws on that submission in </w:t>
      </w:r>
      <w:r w:rsidR="00BA423C" w:rsidRPr="00850EDE">
        <w:t>this</w:t>
      </w:r>
      <w:r w:rsidRPr="00850EDE">
        <w:t xml:space="preserve"> examination</w:t>
      </w:r>
      <w:r w:rsidR="006A1CC2">
        <w:t>.</w:t>
      </w:r>
      <w:r w:rsidRPr="00850EDE">
        <w:t xml:space="preserve"> </w:t>
      </w:r>
    </w:p>
    <w:p w14:paraId="60C7F8F9" w14:textId="44D79A30" w:rsidR="0034775B" w:rsidRPr="005D179A" w:rsidRDefault="0034775B" w:rsidP="008A1462">
      <w:pPr>
        <w:shd w:val="clear" w:color="auto" w:fill="F6CDC2" w:themeFill="accent3"/>
        <w:rPr>
          <w:b/>
        </w:rPr>
      </w:pPr>
      <w:r w:rsidRPr="005D179A">
        <w:rPr>
          <w:b/>
        </w:rPr>
        <w:t xml:space="preserve">We </w:t>
      </w:r>
      <w:r w:rsidR="00E4533E">
        <w:rPr>
          <w:b/>
        </w:rPr>
        <w:t>urgently</w:t>
      </w:r>
      <w:r w:rsidR="00E4533E" w:rsidRPr="005D179A">
        <w:rPr>
          <w:b/>
        </w:rPr>
        <w:t xml:space="preserve"> </w:t>
      </w:r>
      <w:r w:rsidRPr="005D179A">
        <w:rPr>
          <w:b/>
        </w:rPr>
        <w:t xml:space="preserve">need the Special Rapporteur on violence against women and girls and the Working Group on discrimination against women and girls to conduct a mission to </w:t>
      </w:r>
      <w:r w:rsidR="00E4533E">
        <w:rPr>
          <w:b/>
        </w:rPr>
        <w:t xml:space="preserve">Aotearoa </w:t>
      </w:r>
      <w:r w:rsidRPr="005D179A">
        <w:rPr>
          <w:b/>
        </w:rPr>
        <w:t>New Zealand. We ask that in that visit</w:t>
      </w:r>
      <w:r>
        <w:rPr>
          <w:b/>
        </w:rPr>
        <w:t>,</w:t>
      </w:r>
      <w:r w:rsidRPr="005D179A">
        <w:rPr>
          <w:b/>
        </w:rPr>
        <w:t xml:space="preserve"> particular focus be given to the Family Court response to women and children </w:t>
      </w:r>
      <w:r w:rsidR="00BC5DF8">
        <w:rPr>
          <w:b/>
        </w:rPr>
        <w:t>victim-survivors</w:t>
      </w:r>
      <w:r w:rsidRPr="005D179A">
        <w:rPr>
          <w:b/>
        </w:rPr>
        <w:t>.</w:t>
      </w:r>
    </w:p>
    <w:p w14:paraId="760A3B69" w14:textId="0B19BEA5" w:rsidR="00BA4814" w:rsidRDefault="00BA4814" w:rsidP="00BA4814">
      <w:r>
        <w:t xml:space="preserve">Our </w:t>
      </w:r>
      <w:r w:rsidRPr="00850EDE">
        <w:t xml:space="preserve">submission </w:t>
      </w:r>
      <w:r>
        <w:t xml:space="preserve">presents </w:t>
      </w:r>
      <w:r w:rsidRPr="006A399D">
        <w:rPr>
          <w:b/>
        </w:rPr>
        <w:t>five priority themes</w:t>
      </w:r>
      <w:r w:rsidRPr="00850EDE">
        <w:t xml:space="preserve"> </w:t>
      </w:r>
      <w:r>
        <w:t xml:space="preserve">that relate to the NZ state’s poor response to family and sexual violence (FV/SV). The table below provides a list of the themes and our recommendations for addressing them. </w:t>
      </w:r>
    </w:p>
    <w:p w14:paraId="76BE81FB" w14:textId="77777777" w:rsidR="007617A9" w:rsidRDefault="007617A9">
      <w:pPr>
        <w:spacing w:after="160" w:line="259" w:lineRule="auto"/>
        <w:rPr>
          <w:rFonts w:asciiTheme="majorHAnsi" w:hAnsiTheme="majorHAnsi"/>
          <w:b/>
          <w:color w:val="40395F" w:themeColor="accent6"/>
          <w:sz w:val="48"/>
          <w:szCs w:val="24"/>
          <w:lang w:val="en-US"/>
        </w:rPr>
      </w:pPr>
      <w:r>
        <w:rPr>
          <w:color w:val="40395F" w:themeColor="accent6"/>
        </w:rPr>
        <w:br w:type="page"/>
      </w:r>
    </w:p>
    <w:p w14:paraId="71023BE7" w14:textId="517453C5" w:rsidR="0027415B" w:rsidRPr="0027415B" w:rsidRDefault="0027415B" w:rsidP="003A43D4">
      <w:pPr>
        <w:pStyle w:val="header2"/>
      </w:pPr>
      <w:r w:rsidRPr="0027415B">
        <w:lastRenderedPageBreak/>
        <w:t>Recommendations</w:t>
      </w:r>
      <w:r w:rsidR="00AE67BA">
        <w:t xml:space="preserve"> for NZ State Party</w:t>
      </w:r>
    </w:p>
    <w:tbl>
      <w:tblPr>
        <w:tblStyle w:val="TableGrid"/>
        <w:tblW w:w="9067" w:type="dxa"/>
        <w:tblLook w:val="04A0" w:firstRow="1" w:lastRow="0" w:firstColumn="1" w:lastColumn="0" w:noHBand="0" w:noVBand="1"/>
      </w:tblPr>
      <w:tblGrid>
        <w:gridCol w:w="2880"/>
        <w:gridCol w:w="6187"/>
      </w:tblGrid>
      <w:tr w:rsidR="00AE67BA" w:rsidRPr="00AE67BA" w14:paraId="1C7EA3ED" w14:textId="77777777" w:rsidTr="00AE67BA">
        <w:tc>
          <w:tcPr>
            <w:tcW w:w="2880" w:type="dxa"/>
            <w:shd w:val="clear" w:color="auto" w:fill="F0AD9C" w:themeFill="accent3" w:themeFillShade="E6"/>
          </w:tcPr>
          <w:p w14:paraId="74771FA1" w14:textId="4B33CFCF" w:rsidR="00AE67BA" w:rsidRPr="00AE67BA" w:rsidRDefault="00AE67BA" w:rsidP="0027415B">
            <w:pPr>
              <w:rPr>
                <w:rFonts w:cstheme="minorHAnsi"/>
                <w:b/>
                <w:sz w:val="20"/>
                <w:szCs w:val="20"/>
              </w:rPr>
            </w:pPr>
            <w:r w:rsidRPr="00AE67BA">
              <w:rPr>
                <w:rFonts w:cstheme="minorHAnsi"/>
                <w:b/>
                <w:sz w:val="20"/>
                <w:szCs w:val="20"/>
              </w:rPr>
              <w:t>Priority theme</w:t>
            </w:r>
          </w:p>
        </w:tc>
        <w:tc>
          <w:tcPr>
            <w:tcW w:w="6187" w:type="dxa"/>
            <w:shd w:val="clear" w:color="auto" w:fill="F6CDC2" w:themeFill="accent3"/>
          </w:tcPr>
          <w:p w14:paraId="19056245" w14:textId="058D7D16" w:rsidR="00AE67BA" w:rsidRPr="00AE67BA" w:rsidRDefault="00AE67BA" w:rsidP="0027415B">
            <w:pPr>
              <w:rPr>
                <w:rFonts w:cstheme="minorHAnsi"/>
                <w:b/>
                <w:sz w:val="20"/>
                <w:szCs w:val="20"/>
              </w:rPr>
            </w:pPr>
            <w:r w:rsidRPr="00AE67BA">
              <w:rPr>
                <w:rFonts w:cstheme="minorHAnsi"/>
                <w:b/>
                <w:sz w:val="20"/>
                <w:szCs w:val="20"/>
              </w:rPr>
              <w:t>Recommendation</w:t>
            </w:r>
          </w:p>
        </w:tc>
      </w:tr>
      <w:tr w:rsidR="00AE67BA" w:rsidRPr="00AE67BA" w14:paraId="395CF201" w14:textId="77777777" w:rsidTr="00AE67BA">
        <w:tc>
          <w:tcPr>
            <w:tcW w:w="2880" w:type="dxa"/>
            <w:shd w:val="clear" w:color="auto" w:fill="F0AD9C" w:themeFill="accent3" w:themeFillShade="E6"/>
          </w:tcPr>
          <w:p w14:paraId="4163825B" w14:textId="1E430A3E" w:rsidR="00AE67BA" w:rsidRPr="00AE67BA" w:rsidRDefault="00AE67BA" w:rsidP="0027415B">
            <w:pPr>
              <w:rPr>
                <w:rFonts w:cstheme="minorHAnsi"/>
                <w:b/>
                <w:sz w:val="20"/>
                <w:szCs w:val="20"/>
              </w:rPr>
            </w:pPr>
            <w:r w:rsidRPr="00AE67BA">
              <w:rPr>
                <w:rFonts w:cstheme="minorHAnsi"/>
                <w:b/>
                <w:sz w:val="20"/>
                <w:szCs w:val="20"/>
              </w:rPr>
              <w:t>State response to gender</w:t>
            </w:r>
            <w:r w:rsidR="00B031DF">
              <w:rPr>
                <w:rFonts w:cstheme="minorHAnsi"/>
                <w:b/>
                <w:sz w:val="20"/>
                <w:szCs w:val="20"/>
              </w:rPr>
              <w:t>-</w:t>
            </w:r>
            <w:r w:rsidR="007617A9">
              <w:rPr>
                <w:rFonts w:cstheme="minorHAnsi"/>
                <w:b/>
                <w:sz w:val="20"/>
                <w:szCs w:val="20"/>
              </w:rPr>
              <w:t>b</w:t>
            </w:r>
            <w:r w:rsidRPr="00AE67BA">
              <w:rPr>
                <w:rFonts w:cstheme="minorHAnsi"/>
                <w:b/>
                <w:sz w:val="20"/>
                <w:szCs w:val="20"/>
              </w:rPr>
              <w:t xml:space="preserve">ased </w:t>
            </w:r>
            <w:r w:rsidR="00BC5DF8">
              <w:rPr>
                <w:rFonts w:cstheme="minorHAnsi"/>
                <w:b/>
                <w:sz w:val="20"/>
                <w:szCs w:val="20"/>
              </w:rPr>
              <w:t>v</w:t>
            </w:r>
            <w:r w:rsidRPr="00AE67BA">
              <w:rPr>
                <w:rFonts w:cstheme="minorHAnsi"/>
                <w:b/>
                <w:sz w:val="20"/>
                <w:szCs w:val="20"/>
              </w:rPr>
              <w:t>iolence is poor and worsening</w:t>
            </w:r>
          </w:p>
        </w:tc>
        <w:tc>
          <w:tcPr>
            <w:tcW w:w="6187" w:type="dxa"/>
            <w:shd w:val="clear" w:color="auto" w:fill="F6CDC2" w:themeFill="accent3"/>
          </w:tcPr>
          <w:p w14:paraId="64266860" w14:textId="603DEDA0" w:rsidR="00D7644D" w:rsidRPr="00D7644D" w:rsidRDefault="00D7644D" w:rsidP="00D7644D">
            <w:pPr>
              <w:pStyle w:val="ListParagraph"/>
              <w:numPr>
                <w:ilvl w:val="0"/>
                <w:numId w:val="45"/>
              </w:numPr>
              <w:rPr>
                <w:sz w:val="20"/>
                <w:szCs w:val="20"/>
              </w:rPr>
            </w:pPr>
            <w:r w:rsidRPr="00D7644D">
              <w:rPr>
                <w:sz w:val="20"/>
                <w:szCs w:val="20"/>
              </w:rPr>
              <w:t>Create an independent complaints body / Commissioner for Victim Survivors</w:t>
            </w:r>
            <w:r>
              <w:rPr>
                <w:sz w:val="20"/>
                <w:szCs w:val="20"/>
              </w:rPr>
              <w:t>.</w:t>
            </w:r>
            <w:r w:rsidRPr="00AE67BA">
              <w:rPr>
                <w:rStyle w:val="FootnoteReference"/>
                <w:rFonts w:cstheme="minorHAnsi"/>
                <w:color w:val="000000"/>
                <w:sz w:val="20"/>
                <w:szCs w:val="20"/>
              </w:rPr>
              <w:t xml:space="preserve"> </w:t>
            </w:r>
            <w:r w:rsidRPr="00AE67BA">
              <w:rPr>
                <w:rStyle w:val="FootnoteReference"/>
                <w:rFonts w:cstheme="minorHAnsi"/>
                <w:color w:val="000000"/>
                <w:sz w:val="20"/>
                <w:szCs w:val="20"/>
              </w:rPr>
              <w:footnoteReference w:id="1"/>
            </w:r>
            <w:r w:rsidRPr="00D7644D">
              <w:rPr>
                <w:sz w:val="20"/>
                <w:szCs w:val="20"/>
              </w:rPr>
              <w:t xml:space="preserve"> </w:t>
            </w:r>
          </w:p>
          <w:p w14:paraId="2AB7380C" w14:textId="77777777" w:rsidR="00D7644D" w:rsidRDefault="00A2170D" w:rsidP="00AC5DE4">
            <w:pPr>
              <w:pStyle w:val="ListParagraph"/>
              <w:numPr>
                <w:ilvl w:val="0"/>
                <w:numId w:val="45"/>
              </w:numPr>
              <w:rPr>
                <w:sz w:val="20"/>
                <w:szCs w:val="20"/>
              </w:rPr>
            </w:pPr>
            <w:r w:rsidRPr="00D7644D">
              <w:rPr>
                <w:sz w:val="20"/>
                <w:szCs w:val="20"/>
              </w:rPr>
              <w:t xml:space="preserve">Create a stronger conduit between state agencies and victim survivor </w:t>
            </w:r>
            <w:r w:rsidR="00C0374D">
              <w:rPr>
                <w:sz w:val="20"/>
                <w:szCs w:val="20"/>
              </w:rPr>
              <w:t xml:space="preserve">and FV/SV specialist </w:t>
            </w:r>
            <w:r w:rsidRPr="00D7644D">
              <w:rPr>
                <w:sz w:val="20"/>
                <w:szCs w:val="20"/>
              </w:rPr>
              <w:t>organisations</w:t>
            </w:r>
            <w:r w:rsidR="00D7644D" w:rsidRPr="00D7644D">
              <w:rPr>
                <w:sz w:val="20"/>
                <w:szCs w:val="20"/>
              </w:rPr>
              <w:t>.</w:t>
            </w:r>
          </w:p>
          <w:p w14:paraId="0256B1C3" w14:textId="77777777" w:rsidR="006C6B24" w:rsidRPr="006C6B24" w:rsidRDefault="006C6B24" w:rsidP="00AC5DE4">
            <w:pPr>
              <w:pStyle w:val="ListParagraph"/>
              <w:numPr>
                <w:ilvl w:val="0"/>
                <w:numId w:val="45"/>
              </w:numPr>
              <w:rPr>
                <w:sz w:val="20"/>
                <w:szCs w:val="20"/>
              </w:rPr>
            </w:pPr>
            <w:r>
              <w:rPr>
                <w:sz w:val="20"/>
                <w:szCs w:val="20"/>
              </w:rPr>
              <w:t xml:space="preserve">Resource </w:t>
            </w:r>
            <w:r>
              <w:rPr>
                <w:color w:val="000000"/>
                <w:sz w:val="20"/>
                <w:szCs w:val="20"/>
              </w:rPr>
              <w:t>accessible FV/SV services for disabled women.</w:t>
            </w:r>
          </w:p>
          <w:p w14:paraId="218CACEF" w14:textId="56154102" w:rsidR="006C6B24" w:rsidRPr="00AC5DE4" w:rsidRDefault="006C6B24" w:rsidP="00AC5DE4">
            <w:pPr>
              <w:pStyle w:val="ListParagraph"/>
              <w:numPr>
                <w:ilvl w:val="0"/>
                <w:numId w:val="45"/>
              </w:numPr>
              <w:rPr>
                <w:sz w:val="20"/>
                <w:szCs w:val="20"/>
              </w:rPr>
            </w:pPr>
            <w:r>
              <w:rPr>
                <w:sz w:val="20"/>
                <w:szCs w:val="20"/>
              </w:rPr>
              <w:t>Extend provisions for FV Visas to make them easier and less costly to obtain.</w:t>
            </w:r>
          </w:p>
        </w:tc>
      </w:tr>
      <w:tr w:rsidR="00AE67BA" w:rsidRPr="00AE67BA" w14:paraId="22E1F02A" w14:textId="77777777" w:rsidTr="00AE67BA">
        <w:tc>
          <w:tcPr>
            <w:tcW w:w="2880" w:type="dxa"/>
            <w:shd w:val="clear" w:color="auto" w:fill="F0AD9C" w:themeFill="accent3" w:themeFillShade="E6"/>
          </w:tcPr>
          <w:p w14:paraId="265E1A8B" w14:textId="070FC28B" w:rsidR="00AE67BA" w:rsidRPr="00AE67BA" w:rsidRDefault="00AE67BA" w:rsidP="0027415B">
            <w:pPr>
              <w:rPr>
                <w:b/>
                <w:sz w:val="20"/>
                <w:szCs w:val="20"/>
              </w:rPr>
            </w:pPr>
            <w:r w:rsidRPr="00AE67BA">
              <w:rPr>
                <w:b/>
                <w:sz w:val="20"/>
                <w:szCs w:val="20"/>
              </w:rPr>
              <w:t xml:space="preserve">Family Court </w:t>
            </w:r>
            <w:r w:rsidR="007617A9">
              <w:rPr>
                <w:b/>
                <w:sz w:val="20"/>
                <w:szCs w:val="20"/>
              </w:rPr>
              <w:t xml:space="preserve">(NZFC) </w:t>
            </w:r>
            <w:r w:rsidRPr="00AE67BA">
              <w:rPr>
                <w:b/>
                <w:sz w:val="20"/>
                <w:szCs w:val="20"/>
              </w:rPr>
              <w:t xml:space="preserve">response to </w:t>
            </w:r>
            <w:r w:rsidR="00BC5DF8">
              <w:rPr>
                <w:b/>
                <w:sz w:val="20"/>
                <w:szCs w:val="20"/>
              </w:rPr>
              <w:t>VS</w:t>
            </w:r>
            <w:r w:rsidRPr="00AE67BA">
              <w:rPr>
                <w:b/>
                <w:sz w:val="20"/>
                <w:szCs w:val="20"/>
              </w:rPr>
              <w:t xml:space="preserve"> is often unsafe</w:t>
            </w:r>
          </w:p>
          <w:p w14:paraId="3DBCD320" w14:textId="3F07B957" w:rsidR="00AE67BA" w:rsidRPr="00AE67BA" w:rsidRDefault="00AE67BA" w:rsidP="0027415B">
            <w:pPr>
              <w:rPr>
                <w:rFonts w:cstheme="minorHAnsi"/>
                <w:sz w:val="20"/>
                <w:szCs w:val="20"/>
              </w:rPr>
            </w:pPr>
          </w:p>
        </w:tc>
        <w:tc>
          <w:tcPr>
            <w:tcW w:w="6187" w:type="dxa"/>
            <w:shd w:val="clear" w:color="auto" w:fill="F6CDC2" w:themeFill="accent3"/>
          </w:tcPr>
          <w:p w14:paraId="29B5C448" w14:textId="5AE26128" w:rsidR="00AE67BA" w:rsidRPr="00AE67BA" w:rsidRDefault="00AE67BA" w:rsidP="00D53D0F">
            <w:pPr>
              <w:pStyle w:val="NormalWeb"/>
              <w:numPr>
                <w:ilvl w:val="0"/>
                <w:numId w:val="44"/>
              </w:numPr>
              <w:spacing w:before="0" w:beforeAutospacing="0" w:after="120" w:afterAutospacing="0" w:line="256" w:lineRule="auto"/>
              <w:textAlignment w:val="baseline"/>
              <w:rPr>
                <w:rFonts w:asciiTheme="minorHAnsi" w:hAnsiTheme="minorHAnsi" w:cstheme="minorHAnsi"/>
                <w:sz w:val="20"/>
                <w:szCs w:val="20"/>
              </w:rPr>
            </w:pPr>
            <w:r w:rsidRPr="00AE67BA">
              <w:rPr>
                <w:rFonts w:asciiTheme="minorHAnsi" w:hAnsiTheme="minorHAnsi" w:cstheme="minorHAnsi"/>
                <w:color w:val="000000"/>
                <w:sz w:val="20"/>
                <w:szCs w:val="20"/>
              </w:rPr>
              <w:t xml:space="preserve">Urgently mandate all cases be screened </w:t>
            </w:r>
            <w:r w:rsidR="00B031DF">
              <w:rPr>
                <w:rFonts w:asciiTheme="minorHAnsi" w:hAnsiTheme="minorHAnsi" w:cstheme="minorHAnsi"/>
                <w:color w:val="000000"/>
                <w:sz w:val="20"/>
                <w:szCs w:val="20"/>
              </w:rPr>
              <w:t xml:space="preserve">when lodged at NZFC </w:t>
            </w:r>
            <w:r w:rsidRPr="00AE67BA">
              <w:rPr>
                <w:rFonts w:asciiTheme="minorHAnsi" w:hAnsiTheme="minorHAnsi" w:cstheme="minorHAnsi"/>
                <w:sz w:val="20"/>
                <w:szCs w:val="20"/>
              </w:rPr>
              <w:t xml:space="preserve">to identify those cases most likely to involve </w:t>
            </w:r>
            <w:r w:rsidR="00635F21">
              <w:rPr>
                <w:rFonts w:asciiTheme="minorHAnsi" w:hAnsiTheme="minorHAnsi" w:cstheme="minorHAnsi"/>
                <w:sz w:val="20"/>
                <w:szCs w:val="20"/>
              </w:rPr>
              <w:t>FV/SV</w:t>
            </w:r>
            <w:r w:rsidR="00B031DF">
              <w:rPr>
                <w:rFonts w:asciiTheme="minorHAnsi" w:hAnsiTheme="minorHAnsi" w:cstheme="minorHAnsi"/>
                <w:sz w:val="20"/>
                <w:szCs w:val="20"/>
              </w:rPr>
              <w:t>,</w:t>
            </w:r>
            <w:r w:rsidR="007617A9">
              <w:rPr>
                <w:rFonts w:asciiTheme="minorHAnsi" w:hAnsiTheme="minorHAnsi" w:cstheme="minorHAnsi"/>
                <w:sz w:val="20"/>
                <w:szCs w:val="20"/>
              </w:rPr>
              <w:t xml:space="preserve"> as </w:t>
            </w:r>
            <w:r w:rsidR="00B031DF">
              <w:rPr>
                <w:rFonts w:asciiTheme="minorHAnsi" w:hAnsiTheme="minorHAnsi" w:cstheme="minorHAnsi"/>
                <w:sz w:val="20"/>
                <w:szCs w:val="20"/>
              </w:rPr>
              <w:t xml:space="preserve">happens </w:t>
            </w:r>
            <w:r w:rsidR="00635F21">
              <w:rPr>
                <w:rFonts w:asciiTheme="minorHAnsi" w:hAnsiTheme="minorHAnsi" w:cstheme="minorHAnsi"/>
                <w:color w:val="000000"/>
                <w:sz w:val="20"/>
                <w:szCs w:val="20"/>
              </w:rPr>
              <w:t>in</w:t>
            </w:r>
            <w:r w:rsidRPr="00AE67BA">
              <w:rPr>
                <w:rFonts w:asciiTheme="minorHAnsi" w:hAnsiTheme="minorHAnsi" w:cstheme="minorHAnsi"/>
                <w:color w:val="000000"/>
                <w:sz w:val="20"/>
                <w:szCs w:val="20"/>
              </w:rPr>
              <w:t xml:space="preserve"> overseas jurisdictions.</w:t>
            </w:r>
            <w:r w:rsidRPr="00AE67BA">
              <w:rPr>
                <w:rStyle w:val="FootnoteReference"/>
                <w:rFonts w:asciiTheme="minorHAnsi" w:hAnsiTheme="minorHAnsi" w:cstheme="minorHAnsi"/>
                <w:color w:val="000000"/>
                <w:sz w:val="20"/>
                <w:szCs w:val="20"/>
              </w:rPr>
              <w:footnoteReference w:id="2"/>
            </w:r>
            <w:r w:rsidRPr="00AE67BA">
              <w:rPr>
                <w:rFonts w:asciiTheme="minorHAnsi" w:hAnsiTheme="minorHAnsi" w:cstheme="minorHAnsi"/>
                <w:color w:val="000000"/>
                <w:sz w:val="20"/>
                <w:szCs w:val="20"/>
              </w:rPr>
              <w:t xml:space="preserve"> </w:t>
            </w:r>
          </w:p>
          <w:p w14:paraId="3D37B5AE" w14:textId="138DB2CF" w:rsidR="00AE67BA" w:rsidRPr="00AE67BA" w:rsidRDefault="00AE67BA" w:rsidP="00D53D0F">
            <w:pPr>
              <w:pStyle w:val="NormalWeb"/>
              <w:numPr>
                <w:ilvl w:val="0"/>
                <w:numId w:val="44"/>
              </w:numPr>
              <w:spacing w:before="0" w:beforeAutospacing="0" w:after="120" w:afterAutospacing="0" w:line="256" w:lineRule="auto"/>
              <w:textAlignment w:val="baseline"/>
              <w:rPr>
                <w:rFonts w:asciiTheme="minorHAnsi" w:hAnsiTheme="minorHAnsi" w:cstheme="minorHAnsi"/>
                <w:sz w:val="20"/>
                <w:szCs w:val="20"/>
              </w:rPr>
            </w:pPr>
            <w:r w:rsidRPr="00AE67BA">
              <w:rPr>
                <w:rFonts w:asciiTheme="minorHAnsi" w:hAnsiTheme="minorHAnsi" w:cstheme="minorHAnsi"/>
                <w:sz w:val="20"/>
                <w:szCs w:val="20"/>
              </w:rPr>
              <w:t xml:space="preserve">Where FV/SV allegations are </w:t>
            </w:r>
            <w:r w:rsidR="007617A9">
              <w:rPr>
                <w:rFonts w:asciiTheme="minorHAnsi" w:hAnsiTheme="minorHAnsi" w:cstheme="minorHAnsi"/>
                <w:sz w:val="20"/>
                <w:szCs w:val="20"/>
              </w:rPr>
              <w:t>present</w:t>
            </w:r>
            <w:r w:rsidRPr="00AE67BA">
              <w:rPr>
                <w:rFonts w:asciiTheme="minorHAnsi" w:hAnsiTheme="minorHAnsi" w:cstheme="minorHAnsi"/>
                <w:sz w:val="20"/>
                <w:szCs w:val="20"/>
              </w:rPr>
              <w:t xml:space="preserve">, require cases to have a thorough </w:t>
            </w:r>
            <w:r w:rsidR="00B031DF">
              <w:rPr>
                <w:rFonts w:asciiTheme="minorHAnsi" w:hAnsiTheme="minorHAnsi" w:cstheme="minorHAnsi"/>
                <w:sz w:val="20"/>
                <w:szCs w:val="20"/>
              </w:rPr>
              <w:t xml:space="preserve">specialist </w:t>
            </w:r>
            <w:r w:rsidRPr="00AE67BA">
              <w:rPr>
                <w:rFonts w:asciiTheme="minorHAnsi" w:hAnsiTheme="minorHAnsi" w:cstheme="minorHAnsi"/>
                <w:sz w:val="20"/>
                <w:szCs w:val="20"/>
              </w:rPr>
              <w:t>risk</w:t>
            </w:r>
            <w:r w:rsidR="00B031DF">
              <w:rPr>
                <w:rFonts w:asciiTheme="minorHAnsi" w:hAnsiTheme="minorHAnsi" w:cstheme="minorHAnsi"/>
                <w:sz w:val="20"/>
                <w:szCs w:val="20"/>
              </w:rPr>
              <w:t xml:space="preserve"> assessment</w:t>
            </w:r>
            <w:r w:rsidRPr="00AE67BA">
              <w:rPr>
                <w:rFonts w:asciiTheme="minorHAnsi" w:hAnsiTheme="minorHAnsi" w:cstheme="minorHAnsi"/>
                <w:sz w:val="20"/>
                <w:szCs w:val="20"/>
              </w:rPr>
              <w:t>.</w:t>
            </w:r>
          </w:p>
          <w:p w14:paraId="796BF529" w14:textId="408B5CE8" w:rsidR="00AE67BA" w:rsidRPr="00AE67BA" w:rsidRDefault="00AE67BA" w:rsidP="00D53D0F">
            <w:pPr>
              <w:pStyle w:val="NormalWeb"/>
              <w:numPr>
                <w:ilvl w:val="0"/>
                <w:numId w:val="44"/>
              </w:numPr>
              <w:spacing w:before="0" w:beforeAutospacing="0" w:after="120" w:afterAutospacing="0" w:line="259" w:lineRule="auto"/>
              <w:textAlignment w:val="baseline"/>
              <w:rPr>
                <w:rFonts w:asciiTheme="minorHAnsi" w:hAnsiTheme="minorHAnsi" w:cstheme="minorHAnsi"/>
                <w:color w:val="000000"/>
                <w:sz w:val="20"/>
                <w:szCs w:val="20"/>
              </w:rPr>
            </w:pPr>
            <w:r w:rsidRPr="00AE67BA">
              <w:rPr>
                <w:rFonts w:asciiTheme="minorHAnsi" w:hAnsiTheme="minorHAnsi" w:cstheme="minorHAnsi"/>
                <w:color w:val="000000"/>
                <w:sz w:val="20"/>
                <w:szCs w:val="20"/>
              </w:rPr>
              <w:t xml:space="preserve">Establish the role of Independent Specialist Child Advocate to i. carry out required risk assessments; ii. </w:t>
            </w:r>
            <w:r w:rsidRPr="00AE67BA">
              <w:rPr>
                <w:rFonts w:asciiTheme="minorHAnsi" w:hAnsiTheme="minorHAnsi" w:cstheme="minorHAnsi"/>
                <w:sz w:val="20"/>
                <w:szCs w:val="20"/>
              </w:rPr>
              <w:t>represent the welfare and best interests of children, and ensure their voices are heard in court</w:t>
            </w:r>
            <w:r w:rsidRPr="00AE67BA">
              <w:rPr>
                <w:rFonts w:asciiTheme="minorHAnsi" w:hAnsiTheme="minorHAnsi" w:cstheme="minorHAnsi"/>
                <w:color w:val="000000"/>
                <w:sz w:val="20"/>
                <w:szCs w:val="20"/>
              </w:rPr>
              <w:t xml:space="preserve">; and iii. provide information to assist the judiciary with safe decision-making. </w:t>
            </w:r>
            <w:r w:rsidR="00B031DF">
              <w:rPr>
                <w:rFonts w:asciiTheme="minorHAnsi" w:hAnsiTheme="minorHAnsi" w:cstheme="minorHAnsi"/>
                <w:color w:val="000000"/>
                <w:sz w:val="20"/>
                <w:szCs w:val="20"/>
              </w:rPr>
              <w:t xml:space="preserve">(This frees the Lawyer for the Child to focus on legal duties.) </w:t>
            </w:r>
            <w:r w:rsidRPr="00AE67BA">
              <w:rPr>
                <w:rFonts w:asciiTheme="minorHAnsi" w:hAnsiTheme="minorHAnsi" w:cstheme="minorHAnsi"/>
                <w:color w:val="000000"/>
                <w:sz w:val="20"/>
                <w:szCs w:val="20"/>
              </w:rPr>
              <w:t xml:space="preserve">These </w:t>
            </w:r>
            <w:r w:rsidR="00B031DF">
              <w:rPr>
                <w:rFonts w:asciiTheme="minorHAnsi" w:hAnsiTheme="minorHAnsi" w:cstheme="minorHAnsi"/>
                <w:color w:val="000000"/>
                <w:sz w:val="20"/>
                <w:szCs w:val="20"/>
              </w:rPr>
              <w:t xml:space="preserve">specialist </w:t>
            </w:r>
            <w:r w:rsidRPr="00AE67BA">
              <w:rPr>
                <w:rFonts w:asciiTheme="minorHAnsi" w:hAnsiTheme="minorHAnsi" w:cstheme="minorHAnsi"/>
                <w:color w:val="000000"/>
                <w:sz w:val="20"/>
                <w:szCs w:val="20"/>
              </w:rPr>
              <w:t xml:space="preserve">advocates must be specialists in FV/SV, child development, trauma and tikanga Māori. </w:t>
            </w:r>
          </w:p>
          <w:p w14:paraId="14123CAC" w14:textId="433A0123" w:rsidR="00AE67BA" w:rsidRPr="00AE67BA" w:rsidRDefault="00B031DF" w:rsidP="00AE67BA">
            <w:pPr>
              <w:pStyle w:val="ListParagraph"/>
              <w:numPr>
                <w:ilvl w:val="0"/>
                <w:numId w:val="44"/>
              </w:numPr>
              <w:shd w:val="clear" w:color="auto" w:fill="F6CDC2" w:themeFill="accent3"/>
              <w:spacing w:after="120"/>
              <w:rPr>
                <w:rFonts w:cstheme="minorHAnsi"/>
                <w:sz w:val="20"/>
                <w:szCs w:val="20"/>
              </w:rPr>
            </w:pPr>
            <w:r>
              <w:rPr>
                <w:rFonts w:eastAsia="Times New Roman" w:cstheme="minorHAnsi"/>
                <w:bCs/>
                <w:color w:val="000000"/>
                <w:sz w:val="20"/>
                <w:szCs w:val="20"/>
                <w:shd w:val="clear" w:color="auto" w:fill="F6CDC2" w:themeFill="accent3"/>
                <w:lang w:eastAsia="en-NZ"/>
              </w:rPr>
              <w:t xml:space="preserve">Allow </w:t>
            </w:r>
            <w:r w:rsidR="00AE67BA" w:rsidRPr="00AE67BA">
              <w:rPr>
                <w:rFonts w:eastAsia="Times New Roman" w:cstheme="minorHAnsi"/>
                <w:bCs/>
                <w:color w:val="000000"/>
                <w:sz w:val="20"/>
                <w:szCs w:val="20"/>
                <w:shd w:val="clear" w:color="auto" w:fill="F6CDC2" w:themeFill="accent3"/>
                <w:lang w:eastAsia="en-NZ"/>
              </w:rPr>
              <w:t xml:space="preserve">specialist community </w:t>
            </w:r>
            <w:r>
              <w:rPr>
                <w:rFonts w:eastAsia="Times New Roman" w:cstheme="minorHAnsi"/>
                <w:bCs/>
                <w:color w:val="000000"/>
                <w:sz w:val="20"/>
                <w:szCs w:val="20"/>
                <w:shd w:val="clear" w:color="auto" w:fill="F6CDC2" w:themeFill="accent3"/>
                <w:lang w:eastAsia="en-NZ"/>
              </w:rPr>
              <w:t xml:space="preserve">violence </w:t>
            </w:r>
            <w:r w:rsidR="00AE67BA" w:rsidRPr="00AE67BA">
              <w:rPr>
                <w:rFonts w:eastAsia="Times New Roman" w:cstheme="minorHAnsi"/>
                <w:bCs/>
                <w:color w:val="000000"/>
                <w:sz w:val="20"/>
                <w:szCs w:val="20"/>
                <w:shd w:val="clear" w:color="auto" w:fill="F6CDC2" w:themeFill="accent3"/>
                <w:lang w:eastAsia="en-NZ"/>
              </w:rPr>
              <w:t xml:space="preserve">risk assessments and reports </w:t>
            </w:r>
            <w:r w:rsidR="00635F21">
              <w:rPr>
                <w:rFonts w:eastAsia="Times New Roman" w:cstheme="minorHAnsi"/>
                <w:bCs/>
                <w:color w:val="000000"/>
                <w:sz w:val="20"/>
                <w:szCs w:val="20"/>
                <w:shd w:val="clear" w:color="auto" w:fill="F6CDC2" w:themeFill="accent3"/>
                <w:lang w:eastAsia="en-NZ"/>
              </w:rPr>
              <w:t xml:space="preserve">to be admitted </w:t>
            </w:r>
            <w:r w:rsidR="00AE67BA" w:rsidRPr="00AE67BA">
              <w:rPr>
                <w:rFonts w:eastAsia="Times New Roman" w:cstheme="minorHAnsi"/>
                <w:bCs/>
                <w:color w:val="000000"/>
                <w:sz w:val="20"/>
                <w:szCs w:val="20"/>
                <w:shd w:val="clear" w:color="auto" w:fill="F6CDC2" w:themeFill="accent3"/>
                <w:lang w:eastAsia="en-NZ"/>
              </w:rPr>
              <w:t>as evidence.</w:t>
            </w:r>
            <w:r w:rsidR="00AE67BA" w:rsidRPr="00AE67BA">
              <w:rPr>
                <w:rFonts w:eastAsia="Times New Roman" w:cstheme="minorHAnsi"/>
                <w:bCs/>
                <w:color w:val="000000"/>
                <w:sz w:val="20"/>
                <w:szCs w:val="20"/>
                <w:shd w:val="clear" w:color="auto" w:fill="FFFFFF" w:themeFill="background1"/>
                <w:lang w:eastAsia="en-NZ"/>
              </w:rPr>
              <w:t xml:space="preserve"> </w:t>
            </w:r>
          </w:p>
          <w:p w14:paraId="217FB2EE" w14:textId="234A7E19" w:rsidR="00AE67BA" w:rsidRPr="00AE67BA" w:rsidRDefault="00AE67BA" w:rsidP="00D53D0F">
            <w:pPr>
              <w:pStyle w:val="NormalWeb"/>
              <w:numPr>
                <w:ilvl w:val="0"/>
                <w:numId w:val="44"/>
              </w:numPr>
              <w:spacing w:before="0" w:beforeAutospacing="0" w:after="120" w:afterAutospacing="0" w:line="257" w:lineRule="auto"/>
              <w:textAlignment w:val="baseline"/>
              <w:rPr>
                <w:rFonts w:asciiTheme="minorHAnsi" w:hAnsiTheme="minorHAnsi" w:cstheme="minorHAnsi"/>
                <w:color w:val="000000"/>
                <w:sz w:val="20"/>
                <w:szCs w:val="20"/>
              </w:rPr>
            </w:pPr>
            <w:r w:rsidRPr="00AE67BA">
              <w:rPr>
                <w:rFonts w:asciiTheme="minorHAnsi" w:hAnsiTheme="minorHAnsi" w:cstheme="minorHAnsi"/>
                <w:color w:val="000000"/>
                <w:sz w:val="20"/>
                <w:szCs w:val="20"/>
              </w:rPr>
              <w:t>L</w:t>
            </w:r>
            <w:r w:rsidRPr="00AE67BA">
              <w:rPr>
                <w:rFonts w:asciiTheme="minorHAnsi" w:hAnsiTheme="minorHAnsi" w:cstheme="minorHAnsi"/>
                <w:sz w:val="20"/>
                <w:szCs w:val="20"/>
              </w:rPr>
              <w:t xml:space="preserve">egislate to prohibit the use of parental alienation </w:t>
            </w:r>
            <w:r w:rsidR="00B031DF">
              <w:rPr>
                <w:rFonts w:asciiTheme="minorHAnsi" w:hAnsiTheme="minorHAnsi" w:cstheme="minorHAnsi"/>
                <w:sz w:val="20"/>
                <w:szCs w:val="20"/>
              </w:rPr>
              <w:t xml:space="preserve">and </w:t>
            </w:r>
            <w:r w:rsidRPr="00AE67BA">
              <w:rPr>
                <w:rFonts w:asciiTheme="minorHAnsi" w:hAnsiTheme="minorHAnsi" w:cstheme="minorHAnsi"/>
                <w:sz w:val="20"/>
                <w:szCs w:val="20"/>
              </w:rPr>
              <w:t>related pseudo-concepts in family law cases</w:t>
            </w:r>
            <w:r w:rsidR="007617A9">
              <w:rPr>
                <w:rFonts w:asciiTheme="minorHAnsi" w:hAnsiTheme="minorHAnsi" w:cstheme="minorHAnsi"/>
                <w:sz w:val="20"/>
                <w:szCs w:val="20"/>
              </w:rPr>
              <w:t>.</w:t>
            </w:r>
            <w:r w:rsidRPr="00AE67BA">
              <w:rPr>
                <w:rStyle w:val="FootnoteReference"/>
                <w:rFonts w:asciiTheme="minorHAnsi" w:hAnsiTheme="minorHAnsi" w:cstheme="minorHAnsi"/>
                <w:sz w:val="20"/>
                <w:szCs w:val="20"/>
              </w:rPr>
              <w:footnoteReference w:id="3"/>
            </w:r>
          </w:p>
          <w:p w14:paraId="626F4A91" w14:textId="6B65E674" w:rsidR="00AE67BA" w:rsidRPr="00AE67BA" w:rsidRDefault="00AE67BA" w:rsidP="00D53D0F">
            <w:pPr>
              <w:pStyle w:val="NormalWeb"/>
              <w:numPr>
                <w:ilvl w:val="0"/>
                <w:numId w:val="44"/>
              </w:numPr>
              <w:spacing w:before="0" w:beforeAutospacing="0" w:after="120" w:afterAutospacing="0" w:line="257" w:lineRule="auto"/>
              <w:textAlignment w:val="baseline"/>
              <w:rPr>
                <w:rFonts w:asciiTheme="minorHAnsi" w:hAnsiTheme="minorHAnsi" w:cstheme="minorHAnsi"/>
                <w:color w:val="000000"/>
                <w:sz w:val="20"/>
                <w:szCs w:val="20"/>
              </w:rPr>
            </w:pPr>
            <w:r w:rsidRPr="00AE67BA">
              <w:rPr>
                <w:rFonts w:asciiTheme="minorHAnsi" w:hAnsiTheme="minorHAnsi" w:cstheme="minorHAnsi"/>
                <w:color w:val="000000"/>
                <w:sz w:val="20"/>
                <w:szCs w:val="20"/>
              </w:rPr>
              <w:t xml:space="preserve">Urgently independently review the use of Police uplifts </w:t>
            </w:r>
            <w:r w:rsidR="00B031DF">
              <w:rPr>
                <w:rFonts w:asciiTheme="minorHAnsi" w:hAnsiTheme="minorHAnsi" w:cstheme="minorHAnsi"/>
                <w:color w:val="000000"/>
                <w:sz w:val="20"/>
                <w:szCs w:val="20"/>
              </w:rPr>
              <w:t xml:space="preserve">of children </w:t>
            </w:r>
            <w:r w:rsidRPr="00AE67BA">
              <w:rPr>
                <w:rFonts w:asciiTheme="minorHAnsi" w:hAnsiTheme="minorHAnsi" w:cstheme="minorHAnsi"/>
                <w:color w:val="000000"/>
                <w:sz w:val="20"/>
                <w:szCs w:val="20"/>
              </w:rPr>
              <w:t xml:space="preserve">ordered under </w:t>
            </w:r>
            <w:r w:rsidRPr="00AE67BA">
              <w:rPr>
                <w:rFonts w:asciiTheme="minorHAnsi" w:hAnsiTheme="minorHAnsi" w:cstheme="minorHAnsi"/>
                <w:sz w:val="20"/>
                <w:szCs w:val="20"/>
              </w:rPr>
              <w:t>sections 72 and 73 of the Care of Children Act</w:t>
            </w:r>
            <w:r w:rsidRPr="00AE67BA">
              <w:rPr>
                <w:rFonts w:asciiTheme="minorHAnsi" w:hAnsiTheme="minorHAnsi" w:cstheme="minorHAnsi"/>
                <w:color w:val="000000"/>
                <w:sz w:val="20"/>
                <w:szCs w:val="20"/>
              </w:rPr>
              <w:t xml:space="preserve">. Without notice uplifts should stop </w:t>
            </w:r>
            <w:r w:rsidRPr="00AE67BA">
              <w:rPr>
                <w:rFonts w:asciiTheme="minorHAnsi" w:hAnsiTheme="minorHAnsi" w:cstheme="minorHAnsi"/>
                <w:b/>
                <w:bCs/>
                <w:color w:val="000000"/>
                <w:sz w:val="20"/>
                <w:szCs w:val="20"/>
              </w:rPr>
              <w:t>immediately</w:t>
            </w:r>
            <w:r w:rsidRPr="00AE67BA">
              <w:rPr>
                <w:rFonts w:asciiTheme="minorHAnsi" w:hAnsiTheme="minorHAnsi" w:cstheme="minorHAnsi"/>
                <w:color w:val="000000"/>
                <w:sz w:val="20"/>
                <w:szCs w:val="20"/>
              </w:rPr>
              <w:t xml:space="preserve">. </w:t>
            </w:r>
          </w:p>
          <w:p w14:paraId="23AABB1C" w14:textId="55D3C126" w:rsidR="00AE67BA" w:rsidRPr="00AE67BA" w:rsidRDefault="00AE67BA" w:rsidP="00D53D0F">
            <w:pPr>
              <w:pStyle w:val="NormalWeb"/>
              <w:numPr>
                <w:ilvl w:val="0"/>
                <w:numId w:val="44"/>
              </w:numPr>
              <w:spacing w:before="0" w:beforeAutospacing="0" w:after="120" w:afterAutospacing="0" w:line="259" w:lineRule="auto"/>
              <w:textAlignment w:val="baseline"/>
              <w:rPr>
                <w:rFonts w:asciiTheme="minorHAnsi" w:hAnsiTheme="minorHAnsi" w:cstheme="minorHAnsi"/>
                <w:color w:val="000000"/>
                <w:sz w:val="20"/>
                <w:szCs w:val="20"/>
              </w:rPr>
            </w:pPr>
            <w:r w:rsidRPr="00AE67BA">
              <w:rPr>
                <w:rFonts w:asciiTheme="minorHAnsi" w:hAnsiTheme="minorHAnsi" w:cstheme="minorHAnsi"/>
                <w:color w:val="000000"/>
                <w:sz w:val="20"/>
                <w:szCs w:val="20"/>
              </w:rPr>
              <w:t xml:space="preserve">Be guided by iwi, </w:t>
            </w:r>
            <w:proofErr w:type="spellStart"/>
            <w:r w:rsidRPr="00AE67BA">
              <w:rPr>
                <w:rFonts w:asciiTheme="minorHAnsi" w:hAnsiTheme="minorHAnsi" w:cstheme="minorHAnsi"/>
                <w:color w:val="000000"/>
                <w:sz w:val="20"/>
                <w:szCs w:val="20"/>
              </w:rPr>
              <w:t>hāpū</w:t>
            </w:r>
            <w:proofErr w:type="spellEnd"/>
            <w:r w:rsidRPr="00AE67BA">
              <w:rPr>
                <w:rFonts w:asciiTheme="minorHAnsi" w:hAnsiTheme="minorHAnsi" w:cstheme="minorHAnsi"/>
                <w:color w:val="000000"/>
                <w:sz w:val="20"/>
                <w:szCs w:val="20"/>
              </w:rPr>
              <w:t xml:space="preserve"> and whānau Māori to make the substantial changes needed for the </w:t>
            </w:r>
            <w:r w:rsidR="007617A9">
              <w:rPr>
                <w:rFonts w:asciiTheme="minorHAnsi" w:hAnsiTheme="minorHAnsi" w:cstheme="minorHAnsi"/>
                <w:color w:val="000000"/>
                <w:sz w:val="20"/>
                <w:szCs w:val="20"/>
              </w:rPr>
              <w:t>NZFC</w:t>
            </w:r>
            <w:r w:rsidRPr="00AE67BA">
              <w:rPr>
                <w:rFonts w:asciiTheme="minorHAnsi" w:hAnsiTheme="minorHAnsi" w:cstheme="minorHAnsi"/>
                <w:color w:val="000000"/>
                <w:sz w:val="20"/>
                <w:szCs w:val="20"/>
              </w:rPr>
              <w:t xml:space="preserve"> to respect mana and best serve Māori </w:t>
            </w:r>
            <w:r w:rsidR="00BC5DF8">
              <w:rPr>
                <w:rFonts w:asciiTheme="minorHAnsi" w:hAnsiTheme="minorHAnsi" w:cstheme="minorHAnsi"/>
                <w:color w:val="000000"/>
                <w:sz w:val="20"/>
                <w:szCs w:val="20"/>
              </w:rPr>
              <w:t>VS</w:t>
            </w:r>
            <w:r w:rsidR="00B031DF">
              <w:rPr>
                <w:rFonts w:asciiTheme="minorHAnsi" w:hAnsiTheme="minorHAnsi" w:cstheme="minorHAnsi"/>
                <w:color w:val="000000"/>
                <w:sz w:val="20"/>
                <w:szCs w:val="20"/>
              </w:rPr>
              <w:t>,</w:t>
            </w:r>
            <w:r w:rsidRPr="00AE67BA">
              <w:rPr>
                <w:rFonts w:asciiTheme="minorHAnsi" w:hAnsiTheme="minorHAnsi" w:cstheme="minorHAnsi"/>
                <w:color w:val="000000"/>
                <w:sz w:val="20"/>
                <w:szCs w:val="20"/>
              </w:rPr>
              <w:t xml:space="preserve"> including tamariki Māori</w:t>
            </w:r>
            <w:r w:rsidR="00B031DF">
              <w:rPr>
                <w:rFonts w:asciiTheme="minorHAnsi" w:hAnsiTheme="minorHAnsi" w:cstheme="minorHAnsi"/>
                <w:color w:val="000000"/>
                <w:sz w:val="20"/>
                <w:szCs w:val="20"/>
              </w:rPr>
              <w:t xml:space="preserve"> (children)</w:t>
            </w:r>
            <w:r w:rsidRPr="00AE67BA">
              <w:rPr>
                <w:rFonts w:asciiTheme="minorHAnsi" w:hAnsiTheme="minorHAnsi" w:cstheme="minorHAnsi"/>
                <w:color w:val="000000"/>
                <w:sz w:val="20"/>
                <w:szCs w:val="20"/>
              </w:rPr>
              <w:t>.</w:t>
            </w:r>
            <w:r w:rsidRPr="00AE67BA">
              <w:rPr>
                <w:rStyle w:val="FootnoteReference"/>
                <w:rFonts w:asciiTheme="minorHAnsi" w:hAnsiTheme="minorHAnsi" w:cstheme="minorHAnsi"/>
                <w:color w:val="000000"/>
                <w:sz w:val="20"/>
                <w:szCs w:val="20"/>
              </w:rPr>
              <w:footnoteReference w:id="4"/>
            </w:r>
          </w:p>
          <w:p w14:paraId="0FFC4666" w14:textId="2FEB7949" w:rsidR="00AE67BA" w:rsidRPr="00AE67BA" w:rsidRDefault="00AC5DE4" w:rsidP="00D53D0F">
            <w:pPr>
              <w:pStyle w:val="NormalWeb"/>
              <w:numPr>
                <w:ilvl w:val="0"/>
                <w:numId w:val="44"/>
              </w:numPr>
              <w:spacing w:before="0" w:beforeAutospacing="0" w:after="120" w:afterAutospacing="0" w:line="259" w:lineRule="auto"/>
              <w:textAlignment w:val="baseline"/>
              <w:rPr>
                <w:rFonts w:asciiTheme="minorHAnsi" w:hAnsiTheme="minorHAnsi" w:cstheme="minorHAnsi"/>
                <w:sz w:val="20"/>
                <w:szCs w:val="20"/>
              </w:rPr>
            </w:pPr>
            <w:r>
              <w:rPr>
                <w:rFonts w:asciiTheme="minorHAnsi" w:hAnsiTheme="minorHAnsi" w:cstheme="minorHAnsi"/>
                <w:sz w:val="20"/>
                <w:szCs w:val="20"/>
              </w:rPr>
              <w:t xml:space="preserve">Participate in international </w:t>
            </w:r>
            <w:r w:rsidR="00AE67BA" w:rsidRPr="00AE67BA">
              <w:rPr>
                <w:rFonts w:asciiTheme="minorHAnsi" w:hAnsiTheme="minorHAnsi" w:cstheme="minorHAnsi"/>
                <w:sz w:val="20"/>
                <w:szCs w:val="20"/>
              </w:rPr>
              <w:t xml:space="preserve">reform </w:t>
            </w:r>
            <w:r>
              <w:rPr>
                <w:rFonts w:asciiTheme="minorHAnsi" w:hAnsiTheme="minorHAnsi" w:cstheme="minorHAnsi"/>
                <w:sz w:val="20"/>
                <w:szCs w:val="20"/>
              </w:rPr>
              <w:t xml:space="preserve">of </w:t>
            </w:r>
            <w:r w:rsidR="00AE67BA" w:rsidRPr="00AE67BA">
              <w:rPr>
                <w:rFonts w:asciiTheme="minorHAnsi" w:hAnsiTheme="minorHAnsi" w:cstheme="minorHAnsi"/>
                <w:sz w:val="20"/>
                <w:szCs w:val="20"/>
              </w:rPr>
              <w:t xml:space="preserve">Hague Convention S13 Grave Risk of Harm to ensure that it provides for the safety of women and children escaping violence. </w:t>
            </w:r>
          </w:p>
        </w:tc>
      </w:tr>
      <w:tr w:rsidR="00AE67BA" w:rsidRPr="00AE67BA" w14:paraId="55D9635B" w14:textId="77777777" w:rsidTr="00AE67BA">
        <w:tc>
          <w:tcPr>
            <w:tcW w:w="2880" w:type="dxa"/>
            <w:shd w:val="clear" w:color="auto" w:fill="F0AD9C" w:themeFill="accent3" w:themeFillShade="E6"/>
          </w:tcPr>
          <w:p w14:paraId="0C40624D" w14:textId="3A2874BA" w:rsidR="00AE67BA" w:rsidRPr="00AE67BA" w:rsidRDefault="00AE67BA" w:rsidP="0027415B">
            <w:pPr>
              <w:rPr>
                <w:b/>
                <w:sz w:val="20"/>
                <w:szCs w:val="20"/>
              </w:rPr>
            </w:pPr>
            <w:r w:rsidRPr="00AE67BA">
              <w:rPr>
                <w:b/>
                <w:sz w:val="20"/>
                <w:szCs w:val="20"/>
              </w:rPr>
              <w:lastRenderedPageBreak/>
              <w:t xml:space="preserve">Police response to </w:t>
            </w:r>
            <w:r w:rsidR="00BC5DF8">
              <w:rPr>
                <w:b/>
                <w:sz w:val="20"/>
                <w:szCs w:val="20"/>
              </w:rPr>
              <w:t>VS</w:t>
            </w:r>
            <w:r w:rsidRPr="00AE67BA">
              <w:rPr>
                <w:b/>
                <w:sz w:val="20"/>
                <w:szCs w:val="20"/>
              </w:rPr>
              <w:t xml:space="preserve"> is often unsafe</w:t>
            </w:r>
          </w:p>
          <w:p w14:paraId="50C75180" w14:textId="77777777" w:rsidR="00AE67BA" w:rsidRPr="00AE67BA" w:rsidRDefault="00AE67BA" w:rsidP="0027415B">
            <w:pPr>
              <w:rPr>
                <w:rFonts w:cstheme="minorHAnsi"/>
                <w:sz w:val="20"/>
                <w:szCs w:val="20"/>
              </w:rPr>
            </w:pPr>
          </w:p>
        </w:tc>
        <w:tc>
          <w:tcPr>
            <w:tcW w:w="6187" w:type="dxa"/>
            <w:shd w:val="clear" w:color="auto" w:fill="F6CDC2" w:themeFill="accent3"/>
          </w:tcPr>
          <w:p w14:paraId="57B39510" w14:textId="6DB1FBAB" w:rsidR="00AE67BA" w:rsidRPr="00AE67BA" w:rsidRDefault="00AE67BA" w:rsidP="00BA4814">
            <w:pPr>
              <w:pStyle w:val="NormalWeb"/>
              <w:numPr>
                <w:ilvl w:val="0"/>
                <w:numId w:val="38"/>
              </w:numPr>
              <w:spacing w:before="0" w:beforeAutospacing="0" w:after="0" w:afterAutospacing="0"/>
              <w:jc w:val="both"/>
              <w:textAlignment w:val="baseline"/>
              <w:rPr>
                <w:rFonts w:asciiTheme="minorHAnsi" w:hAnsiTheme="minorHAnsi" w:cstheme="minorHAnsi"/>
                <w:color w:val="000000"/>
                <w:sz w:val="20"/>
                <w:szCs w:val="20"/>
              </w:rPr>
            </w:pPr>
            <w:r w:rsidRPr="00AE67BA">
              <w:rPr>
                <w:rFonts w:asciiTheme="minorHAnsi" w:hAnsiTheme="minorHAnsi" w:cstheme="minorHAnsi"/>
                <w:color w:val="000000"/>
                <w:sz w:val="20"/>
                <w:szCs w:val="20"/>
              </w:rPr>
              <w:t xml:space="preserve">Develop, resource and train all police to ensure responses to </w:t>
            </w:r>
            <w:r w:rsidR="00D85385">
              <w:rPr>
                <w:rFonts w:asciiTheme="minorHAnsi" w:hAnsiTheme="minorHAnsi" w:cstheme="minorHAnsi"/>
                <w:color w:val="000000"/>
                <w:sz w:val="20"/>
                <w:szCs w:val="20"/>
              </w:rPr>
              <w:t>FV/SV</w:t>
            </w:r>
            <w:r w:rsidR="00B031DF">
              <w:rPr>
                <w:rFonts w:asciiTheme="minorHAnsi" w:hAnsiTheme="minorHAnsi" w:cstheme="minorHAnsi"/>
                <w:color w:val="000000"/>
                <w:sz w:val="20"/>
                <w:szCs w:val="20"/>
              </w:rPr>
              <w:t xml:space="preserve"> </w:t>
            </w:r>
            <w:r w:rsidRPr="00AE67BA">
              <w:rPr>
                <w:rFonts w:asciiTheme="minorHAnsi" w:hAnsiTheme="minorHAnsi" w:cstheme="minorHAnsi"/>
                <w:color w:val="000000"/>
                <w:sz w:val="20"/>
                <w:szCs w:val="20"/>
              </w:rPr>
              <w:t>are always based on best practice</w:t>
            </w:r>
            <w:r w:rsidR="00D85385">
              <w:rPr>
                <w:rFonts w:asciiTheme="minorHAnsi" w:hAnsiTheme="minorHAnsi" w:cstheme="minorHAnsi"/>
                <w:color w:val="000000"/>
                <w:sz w:val="20"/>
                <w:szCs w:val="20"/>
              </w:rPr>
              <w:t xml:space="preserve">, evidence, and informed understandings of </w:t>
            </w:r>
            <w:r w:rsidRPr="00AE67BA">
              <w:rPr>
                <w:rFonts w:asciiTheme="minorHAnsi" w:hAnsiTheme="minorHAnsi" w:cstheme="minorHAnsi"/>
                <w:color w:val="000000"/>
                <w:sz w:val="20"/>
                <w:szCs w:val="20"/>
              </w:rPr>
              <w:t>gender, trauma and violence</w:t>
            </w:r>
            <w:r w:rsidR="001D22AE">
              <w:rPr>
                <w:rFonts w:asciiTheme="minorHAnsi" w:hAnsiTheme="minorHAnsi" w:cstheme="minorHAnsi"/>
                <w:color w:val="000000"/>
                <w:sz w:val="20"/>
                <w:szCs w:val="20"/>
              </w:rPr>
              <w:t xml:space="preserve"> and the needs of diverse population groups</w:t>
            </w:r>
            <w:r w:rsidR="00635F21">
              <w:rPr>
                <w:rFonts w:asciiTheme="minorHAnsi" w:hAnsiTheme="minorHAnsi" w:cstheme="minorHAnsi"/>
                <w:color w:val="000000"/>
                <w:sz w:val="20"/>
                <w:szCs w:val="20"/>
              </w:rPr>
              <w:t>.</w:t>
            </w:r>
            <w:r w:rsidRPr="00AE67BA">
              <w:rPr>
                <w:rFonts w:asciiTheme="minorHAnsi" w:hAnsiTheme="minorHAnsi" w:cstheme="minorHAnsi"/>
                <w:color w:val="000000"/>
                <w:sz w:val="20"/>
                <w:szCs w:val="20"/>
              </w:rPr>
              <w:t xml:space="preserve"> </w:t>
            </w:r>
          </w:p>
          <w:p w14:paraId="1F6A7CE7" w14:textId="343437D0" w:rsidR="00AE67BA" w:rsidRPr="00AE67BA" w:rsidRDefault="00AE67BA" w:rsidP="00BA4814">
            <w:pPr>
              <w:pStyle w:val="NormalWeb"/>
              <w:numPr>
                <w:ilvl w:val="0"/>
                <w:numId w:val="38"/>
              </w:numPr>
              <w:spacing w:before="120" w:beforeAutospacing="0" w:after="120" w:afterAutospacing="0"/>
              <w:jc w:val="both"/>
              <w:textAlignment w:val="baseline"/>
              <w:rPr>
                <w:rFonts w:asciiTheme="minorHAnsi" w:hAnsiTheme="minorHAnsi" w:cstheme="minorHAnsi"/>
                <w:color w:val="000000"/>
                <w:sz w:val="20"/>
                <w:szCs w:val="20"/>
              </w:rPr>
            </w:pPr>
            <w:r w:rsidRPr="00AE67BA">
              <w:rPr>
                <w:rFonts w:asciiTheme="minorHAnsi" w:hAnsiTheme="minorHAnsi" w:cstheme="minorHAnsi"/>
                <w:color w:val="000000"/>
                <w:sz w:val="20"/>
                <w:szCs w:val="20"/>
              </w:rPr>
              <w:t xml:space="preserve">Ensure </w:t>
            </w:r>
            <w:r w:rsidR="00BC5DF8">
              <w:rPr>
                <w:rFonts w:asciiTheme="minorHAnsi" w:hAnsiTheme="minorHAnsi" w:cstheme="minorHAnsi"/>
                <w:color w:val="000000"/>
                <w:sz w:val="20"/>
                <w:szCs w:val="20"/>
              </w:rPr>
              <w:t>VS</w:t>
            </w:r>
            <w:r w:rsidRPr="00AE67BA">
              <w:rPr>
                <w:rFonts w:asciiTheme="minorHAnsi" w:hAnsiTheme="minorHAnsi" w:cstheme="minorHAnsi"/>
                <w:color w:val="000000"/>
                <w:sz w:val="20"/>
                <w:szCs w:val="20"/>
              </w:rPr>
              <w:t xml:space="preserve"> provide informed consent </w:t>
            </w:r>
            <w:r w:rsidRPr="00AE67BA">
              <w:rPr>
                <w:rFonts w:asciiTheme="minorHAnsi" w:hAnsiTheme="minorHAnsi" w:cstheme="minorHAnsi"/>
                <w:i/>
                <w:color w:val="000000"/>
                <w:sz w:val="20"/>
                <w:szCs w:val="20"/>
              </w:rPr>
              <w:t>before</w:t>
            </w:r>
            <w:r w:rsidRPr="00AE67BA">
              <w:rPr>
                <w:rFonts w:asciiTheme="minorHAnsi" w:hAnsiTheme="minorHAnsi" w:cstheme="minorHAnsi"/>
                <w:color w:val="000000"/>
                <w:sz w:val="20"/>
                <w:szCs w:val="20"/>
              </w:rPr>
              <w:t xml:space="preserve"> any information is shared with other agencies and services.</w:t>
            </w:r>
          </w:p>
          <w:p w14:paraId="53466795" w14:textId="01C2B4C8" w:rsidR="00AE67BA" w:rsidRPr="00AE67BA" w:rsidRDefault="00AE67BA" w:rsidP="00BA4814">
            <w:pPr>
              <w:pStyle w:val="NormalWeb"/>
              <w:numPr>
                <w:ilvl w:val="0"/>
                <w:numId w:val="38"/>
              </w:numPr>
              <w:spacing w:before="120" w:beforeAutospacing="0" w:after="120" w:afterAutospacing="0"/>
              <w:jc w:val="both"/>
              <w:textAlignment w:val="baseline"/>
              <w:rPr>
                <w:rFonts w:asciiTheme="minorHAnsi" w:hAnsiTheme="minorHAnsi" w:cstheme="minorHAnsi"/>
                <w:color w:val="000000"/>
                <w:sz w:val="20"/>
                <w:szCs w:val="20"/>
              </w:rPr>
            </w:pPr>
            <w:r w:rsidRPr="00AE67BA">
              <w:rPr>
                <w:rFonts w:asciiTheme="minorHAnsi" w:hAnsiTheme="minorHAnsi" w:cstheme="minorHAnsi"/>
                <w:color w:val="000000"/>
                <w:sz w:val="20"/>
                <w:szCs w:val="20"/>
              </w:rPr>
              <w:t xml:space="preserve">Apply a perpetrator focus that upholds the safety of </w:t>
            </w:r>
            <w:r w:rsidR="00BC5DF8">
              <w:rPr>
                <w:rFonts w:asciiTheme="minorHAnsi" w:hAnsiTheme="minorHAnsi" w:cstheme="minorHAnsi"/>
                <w:color w:val="000000"/>
                <w:sz w:val="20"/>
                <w:szCs w:val="20"/>
              </w:rPr>
              <w:t>VS</w:t>
            </w:r>
            <w:r w:rsidRPr="00AE67BA">
              <w:rPr>
                <w:rFonts w:asciiTheme="minorHAnsi" w:hAnsiTheme="minorHAnsi" w:cstheme="minorHAnsi"/>
                <w:color w:val="000000"/>
                <w:sz w:val="20"/>
                <w:szCs w:val="20"/>
              </w:rPr>
              <w:t xml:space="preserve"> and children</w:t>
            </w:r>
            <w:r w:rsidR="00D85385">
              <w:rPr>
                <w:rFonts w:asciiTheme="minorHAnsi" w:hAnsiTheme="minorHAnsi" w:cstheme="minorHAnsi"/>
                <w:color w:val="000000"/>
                <w:sz w:val="20"/>
                <w:szCs w:val="20"/>
              </w:rPr>
              <w:t>. W</w:t>
            </w:r>
            <w:r w:rsidRPr="00AE67BA">
              <w:rPr>
                <w:rFonts w:asciiTheme="minorHAnsi" w:hAnsiTheme="minorHAnsi" w:cstheme="minorHAnsi"/>
                <w:color w:val="000000"/>
                <w:sz w:val="20"/>
                <w:szCs w:val="20"/>
              </w:rPr>
              <w:t xml:space="preserve">here a </w:t>
            </w:r>
            <w:r w:rsidR="00061DEB">
              <w:rPr>
                <w:rFonts w:asciiTheme="minorHAnsi" w:hAnsiTheme="minorHAnsi" w:cstheme="minorHAnsi"/>
                <w:color w:val="000000"/>
                <w:sz w:val="20"/>
                <w:szCs w:val="20"/>
              </w:rPr>
              <w:t>VS</w:t>
            </w:r>
            <w:r w:rsidRPr="00AE67BA">
              <w:rPr>
                <w:rFonts w:asciiTheme="minorHAnsi" w:hAnsiTheme="minorHAnsi" w:cstheme="minorHAnsi"/>
                <w:color w:val="000000"/>
                <w:sz w:val="20"/>
                <w:szCs w:val="20"/>
              </w:rPr>
              <w:t xml:space="preserve"> indicate</w:t>
            </w:r>
            <w:r w:rsidR="00D85385">
              <w:rPr>
                <w:rFonts w:asciiTheme="minorHAnsi" w:hAnsiTheme="minorHAnsi" w:cstheme="minorHAnsi"/>
                <w:color w:val="000000"/>
                <w:sz w:val="20"/>
                <w:szCs w:val="20"/>
              </w:rPr>
              <w:t>s</w:t>
            </w:r>
            <w:r w:rsidRPr="00AE67BA">
              <w:rPr>
                <w:rFonts w:asciiTheme="minorHAnsi" w:hAnsiTheme="minorHAnsi" w:cstheme="minorHAnsi"/>
                <w:color w:val="000000"/>
                <w:sz w:val="20"/>
                <w:szCs w:val="20"/>
              </w:rPr>
              <w:t xml:space="preserve"> this preference, prioritis</w:t>
            </w:r>
            <w:r w:rsidR="00D85385">
              <w:rPr>
                <w:rFonts w:asciiTheme="minorHAnsi" w:hAnsiTheme="minorHAnsi" w:cstheme="minorHAnsi"/>
                <w:color w:val="000000"/>
                <w:sz w:val="20"/>
                <w:szCs w:val="20"/>
              </w:rPr>
              <w:t>e</w:t>
            </w:r>
            <w:r w:rsidRPr="00AE67BA">
              <w:rPr>
                <w:rFonts w:asciiTheme="minorHAnsi" w:hAnsiTheme="minorHAnsi" w:cstheme="minorHAnsi"/>
                <w:color w:val="000000"/>
                <w:sz w:val="20"/>
                <w:szCs w:val="20"/>
              </w:rPr>
              <w:t xml:space="preserve"> actions</w:t>
            </w:r>
            <w:r w:rsidR="00D85385">
              <w:rPr>
                <w:rFonts w:asciiTheme="minorHAnsi" w:hAnsiTheme="minorHAnsi" w:cstheme="minorHAnsi"/>
                <w:color w:val="000000"/>
                <w:sz w:val="20"/>
                <w:szCs w:val="20"/>
              </w:rPr>
              <w:t xml:space="preserve"> </w:t>
            </w:r>
            <w:r w:rsidRPr="00AE67BA">
              <w:rPr>
                <w:rFonts w:asciiTheme="minorHAnsi" w:hAnsiTheme="minorHAnsi" w:cstheme="minorHAnsi"/>
                <w:color w:val="000000"/>
                <w:sz w:val="20"/>
                <w:szCs w:val="20"/>
              </w:rPr>
              <w:t xml:space="preserve">which prevent an abuser having contact with the </w:t>
            </w:r>
            <w:r w:rsidR="00061DEB">
              <w:rPr>
                <w:rFonts w:asciiTheme="minorHAnsi" w:hAnsiTheme="minorHAnsi" w:cstheme="minorHAnsi"/>
                <w:color w:val="000000"/>
                <w:sz w:val="20"/>
                <w:szCs w:val="20"/>
              </w:rPr>
              <w:t>VS</w:t>
            </w:r>
            <w:r w:rsidRPr="00AE67BA">
              <w:rPr>
                <w:rFonts w:asciiTheme="minorHAnsi" w:hAnsiTheme="minorHAnsi" w:cstheme="minorHAnsi"/>
                <w:color w:val="000000"/>
                <w:sz w:val="20"/>
                <w:szCs w:val="20"/>
              </w:rPr>
              <w:t xml:space="preserve"> and children</w:t>
            </w:r>
            <w:r w:rsidR="00D85385">
              <w:rPr>
                <w:rFonts w:asciiTheme="minorHAnsi" w:hAnsiTheme="minorHAnsi" w:cstheme="minorHAnsi"/>
                <w:color w:val="000000"/>
                <w:sz w:val="20"/>
                <w:szCs w:val="20"/>
              </w:rPr>
              <w:t>, including arrest</w:t>
            </w:r>
            <w:r w:rsidRPr="00AE67BA">
              <w:rPr>
                <w:rFonts w:asciiTheme="minorHAnsi" w:hAnsiTheme="minorHAnsi" w:cstheme="minorHAnsi"/>
                <w:color w:val="000000"/>
                <w:sz w:val="20"/>
                <w:szCs w:val="20"/>
              </w:rPr>
              <w:t>.</w:t>
            </w:r>
          </w:p>
          <w:p w14:paraId="4F00ABC6" w14:textId="6089B220" w:rsidR="00AE67BA" w:rsidRPr="00AE67BA" w:rsidRDefault="00AE67BA" w:rsidP="00BA4814">
            <w:pPr>
              <w:pStyle w:val="NormalWeb"/>
              <w:numPr>
                <w:ilvl w:val="0"/>
                <w:numId w:val="38"/>
              </w:numPr>
              <w:spacing w:before="120" w:beforeAutospacing="0" w:after="120" w:afterAutospacing="0"/>
              <w:jc w:val="both"/>
              <w:rPr>
                <w:rFonts w:asciiTheme="minorHAnsi" w:hAnsiTheme="minorHAnsi" w:cstheme="minorHAnsi"/>
                <w:sz w:val="20"/>
                <w:szCs w:val="20"/>
              </w:rPr>
            </w:pPr>
            <w:r w:rsidRPr="00AE67BA">
              <w:rPr>
                <w:rFonts w:asciiTheme="minorHAnsi" w:hAnsiTheme="minorHAnsi" w:cstheme="minorHAnsi"/>
                <w:color w:val="000000"/>
                <w:sz w:val="20"/>
                <w:szCs w:val="20"/>
              </w:rPr>
              <w:t xml:space="preserve">Establish specialist </w:t>
            </w:r>
            <w:r w:rsidR="007617A9">
              <w:rPr>
                <w:rFonts w:asciiTheme="minorHAnsi" w:hAnsiTheme="minorHAnsi" w:cstheme="minorHAnsi"/>
                <w:color w:val="000000"/>
                <w:sz w:val="20"/>
                <w:szCs w:val="20"/>
              </w:rPr>
              <w:t>FV</w:t>
            </w:r>
            <w:r w:rsidRPr="00AE67BA">
              <w:rPr>
                <w:rFonts w:asciiTheme="minorHAnsi" w:hAnsiTheme="minorHAnsi" w:cstheme="minorHAnsi"/>
                <w:color w:val="000000"/>
                <w:sz w:val="20"/>
                <w:szCs w:val="20"/>
              </w:rPr>
              <w:t xml:space="preserve"> police units in all areas</w:t>
            </w:r>
            <w:r w:rsidR="007617A9">
              <w:rPr>
                <w:rFonts w:asciiTheme="minorHAnsi" w:hAnsiTheme="minorHAnsi" w:cstheme="minorHAnsi"/>
                <w:color w:val="000000"/>
                <w:sz w:val="20"/>
                <w:szCs w:val="20"/>
              </w:rPr>
              <w:t>.</w:t>
            </w:r>
          </w:p>
          <w:p w14:paraId="098E77F7" w14:textId="73512763" w:rsidR="00AE67BA" w:rsidRPr="00AE67BA" w:rsidRDefault="00AE67BA" w:rsidP="00AE67BA">
            <w:pPr>
              <w:pStyle w:val="NormalWeb"/>
              <w:numPr>
                <w:ilvl w:val="0"/>
                <w:numId w:val="38"/>
              </w:numPr>
              <w:spacing w:before="0" w:beforeAutospacing="0" w:after="0" w:afterAutospacing="0"/>
              <w:textAlignment w:val="baseline"/>
              <w:rPr>
                <w:rFonts w:asciiTheme="minorHAnsi" w:hAnsiTheme="minorHAnsi" w:cstheme="minorHAnsi"/>
                <w:sz w:val="20"/>
                <w:szCs w:val="20"/>
              </w:rPr>
            </w:pPr>
            <w:r w:rsidRPr="00AE67BA">
              <w:rPr>
                <w:rFonts w:asciiTheme="minorHAnsi" w:hAnsiTheme="minorHAnsi" w:cstheme="minorHAnsi"/>
                <w:color w:val="000000"/>
                <w:sz w:val="20"/>
                <w:szCs w:val="20"/>
              </w:rPr>
              <w:t xml:space="preserve">Prioritise </w:t>
            </w:r>
            <w:r w:rsidR="00061DEB">
              <w:rPr>
                <w:rFonts w:asciiTheme="minorHAnsi" w:hAnsiTheme="minorHAnsi" w:cstheme="minorHAnsi"/>
                <w:color w:val="000000"/>
                <w:sz w:val="20"/>
                <w:szCs w:val="20"/>
              </w:rPr>
              <w:t>VS</w:t>
            </w:r>
            <w:r w:rsidRPr="00AE67BA">
              <w:rPr>
                <w:rFonts w:asciiTheme="minorHAnsi" w:hAnsiTheme="minorHAnsi" w:cstheme="minorHAnsi"/>
                <w:color w:val="000000"/>
                <w:sz w:val="20"/>
                <w:szCs w:val="20"/>
              </w:rPr>
              <w:t xml:space="preserve"> voice and FV/SV specialists in </w:t>
            </w:r>
            <w:r w:rsidR="00D85385">
              <w:rPr>
                <w:rFonts w:asciiTheme="minorHAnsi" w:hAnsiTheme="minorHAnsi" w:cstheme="minorHAnsi"/>
                <w:color w:val="000000"/>
                <w:sz w:val="20"/>
                <w:szCs w:val="20"/>
              </w:rPr>
              <w:t xml:space="preserve">development of training and </w:t>
            </w:r>
            <w:r w:rsidRPr="00AE67BA">
              <w:rPr>
                <w:rFonts w:asciiTheme="minorHAnsi" w:hAnsiTheme="minorHAnsi" w:cstheme="minorHAnsi"/>
                <w:color w:val="000000"/>
                <w:sz w:val="20"/>
                <w:szCs w:val="20"/>
              </w:rPr>
              <w:t>policy.</w:t>
            </w:r>
          </w:p>
        </w:tc>
      </w:tr>
      <w:tr w:rsidR="00AE67BA" w:rsidRPr="00AE67BA" w14:paraId="781C7325" w14:textId="77777777" w:rsidTr="00AE67BA">
        <w:tc>
          <w:tcPr>
            <w:tcW w:w="2880" w:type="dxa"/>
            <w:shd w:val="clear" w:color="auto" w:fill="F0AD9C" w:themeFill="accent3" w:themeFillShade="E6"/>
          </w:tcPr>
          <w:p w14:paraId="0FC57566" w14:textId="7C7704FB" w:rsidR="00AE67BA" w:rsidRPr="00AE67BA" w:rsidRDefault="00AE67BA" w:rsidP="00BA4814">
            <w:pPr>
              <w:rPr>
                <w:rFonts w:cstheme="minorHAnsi"/>
                <w:sz w:val="20"/>
                <w:szCs w:val="20"/>
              </w:rPr>
            </w:pPr>
            <w:bookmarkStart w:id="0" w:name="_Hlk175583543"/>
            <w:r w:rsidRPr="00AE67BA">
              <w:rPr>
                <w:b/>
                <w:sz w:val="20"/>
                <w:szCs w:val="20"/>
              </w:rPr>
              <w:t xml:space="preserve">System response to sexual violence is not safe, just or accessible for </w:t>
            </w:r>
            <w:r w:rsidR="00BC5DF8">
              <w:rPr>
                <w:b/>
                <w:sz w:val="20"/>
                <w:szCs w:val="20"/>
              </w:rPr>
              <w:t>VS</w:t>
            </w:r>
          </w:p>
        </w:tc>
        <w:tc>
          <w:tcPr>
            <w:tcW w:w="6187" w:type="dxa"/>
            <w:shd w:val="clear" w:color="auto" w:fill="F6CDC2" w:themeFill="accent3"/>
          </w:tcPr>
          <w:p w14:paraId="71F8FAA8" w14:textId="5CDBCCD3" w:rsidR="00AE67BA" w:rsidRPr="00AE67BA" w:rsidRDefault="00AE67BA" w:rsidP="00AE67BA">
            <w:pPr>
              <w:pStyle w:val="ListParagraph"/>
              <w:numPr>
                <w:ilvl w:val="0"/>
                <w:numId w:val="18"/>
              </w:numPr>
              <w:shd w:val="clear" w:color="auto" w:fill="F6CDC2" w:themeFill="accent3"/>
              <w:rPr>
                <w:sz w:val="20"/>
                <w:szCs w:val="20"/>
                <w:shd w:val="clear" w:color="auto" w:fill="FFFFFF"/>
                <w:lang w:eastAsia="en-NZ"/>
              </w:rPr>
            </w:pPr>
            <w:r w:rsidRPr="00AE67BA">
              <w:rPr>
                <w:sz w:val="20"/>
                <w:szCs w:val="20"/>
                <w:shd w:val="clear" w:color="auto" w:fill="F6CDC2" w:themeFill="accent3"/>
                <w:lang w:eastAsia="en-NZ"/>
              </w:rPr>
              <w:t>Implement changes to consent law to protect children from being accused of having consented to sexual violation</w:t>
            </w:r>
            <w:r w:rsidR="00D85385">
              <w:rPr>
                <w:sz w:val="20"/>
                <w:szCs w:val="20"/>
                <w:shd w:val="clear" w:color="auto" w:fill="F6CDC2" w:themeFill="accent3"/>
                <w:lang w:eastAsia="en-NZ"/>
              </w:rPr>
              <w:t>;</w:t>
            </w:r>
            <w:r w:rsidRPr="00AE67BA">
              <w:rPr>
                <w:sz w:val="20"/>
                <w:szCs w:val="20"/>
                <w:shd w:val="clear" w:color="auto" w:fill="F6CDC2" w:themeFill="accent3"/>
                <w:lang w:eastAsia="en-NZ"/>
              </w:rPr>
              <w:t xml:space="preserve"> introduc</w:t>
            </w:r>
            <w:r w:rsidR="00667CA2">
              <w:rPr>
                <w:sz w:val="20"/>
                <w:szCs w:val="20"/>
                <w:shd w:val="clear" w:color="auto" w:fill="F6CDC2" w:themeFill="accent3"/>
                <w:lang w:eastAsia="en-NZ"/>
              </w:rPr>
              <w:t>e</w:t>
            </w:r>
            <w:r w:rsidRPr="00AE67BA">
              <w:rPr>
                <w:sz w:val="20"/>
                <w:szCs w:val="20"/>
                <w:shd w:val="clear" w:color="auto" w:fill="F6CDC2" w:themeFill="accent3"/>
                <w:lang w:eastAsia="en-NZ"/>
              </w:rPr>
              <w:t xml:space="preserve"> a reasonable belief defence</w:t>
            </w:r>
            <w:r w:rsidR="00D85385">
              <w:rPr>
                <w:sz w:val="20"/>
                <w:szCs w:val="20"/>
                <w:shd w:val="clear" w:color="auto" w:fill="F6CDC2" w:themeFill="accent3"/>
                <w:lang w:eastAsia="en-NZ"/>
              </w:rPr>
              <w:t>;</w:t>
            </w:r>
            <w:r w:rsidRPr="00AE67BA">
              <w:rPr>
                <w:sz w:val="20"/>
                <w:szCs w:val="20"/>
                <w:shd w:val="clear" w:color="auto" w:fill="F6CDC2" w:themeFill="accent3"/>
                <w:lang w:eastAsia="en-NZ"/>
              </w:rPr>
              <w:t xml:space="preserve"> and </w:t>
            </w:r>
            <w:r w:rsidR="00667CA2" w:rsidRPr="00AE67BA">
              <w:rPr>
                <w:sz w:val="20"/>
                <w:szCs w:val="20"/>
                <w:shd w:val="clear" w:color="auto" w:fill="F6CDC2" w:themeFill="accent3"/>
                <w:lang w:eastAsia="en-NZ"/>
              </w:rPr>
              <w:t>codif</w:t>
            </w:r>
            <w:r w:rsidR="00667CA2">
              <w:rPr>
                <w:sz w:val="20"/>
                <w:szCs w:val="20"/>
                <w:shd w:val="clear" w:color="auto" w:fill="F6CDC2" w:themeFill="accent3"/>
                <w:lang w:eastAsia="en-NZ"/>
              </w:rPr>
              <w:t>y</w:t>
            </w:r>
            <w:r w:rsidR="00667CA2" w:rsidRPr="00AE67BA">
              <w:rPr>
                <w:sz w:val="20"/>
                <w:szCs w:val="20"/>
                <w:shd w:val="clear" w:color="auto" w:fill="F6CDC2" w:themeFill="accent3"/>
                <w:lang w:eastAsia="en-NZ"/>
              </w:rPr>
              <w:t xml:space="preserve"> in law </w:t>
            </w:r>
            <w:r w:rsidRPr="00AE67BA">
              <w:rPr>
                <w:sz w:val="20"/>
                <w:szCs w:val="20"/>
                <w:shd w:val="clear" w:color="auto" w:fill="F6CDC2" w:themeFill="accent3"/>
                <w:lang w:eastAsia="en-NZ"/>
              </w:rPr>
              <w:t>a positive definition of consent.</w:t>
            </w:r>
          </w:p>
          <w:p w14:paraId="7FF8221C" w14:textId="0296C644" w:rsidR="00AE67BA" w:rsidRPr="00AE67BA" w:rsidRDefault="00AE67BA" w:rsidP="00D53D0F">
            <w:pPr>
              <w:pStyle w:val="ListParagraph"/>
              <w:numPr>
                <w:ilvl w:val="0"/>
                <w:numId w:val="18"/>
              </w:numPr>
              <w:rPr>
                <w:sz w:val="20"/>
                <w:szCs w:val="20"/>
                <w:lang w:eastAsia="en-NZ"/>
              </w:rPr>
            </w:pPr>
            <w:r w:rsidRPr="00AE67BA">
              <w:rPr>
                <w:sz w:val="20"/>
                <w:szCs w:val="20"/>
                <w:lang w:eastAsia="en-NZ"/>
              </w:rPr>
              <w:t xml:space="preserve">Enable </w:t>
            </w:r>
            <w:r w:rsidR="00D85385">
              <w:rPr>
                <w:sz w:val="20"/>
                <w:szCs w:val="20"/>
                <w:lang w:eastAsia="en-NZ"/>
              </w:rPr>
              <w:t xml:space="preserve">and resource </w:t>
            </w:r>
            <w:hyperlink r:id="rId11" w:history="1">
              <w:r w:rsidRPr="0061350C">
                <w:rPr>
                  <w:rStyle w:val="Hyperlink"/>
                  <w:sz w:val="20"/>
                  <w:szCs w:val="20"/>
                  <w:lang w:eastAsia="en-NZ"/>
                </w:rPr>
                <w:t>alternative justice processes</w:t>
              </w:r>
            </w:hyperlink>
            <w:r w:rsidRPr="00AE67BA">
              <w:rPr>
                <w:sz w:val="20"/>
                <w:szCs w:val="20"/>
                <w:lang w:eastAsia="en-NZ"/>
              </w:rPr>
              <w:t xml:space="preserve"> by and for tangata whenua. </w:t>
            </w:r>
          </w:p>
          <w:p w14:paraId="6D418A93" w14:textId="51561C26" w:rsidR="00AE67BA" w:rsidRPr="00AE67BA" w:rsidRDefault="00AC5DE4" w:rsidP="00D53D0F">
            <w:pPr>
              <w:pStyle w:val="ListParagraph"/>
              <w:numPr>
                <w:ilvl w:val="0"/>
                <w:numId w:val="18"/>
              </w:numPr>
              <w:rPr>
                <w:sz w:val="20"/>
                <w:szCs w:val="20"/>
                <w:lang w:eastAsia="en-NZ"/>
              </w:rPr>
            </w:pPr>
            <w:r>
              <w:rPr>
                <w:sz w:val="20"/>
                <w:szCs w:val="20"/>
                <w:lang w:eastAsia="en-NZ"/>
              </w:rPr>
              <w:t>Stop</w:t>
            </w:r>
            <w:r w:rsidR="00AE67BA" w:rsidRPr="00AE67BA">
              <w:rPr>
                <w:sz w:val="20"/>
                <w:szCs w:val="20"/>
                <w:lang w:eastAsia="en-NZ"/>
              </w:rPr>
              <w:t xml:space="preserve"> </w:t>
            </w:r>
            <w:r w:rsidR="007617A9">
              <w:rPr>
                <w:sz w:val="20"/>
                <w:szCs w:val="20"/>
                <w:lang w:eastAsia="en-NZ"/>
              </w:rPr>
              <w:t>NZFC</w:t>
            </w:r>
            <w:r w:rsidR="00AE67BA" w:rsidRPr="00AE67BA">
              <w:rPr>
                <w:sz w:val="20"/>
                <w:szCs w:val="20"/>
                <w:lang w:eastAsia="en-NZ"/>
              </w:rPr>
              <w:t xml:space="preserve"> </w:t>
            </w:r>
            <w:r>
              <w:rPr>
                <w:sz w:val="20"/>
                <w:szCs w:val="20"/>
                <w:lang w:eastAsia="en-NZ"/>
              </w:rPr>
              <w:t xml:space="preserve">decisions which order </w:t>
            </w:r>
            <w:r w:rsidR="00AE67BA" w:rsidRPr="00AE67BA">
              <w:rPr>
                <w:sz w:val="20"/>
                <w:szCs w:val="20"/>
                <w:lang w:eastAsia="en-NZ"/>
              </w:rPr>
              <w:t>children who have disclosed sexual abuse</w:t>
            </w:r>
            <w:r>
              <w:rPr>
                <w:sz w:val="20"/>
                <w:szCs w:val="20"/>
                <w:lang w:eastAsia="en-NZ"/>
              </w:rPr>
              <w:t xml:space="preserve"> into the care of the person wo has abused them</w:t>
            </w:r>
            <w:r w:rsidR="00AE67BA" w:rsidRPr="00AE67BA">
              <w:rPr>
                <w:sz w:val="20"/>
                <w:szCs w:val="20"/>
                <w:lang w:eastAsia="en-NZ"/>
              </w:rPr>
              <w:t>.</w:t>
            </w:r>
          </w:p>
          <w:p w14:paraId="066E13BB" w14:textId="017BB3A9" w:rsidR="00AE67BA" w:rsidRPr="00AE67BA" w:rsidRDefault="00667CA2" w:rsidP="00D53D0F">
            <w:pPr>
              <w:pStyle w:val="ListParagraph"/>
              <w:numPr>
                <w:ilvl w:val="0"/>
                <w:numId w:val="18"/>
              </w:numPr>
              <w:rPr>
                <w:sz w:val="20"/>
                <w:szCs w:val="20"/>
                <w:lang w:eastAsia="en-NZ"/>
              </w:rPr>
            </w:pPr>
            <w:r w:rsidRPr="00AE67BA">
              <w:rPr>
                <w:sz w:val="20"/>
                <w:szCs w:val="20"/>
                <w:lang w:eastAsia="en-NZ"/>
              </w:rPr>
              <w:t>Implement</w:t>
            </w:r>
            <w:r w:rsidR="00AE67BA" w:rsidRPr="00AE67BA">
              <w:rPr>
                <w:sz w:val="20"/>
                <w:szCs w:val="20"/>
                <w:lang w:eastAsia="en-NZ"/>
              </w:rPr>
              <w:t xml:space="preserve"> Treatment Courts.</w:t>
            </w:r>
            <w:r w:rsidR="0061350C">
              <w:rPr>
                <w:rStyle w:val="FootnoteReference"/>
                <w:sz w:val="20"/>
                <w:szCs w:val="20"/>
                <w:lang w:eastAsia="en-NZ"/>
              </w:rPr>
              <w:footnoteReference w:id="5"/>
            </w:r>
          </w:p>
          <w:p w14:paraId="5F4CEA44" w14:textId="3504FD97" w:rsidR="00F95110" w:rsidRPr="00E91418" w:rsidRDefault="00F95110" w:rsidP="00E91418">
            <w:pPr>
              <w:pStyle w:val="ListParagraph"/>
              <w:numPr>
                <w:ilvl w:val="0"/>
                <w:numId w:val="18"/>
              </w:numPr>
              <w:rPr>
                <w:sz w:val="20"/>
                <w:szCs w:val="20"/>
                <w:lang w:eastAsia="en-NZ"/>
              </w:rPr>
            </w:pPr>
            <w:r>
              <w:rPr>
                <w:sz w:val="20"/>
                <w:szCs w:val="20"/>
                <w:lang w:eastAsia="en-NZ"/>
              </w:rPr>
              <w:t xml:space="preserve">Extend free counselling to </w:t>
            </w:r>
            <w:r w:rsidR="00D85385">
              <w:rPr>
                <w:sz w:val="20"/>
                <w:szCs w:val="20"/>
                <w:lang w:eastAsia="en-NZ"/>
              </w:rPr>
              <w:t>VS who</w:t>
            </w:r>
            <w:r>
              <w:rPr>
                <w:sz w:val="20"/>
                <w:szCs w:val="20"/>
                <w:lang w:eastAsia="en-NZ"/>
              </w:rPr>
              <w:t xml:space="preserve">se experiences of </w:t>
            </w:r>
            <w:r w:rsidR="00E91418">
              <w:rPr>
                <w:sz w:val="20"/>
                <w:szCs w:val="20"/>
                <w:lang w:eastAsia="en-NZ"/>
              </w:rPr>
              <w:t>SV</w:t>
            </w:r>
            <w:r>
              <w:rPr>
                <w:sz w:val="20"/>
                <w:szCs w:val="20"/>
                <w:lang w:eastAsia="en-NZ"/>
              </w:rPr>
              <w:t xml:space="preserve"> happened outside of NZ</w:t>
            </w:r>
            <w:r w:rsidR="00E91418">
              <w:rPr>
                <w:sz w:val="20"/>
                <w:szCs w:val="20"/>
                <w:lang w:eastAsia="en-NZ"/>
              </w:rPr>
              <w:t xml:space="preserve"> and </w:t>
            </w:r>
            <w:r w:rsidRPr="00E91418">
              <w:rPr>
                <w:sz w:val="20"/>
                <w:szCs w:val="20"/>
                <w:shd w:val="clear" w:color="auto" w:fill="F6CDC2" w:themeFill="accent3"/>
                <w:lang w:eastAsia="en-NZ"/>
              </w:rPr>
              <w:t xml:space="preserve">those </w:t>
            </w:r>
            <w:r w:rsidR="00D82276" w:rsidRPr="00E91418">
              <w:rPr>
                <w:sz w:val="20"/>
                <w:szCs w:val="20"/>
                <w:shd w:val="clear" w:color="auto" w:fill="F6CDC2" w:themeFill="accent3"/>
                <w:lang w:eastAsia="en-NZ"/>
              </w:rPr>
              <w:t>who experienced</w:t>
            </w:r>
            <w:r w:rsidRPr="00E91418">
              <w:rPr>
                <w:sz w:val="20"/>
                <w:szCs w:val="20"/>
                <w:shd w:val="clear" w:color="auto" w:fill="F6CDC2" w:themeFill="accent3"/>
                <w:lang w:eastAsia="en-NZ"/>
              </w:rPr>
              <w:t xml:space="preserve"> online </w:t>
            </w:r>
            <w:r w:rsidR="00E91418">
              <w:rPr>
                <w:sz w:val="20"/>
                <w:szCs w:val="20"/>
                <w:shd w:val="clear" w:color="auto" w:fill="F6CDC2" w:themeFill="accent3"/>
                <w:lang w:eastAsia="en-NZ"/>
              </w:rPr>
              <w:t>SV</w:t>
            </w:r>
            <w:r w:rsidRPr="00E91418">
              <w:rPr>
                <w:sz w:val="20"/>
                <w:szCs w:val="20"/>
                <w:shd w:val="clear" w:color="auto" w:fill="F6CDC2" w:themeFill="accent3"/>
                <w:lang w:eastAsia="en-NZ"/>
              </w:rPr>
              <w:t xml:space="preserve"> </w:t>
            </w:r>
            <w:r w:rsidR="00E91418">
              <w:rPr>
                <w:sz w:val="20"/>
                <w:szCs w:val="20"/>
                <w:shd w:val="clear" w:color="auto" w:fill="F6CDC2" w:themeFill="accent3"/>
                <w:lang w:eastAsia="en-NZ"/>
              </w:rPr>
              <w:t>(</w:t>
            </w:r>
            <w:r w:rsidRPr="00E91418">
              <w:rPr>
                <w:sz w:val="20"/>
                <w:szCs w:val="20"/>
                <w:shd w:val="clear" w:color="auto" w:fill="F6CDC2" w:themeFill="accent3"/>
                <w:lang w:eastAsia="en-NZ"/>
              </w:rPr>
              <w:t>voyeurism, grooming, harassment</w:t>
            </w:r>
            <w:r w:rsidRPr="00E91418">
              <w:rPr>
                <w:b/>
                <w:sz w:val="20"/>
                <w:szCs w:val="20"/>
                <w:shd w:val="clear" w:color="auto" w:fill="F6CDC2" w:themeFill="accent3"/>
                <w:lang w:eastAsia="en-NZ"/>
              </w:rPr>
              <w:t xml:space="preserve"> </w:t>
            </w:r>
            <w:r w:rsidRPr="00E91418">
              <w:rPr>
                <w:sz w:val="20"/>
                <w:szCs w:val="20"/>
                <w:shd w:val="clear" w:color="auto" w:fill="F6CDC2" w:themeFill="accent3"/>
                <w:lang w:eastAsia="en-NZ"/>
              </w:rPr>
              <w:t>and spread of sexual or sexualised photos</w:t>
            </w:r>
            <w:r w:rsidR="00E91418">
              <w:rPr>
                <w:sz w:val="20"/>
                <w:szCs w:val="20"/>
                <w:shd w:val="clear" w:color="auto" w:fill="F6CDC2" w:themeFill="accent3"/>
                <w:lang w:eastAsia="en-NZ"/>
              </w:rPr>
              <w:t>)</w:t>
            </w:r>
            <w:r w:rsidRPr="00E91418">
              <w:rPr>
                <w:sz w:val="20"/>
                <w:szCs w:val="20"/>
                <w:shd w:val="clear" w:color="auto" w:fill="F6CDC2" w:themeFill="accent3"/>
                <w:lang w:eastAsia="en-NZ"/>
              </w:rPr>
              <w:t>.</w:t>
            </w:r>
          </w:p>
          <w:p w14:paraId="25358DA4" w14:textId="0FF21C3A" w:rsidR="00AE67BA" w:rsidRPr="00AE67BA" w:rsidRDefault="00F95110" w:rsidP="005D6A9F">
            <w:pPr>
              <w:pStyle w:val="ListParagraph"/>
              <w:numPr>
                <w:ilvl w:val="0"/>
                <w:numId w:val="36"/>
              </w:numPr>
              <w:rPr>
                <w:rFonts w:cstheme="minorHAnsi"/>
                <w:sz w:val="20"/>
                <w:szCs w:val="20"/>
              </w:rPr>
            </w:pPr>
            <w:r>
              <w:rPr>
                <w:sz w:val="20"/>
                <w:szCs w:val="20"/>
                <w:lang w:eastAsia="en-NZ"/>
              </w:rPr>
              <w:t xml:space="preserve">Mandate all </w:t>
            </w:r>
            <w:r w:rsidR="00061DEB">
              <w:rPr>
                <w:sz w:val="20"/>
                <w:szCs w:val="20"/>
                <w:lang w:eastAsia="en-NZ"/>
              </w:rPr>
              <w:t>VS</w:t>
            </w:r>
            <w:r w:rsidR="00AE67BA" w:rsidRPr="00AE67BA">
              <w:rPr>
                <w:sz w:val="20"/>
                <w:szCs w:val="20"/>
                <w:lang w:eastAsia="en-NZ"/>
              </w:rPr>
              <w:t>’s (including children’s) counselling/therapy notes to be considered confidential and privileged</w:t>
            </w:r>
            <w:r>
              <w:rPr>
                <w:sz w:val="20"/>
                <w:szCs w:val="20"/>
                <w:lang w:eastAsia="en-NZ"/>
              </w:rPr>
              <w:t>,</w:t>
            </w:r>
            <w:r w:rsidR="00AE67BA" w:rsidRPr="00AE67BA">
              <w:rPr>
                <w:sz w:val="20"/>
                <w:szCs w:val="20"/>
                <w:lang w:eastAsia="en-NZ"/>
              </w:rPr>
              <w:t xml:space="preserve"> and therefore not eligible for third party disclosure in criminal or </w:t>
            </w:r>
            <w:r w:rsidR="00061DEB">
              <w:rPr>
                <w:sz w:val="20"/>
                <w:szCs w:val="20"/>
                <w:lang w:eastAsia="en-NZ"/>
              </w:rPr>
              <w:t>F</w:t>
            </w:r>
            <w:r w:rsidR="00AE67BA" w:rsidRPr="00AE67BA">
              <w:rPr>
                <w:sz w:val="20"/>
                <w:szCs w:val="20"/>
                <w:lang w:eastAsia="en-NZ"/>
              </w:rPr>
              <w:t xml:space="preserve">amily </w:t>
            </w:r>
            <w:r w:rsidR="00061DEB">
              <w:rPr>
                <w:sz w:val="20"/>
                <w:szCs w:val="20"/>
                <w:lang w:eastAsia="en-NZ"/>
              </w:rPr>
              <w:t>C</w:t>
            </w:r>
            <w:r w:rsidR="00AE67BA" w:rsidRPr="00AE67BA">
              <w:rPr>
                <w:sz w:val="20"/>
                <w:szCs w:val="20"/>
                <w:lang w:eastAsia="en-NZ"/>
              </w:rPr>
              <w:t xml:space="preserve">ourt cases. </w:t>
            </w:r>
          </w:p>
        </w:tc>
      </w:tr>
      <w:bookmarkEnd w:id="0"/>
      <w:tr w:rsidR="00AE67BA" w:rsidRPr="00AE67BA" w14:paraId="3EAA8FF1" w14:textId="77777777" w:rsidTr="00AE67BA">
        <w:tc>
          <w:tcPr>
            <w:tcW w:w="2880" w:type="dxa"/>
            <w:shd w:val="clear" w:color="auto" w:fill="F0AD9C" w:themeFill="accent3" w:themeFillShade="E6"/>
          </w:tcPr>
          <w:p w14:paraId="23B8962F" w14:textId="0E739E79" w:rsidR="00AE67BA" w:rsidRPr="00AE67BA" w:rsidRDefault="00AE67BA" w:rsidP="0027415B">
            <w:pPr>
              <w:rPr>
                <w:b/>
                <w:sz w:val="20"/>
                <w:szCs w:val="20"/>
              </w:rPr>
            </w:pPr>
            <w:r w:rsidRPr="00AE67BA">
              <w:rPr>
                <w:b/>
                <w:sz w:val="20"/>
                <w:szCs w:val="20"/>
              </w:rPr>
              <w:t xml:space="preserve">Lack of financial support </w:t>
            </w:r>
            <w:r w:rsidR="001D22AE">
              <w:rPr>
                <w:b/>
                <w:sz w:val="20"/>
                <w:szCs w:val="20"/>
              </w:rPr>
              <w:t>for VS</w:t>
            </w:r>
          </w:p>
          <w:p w14:paraId="38959891" w14:textId="77777777" w:rsidR="00AE67BA" w:rsidRPr="00AE67BA" w:rsidRDefault="00AE67BA" w:rsidP="00E32776">
            <w:pPr>
              <w:rPr>
                <w:rFonts w:cstheme="minorHAnsi"/>
                <w:sz w:val="20"/>
                <w:szCs w:val="20"/>
              </w:rPr>
            </w:pPr>
          </w:p>
        </w:tc>
        <w:tc>
          <w:tcPr>
            <w:tcW w:w="6187" w:type="dxa"/>
            <w:shd w:val="clear" w:color="auto" w:fill="F6CDC2" w:themeFill="accent3"/>
          </w:tcPr>
          <w:p w14:paraId="5E0AB43D" w14:textId="09B8BC15" w:rsidR="00AE67BA" w:rsidRPr="001D22AE" w:rsidRDefault="00AE67BA" w:rsidP="001D22AE">
            <w:pPr>
              <w:pStyle w:val="ListParagraph"/>
              <w:numPr>
                <w:ilvl w:val="0"/>
                <w:numId w:val="36"/>
              </w:numPr>
              <w:rPr>
                <w:rFonts w:ascii="Arial" w:hAnsi="Arial" w:cs="Arial"/>
                <w:sz w:val="20"/>
                <w:szCs w:val="20"/>
                <w:lang w:eastAsia="en-NZ"/>
              </w:rPr>
            </w:pPr>
            <w:r w:rsidRPr="00AE67BA">
              <w:rPr>
                <w:sz w:val="20"/>
                <w:szCs w:val="20"/>
                <w:lang w:eastAsia="en-NZ"/>
              </w:rPr>
              <w:t xml:space="preserve">Provide financial support to </w:t>
            </w:r>
            <w:r w:rsidR="00BC5DF8">
              <w:rPr>
                <w:sz w:val="20"/>
                <w:szCs w:val="20"/>
                <w:lang w:eastAsia="en-NZ"/>
              </w:rPr>
              <w:t>VS</w:t>
            </w:r>
            <w:r w:rsidRPr="00AE67BA">
              <w:rPr>
                <w:sz w:val="20"/>
                <w:szCs w:val="20"/>
                <w:lang w:eastAsia="en-NZ"/>
              </w:rPr>
              <w:t xml:space="preserve"> – which is flexible, easy-to-access, and non-means-tested – to support them to escape violence and abuse, and help </w:t>
            </w:r>
            <w:r w:rsidR="00993042">
              <w:rPr>
                <w:sz w:val="20"/>
                <w:szCs w:val="20"/>
                <w:lang w:eastAsia="en-NZ"/>
              </w:rPr>
              <w:t xml:space="preserve">them and </w:t>
            </w:r>
            <w:r w:rsidRPr="00AE67BA">
              <w:rPr>
                <w:sz w:val="20"/>
                <w:szCs w:val="20"/>
                <w:lang w:eastAsia="en-NZ"/>
              </w:rPr>
              <w:t>their children to recover, based on the model of Family Violence Flexible Support Packages in Victoria, Australia.</w:t>
            </w:r>
            <w:r w:rsidRPr="00AE67BA">
              <w:rPr>
                <w:rStyle w:val="FootnoteReference"/>
                <w:rFonts w:ascii="Calibri" w:eastAsia="Times New Roman" w:hAnsi="Calibri" w:cs="Calibri"/>
                <w:color w:val="000000"/>
                <w:sz w:val="20"/>
                <w:szCs w:val="20"/>
                <w:lang w:eastAsia="en-NZ"/>
              </w:rPr>
              <w:footnoteReference w:id="6"/>
            </w:r>
            <w:r w:rsidRPr="00AE67BA">
              <w:rPr>
                <w:sz w:val="20"/>
                <w:szCs w:val="20"/>
                <w:lang w:eastAsia="en-NZ"/>
              </w:rPr>
              <w:t xml:space="preserve"> </w:t>
            </w:r>
          </w:p>
        </w:tc>
      </w:tr>
    </w:tbl>
    <w:p w14:paraId="038A3D14" w14:textId="79F0FF6D" w:rsidR="00BA4814" w:rsidRDefault="00BA4814" w:rsidP="0034775B">
      <w:pPr>
        <w:pStyle w:val="ListParagraph"/>
      </w:pPr>
    </w:p>
    <w:p w14:paraId="1DCF3695" w14:textId="77777777" w:rsidR="00477779" w:rsidRDefault="00477779">
      <w:pPr>
        <w:spacing w:after="160" w:line="259" w:lineRule="auto"/>
        <w:rPr>
          <w:rFonts w:asciiTheme="majorHAnsi" w:eastAsiaTheme="majorEastAsia" w:hAnsiTheme="majorHAnsi" w:cstheme="majorBidi"/>
          <w:b/>
          <w:i/>
          <w:color w:val="40395F" w:themeColor="accent6"/>
          <w:sz w:val="32"/>
          <w:szCs w:val="24"/>
          <w:lang w:val="en-US"/>
        </w:rPr>
      </w:pPr>
      <w:r>
        <w:rPr>
          <w:color w:val="40395F" w:themeColor="accent6"/>
        </w:rPr>
        <w:br w:type="page"/>
      </w:r>
    </w:p>
    <w:p w14:paraId="4D9C1A11" w14:textId="3DDE8CE0" w:rsidR="006A1CC2" w:rsidRPr="00C605CD" w:rsidRDefault="00D30100" w:rsidP="003A43D4">
      <w:pPr>
        <w:pStyle w:val="header2"/>
      </w:pPr>
      <w:r w:rsidRPr="00C605CD">
        <w:lastRenderedPageBreak/>
        <w:t>Gender</w:t>
      </w:r>
      <w:r w:rsidR="00FB33B3" w:rsidRPr="00C605CD">
        <w:t>-</w:t>
      </w:r>
      <w:r w:rsidRPr="00C605CD">
        <w:t>Based Violence</w:t>
      </w:r>
      <w:r w:rsidR="008A1462" w:rsidRPr="00C605CD">
        <w:t xml:space="preserve"> </w:t>
      </w:r>
      <w:r w:rsidR="008A1462" w:rsidRPr="00EF48BD">
        <w:rPr>
          <w:sz w:val="22"/>
          <w:szCs w:val="22"/>
        </w:rPr>
        <w:t>(10)</w:t>
      </w:r>
    </w:p>
    <w:p w14:paraId="4769B85F" w14:textId="1D80F69D" w:rsidR="00F937C2" w:rsidRDefault="00C605CD" w:rsidP="001A6D2B">
      <w:r>
        <w:t>FV/SV</w:t>
      </w:r>
      <w:r w:rsidR="001A62C3" w:rsidRPr="00FF51B4">
        <w:t xml:space="preserve"> </w:t>
      </w:r>
      <w:r w:rsidR="006A1CC2">
        <w:t xml:space="preserve">are prevalent in </w:t>
      </w:r>
      <w:r w:rsidR="0012136D">
        <w:t xml:space="preserve">NZ </w:t>
      </w:r>
      <w:r w:rsidR="006A1CC2">
        <w:t xml:space="preserve">and </w:t>
      </w:r>
      <w:r w:rsidR="001A62C3">
        <w:t>directly affect nearly half (46%) of all women over their lifetim</w:t>
      </w:r>
      <w:r w:rsidR="001A62C3" w:rsidRPr="00F62463">
        <w:t>es.</w:t>
      </w:r>
      <w:r w:rsidR="001A62C3">
        <w:rPr>
          <w:rStyle w:val="FootnoteReference"/>
          <w:sz w:val="24"/>
          <w:szCs w:val="24"/>
        </w:rPr>
        <w:footnoteReference w:id="7"/>
      </w:r>
      <w:r w:rsidR="001A62C3" w:rsidRPr="00F62463">
        <w:t xml:space="preserve"> </w:t>
      </w:r>
      <w:r w:rsidR="001A62C3">
        <w:t>Even when women and children are able to “escape”, violence and abuse continue long after separation.</w:t>
      </w:r>
      <w:r w:rsidR="001A62C3">
        <w:rPr>
          <w:rStyle w:val="FootnoteReference"/>
          <w:sz w:val="24"/>
          <w:szCs w:val="24"/>
        </w:rPr>
        <w:footnoteReference w:id="8"/>
      </w:r>
      <w:r w:rsidR="001A62C3">
        <w:t xml:space="preserve"> </w:t>
      </w:r>
      <w:r w:rsidR="001D6DD2">
        <w:t xml:space="preserve"> </w:t>
      </w:r>
    </w:p>
    <w:p w14:paraId="0045CB68" w14:textId="6DE89A57" w:rsidR="0034775B" w:rsidRDefault="00840CE8" w:rsidP="001A6D2B">
      <w:r>
        <w:t xml:space="preserve">The </w:t>
      </w:r>
      <w:proofErr w:type="spellStart"/>
      <w:r>
        <w:t>Luxon</w:t>
      </w:r>
      <w:proofErr w:type="spellEnd"/>
      <w:r>
        <w:t xml:space="preserve"> Government (</w:t>
      </w:r>
      <w:r w:rsidR="00B4194F">
        <w:t>formed in November 2023</w:t>
      </w:r>
      <w:r>
        <w:t>)</w:t>
      </w:r>
      <w:r w:rsidR="00B4194F">
        <w:t xml:space="preserve"> </w:t>
      </w:r>
      <w:r w:rsidR="007415ED">
        <w:t xml:space="preserve">has introduced </w:t>
      </w:r>
      <w:r>
        <w:t xml:space="preserve">many </w:t>
      </w:r>
      <w:r w:rsidR="007415ED">
        <w:t xml:space="preserve">changes which are disproportionately </w:t>
      </w:r>
      <w:r w:rsidR="00B4194F">
        <w:t xml:space="preserve">and negatively impacting </w:t>
      </w:r>
      <w:r w:rsidR="007415ED">
        <w:t xml:space="preserve">women </w:t>
      </w:r>
      <w:r w:rsidR="00BC5DF8">
        <w:t>VS</w:t>
      </w:r>
      <w:r w:rsidR="007415ED">
        <w:t xml:space="preserve"> and significantly Māori, Pasifika, immigrant, disabled and trans and non-binary people.  </w:t>
      </w:r>
      <w:r w:rsidR="00B4194F">
        <w:t xml:space="preserve">These include: </w:t>
      </w:r>
    </w:p>
    <w:p w14:paraId="17A41F03" w14:textId="2205A9D1" w:rsidR="007415ED" w:rsidRPr="0034775B" w:rsidRDefault="00EF48BD" w:rsidP="001A6D2B">
      <w:pPr>
        <w:pStyle w:val="ListParagraph"/>
        <w:numPr>
          <w:ilvl w:val="0"/>
          <w:numId w:val="37"/>
        </w:numPr>
      </w:pPr>
      <w:r>
        <w:t>Moves to r</w:t>
      </w:r>
      <w:r w:rsidR="007415ED" w:rsidRPr="0034775B">
        <w:t xml:space="preserve">epeal section 7AA </w:t>
      </w:r>
      <w:r w:rsidR="00B4194F" w:rsidRPr="0034775B">
        <w:t xml:space="preserve">of the Oranga Tamariki Act </w:t>
      </w:r>
      <w:r w:rsidR="007415ED" w:rsidRPr="0034775B">
        <w:t xml:space="preserve">– </w:t>
      </w:r>
      <w:r w:rsidR="00840CE8">
        <w:t xml:space="preserve">this will </w:t>
      </w:r>
      <w:r w:rsidR="00246452" w:rsidRPr="0034775B">
        <w:t xml:space="preserve">remove a legal initiative which has led to a reduction in tamariki Māori (children) being taken into care. </w:t>
      </w:r>
      <w:r w:rsidR="00840CE8">
        <w:t xml:space="preserve">(VS often have </w:t>
      </w:r>
      <w:r w:rsidR="007415ED" w:rsidRPr="0034775B">
        <w:t xml:space="preserve">Oranga Tamariki </w:t>
      </w:r>
      <w:r w:rsidR="00246452" w:rsidRPr="0034775B">
        <w:t xml:space="preserve">(child </w:t>
      </w:r>
      <w:r w:rsidR="00840CE8">
        <w:t>protection</w:t>
      </w:r>
      <w:r w:rsidR="00246452" w:rsidRPr="0034775B">
        <w:t xml:space="preserve">) </w:t>
      </w:r>
      <w:r w:rsidR="007415ED" w:rsidRPr="0034775B">
        <w:t>involvement in their lives.</w:t>
      </w:r>
      <w:r w:rsidR="00840CE8">
        <w:t>)</w:t>
      </w:r>
    </w:p>
    <w:p w14:paraId="257BFAB8" w14:textId="7952DB64" w:rsidR="00E60E3C" w:rsidRDefault="00E60E3C" w:rsidP="00E60E3C">
      <w:pPr>
        <w:pStyle w:val="ListParagraph"/>
        <w:numPr>
          <w:ilvl w:val="0"/>
          <w:numId w:val="37"/>
        </w:numPr>
      </w:pPr>
      <w:r>
        <w:t xml:space="preserve">Cuts to funding of </w:t>
      </w:r>
      <w:r w:rsidR="00BE779F">
        <w:t>FV/SV</w:t>
      </w:r>
      <w:r>
        <w:t xml:space="preserve"> frontline services.</w:t>
      </w:r>
      <w:r>
        <w:rPr>
          <w:rStyle w:val="FootnoteReference"/>
        </w:rPr>
        <w:footnoteReference w:id="9"/>
      </w:r>
    </w:p>
    <w:p w14:paraId="0E4671E3" w14:textId="5FB31701" w:rsidR="007415ED" w:rsidRDefault="00246452" w:rsidP="001A6D2B">
      <w:pPr>
        <w:pStyle w:val="ListParagraph"/>
        <w:numPr>
          <w:ilvl w:val="0"/>
          <w:numId w:val="37"/>
        </w:numPr>
      </w:pPr>
      <w:r>
        <w:t xml:space="preserve">Increase in welfare </w:t>
      </w:r>
      <w:r w:rsidR="007415ED">
        <w:t>sanctions</w:t>
      </w:r>
      <w:r>
        <w:t>:</w:t>
      </w:r>
      <w:r w:rsidR="007415ED">
        <w:t xml:space="preserve"> disproportionately impacts </w:t>
      </w:r>
      <w:r w:rsidR="00BC5DF8">
        <w:t>VS</w:t>
      </w:r>
      <w:r w:rsidR="007415ED">
        <w:t xml:space="preserve"> </w:t>
      </w:r>
      <w:r w:rsidR="00840CE8">
        <w:t xml:space="preserve">as they </w:t>
      </w:r>
      <w:r w:rsidR="007415ED">
        <w:t xml:space="preserve">are far more likely </w:t>
      </w:r>
      <w:r>
        <w:t xml:space="preserve">than others </w:t>
      </w:r>
      <w:r w:rsidR="007415ED">
        <w:t>to rely on state sole parent support.</w:t>
      </w:r>
    </w:p>
    <w:p w14:paraId="3F8BC2FE" w14:textId="297BD9E0" w:rsidR="007415ED" w:rsidRDefault="007415ED" w:rsidP="001A6D2B">
      <w:pPr>
        <w:pStyle w:val="ListParagraph"/>
        <w:numPr>
          <w:ilvl w:val="0"/>
          <w:numId w:val="37"/>
        </w:numPr>
      </w:pPr>
      <w:r>
        <w:t xml:space="preserve">Cuts to </w:t>
      </w:r>
      <w:proofErr w:type="spellStart"/>
      <w:r>
        <w:t>Whaikaha</w:t>
      </w:r>
      <w:proofErr w:type="spellEnd"/>
      <w:r w:rsidR="00246452">
        <w:t xml:space="preserve"> disability support: </w:t>
      </w:r>
      <w:r>
        <w:t xml:space="preserve">high rates of disabled people are </w:t>
      </w:r>
      <w:r w:rsidR="00BC5DF8">
        <w:t>VS</w:t>
      </w:r>
      <w:r w:rsidR="00C605CD">
        <w:t>.</w:t>
      </w:r>
    </w:p>
    <w:p w14:paraId="351F627D" w14:textId="62799F25" w:rsidR="0067316C" w:rsidRDefault="00A31204" w:rsidP="001A6D2B">
      <w:pPr>
        <w:pStyle w:val="ListParagraph"/>
        <w:numPr>
          <w:ilvl w:val="0"/>
          <w:numId w:val="37"/>
        </w:numPr>
      </w:pPr>
      <w:hyperlink r:id="rId12" w:history="1">
        <w:r w:rsidR="00840CE8" w:rsidRPr="00840CE8">
          <w:rPr>
            <w:rStyle w:val="Hyperlink"/>
          </w:rPr>
          <w:t>Proposed c</w:t>
        </w:r>
        <w:r w:rsidR="0067316C" w:rsidRPr="00840CE8">
          <w:rPr>
            <w:rStyle w:val="Hyperlink"/>
          </w:rPr>
          <w:t xml:space="preserve">uts to the </w:t>
        </w:r>
        <w:r w:rsidR="00840CE8" w:rsidRPr="00840CE8">
          <w:rPr>
            <w:rStyle w:val="Hyperlink"/>
          </w:rPr>
          <w:t xml:space="preserve">digital </w:t>
        </w:r>
        <w:r w:rsidR="0067316C" w:rsidRPr="00840CE8">
          <w:rPr>
            <w:rStyle w:val="Hyperlink"/>
          </w:rPr>
          <w:t>safety team</w:t>
        </w:r>
      </w:hyperlink>
      <w:r w:rsidR="00840CE8">
        <w:t xml:space="preserve"> preventing online sexual exploitation</w:t>
      </w:r>
      <w:r w:rsidR="00C605CD">
        <w:t>.</w:t>
      </w:r>
    </w:p>
    <w:p w14:paraId="6FC46695" w14:textId="6EDB425A" w:rsidR="007415ED" w:rsidRDefault="007415ED" w:rsidP="001A6D2B">
      <w:pPr>
        <w:pStyle w:val="ListParagraph"/>
        <w:numPr>
          <w:ilvl w:val="0"/>
          <w:numId w:val="37"/>
        </w:numPr>
      </w:pPr>
      <w:r>
        <w:t xml:space="preserve">Human Rights Commission appointments </w:t>
      </w:r>
      <w:r w:rsidR="00840CE8">
        <w:t xml:space="preserve">of </w:t>
      </w:r>
      <w:hyperlink r:id="rId13" w:history="1">
        <w:r w:rsidRPr="00E60E3C">
          <w:rPr>
            <w:rStyle w:val="Hyperlink"/>
          </w:rPr>
          <w:t>two people who have made anti</w:t>
        </w:r>
        <w:r w:rsidR="00246452" w:rsidRPr="00E60E3C">
          <w:rPr>
            <w:rStyle w:val="Hyperlink"/>
          </w:rPr>
          <w:t>-</w:t>
        </w:r>
        <w:r w:rsidRPr="00E60E3C">
          <w:rPr>
            <w:rStyle w:val="Hyperlink"/>
          </w:rPr>
          <w:t>trans comments</w:t>
        </w:r>
      </w:hyperlink>
      <w:r>
        <w:t xml:space="preserve"> publicly</w:t>
      </w:r>
      <w:r w:rsidR="00246452">
        <w:t xml:space="preserve">, including </w:t>
      </w:r>
      <w:r w:rsidR="00840CE8">
        <w:t xml:space="preserve">the Chief Human Rights Commissioner and </w:t>
      </w:r>
      <w:r w:rsidR="00246452">
        <w:t>the race relations commissioner</w:t>
      </w:r>
      <w:r w:rsidR="0067316C">
        <w:t>,</w:t>
      </w:r>
      <w:r w:rsidR="00246452">
        <w:t xml:space="preserve"> who was </w:t>
      </w:r>
      <w:r w:rsidR="00E60E3C">
        <w:t xml:space="preserve">also </w:t>
      </w:r>
      <w:r w:rsidR="00246452">
        <w:t xml:space="preserve">described by leading </w:t>
      </w:r>
      <w:r w:rsidR="0067316C">
        <w:t xml:space="preserve">Kaupapa </w:t>
      </w:r>
      <w:r w:rsidR="00246452">
        <w:t xml:space="preserve">Māori </w:t>
      </w:r>
      <w:r w:rsidR="0067316C">
        <w:t>researcher</w:t>
      </w:r>
      <w:r w:rsidR="00246452">
        <w:t xml:space="preserve"> Leonie </w:t>
      </w:r>
      <w:proofErr w:type="spellStart"/>
      <w:r w:rsidR="00246452">
        <w:t>Pihama</w:t>
      </w:r>
      <w:proofErr w:type="spellEnd"/>
      <w:r w:rsidR="00246452">
        <w:t xml:space="preserve"> in 2018 as showing “</w:t>
      </w:r>
      <w:r w:rsidR="00246452" w:rsidRPr="00246452">
        <w:t>a fundamentally flawed understanding of racism and racial hierarchies and how they operate within power dynamics within society</w:t>
      </w:r>
      <w:r w:rsidR="00246452">
        <w:t>”, positioning which “</w:t>
      </w:r>
      <w:r w:rsidR="00246452" w:rsidRPr="00246452">
        <w:t>is uninformed and therefore extremely dangerous for Māori</w:t>
      </w:r>
      <w:r w:rsidR="00246452">
        <w:t>”</w:t>
      </w:r>
      <w:r>
        <w:t>.</w:t>
      </w:r>
      <w:r w:rsidR="0067316C">
        <w:rPr>
          <w:rStyle w:val="FootnoteReference"/>
          <w:sz w:val="24"/>
          <w:szCs w:val="24"/>
        </w:rPr>
        <w:footnoteReference w:id="10"/>
      </w:r>
      <w:r>
        <w:t xml:space="preserve"> </w:t>
      </w:r>
    </w:p>
    <w:p w14:paraId="0EA7371D" w14:textId="33FE0687" w:rsidR="007415ED" w:rsidRPr="007E7431" w:rsidRDefault="007415ED" w:rsidP="001A6D2B">
      <w:pPr>
        <w:pStyle w:val="ListParagraph"/>
        <w:numPr>
          <w:ilvl w:val="0"/>
          <w:numId w:val="37"/>
        </w:numPr>
      </w:pPr>
      <w:r w:rsidRPr="007E7431">
        <w:t xml:space="preserve">Police withdrawing from responding to </w:t>
      </w:r>
      <w:r w:rsidR="00E60E3C">
        <w:t>“</w:t>
      </w:r>
      <w:r w:rsidRPr="007E7431">
        <w:t>Family Harm</w:t>
      </w:r>
      <w:r w:rsidR="00E60E3C">
        <w:t>”</w:t>
      </w:r>
      <w:r>
        <w:t xml:space="preserve"> – </w:t>
      </w:r>
      <w:r w:rsidR="0012136D">
        <w:t>see</w:t>
      </w:r>
      <w:r>
        <w:t xml:space="preserve"> below.</w:t>
      </w:r>
    </w:p>
    <w:p w14:paraId="1060FB6F" w14:textId="78A71D65" w:rsidR="006A1E5C" w:rsidRDefault="0018398B" w:rsidP="00B523AA">
      <w:r w:rsidRPr="001A57E3">
        <w:rPr>
          <w:b/>
          <w:shd w:val="clear" w:color="auto" w:fill="F6CDC2" w:themeFill="accent3"/>
        </w:rPr>
        <w:t xml:space="preserve">The introduction of Te </w:t>
      </w:r>
      <w:proofErr w:type="spellStart"/>
      <w:r w:rsidRPr="001A57E3">
        <w:rPr>
          <w:b/>
          <w:shd w:val="clear" w:color="auto" w:fill="F6CDC2" w:themeFill="accent3"/>
        </w:rPr>
        <w:t>Puna</w:t>
      </w:r>
      <w:proofErr w:type="spellEnd"/>
      <w:r w:rsidRPr="001A57E3">
        <w:rPr>
          <w:b/>
          <w:shd w:val="clear" w:color="auto" w:fill="F6CDC2" w:themeFill="accent3"/>
        </w:rPr>
        <w:t xml:space="preserve"> </w:t>
      </w:r>
      <w:proofErr w:type="spellStart"/>
      <w:r w:rsidRPr="001A57E3">
        <w:rPr>
          <w:b/>
          <w:shd w:val="clear" w:color="auto" w:fill="F6CDC2" w:themeFill="accent3"/>
        </w:rPr>
        <w:t>Aonui</w:t>
      </w:r>
      <w:proofErr w:type="spellEnd"/>
      <w:r w:rsidRPr="001A57E3">
        <w:rPr>
          <w:b/>
          <w:shd w:val="clear" w:color="auto" w:fill="F6CDC2" w:themeFill="accent3"/>
        </w:rPr>
        <w:t xml:space="preserve"> </w:t>
      </w:r>
      <w:r w:rsidR="0067316C" w:rsidRPr="001A57E3">
        <w:rPr>
          <w:b/>
          <w:shd w:val="clear" w:color="auto" w:fill="F6CDC2" w:themeFill="accent3"/>
        </w:rPr>
        <w:t xml:space="preserve">(TPA) </w:t>
      </w:r>
      <w:r w:rsidR="00E60E3C" w:rsidRPr="001A57E3">
        <w:rPr>
          <w:b/>
          <w:shd w:val="clear" w:color="auto" w:fill="F6CDC2" w:themeFill="accent3"/>
        </w:rPr>
        <w:t xml:space="preserve">(multi-agency board and business unit) </w:t>
      </w:r>
      <w:r w:rsidR="00ED333E" w:rsidRPr="001A57E3">
        <w:rPr>
          <w:b/>
          <w:shd w:val="clear" w:color="auto" w:fill="F6CDC2" w:themeFill="accent3"/>
        </w:rPr>
        <w:t xml:space="preserve">and Te Aorerekura </w:t>
      </w:r>
      <w:r w:rsidR="0067316C" w:rsidRPr="001A57E3">
        <w:rPr>
          <w:b/>
          <w:shd w:val="clear" w:color="auto" w:fill="F6CDC2" w:themeFill="accent3"/>
        </w:rPr>
        <w:t xml:space="preserve">strategy to eliminate </w:t>
      </w:r>
      <w:r w:rsidR="00C605CD" w:rsidRPr="001A57E3">
        <w:rPr>
          <w:b/>
          <w:shd w:val="clear" w:color="auto" w:fill="F6CDC2" w:themeFill="accent3"/>
        </w:rPr>
        <w:t>FV/SV</w:t>
      </w:r>
      <w:r w:rsidR="0067316C" w:rsidRPr="001A57E3">
        <w:rPr>
          <w:b/>
          <w:shd w:val="clear" w:color="auto" w:fill="F6CDC2" w:themeFill="accent3"/>
        </w:rPr>
        <w:t xml:space="preserve"> </w:t>
      </w:r>
      <w:r w:rsidRPr="001A57E3">
        <w:rPr>
          <w:b/>
          <w:shd w:val="clear" w:color="auto" w:fill="F6CDC2" w:themeFill="accent3"/>
        </w:rPr>
        <w:t xml:space="preserve">has not </w:t>
      </w:r>
      <w:r w:rsidR="0067316C" w:rsidRPr="001A57E3">
        <w:rPr>
          <w:b/>
          <w:shd w:val="clear" w:color="auto" w:fill="F6CDC2" w:themeFill="accent3"/>
        </w:rPr>
        <w:t xml:space="preserve">yet </w:t>
      </w:r>
      <w:r w:rsidRPr="001A57E3">
        <w:rPr>
          <w:b/>
          <w:shd w:val="clear" w:color="auto" w:fill="F6CDC2" w:themeFill="accent3"/>
        </w:rPr>
        <w:t xml:space="preserve">improved the material experiences or safety of women and children </w:t>
      </w:r>
      <w:r w:rsidR="00BC5DF8" w:rsidRPr="001A57E3">
        <w:rPr>
          <w:b/>
          <w:shd w:val="clear" w:color="auto" w:fill="F6CDC2" w:themeFill="accent3"/>
        </w:rPr>
        <w:t>VS</w:t>
      </w:r>
      <w:r w:rsidRPr="001A57E3">
        <w:rPr>
          <w:b/>
          <w:shd w:val="clear" w:color="auto" w:fill="F6CDC2" w:themeFill="accent3"/>
        </w:rPr>
        <w:t>.</w:t>
      </w:r>
      <w:r>
        <w:t xml:space="preserve"> The </w:t>
      </w:r>
      <w:r w:rsidR="0067316C">
        <w:t xml:space="preserve">TPA </w:t>
      </w:r>
      <w:r>
        <w:t xml:space="preserve">business unit is not structured or given the </w:t>
      </w:r>
      <w:r w:rsidR="000A0245">
        <w:t>mandate</w:t>
      </w:r>
      <w:r>
        <w:t xml:space="preserve"> to hold government agencies to account for how they</w:t>
      </w:r>
      <w:r w:rsidR="0067316C">
        <w:t xml:space="preserve"> deliver actions, work collaboratively with agencies and community, or respond individually to </w:t>
      </w:r>
      <w:r w:rsidR="00BC5DF8">
        <w:t>VS</w:t>
      </w:r>
      <w:r w:rsidR="0067316C">
        <w:t>.</w:t>
      </w:r>
      <w:r>
        <w:t xml:space="preserve"> </w:t>
      </w:r>
    </w:p>
    <w:p w14:paraId="50418901" w14:textId="133F83B0" w:rsidR="00ED333E" w:rsidRDefault="0018398B" w:rsidP="00ED333E">
      <w:pPr>
        <w:spacing w:after="120"/>
      </w:pPr>
      <w:r>
        <w:t xml:space="preserve">Community groups have committed large amounts of time to writing </w:t>
      </w:r>
      <w:r w:rsidR="00ED333E">
        <w:t>submissions</w:t>
      </w:r>
      <w:r>
        <w:t xml:space="preserve">, meeting with </w:t>
      </w:r>
      <w:r w:rsidR="0067316C">
        <w:t xml:space="preserve">TPA </w:t>
      </w:r>
      <w:r w:rsidR="006A1E5C">
        <w:t>team</w:t>
      </w:r>
      <w:r w:rsidR="00ED333E">
        <w:t>s</w:t>
      </w:r>
      <w:r>
        <w:t>, creating research and reports to help advise</w:t>
      </w:r>
      <w:r w:rsidR="0067316C">
        <w:t xml:space="preserve"> (and TPA funds some groups</w:t>
      </w:r>
      <w:r w:rsidR="001A6D2B">
        <w:t xml:space="preserve"> </w:t>
      </w:r>
      <w:r w:rsidR="0067316C">
        <w:t>to do so)</w:t>
      </w:r>
      <w:r>
        <w:t xml:space="preserve">. However, </w:t>
      </w:r>
      <w:r w:rsidR="006A1E5C">
        <w:t>our ongoing</w:t>
      </w:r>
      <w:r>
        <w:t xml:space="preserve"> experience is that the business unit </w:t>
      </w:r>
      <w:r w:rsidR="00ED333E">
        <w:t>is not responsive to our input</w:t>
      </w:r>
      <w:r>
        <w:t>. Action Plan</w:t>
      </w:r>
      <w:r w:rsidR="00E60E3C">
        <w:t>s</w:t>
      </w:r>
      <w:r>
        <w:t xml:space="preserve"> reflect the </w:t>
      </w:r>
      <w:r w:rsidR="006A1E5C">
        <w:t>priorities</w:t>
      </w:r>
      <w:r>
        <w:t xml:space="preserve"> of government agencies and not </w:t>
      </w:r>
      <w:r w:rsidR="00BC5DF8">
        <w:t>VS</w:t>
      </w:r>
      <w:r>
        <w:t xml:space="preserve">. </w:t>
      </w:r>
      <w:r w:rsidR="006A1E5C" w:rsidRPr="000A0245">
        <w:t xml:space="preserve">Te Aorerekura </w:t>
      </w:r>
      <w:hyperlink r:id="rId14">
        <w:r w:rsidR="006A1E5C" w:rsidRPr="000A0245">
          <w:t>Outcomes and Measurement Framework</w:t>
        </w:r>
      </w:hyperlink>
      <w:r w:rsidR="006A1E5C" w:rsidRPr="000A0245">
        <w:t xml:space="preserve"> (OMF), published Oct 2023, states that the 'inclusion of the voices of </w:t>
      </w:r>
      <w:r w:rsidR="00E60E3C">
        <w:t>victim-survivors</w:t>
      </w:r>
      <w:r w:rsidR="00E60E3C" w:rsidRPr="000A0245">
        <w:t xml:space="preserve">' </w:t>
      </w:r>
      <w:r w:rsidR="006A1E5C" w:rsidRPr="000A0245">
        <w:t xml:space="preserve">for learning and monitoring purposes is a priority (p.22). However, </w:t>
      </w:r>
      <w:r w:rsidR="0067316C">
        <w:t xml:space="preserve">none of </w:t>
      </w:r>
      <w:r w:rsidR="006A1E5C" w:rsidRPr="000A0245">
        <w:t xml:space="preserve">the planned outcomes and measurements </w:t>
      </w:r>
      <w:r w:rsidR="0067316C">
        <w:t xml:space="preserve">mention </w:t>
      </w:r>
      <w:r w:rsidR="00BC5DF8">
        <w:t>VS</w:t>
      </w:r>
      <w:r w:rsidR="0067316C">
        <w:t xml:space="preserve"> directly, and </w:t>
      </w:r>
      <w:r w:rsidR="00E60E3C">
        <w:t xml:space="preserve">they </w:t>
      </w:r>
      <w:r w:rsidR="006A1E5C" w:rsidRPr="000A0245">
        <w:t xml:space="preserve">carry a high risk of silencing, de-prioritising, and ignoring </w:t>
      </w:r>
      <w:r w:rsidR="007D6347">
        <w:t>VS</w:t>
      </w:r>
      <w:r w:rsidR="006A1E5C" w:rsidRPr="000A0245">
        <w:t xml:space="preserve"> experience – even though the services being measured are ostensibly for </w:t>
      </w:r>
      <w:r w:rsidR="00BC5DF8">
        <w:t>VS</w:t>
      </w:r>
      <w:r w:rsidR="006A1E5C" w:rsidRPr="000A0245">
        <w:t xml:space="preserve">. Many of </w:t>
      </w:r>
      <w:r w:rsidR="006A1E5C" w:rsidRPr="000A0245">
        <w:lastRenderedPageBreak/>
        <w:t xml:space="preserve">the planned data sources relevant to </w:t>
      </w:r>
      <w:r w:rsidR="00C50907">
        <w:t>VS</w:t>
      </w:r>
      <w:r w:rsidR="006A1E5C" w:rsidRPr="000A0245">
        <w:t xml:space="preserve"> experience of system response are assessments by the workforce, rather than assessments by </w:t>
      </w:r>
      <w:r w:rsidR="00BC5DF8">
        <w:t>VS</w:t>
      </w:r>
      <w:r w:rsidR="006A1E5C" w:rsidRPr="000A0245">
        <w:t xml:space="preserve"> and end users. </w:t>
      </w:r>
      <w:r w:rsidR="00E60E3C">
        <w:t>TPA c</w:t>
      </w:r>
      <w:r w:rsidR="00616894">
        <w:t xml:space="preserve">onsultations have short time-frames </w:t>
      </w:r>
      <w:r w:rsidR="00E60E3C">
        <w:t xml:space="preserve">and </w:t>
      </w:r>
      <w:r w:rsidR="00616894">
        <w:t xml:space="preserve">planned analysis of community-offered data </w:t>
      </w:r>
      <w:r w:rsidR="00E60E3C">
        <w:t>lacks both transparency and a gendered analysis</w:t>
      </w:r>
      <w:r w:rsidR="00ED333E" w:rsidRPr="000A0245">
        <w:t xml:space="preserve">. </w:t>
      </w:r>
    </w:p>
    <w:p w14:paraId="555177C0" w14:textId="391E87EE" w:rsidR="00934F5F" w:rsidRPr="00934F5F" w:rsidRDefault="00934F5F" w:rsidP="00ED333E">
      <w:pPr>
        <w:spacing w:after="120"/>
        <w:rPr>
          <w:b/>
        </w:rPr>
      </w:pPr>
      <w:r w:rsidRPr="00934F5F">
        <w:rPr>
          <w:b/>
        </w:rPr>
        <w:t>Stalking</w:t>
      </w:r>
    </w:p>
    <w:p w14:paraId="635188EE" w14:textId="36A43536" w:rsidR="00934F5F" w:rsidRDefault="00934F5F" w:rsidP="00ED333E">
      <w:pPr>
        <w:spacing w:after="120"/>
      </w:pPr>
      <w:r>
        <w:t xml:space="preserve">The Coalition has </w:t>
      </w:r>
      <w:r w:rsidR="00CE2525">
        <w:t>advocated for</w:t>
      </w:r>
      <w:r>
        <w:t xml:space="preserve"> a law to criminalise stalking for many years. At the presentation of a </w:t>
      </w:r>
      <w:hyperlink r:id="rId15" w:history="1">
        <w:r w:rsidRPr="00CE2525">
          <w:rPr>
            <w:rStyle w:val="Hyperlink"/>
          </w:rPr>
          <w:t>petition</w:t>
        </w:r>
      </w:hyperlink>
      <w:r>
        <w:t xml:space="preserve"> with over 21,000 signatures, </w:t>
      </w:r>
      <w:r w:rsidR="00CE2525">
        <w:t xml:space="preserve">the </w:t>
      </w:r>
      <w:r>
        <w:t xml:space="preserve">current Minister of Justice publicly committed to getting a bill in the House by the end of </w:t>
      </w:r>
      <w:r w:rsidR="00CE2525">
        <w:t>2024</w:t>
      </w:r>
      <w:r>
        <w:t>. The Coalition, in consultation with others, have submitted to the Ministry of Justice</w:t>
      </w:r>
      <w:r w:rsidR="00652967">
        <w:t xml:space="preserve"> (</w:t>
      </w:r>
      <w:proofErr w:type="spellStart"/>
      <w:r w:rsidR="00652967">
        <w:t>MoJ</w:t>
      </w:r>
      <w:proofErr w:type="spellEnd"/>
      <w:r w:rsidR="00652967">
        <w:t>)</w:t>
      </w:r>
      <w:r>
        <w:t xml:space="preserve"> critical aspects that need to be </w:t>
      </w:r>
      <w:r w:rsidR="000C769C">
        <w:t>in</w:t>
      </w:r>
      <w:r>
        <w:t xml:space="preserve"> the bill, including that the bill defines stalking as a pattern of intrusive behaviour; not require proof from the victim of fear or harm, thus minimising further harm to victims </w:t>
      </w:r>
      <w:r w:rsidR="00CE2525">
        <w:t>during</w:t>
      </w:r>
      <w:r>
        <w:t xml:space="preserve"> prosecut</w:t>
      </w:r>
      <w:r w:rsidR="00CE2525">
        <w:t>ion</w:t>
      </w:r>
      <w:r>
        <w:t xml:space="preserve">; and that the bill be followed by publication of guidance and training informed by </w:t>
      </w:r>
      <w:r w:rsidR="00CE2525">
        <w:t>FV</w:t>
      </w:r>
      <w:r>
        <w:t xml:space="preserve"> specialists for police, lawyers and the judiciary</w:t>
      </w:r>
      <w:r w:rsidR="00CE2525">
        <w:t>.</w:t>
      </w:r>
    </w:p>
    <w:p w14:paraId="31070A70" w14:textId="53A8F3E1" w:rsidR="005C2CDA" w:rsidRPr="005C2CDA" w:rsidRDefault="005C2CDA" w:rsidP="00ED333E">
      <w:pPr>
        <w:spacing w:after="120"/>
        <w:rPr>
          <w:b/>
        </w:rPr>
      </w:pPr>
      <w:r w:rsidRPr="005C2CDA">
        <w:rPr>
          <w:b/>
        </w:rPr>
        <w:t>FV Visa settings</w:t>
      </w:r>
    </w:p>
    <w:p w14:paraId="17D0E522" w14:textId="086BCD03" w:rsidR="005C2CDA" w:rsidRDefault="005C2CDA" w:rsidP="005C2CDA">
      <w:pPr>
        <w:spacing w:after="120"/>
      </w:pPr>
      <w:r>
        <w:t xml:space="preserve">Changes to FV Visa settings this year were welcomed. However, </w:t>
      </w:r>
      <w:r w:rsidRPr="001A57E3">
        <w:rPr>
          <w:b/>
          <w:shd w:val="clear" w:color="auto" w:fill="F6CDC2" w:themeFill="accent3"/>
        </w:rPr>
        <w:t>there remain substantive barriers for FV victims – many of which are already known to Immigration NZ, including time delays, cost, understanding of FV and wide exclusion clauses.</w:t>
      </w:r>
      <w:r>
        <w:t xml:space="preserve"> We have written to Ministers asking Government to reform the various barriers and provided general principles relevant to immigration cases where FV is a factor, whether or not the woman’s visa or residency application is tied to her partner. Furthermore, women who apply for FV visas need access to healthcare </w:t>
      </w:r>
      <w:r w:rsidRPr="005C2CDA">
        <w:t>at resident rates and be eligible for state income support.</w:t>
      </w:r>
    </w:p>
    <w:p w14:paraId="60D3E03A" w14:textId="25EE3B50" w:rsidR="008F17DA" w:rsidRPr="00C605CD" w:rsidRDefault="0048587B" w:rsidP="003A43D4">
      <w:pPr>
        <w:pStyle w:val="header2"/>
        <w:rPr>
          <w:rStyle w:val="IntenseEmphasis"/>
          <w:i w:val="0"/>
          <w:iCs w:val="0"/>
          <w:color w:val="40395F" w:themeColor="accent6"/>
        </w:rPr>
      </w:pPr>
      <w:r w:rsidRPr="00C605CD">
        <w:rPr>
          <w:rStyle w:val="IntenseEmphasis"/>
          <w:i w:val="0"/>
          <w:iCs w:val="0"/>
          <w:color w:val="40395F" w:themeColor="accent6"/>
        </w:rPr>
        <w:t>Unsafe Family Court response</w:t>
      </w:r>
    </w:p>
    <w:p w14:paraId="765F42EA" w14:textId="0D8406F3" w:rsidR="0048587B" w:rsidRPr="00C0374D" w:rsidRDefault="0048587B" w:rsidP="00596D3F">
      <w:pPr>
        <w:rPr>
          <w:rStyle w:val="IntenseEmphasis"/>
          <w:b/>
          <w:i w:val="0"/>
          <w:iCs w:val="0"/>
          <w:color w:val="auto"/>
        </w:rPr>
      </w:pPr>
      <w:r w:rsidRPr="00C0374D">
        <w:rPr>
          <w:rStyle w:val="IntenseEmphasis"/>
          <w:b/>
          <w:i w:val="0"/>
          <w:iCs w:val="0"/>
          <w:color w:val="auto"/>
        </w:rPr>
        <w:t>Marriage and family relations</w:t>
      </w:r>
      <w:r w:rsidR="00E517C4" w:rsidRPr="00C0374D">
        <w:rPr>
          <w:rStyle w:val="IntenseEmphasis"/>
          <w:b/>
          <w:i w:val="0"/>
          <w:iCs w:val="0"/>
          <w:color w:val="auto"/>
        </w:rPr>
        <w:t xml:space="preserve"> </w:t>
      </w:r>
      <w:r w:rsidR="00C605CD" w:rsidRPr="00C0374D">
        <w:rPr>
          <w:rStyle w:val="IntenseEmphasis"/>
          <w:b/>
          <w:i w:val="0"/>
          <w:iCs w:val="0"/>
          <w:color w:val="auto"/>
        </w:rPr>
        <w:t>(</w:t>
      </w:r>
      <w:r w:rsidR="008A1462" w:rsidRPr="00C0374D">
        <w:rPr>
          <w:rStyle w:val="IntenseEmphasis"/>
          <w:b/>
          <w:i w:val="0"/>
          <w:iCs w:val="0"/>
          <w:color w:val="auto"/>
        </w:rPr>
        <w:t>23,24</w:t>
      </w:r>
      <w:r w:rsidR="00C605CD" w:rsidRPr="00C0374D">
        <w:rPr>
          <w:rStyle w:val="IntenseEmphasis"/>
          <w:b/>
          <w:i w:val="0"/>
          <w:iCs w:val="0"/>
          <w:color w:val="auto"/>
        </w:rPr>
        <w:t>)</w:t>
      </w:r>
    </w:p>
    <w:p w14:paraId="07B61E44" w14:textId="31A608F4" w:rsidR="00F937C2" w:rsidRDefault="00F937C2" w:rsidP="00F937C2">
      <w:r>
        <w:t xml:space="preserve">Backbone and the Coalition have repeatedly raised the issue </w:t>
      </w:r>
      <w:r w:rsidR="00F656F8">
        <w:t xml:space="preserve">(locally and internationally) </w:t>
      </w:r>
      <w:r>
        <w:t xml:space="preserve">of the NZ government’s failing to respond safely to women and children </w:t>
      </w:r>
      <w:r w:rsidR="00BC5DF8">
        <w:t>VS</w:t>
      </w:r>
      <w:r>
        <w:t xml:space="preserve"> of </w:t>
      </w:r>
      <w:r w:rsidR="00C605CD">
        <w:t>FV/SV</w:t>
      </w:r>
      <w:r>
        <w:t xml:space="preserve"> in the </w:t>
      </w:r>
      <w:r w:rsidR="0012136D">
        <w:t>NZFC</w:t>
      </w:r>
      <w:r>
        <w:t>.</w:t>
      </w:r>
      <w:r w:rsidR="00F656F8">
        <w:rPr>
          <w:rStyle w:val="FootnoteReference"/>
        </w:rPr>
        <w:footnoteReference w:id="11"/>
      </w:r>
      <w:r>
        <w:t xml:space="preserve"> </w:t>
      </w:r>
      <w:r w:rsidRPr="001A6D2B">
        <w:rPr>
          <w:b/>
          <w:shd w:val="clear" w:color="auto" w:fill="F6CDC2" w:themeFill="accent3"/>
        </w:rPr>
        <w:t xml:space="preserve">Since the </w:t>
      </w:r>
      <w:r w:rsidR="006A1CC2" w:rsidRPr="001A6D2B">
        <w:rPr>
          <w:b/>
          <w:shd w:val="clear" w:color="auto" w:fill="F6CDC2" w:themeFill="accent3"/>
        </w:rPr>
        <w:t>most recent</w:t>
      </w:r>
      <w:r w:rsidRPr="001A6D2B">
        <w:rPr>
          <w:b/>
          <w:shd w:val="clear" w:color="auto" w:fill="F6CDC2" w:themeFill="accent3"/>
        </w:rPr>
        <w:t xml:space="preserve"> examination of NZ in 2020, there have been no practical or material improvements made</w:t>
      </w:r>
      <w:r w:rsidR="0012136D">
        <w:rPr>
          <w:b/>
          <w:shd w:val="clear" w:color="auto" w:fill="F6CDC2" w:themeFill="accent3"/>
        </w:rPr>
        <w:t>,</w:t>
      </w:r>
      <w:r w:rsidRPr="001A6D2B">
        <w:rPr>
          <w:b/>
          <w:shd w:val="clear" w:color="auto" w:fill="F6CDC2" w:themeFill="accent3"/>
        </w:rPr>
        <w:t xml:space="preserve"> contrary to claims made in the State report to CEDAW (2023)</w:t>
      </w:r>
      <w:r w:rsidRPr="001A6D2B">
        <w:rPr>
          <w:rStyle w:val="FootnoteReference"/>
          <w:b/>
          <w:shd w:val="clear" w:color="auto" w:fill="F6CDC2" w:themeFill="accent3"/>
        </w:rPr>
        <w:footnoteReference w:id="12"/>
      </w:r>
      <w:r w:rsidRPr="001A6D2B">
        <w:rPr>
          <w:b/>
          <w:shd w:val="clear" w:color="auto" w:fill="F6CDC2" w:themeFill="accent3"/>
        </w:rPr>
        <w:t>.</w:t>
      </w:r>
      <w:r>
        <w:t xml:space="preserve"> Our </w:t>
      </w:r>
      <w:r w:rsidR="0012136D">
        <w:t>organisation</w:t>
      </w:r>
      <w:r>
        <w:t xml:space="preserve">s continue to hear from hundreds of women who explain that the </w:t>
      </w:r>
      <w:r w:rsidR="0012136D">
        <w:t>NZFC</w:t>
      </w:r>
      <w:r>
        <w:t xml:space="preserve"> is the biggest barrier to their and their children’s safety and recovery from violence.</w:t>
      </w:r>
    </w:p>
    <w:p w14:paraId="70B3B964" w14:textId="0182DB36" w:rsidR="00F937C2" w:rsidRPr="006A1CC2" w:rsidRDefault="00895F48" w:rsidP="00F937C2">
      <w:r>
        <w:t xml:space="preserve">A </w:t>
      </w:r>
      <w:r w:rsidR="00F937C2" w:rsidRPr="006A1CC2">
        <w:t xml:space="preserve">high number of cases before the Family Courts – perhaps the majority – involve </w:t>
      </w:r>
      <w:r w:rsidR="00BC5DF8">
        <w:t>VS</w:t>
      </w:r>
      <w:r w:rsidR="00F937C2" w:rsidRPr="006A1CC2">
        <w:t xml:space="preserve"> and their abusers.</w:t>
      </w:r>
      <w:r w:rsidR="00F937C2" w:rsidRPr="006A1CC2">
        <w:rPr>
          <w:vertAlign w:val="superscript"/>
        </w:rPr>
        <w:footnoteReference w:id="13"/>
      </w:r>
      <w:r w:rsidR="00F937C2" w:rsidRPr="006A1CC2">
        <w:t xml:space="preserve"> </w:t>
      </w:r>
      <w:r>
        <w:t>C</w:t>
      </w:r>
      <w:r w:rsidR="00F937C2" w:rsidRPr="006A1CC2">
        <w:t>ourt</w:t>
      </w:r>
      <w:r>
        <w:t>-</w:t>
      </w:r>
      <w:r w:rsidR="00F937C2" w:rsidRPr="006A1CC2">
        <w:t xml:space="preserve">ordered co-parenting arrangements are often exploited by abusers to continue physical and psychological violence on their </w:t>
      </w:r>
      <w:r w:rsidR="00C605CD" w:rsidRPr="006A1CC2">
        <w:t>ex-partner</w:t>
      </w:r>
      <w:r w:rsidR="00F937C2" w:rsidRPr="006A1CC2">
        <w:t xml:space="preserve"> and children.</w:t>
      </w:r>
      <w:r w:rsidR="00F937C2" w:rsidRPr="006A1CC2">
        <w:rPr>
          <w:vertAlign w:val="superscript"/>
        </w:rPr>
        <w:footnoteReference w:id="14"/>
      </w:r>
      <w:r w:rsidR="00F937C2" w:rsidRPr="006A1CC2">
        <w:rPr>
          <w:vertAlign w:val="superscript"/>
        </w:rPr>
        <w:t xml:space="preserve"> </w:t>
      </w:r>
      <w:r w:rsidR="00F937C2" w:rsidRPr="006A1CC2">
        <w:t>Current state and judiciary responses put victims at further risk and embolden abusers</w:t>
      </w:r>
      <w:r>
        <w:t xml:space="preserve"> who</w:t>
      </w:r>
      <w:r w:rsidRPr="000D35E8">
        <w:t xml:space="preserve"> receive the backing of the Court and state agencies to continue – and increase – their violence.</w:t>
      </w:r>
      <w:r w:rsidRPr="000D35E8">
        <w:rPr>
          <w:shd w:val="clear" w:color="auto" w:fill="FFFFFF"/>
        </w:rPr>
        <w:t xml:space="preserve"> </w:t>
      </w:r>
      <w:r w:rsidRPr="000D35E8">
        <w:t xml:space="preserve">With nowhere left to turn, the horror and hopelessness for </w:t>
      </w:r>
      <w:r>
        <w:t>VS</w:t>
      </w:r>
      <w:r w:rsidRPr="000D35E8">
        <w:t xml:space="preserve"> can increase by an order of magnitude.</w:t>
      </w:r>
    </w:p>
    <w:p w14:paraId="3BF4E9BD" w14:textId="4C6F9347" w:rsidR="009F7A75" w:rsidRPr="006A1CC2" w:rsidRDefault="00895F48" w:rsidP="001A6D2B">
      <w:r>
        <w:lastRenderedPageBreak/>
        <w:t>M</w:t>
      </w:r>
      <w:r w:rsidR="009F7A75" w:rsidRPr="006A1CC2">
        <w:t xml:space="preserve">any mothers have reported to </w:t>
      </w:r>
      <w:r w:rsidR="00B34417">
        <w:t>us</w:t>
      </w:r>
      <w:r w:rsidR="009F7A75" w:rsidRPr="006A1CC2">
        <w:t xml:space="preserve"> that their own lawyers advised them the </w:t>
      </w:r>
      <w:r w:rsidR="0012136D">
        <w:t>NZFC</w:t>
      </w:r>
      <w:r w:rsidR="009F7A75" w:rsidRPr="006A1CC2">
        <w:t xml:space="preserve"> would see them as obstructive if they mentioned the </w:t>
      </w:r>
      <w:r w:rsidR="0012136D">
        <w:t>FV/SV</w:t>
      </w:r>
      <w:r w:rsidR="009F7A75" w:rsidRPr="006A1CC2">
        <w:t xml:space="preserve"> experienced by themselves or their children either during their relationship, or since separation, in their court proceedings. That advice from lawyers is based on accurate assessment of the court’s current response to </w:t>
      </w:r>
      <w:r w:rsidR="0012136D">
        <w:t>FV/SV</w:t>
      </w:r>
      <w:r w:rsidR="009F7A75" w:rsidRPr="006A1CC2">
        <w:t xml:space="preserve">. </w:t>
      </w:r>
    </w:p>
    <w:p w14:paraId="40921A5D" w14:textId="42684389" w:rsidR="009F7A75" w:rsidRPr="00DF188D" w:rsidRDefault="00780CD1" w:rsidP="001A6D2B">
      <w:pPr>
        <w:rPr>
          <w:rFonts w:ascii="Calibri" w:hAnsi="Calibri" w:cs="Calibri"/>
          <w:color w:val="000000"/>
        </w:rPr>
      </w:pPr>
      <w:r>
        <w:rPr>
          <w:rFonts w:ascii="Calibri" w:hAnsi="Calibri" w:cs="Calibri"/>
          <w:color w:val="000000"/>
        </w:rPr>
        <w:t>We have identified a number of c</w:t>
      </w:r>
      <w:r w:rsidR="009F7A75">
        <w:rPr>
          <w:rFonts w:ascii="Calibri" w:hAnsi="Calibri" w:cs="Calibri"/>
          <w:color w:val="000000"/>
        </w:rPr>
        <w:t>ontributing issues</w:t>
      </w:r>
      <w:r>
        <w:rPr>
          <w:rFonts w:ascii="Calibri" w:hAnsi="Calibri" w:cs="Calibri"/>
          <w:color w:val="000000"/>
        </w:rPr>
        <w:t xml:space="preserve"> which we have repeatedly raised to the NZ State party</w:t>
      </w:r>
      <w:r w:rsidR="00895F48">
        <w:rPr>
          <w:rFonts w:ascii="Calibri" w:hAnsi="Calibri" w:cs="Calibri"/>
          <w:color w:val="000000"/>
        </w:rPr>
        <w:t>,</w:t>
      </w:r>
      <w:r>
        <w:rPr>
          <w:rFonts w:ascii="Calibri" w:hAnsi="Calibri" w:cs="Calibri"/>
          <w:color w:val="000000"/>
        </w:rPr>
        <w:t xml:space="preserve"> most recently to incoming Ministers in March 2024.</w:t>
      </w:r>
      <w:r w:rsidR="00895F48">
        <w:rPr>
          <w:rStyle w:val="FootnoteReference"/>
          <w:rFonts w:ascii="Calibri" w:hAnsi="Calibri" w:cs="Calibri"/>
          <w:color w:val="000000"/>
        </w:rPr>
        <w:footnoteReference w:id="15"/>
      </w:r>
      <w:r>
        <w:rPr>
          <w:rFonts w:ascii="Calibri" w:hAnsi="Calibri" w:cs="Calibri"/>
          <w:color w:val="000000"/>
        </w:rPr>
        <w:t xml:space="preserve"> </w:t>
      </w:r>
      <w:r w:rsidR="00895F48">
        <w:rPr>
          <w:rFonts w:ascii="Calibri" w:hAnsi="Calibri" w:cs="Calibri"/>
          <w:color w:val="000000"/>
        </w:rPr>
        <w:t xml:space="preserve">Separately, a 2022 report commissioned by the </w:t>
      </w:r>
      <w:proofErr w:type="spellStart"/>
      <w:r w:rsidR="00652967">
        <w:rPr>
          <w:rFonts w:ascii="Calibri" w:hAnsi="Calibri" w:cs="Calibri"/>
          <w:color w:val="000000"/>
        </w:rPr>
        <w:t>MoJ</w:t>
      </w:r>
      <w:proofErr w:type="spellEnd"/>
      <w:r w:rsidR="00895F48">
        <w:rPr>
          <w:rFonts w:ascii="Calibri" w:hAnsi="Calibri" w:cs="Calibri"/>
          <w:color w:val="000000"/>
        </w:rPr>
        <w:t xml:space="preserve"> identified many of the same serious issues.</w:t>
      </w:r>
      <w:r w:rsidR="00895F48">
        <w:rPr>
          <w:rStyle w:val="FootnoteReference"/>
          <w:rFonts w:ascii="Calibri" w:hAnsi="Calibri" w:cs="Calibri"/>
          <w:color w:val="000000"/>
        </w:rPr>
        <w:footnoteReference w:id="16"/>
      </w:r>
      <w:r w:rsidR="00895F48">
        <w:rPr>
          <w:rFonts w:ascii="Calibri" w:hAnsi="Calibri" w:cs="Calibri"/>
          <w:color w:val="000000"/>
        </w:rPr>
        <w:t xml:space="preserve"> </w:t>
      </w:r>
      <w:r>
        <w:rPr>
          <w:rFonts w:ascii="Calibri" w:hAnsi="Calibri" w:cs="Calibri"/>
          <w:color w:val="000000"/>
        </w:rPr>
        <w:t>However, no action has been taken by the State party to respond to these urgent and serious issues.</w:t>
      </w:r>
    </w:p>
    <w:p w14:paraId="400A352E" w14:textId="50536EF8" w:rsidR="009F7A75" w:rsidRPr="00061FA7" w:rsidRDefault="009F7A75" w:rsidP="009F7A75">
      <w:pPr>
        <w:pStyle w:val="NormalWeb"/>
        <w:numPr>
          <w:ilvl w:val="0"/>
          <w:numId w:val="1"/>
        </w:numPr>
        <w:spacing w:before="0" w:beforeAutospacing="0" w:after="120" w:afterAutospacing="0" w:line="259" w:lineRule="auto"/>
        <w:ind w:left="426" w:hanging="357"/>
        <w:textAlignment w:val="baseline"/>
        <w:rPr>
          <w:rFonts w:ascii="Calibri" w:hAnsi="Calibri" w:cs="Calibri"/>
          <w:color w:val="000000"/>
          <w:sz w:val="22"/>
          <w:szCs w:val="22"/>
        </w:rPr>
      </w:pPr>
      <w:r w:rsidRPr="00061FA7">
        <w:rPr>
          <w:rFonts w:ascii="Calibri" w:hAnsi="Calibri" w:cs="Calibri"/>
          <w:b/>
          <w:bCs/>
          <w:color w:val="000000"/>
          <w:sz w:val="22"/>
          <w:szCs w:val="22"/>
          <w:shd w:val="clear" w:color="auto" w:fill="F6CDC2" w:themeFill="accent3"/>
        </w:rPr>
        <w:t xml:space="preserve">Family Court risk assessments for </w:t>
      </w:r>
      <w:r w:rsidR="001A6D2B" w:rsidRPr="00061FA7">
        <w:rPr>
          <w:rFonts w:ascii="Calibri" w:hAnsi="Calibri" w:cs="Calibri"/>
          <w:b/>
          <w:bCs/>
          <w:color w:val="000000"/>
          <w:sz w:val="22"/>
          <w:szCs w:val="22"/>
          <w:shd w:val="clear" w:color="auto" w:fill="F6CDC2" w:themeFill="accent3"/>
        </w:rPr>
        <w:t>FV</w:t>
      </w:r>
      <w:r w:rsidR="0012136D">
        <w:rPr>
          <w:rFonts w:ascii="Calibri" w:hAnsi="Calibri" w:cs="Calibri"/>
          <w:b/>
          <w:bCs/>
          <w:color w:val="000000"/>
          <w:sz w:val="22"/>
          <w:szCs w:val="22"/>
          <w:shd w:val="clear" w:color="auto" w:fill="F6CDC2" w:themeFill="accent3"/>
        </w:rPr>
        <w:t>/SV</w:t>
      </w:r>
      <w:r w:rsidRPr="00061FA7">
        <w:rPr>
          <w:rFonts w:ascii="Calibri" w:hAnsi="Calibri" w:cs="Calibri"/>
          <w:b/>
          <w:bCs/>
          <w:color w:val="000000"/>
          <w:sz w:val="22"/>
          <w:szCs w:val="22"/>
          <w:shd w:val="clear" w:color="auto" w:fill="F6CDC2" w:themeFill="accent3"/>
        </w:rPr>
        <w:t xml:space="preserve"> are exceedingly rare</w:t>
      </w:r>
      <w:r w:rsidRPr="00061FA7">
        <w:rPr>
          <w:rFonts w:ascii="Calibri" w:hAnsi="Calibri" w:cs="Calibri"/>
          <w:color w:val="000000"/>
          <w:sz w:val="22"/>
          <w:szCs w:val="22"/>
        </w:rPr>
        <w:t xml:space="preserve">. In </w:t>
      </w:r>
      <w:r w:rsidR="00616894" w:rsidRPr="00061FA7">
        <w:rPr>
          <w:rFonts w:ascii="Calibri" w:hAnsi="Calibri" w:cs="Calibri"/>
          <w:color w:val="000000"/>
          <w:sz w:val="22"/>
          <w:szCs w:val="22"/>
        </w:rPr>
        <w:t xml:space="preserve">a 2018 </w:t>
      </w:r>
      <w:r w:rsidRPr="00061FA7">
        <w:rPr>
          <w:rFonts w:ascii="Calibri" w:hAnsi="Calibri" w:cs="Calibri"/>
          <w:color w:val="000000"/>
          <w:sz w:val="22"/>
          <w:szCs w:val="22"/>
        </w:rPr>
        <w:t xml:space="preserve">Backbone victim-survivor survey about </w:t>
      </w:r>
      <w:r w:rsidR="00C50907">
        <w:rPr>
          <w:rFonts w:ascii="Calibri" w:hAnsi="Calibri" w:cs="Calibri"/>
          <w:color w:val="000000"/>
          <w:sz w:val="22"/>
          <w:szCs w:val="22"/>
        </w:rPr>
        <w:t>NZFC</w:t>
      </w:r>
      <w:r w:rsidRPr="00061FA7">
        <w:rPr>
          <w:rFonts w:ascii="Calibri" w:hAnsi="Calibri" w:cs="Calibri"/>
          <w:color w:val="000000"/>
          <w:sz w:val="22"/>
          <w:szCs w:val="22"/>
        </w:rPr>
        <w:t xml:space="preserve"> experiences, only five of 236 mothers (or 2%) reported that their children were the subject of a </w:t>
      </w:r>
      <w:r w:rsidR="0012136D">
        <w:rPr>
          <w:rFonts w:ascii="Calibri" w:hAnsi="Calibri" w:cs="Calibri"/>
          <w:color w:val="000000"/>
          <w:sz w:val="22"/>
          <w:szCs w:val="22"/>
        </w:rPr>
        <w:t>NZFC</w:t>
      </w:r>
      <w:r w:rsidRPr="00061FA7">
        <w:rPr>
          <w:rFonts w:ascii="Calibri" w:hAnsi="Calibri" w:cs="Calibri"/>
          <w:color w:val="000000"/>
          <w:sz w:val="22"/>
          <w:szCs w:val="22"/>
        </w:rPr>
        <w:t xml:space="preserve"> risk assessment for </w:t>
      </w:r>
      <w:r w:rsidR="0012136D">
        <w:rPr>
          <w:rFonts w:ascii="Calibri" w:hAnsi="Calibri" w:cs="Calibri"/>
          <w:color w:val="000000"/>
          <w:sz w:val="22"/>
          <w:szCs w:val="22"/>
        </w:rPr>
        <w:t>FV</w:t>
      </w:r>
      <w:r w:rsidR="00616894" w:rsidRPr="00061FA7">
        <w:rPr>
          <w:rFonts w:ascii="Calibri" w:hAnsi="Calibri" w:cs="Calibri"/>
          <w:color w:val="000000"/>
          <w:sz w:val="22"/>
          <w:szCs w:val="22"/>
        </w:rPr>
        <w:t xml:space="preserve"> – and practice has not changed since then</w:t>
      </w:r>
      <w:r w:rsidRPr="00061FA7">
        <w:rPr>
          <w:rFonts w:ascii="Calibri" w:hAnsi="Calibri" w:cs="Calibri"/>
          <w:color w:val="000000"/>
          <w:sz w:val="22"/>
          <w:szCs w:val="22"/>
        </w:rPr>
        <w:t>.</w:t>
      </w:r>
      <w:r w:rsidRPr="00061FA7">
        <w:rPr>
          <w:rStyle w:val="FootnoteReference"/>
          <w:rFonts w:ascii="Calibri" w:hAnsi="Calibri" w:cs="Calibri"/>
          <w:color w:val="000000"/>
          <w:sz w:val="22"/>
          <w:szCs w:val="22"/>
        </w:rPr>
        <w:footnoteReference w:id="17"/>
      </w:r>
      <w:r w:rsidRPr="00061FA7">
        <w:rPr>
          <w:rFonts w:ascii="Calibri" w:hAnsi="Calibri" w:cs="Calibri"/>
          <w:color w:val="000000"/>
          <w:sz w:val="22"/>
          <w:szCs w:val="22"/>
        </w:rPr>
        <w:t xml:space="preserve"> </w:t>
      </w:r>
    </w:p>
    <w:p w14:paraId="74554858" w14:textId="01018010" w:rsidR="004A1922" w:rsidRPr="001A6D2B" w:rsidRDefault="00F937C2" w:rsidP="00136BB8">
      <w:pPr>
        <w:pStyle w:val="NormalWeb"/>
        <w:numPr>
          <w:ilvl w:val="0"/>
          <w:numId w:val="1"/>
        </w:numPr>
        <w:spacing w:after="120" w:afterAutospacing="0"/>
        <w:ind w:left="426" w:hanging="357"/>
        <w:textAlignment w:val="baseline"/>
        <w:rPr>
          <w:rFonts w:ascii="Calibri" w:hAnsi="Calibri" w:cs="Calibri"/>
          <w:sz w:val="22"/>
          <w:szCs w:val="22"/>
        </w:rPr>
      </w:pPr>
      <w:r w:rsidRPr="001A6D2B">
        <w:rPr>
          <w:rFonts w:ascii="Calibri" w:hAnsi="Calibri" w:cs="Calibri"/>
          <w:b/>
          <w:bCs/>
          <w:color w:val="000000"/>
          <w:sz w:val="22"/>
          <w:szCs w:val="22"/>
          <w:shd w:val="clear" w:color="auto" w:fill="F6CDC2" w:themeFill="accent3"/>
        </w:rPr>
        <w:t>T</w:t>
      </w:r>
      <w:r w:rsidR="009F7A75" w:rsidRPr="001A6D2B">
        <w:rPr>
          <w:rFonts w:ascii="Calibri" w:hAnsi="Calibri" w:cs="Calibri"/>
          <w:b/>
          <w:bCs/>
          <w:color w:val="000000"/>
          <w:sz w:val="22"/>
          <w:szCs w:val="22"/>
          <w:shd w:val="clear" w:color="auto" w:fill="F6CDC2" w:themeFill="accent3"/>
        </w:rPr>
        <w:t>he Lawyer for the Child role carries neither the responsibility nor mandated training for assessing and monitoring child safety</w:t>
      </w:r>
      <w:r w:rsidR="009F7A75" w:rsidRPr="001A6D2B">
        <w:rPr>
          <w:rFonts w:ascii="Calibri" w:hAnsi="Calibri" w:cs="Calibri"/>
          <w:color w:val="000000"/>
          <w:sz w:val="22"/>
          <w:szCs w:val="22"/>
          <w:shd w:val="clear" w:color="auto" w:fill="F6CDC2" w:themeFill="accent3"/>
        </w:rPr>
        <w:t>.</w:t>
      </w:r>
      <w:r w:rsidR="009F7A75" w:rsidRPr="001A6D2B">
        <w:rPr>
          <w:rFonts w:ascii="Calibri" w:hAnsi="Calibri" w:cs="Calibri"/>
          <w:color w:val="000000"/>
          <w:sz w:val="22"/>
          <w:szCs w:val="22"/>
        </w:rPr>
        <w:t xml:space="preserve"> These issues with the role </w:t>
      </w:r>
      <w:r w:rsidR="00895F48">
        <w:rPr>
          <w:rFonts w:ascii="Calibri" w:hAnsi="Calibri" w:cs="Calibri"/>
          <w:color w:val="000000"/>
          <w:sz w:val="22"/>
          <w:szCs w:val="22"/>
        </w:rPr>
        <w:t xml:space="preserve">are </w:t>
      </w:r>
      <w:r w:rsidR="009F7A75" w:rsidRPr="001A6D2B">
        <w:rPr>
          <w:rFonts w:ascii="Calibri" w:hAnsi="Calibri" w:cs="Calibri"/>
          <w:color w:val="000000"/>
          <w:sz w:val="22"/>
          <w:szCs w:val="22"/>
        </w:rPr>
        <w:t xml:space="preserve">exacerbated by the lack of appropriate oversight: there is no independent monitoring or auditing of Lawyer for Child practice. Instead, complaints about them during active proceedings are referred to the presiding judge who appointed them. </w:t>
      </w:r>
      <w:r w:rsidR="00780CD1" w:rsidRPr="001A6D2B">
        <w:rPr>
          <w:rFonts w:ascii="Calibri" w:hAnsi="Calibri" w:cs="Calibri"/>
          <w:color w:val="000000"/>
          <w:sz w:val="22"/>
          <w:szCs w:val="22"/>
        </w:rPr>
        <w:t xml:space="preserve"> </w:t>
      </w:r>
    </w:p>
    <w:p w14:paraId="18B0C911" w14:textId="2BD50B18" w:rsidR="009F7A75" w:rsidRPr="001A6D2B" w:rsidRDefault="009F7A75" w:rsidP="00136BB8">
      <w:pPr>
        <w:pStyle w:val="NormalWeb"/>
        <w:numPr>
          <w:ilvl w:val="0"/>
          <w:numId w:val="1"/>
        </w:numPr>
        <w:spacing w:after="120" w:afterAutospacing="0"/>
        <w:ind w:left="426" w:hanging="357"/>
        <w:textAlignment w:val="baseline"/>
        <w:rPr>
          <w:rFonts w:ascii="Calibri" w:hAnsi="Calibri" w:cs="Calibri"/>
          <w:sz w:val="22"/>
          <w:szCs w:val="22"/>
        </w:rPr>
      </w:pPr>
      <w:r w:rsidRPr="001A6D2B">
        <w:rPr>
          <w:rFonts w:ascii="Calibri" w:hAnsi="Calibri" w:cs="Calibri"/>
          <w:color w:val="000000"/>
          <w:sz w:val="22"/>
          <w:szCs w:val="22"/>
        </w:rPr>
        <w:t>Family Court judges</w:t>
      </w:r>
      <w:r w:rsidR="00895F48">
        <w:rPr>
          <w:rFonts w:ascii="Calibri" w:hAnsi="Calibri" w:cs="Calibri"/>
          <w:color w:val="000000"/>
          <w:sz w:val="22"/>
          <w:szCs w:val="22"/>
        </w:rPr>
        <w:t xml:space="preserve"> </w:t>
      </w:r>
      <w:r w:rsidRPr="001A6D2B">
        <w:rPr>
          <w:rFonts w:ascii="Calibri" w:hAnsi="Calibri" w:cs="Calibri"/>
          <w:color w:val="000000"/>
          <w:sz w:val="22"/>
          <w:szCs w:val="22"/>
        </w:rPr>
        <w:t xml:space="preserve">do not read or consider </w:t>
      </w:r>
      <w:r w:rsidR="00895F48">
        <w:rPr>
          <w:rFonts w:ascii="Calibri" w:hAnsi="Calibri" w:cs="Calibri"/>
          <w:color w:val="000000"/>
          <w:sz w:val="22"/>
          <w:szCs w:val="22"/>
        </w:rPr>
        <w:t xml:space="preserve">comprehensive risk and safety information </w:t>
      </w:r>
      <w:r w:rsidR="007477F0">
        <w:rPr>
          <w:rFonts w:ascii="Calibri" w:hAnsi="Calibri" w:cs="Calibri"/>
          <w:color w:val="000000"/>
          <w:sz w:val="22"/>
          <w:szCs w:val="22"/>
        </w:rPr>
        <w:t>(about the specific people they are presiding over)</w:t>
      </w:r>
      <w:r w:rsidR="00C50907">
        <w:rPr>
          <w:rFonts w:ascii="Calibri" w:hAnsi="Calibri" w:cs="Calibri"/>
          <w:color w:val="000000"/>
          <w:sz w:val="22"/>
          <w:szCs w:val="22"/>
        </w:rPr>
        <w:t xml:space="preserve"> </w:t>
      </w:r>
      <w:r w:rsidR="007477F0">
        <w:rPr>
          <w:rFonts w:ascii="Calibri" w:hAnsi="Calibri" w:cs="Calibri"/>
          <w:color w:val="000000"/>
          <w:sz w:val="22"/>
          <w:szCs w:val="22"/>
        </w:rPr>
        <w:t xml:space="preserve">which is </w:t>
      </w:r>
      <w:r w:rsidRPr="001A6D2B">
        <w:rPr>
          <w:rFonts w:ascii="Calibri" w:hAnsi="Calibri" w:cs="Calibri"/>
          <w:color w:val="000000"/>
          <w:sz w:val="22"/>
          <w:szCs w:val="22"/>
        </w:rPr>
        <w:t xml:space="preserve">created by specialist social services who are already interacting with the whānau or family. In practice if not in theory, </w:t>
      </w:r>
      <w:r w:rsidRPr="001A6D2B">
        <w:rPr>
          <w:rFonts w:ascii="Calibri" w:hAnsi="Calibri" w:cs="Calibri"/>
          <w:b/>
          <w:bCs/>
          <w:color w:val="000000"/>
          <w:sz w:val="22"/>
          <w:szCs w:val="22"/>
          <w:shd w:val="clear" w:color="auto" w:fill="F6CDC2" w:themeFill="accent3"/>
        </w:rPr>
        <w:t xml:space="preserve">there is very little – if any – information flow between specialist </w:t>
      </w:r>
      <w:r w:rsidR="0012136D">
        <w:rPr>
          <w:rFonts w:ascii="Calibri" w:hAnsi="Calibri" w:cs="Calibri"/>
          <w:b/>
          <w:bCs/>
          <w:color w:val="000000"/>
          <w:sz w:val="22"/>
          <w:szCs w:val="22"/>
          <w:shd w:val="clear" w:color="auto" w:fill="F6CDC2" w:themeFill="accent3"/>
        </w:rPr>
        <w:t>FV/SV</w:t>
      </w:r>
      <w:r w:rsidRPr="001A6D2B">
        <w:rPr>
          <w:rFonts w:ascii="Calibri" w:hAnsi="Calibri" w:cs="Calibri"/>
          <w:b/>
          <w:bCs/>
          <w:color w:val="000000"/>
          <w:sz w:val="22"/>
          <w:szCs w:val="22"/>
          <w:shd w:val="clear" w:color="auto" w:fill="F6CDC2" w:themeFill="accent3"/>
        </w:rPr>
        <w:t xml:space="preserve"> services interacting with </w:t>
      </w:r>
      <w:r w:rsidR="00BC5DF8">
        <w:rPr>
          <w:rFonts w:ascii="Calibri" w:hAnsi="Calibri" w:cs="Calibri"/>
          <w:b/>
          <w:bCs/>
          <w:color w:val="000000"/>
          <w:sz w:val="22"/>
          <w:szCs w:val="22"/>
          <w:shd w:val="clear" w:color="auto" w:fill="F6CDC2" w:themeFill="accent3"/>
        </w:rPr>
        <w:t>VS</w:t>
      </w:r>
      <w:r w:rsidRPr="001A6D2B">
        <w:rPr>
          <w:rFonts w:ascii="Calibri" w:hAnsi="Calibri" w:cs="Calibri"/>
          <w:b/>
          <w:bCs/>
          <w:color w:val="000000"/>
          <w:sz w:val="22"/>
          <w:szCs w:val="22"/>
          <w:shd w:val="clear" w:color="auto" w:fill="F6CDC2" w:themeFill="accent3"/>
        </w:rPr>
        <w:t xml:space="preserve"> and the </w:t>
      </w:r>
      <w:r w:rsidR="00BC5DF8">
        <w:rPr>
          <w:rFonts w:ascii="Calibri" w:hAnsi="Calibri" w:cs="Calibri"/>
          <w:b/>
          <w:bCs/>
          <w:color w:val="000000"/>
          <w:sz w:val="22"/>
          <w:szCs w:val="22"/>
          <w:shd w:val="clear" w:color="auto" w:fill="F6CDC2" w:themeFill="accent3"/>
        </w:rPr>
        <w:t>NZFC</w:t>
      </w:r>
      <w:r w:rsidRPr="001A6D2B">
        <w:rPr>
          <w:rFonts w:ascii="Calibri" w:hAnsi="Calibri" w:cs="Calibri"/>
          <w:b/>
          <w:bCs/>
          <w:color w:val="000000"/>
          <w:sz w:val="22"/>
          <w:szCs w:val="22"/>
          <w:shd w:val="clear" w:color="auto" w:fill="F6CDC2" w:themeFill="accent3"/>
        </w:rPr>
        <w:t xml:space="preserve"> </w:t>
      </w:r>
      <w:r w:rsidRPr="001A6D2B">
        <w:rPr>
          <w:rFonts w:ascii="Calibri" w:hAnsi="Calibri" w:cs="Calibri"/>
          <w:color w:val="000000"/>
          <w:sz w:val="22"/>
          <w:szCs w:val="22"/>
        </w:rPr>
        <w:t>(with the exception of Oranga Tamariki in some cases).</w:t>
      </w:r>
      <w:r w:rsidR="00895F48" w:rsidRPr="00895F48">
        <w:rPr>
          <w:rFonts w:ascii="Calibri" w:hAnsi="Calibri" w:cs="Calibri"/>
          <w:sz w:val="22"/>
          <w:szCs w:val="22"/>
        </w:rPr>
        <w:t xml:space="preserve"> </w:t>
      </w:r>
      <w:r w:rsidR="00895F48" w:rsidRPr="001A6D2B">
        <w:rPr>
          <w:rStyle w:val="FootnoteReference"/>
          <w:rFonts w:ascii="Calibri" w:hAnsi="Calibri" w:cs="Calibri"/>
          <w:sz w:val="22"/>
          <w:szCs w:val="22"/>
        </w:rPr>
        <w:footnoteReference w:id="18"/>
      </w:r>
      <w:r w:rsidRPr="001A6D2B">
        <w:rPr>
          <w:rFonts w:ascii="Calibri" w:hAnsi="Calibri" w:cs="Calibri"/>
          <w:color w:val="000000"/>
          <w:sz w:val="22"/>
          <w:szCs w:val="22"/>
        </w:rPr>
        <w:t xml:space="preserve"> </w:t>
      </w:r>
      <w:r w:rsidR="00895F48">
        <w:rPr>
          <w:rFonts w:ascii="Calibri" w:hAnsi="Calibri" w:cs="Calibri"/>
          <w:color w:val="000000"/>
          <w:sz w:val="22"/>
          <w:szCs w:val="22"/>
        </w:rPr>
        <w:t xml:space="preserve">The </w:t>
      </w:r>
      <w:r w:rsidRPr="001A6D2B">
        <w:rPr>
          <w:rFonts w:ascii="Calibri" w:hAnsi="Calibri" w:cs="Calibri"/>
          <w:sz w:val="22"/>
          <w:szCs w:val="22"/>
        </w:rPr>
        <w:t xml:space="preserve">analysis of </w:t>
      </w:r>
      <w:r w:rsidR="00C605CD" w:rsidRPr="001A6D2B">
        <w:rPr>
          <w:rFonts w:ascii="Calibri" w:hAnsi="Calibri" w:cs="Calibri"/>
          <w:sz w:val="22"/>
          <w:szCs w:val="22"/>
        </w:rPr>
        <w:t>FV/SV</w:t>
      </w:r>
      <w:r w:rsidRPr="001A6D2B">
        <w:rPr>
          <w:rFonts w:ascii="Calibri" w:hAnsi="Calibri" w:cs="Calibri"/>
          <w:sz w:val="22"/>
          <w:szCs w:val="22"/>
        </w:rPr>
        <w:t xml:space="preserve"> specialists is not used to help inform </w:t>
      </w:r>
      <w:r w:rsidR="00BC5DF8">
        <w:rPr>
          <w:rFonts w:ascii="Calibri" w:hAnsi="Calibri" w:cs="Calibri"/>
          <w:sz w:val="22"/>
          <w:szCs w:val="22"/>
        </w:rPr>
        <w:t>NZFC</w:t>
      </w:r>
      <w:r w:rsidRPr="001A6D2B">
        <w:rPr>
          <w:rFonts w:ascii="Calibri" w:hAnsi="Calibri" w:cs="Calibri"/>
          <w:sz w:val="22"/>
          <w:szCs w:val="22"/>
        </w:rPr>
        <w:t xml:space="preserve"> decision making (Figure 1). </w:t>
      </w:r>
    </w:p>
    <w:p w14:paraId="45DFF57D" w14:textId="77777777" w:rsidR="00C50907" w:rsidRDefault="00C50907">
      <w:pPr>
        <w:spacing w:after="160" w:line="259" w:lineRule="auto"/>
        <w:rPr>
          <w:rFonts w:ascii="Calibri" w:eastAsia="Times New Roman" w:hAnsi="Calibri" w:cs="Calibri"/>
          <w:b/>
          <w:bCs/>
          <w:lang w:eastAsia="en-NZ"/>
        </w:rPr>
      </w:pPr>
      <w:r>
        <w:rPr>
          <w:rFonts w:ascii="Calibri" w:hAnsi="Calibri" w:cs="Calibri"/>
          <w:b/>
          <w:bCs/>
        </w:rPr>
        <w:br w:type="page"/>
      </w:r>
    </w:p>
    <w:p w14:paraId="511E5C41" w14:textId="271759E2" w:rsidR="009F7A75" w:rsidRPr="001A6D2B" w:rsidRDefault="009F7A75" w:rsidP="009F7A75">
      <w:pPr>
        <w:pStyle w:val="NormalWeb"/>
        <w:spacing w:after="120" w:afterAutospacing="0"/>
        <w:ind w:left="426"/>
        <w:textAlignment w:val="baseline"/>
        <w:rPr>
          <w:rFonts w:ascii="Calibri" w:hAnsi="Calibri" w:cs="Calibri"/>
          <w:sz w:val="22"/>
          <w:szCs w:val="22"/>
        </w:rPr>
      </w:pPr>
      <w:r w:rsidRPr="001A6D2B">
        <w:rPr>
          <w:rFonts w:ascii="Calibri" w:hAnsi="Calibri" w:cs="Calibri"/>
          <w:b/>
          <w:bCs/>
          <w:sz w:val="22"/>
          <w:szCs w:val="22"/>
        </w:rPr>
        <w:lastRenderedPageBreak/>
        <w:t xml:space="preserve">Figure 1: Lack of information flow between frontline agencies/violence experts and the </w:t>
      </w:r>
      <w:r w:rsidR="00BC5DF8">
        <w:rPr>
          <w:rFonts w:ascii="Calibri" w:hAnsi="Calibri" w:cs="Calibri"/>
          <w:b/>
          <w:bCs/>
          <w:sz w:val="22"/>
          <w:szCs w:val="22"/>
        </w:rPr>
        <w:t>NZFC</w:t>
      </w:r>
    </w:p>
    <w:p w14:paraId="14C6039B" w14:textId="77777777" w:rsidR="009F7A75" w:rsidRDefault="009F7A75" w:rsidP="009F7A75">
      <w:pPr>
        <w:pStyle w:val="NormalWeb"/>
        <w:spacing w:after="120" w:afterAutospacing="0"/>
        <w:ind w:left="426"/>
        <w:textAlignment w:val="baseline"/>
        <w:rPr>
          <w:rFonts w:ascii="Calibri" w:hAnsi="Calibri" w:cs="Calibri"/>
        </w:rPr>
      </w:pPr>
      <w:r>
        <w:rPr>
          <w:rFonts w:ascii="Calibri" w:hAnsi="Calibri" w:cs="Calibri"/>
          <w:noProof/>
        </w:rPr>
        <mc:AlternateContent>
          <mc:Choice Requires="wps">
            <w:drawing>
              <wp:anchor distT="0" distB="0" distL="114300" distR="114300" simplePos="0" relativeHeight="251665408" behindDoc="0" locked="0" layoutInCell="1" allowOverlap="1" wp14:anchorId="315CBEDF" wp14:editId="4E133A37">
                <wp:simplePos x="0" y="0"/>
                <wp:positionH relativeFrom="column">
                  <wp:posOffset>1610250</wp:posOffset>
                </wp:positionH>
                <wp:positionV relativeFrom="paragraph">
                  <wp:posOffset>291380</wp:posOffset>
                </wp:positionV>
                <wp:extent cx="909750" cy="2781155"/>
                <wp:effectExtent l="19050" t="19050" r="43180" b="57785"/>
                <wp:wrapNone/>
                <wp:docPr id="1502433501" name="Lightning Bolt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09750" cy="2781155"/>
                        </a:xfrm>
                        <a:prstGeom prst="lightningBol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474B4A41"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2" o:spid="_x0000_s1026" type="#_x0000_t73" style="position:absolute;margin-left:126.8pt;margin-top:22.95pt;width:71.65pt;height:2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" fillcolor="#c00000" strokecolor="#c00000" strokeweight="1pt"/>
            </w:pict>
          </mc:Fallback>
        </mc:AlternateContent>
      </w:r>
      <w:r w:rsidRPr="00662B5D">
        <w:rPr>
          <w:rFonts w:ascii="Calibri" w:hAnsi="Calibri" w:cs="Calibri"/>
          <w:noProof/>
        </w:rPr>
        <w:drawing>
          <wp:inline distT="0" distB="0" distL="0" distR="0" wp14:anchorId="52AD3B94" wp14:editId="5AD3704F">
            <wp:extent cx="5543835" cy="3187864"/>
            <wp:effectExtent l="0" t="0" r="0" b="0"/>
            <wp:docPr id="370200962" name="Picture 1" descr="A diagram showing the Family Court separated by a lightning bolt from most of the violence sector specialists. On the Family Court side is Lawyers, Judges, L4C, OT and Court Psychs. Separated from the Family Court is the group &quot;Responses to Victim-survivors &amp; Perpetrators&quot; including DHBs, Academics, Corrections, Police, Social Services, MSD ACC, MoJ, FV specialists - refuge, Shine etc, Stopping violence programmes, public awareness campaig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00962" name="Picture 1" descr="A diagram showing the Family Court separated by a lightning bolt from most of the violence sector specialists. On the Family Court side is Lawyers, Judges, L4C, OT and Court Psychs. Separated from the Family Court is the group &quot;Responses to Victim-survivors &amp; Perpetrators&quot; including DHBs, Academics, Corrections, Police, Social Services, MSD ACC, MoJ, FV specialists - refuge, Shine etc, Stopping violence programmes, public awareness campaigns. "/>
                    <pic:cNvPicPr/>
                  </pic:nvPicPr>
                  <pic:blipFill>
                    <a:blip r:embed="rId16"/>
                    <a:stretch>
                      <a:fillRect/>
                    </a:stretch>
                  </pic:blipFill>
                  <pic:spPr>
                    <a:xfrm>
                      <a:off x="0" y="0"/>
                      <a:ext cx="5543835" cy="3187864"/>
                    </a:xfrm>
                    <a:prstGeom prst="rect">
                      <a:avLst/>
                    </a:prstGeom>
                  </pic:spPr>
                </pic:pic>
              </a:graphicData>
            </a:graphic>
          </wp:inline>
        </w:drawing>
      </w:r>
    </w:p>
    <w:p w14:paraId="57227B23" w14:textId="5B843EDF" w:rsidR="009F7A75" w:rsidRPr="001A6D2B" w:rsidRDefault="001D6BA7" w:rsidP="00E517C4">
      <w:pPr>
        <w:pStyle w:val="NormalWeb"/>
        <w:numPr>
          <w:ilvl w:val="0"/>
          <w:numId w:val="1"/>
        </w:numPr>
        <w:shd w:val="clear" w:color="auto" w:fill="F6CDC2" w:themeFill="accent3"/>
        <w:spacing w:after="120"/>
        <w:ind w:left="426"/>
        <w:textAlignment w:val="baseline"/>
        <w:rPr>
          <w:rFonts w:ascii="Calibri" w:hAnsi="Calibri" w:cs="Calibri"/>
          <w:b/>
          <w:bCs/>
          <w:color w:val="000000"/>
          <w:sz w:val="22"/>
          <w:szCs w:val="22"/>
          <w:shd w:val="clear" w:color="auto" w:fill="B6F9EB" w:themeFill="accent5" w:themeFillTint="33"/>
        </w:rPr>
      </w:pPr>
      <w:r>
        <w:rPr>
          <w:rFonts w:ascii="Calibri" w:hAnsi="Calibri" w:cs="Calibri"/>
          <w:b/>
          <w:bCs/>
          <w:color w:val="000000"/>
          <w:sz w:val="22"/>
          <w:szCs w:val="22"/>
          <w:shd w:val="clear" w:color="auto" w:fill="F6CDC2" w:themeFill="accent3"/>
        </w:rPr>
        <w:t>M</w:t>
      </w:r>
      <w:r w:rsidR="009F7A75" w:rsidRPr="001A6D2B">
        <w:rPr>
          <w:rFonts w:ascii="Calibri" w:hAnsi="Calibri" w:cs="Calibri"/>
          <w:b/>
          <w:bCs/>
          <w:color w:val="000000"/>
          <w:sz w:val="22"/>
          <w:szCs w:val="22"/>
          <w:shd w:val="clear" w:color="auto" w:fill="F6CDC2" w:themeFill="accent3"/>
        </w:rPr>
        <w:t xml:space="preserve">others who disclose abuse risk removal of their child from their protection and/or accusations of what </w:t>
      </w:r>
      <w:r>
        <w:rPr>
          <w:rFonts w:ascii="Calibri" w:hAnsi="Calibri" w:cs="Calibri"/>
          <w:b/>
          <w:bCs/>
          <w:color w:val="000000"/>
          <w:sz w:val="22"/>
          <w:szCs w:val="22"/>
          <w:shd w:val="clear" w:color="auto" w:fill="F6CDC2" w:themeFill="accent3"/>
        </w:rPr>
        <w:t>UN</w:t>
      </w:r>
      <w:r w:rsidR="009F7A75" w:rsidRPr="001A6D2B">
        <w:rPr>
          <w:rFonts w:ascii="Calibri" w:hAnsi="Calibri" w:cs="Calibri"/>
          <w:b/>
          <w:bCs/>
          <w:color w:val="000000"/>
          <w:sz w:val="22"/>
          <w:szCs w:val="22"/>
          <w:shd w:val="clear" w:color="auto" w:fill="F6CDC2" w:themeFill="accent3"/>
        </w:rPr>
        <w:t xml:space="preserve"> experts call “the discredited and unscientific pseudo-concept of parental alienation”.</w:t>
      </w:r>
      <w:r w:rsidR="009F7A75" w:rsidRPr="001A6D2B">
        <w:rPr>
          <w:rStyle w:val="FootnoteReference"/>
          <w:rFonts w:ascii="Calibri" w:hAnsi="Calibri" w:cs="Calibri"/>
          <w:b/>
          <w:bCs/>
          <w:color w:val="000000"/>
          <w:sz w:val="22"/>
          <w:szCs w:val="22"/>
          <w:shd w:val="clear" w:color="auto" w:fill="F6CDC2" w:themeFill="accent3"/>
        </w:rPr>
        <w:footnoteReference w:id="19"/>
      </w:r>
    </w:p>
    <w:p w14:paraId="47651EE2" w14:textId="6ADB90E5" w:rsidR="009F7A75" w:rsidRDefault="009F7A75" w:rsidP="009F7A75">
      <w:pPr>
        <w:pStyle w:val="NormalWeb"/>
        <w:spacing w:before="0" w:beforeAutospacing="0" w:after="120" w:afterAutospacing="0" w:line="259" w:lineRule="auto"/>
        <w:textAlignment w:val="baseline"/>
        <w:rPr>
          <w:rFonts w:ascii="Calibri" w:hAnsi="Calibri" w:cs="Calibri"/>
          <w:sz w:val="22"/>
          <w:szCs w:val="22"/>
          <w:vertAlign w:val="superscript"/>
        </w:rPr>
      </w:pPr>
      <w:r w:rsidRPr="001A6D2B">
        <w:rPr>
          <w:rFonts w:ascii="Calibri" w:hAnsi="Calibri" w:cs="Calibri"/>
          <w:sz w:val="22"/>
          <w:szCs w:val="22"/>
        </w:rPr>
        <w:t xml:space="preserve">Backbone research shows many professionals working in the </w:t>
      </w:r>
      <w:r w:rsidR="00BC5DF8">
        <w:rPr>
          <w:rFonts w:ascii="Calibri" w:hAnsi="Calibri" w:cs="Calibri"/>
          <w:sz w:val="22"/>
          <w:szCs w:val="22"/>
        </w:rPr>
        <w:t>NZFC</w:t>
      </w:r>
      <w:r w:rsidRPr="001A6D2B">
        <w:rPr>
          <w:rFonts w:ascii="Calibri" w:hAnsi="Calibri" w:cs="Calibri"/>
          <w:sz w:val="22"/>
          <w:szCs w:val="22"/>
        </w:rPr>
        <w:t xml:space="preserve"> </w:t>
      </w:r>
      <w:r w:rsidR="007477F0">
        <w:rPr>
          <w:rFonts w:ascii="Calibri" w:hAnsi="Calibri" w:cs="Calibri"/>
          <w:sz w:val="22"/>
          <w:szCs w:val="22"/>
        </w:rPr>
        <w:t xml:space="preserve">(lawyers and judges) </w:t>
      </w:r>
      <w:r w:rsidRPr="001A6D2B">
        <w:rPr>
          <w:rFonts w:ascii="Calibri" w:hAnsi="Calibri" w:cs="Calibri"/>
          <w:sz w:val="22"/>
          <w:szCs w:val="22"/>
        </w:rPr>
        <w:t>hold unsafe views that</w:t>
      </w:r>
      <w:r w:rsidR="007477F0">
        <w:rPr>
          <w:rFonts w:ascii="Calibri" w:hAnsi="Calibri" w:cs="Calibri"/>
          <w:sz w:val="22"/>
          <w:szCs w:val="22"/>
        </w:rPr>
        <w:t>:</w:t>
      </w:r>
      <w:r w:rsidRPr="001A6D2B">
        <w:rPr>
          <w:rFonts w:ascii="Calibri" w:hAnsi="Calibri" w:cs="Calibri"/>
          <w:sz w:val="22"/>
          <w:szCs w:val="22"/>
        </w:rPr>
        <w:t xml:space="preserve"> women frequently lie or exaggerate about their experiences of violence and abuse</w:t>
      </w:r>
      <w:r w:rsidR="0034775B" w:rsidRPr="001A6D2B">
        <w:rPr>
          <w:rStyle w:val="FootnoteReference"/>
          <w:rFonts w:ascii="Calibri" w:hAnsi="Calibri" w:cs="Calibri"/>
          <w:sz w:val="22"/>
          <w:szCs w:val="22"/>
        </w:rPr>
        <w:footnoteReference w:id="20"/>
      </w:r>
      <w:r w:rsidR="007477F0">
        <w:rPr>
          <w:rFonts w:ascii="Calibri" w:hAnsi="Calibri" w:cs="Calibri"/>
          <w:sz w:val="22"/>
          <w:szCs w:val="22"/>
        </w:rPr>
        <w:t>;</w:t>
      </w:r>
      <w:r w:rsidRPr="001A6D2B">
        <w:rPr>
          <w:rFonts w:ascii="Calibri" w:hAnsi="Calibri" w:cs="Calibri"/>
          <w:sz w:val="22"/>
          <w:szCs w:val="22"/>
        </w:rPr>
        <w:t xml:space="preserve"> are mentally unwell </w:t>
      </w:r>
      <w:r w:rsidR="00AD56DE" w:rsidRPr="001A6D2B">
        <w:rPr>
          <w:rFonts w:ascii="Calibri" w:hAnsi="Calibri" w:cs="Calibri"/>
          <w:sz w:val="22"/>
          <w:szCs w:val="22"/>
        </w:rPr>
        <w:t>(</w:t>
      </w:r>
      <w:r w:rsidR="007477F0">
        <w:rPr>
          <w:rFonts w:ascii="Calibri" w:hAnsi="Calibri" w:cs="Calibri"/>
          <w:sz w:val="22"/>
          <w:szCs w:val="22"/>
        </w:rPr>
        <w:t xml:space="preserve">while </w:t>
      </w:r>
      <w:r w:rsidR="00AD56DE" w:rsidRPr="001A6D2B">
        <w:rPr>
          <w:rFonts w:ascii="Calibri" w:hAnsi="Calibri" w:cs="Calibri"/>
          <w:sz w:val="22"/>
          <w:szCs w:val="22"/>
        </w:rPr>
        <w:t xml:space="preserve">discounting the idea that any mental distress could be </w:t>
      </w:r>
      <w:r w:rsidRPr="001A6D2B">
        <w:rPr>
          <w:rFonts w:ascii="Calibri" w:hAnsi="Calibri" w:cs="Calibri"/>
          <w:sz w:val="22"/>
          <w:szCs w:val="22"/>
        </w:rPr>
        <w:t>because of the effect of ongoing abuse</w:t>
      </w:r>
      <w:r w:rsidR="00AD56DE" w:rsidRPr="001A6D2B">
        <w:rPr>
          <w:rFonts w:ascii="Calibri" w:hAnsi="Calibri" w:cs="Calibri"/>
          <w:sz w:val="22"/>
          <w:szCs w:val="22"/>
        </w:rPr>
        <w:t>) and therefore unreliable</w:t>
      </w:r>
      <w:r w:rsidR="007477F0">
        <w:rPr>
          <w:rFonts w:ascii="Calibri" w:hAnsi="Calibri" w:cs="Calibri"/>
          <w:sz w:val="22"/>
          <w:szCs w:val="22"/>
        </w:rPr>
        <w:t>;</w:t>
      </w:r>
      <w:r w:rsidRPr="001A6D2B">
        <w:rPr>
          <w:rFonts w:ascii="Calibri" w:hAnsi="Calibri" w:cs="Calibri"/>
          <w:sz w:val="22"/>
          <w:szCs w:val="22"/>
        </w:rPr>
        <w:t xml:space="preserve"> and/or are trying to get back at their ex-partner by refusing contact and </w:t>
      </w:r>
      <w:r w:rsidR="007477F0">
        <w:rPr>
          <w:rFonts w:ascii="Calibri" w:hAnsi="Calibri" w:cs="Calibri"/>
          <w:sz w:val="22"/>
          <w:szCs w:val="22"/>
        </w:rPr>
        <w:t>care</w:t>
      </w:r>
      <w:r w:rsidRPr="001A6D2B">
        <w:rPr>
          <w:rFonts w:ascii="Calibri" w:hAnsi="Calibri" w:cs="Calibri"/>
          <w:sz w:val="22"/>
          <w:szCs w:val="22"/>
        </w:rPr>
        <w:t>.</w:t>
      </w:r>
      <w:r w:rsidRPr="001A6D2B">
        <w:rPr>
          <w:rStyle w:val="FootnoteReference"/>
          <w:rFonts w:ascii="Calibri" w:hAnsi="Calibri" w:cs="Calibri"/>
          <w:sz w:val="22"/>
          <w:szCs w:val="22"/>
        </w:rPr>
        <w:footnoteReference w:id="21"/>
      </w:r>
      <w:r w:rsidRPr="001A6D2B">
        <w:rPr>
          <w:rFonts w:ascii="Calibri" w:hAnsi="Calibri" w:cs="Calibri"/>
          <w:sz w:val="22"/>
          <w:szCs w:val="22"/>
        </w:rPr>
        <w:t xml:space="preserve"> </w:t>
      </w:r>
      <w:r w:rsidR="007477F0">
        <w:rPr>
          <w:rFonts w:ascii="Calibri" w:hAnsi="Calibri" w:cs="Calibri"/>
          <w:sz w:val="22"/>
          <w:szCs w:val="22"/>
        </w:rPr>
        <w:t xml:space="preserve">The majority of respondents to a Backbone survey (65%) </w:t>
      </w:r>
      <w:r w:rsidR="00AD56DE" w:rsidRPr="001A6D2B">
        <w:rPr>
          <w:rFonts w:ascii="Calibri" w:hAnsi="Calibri" w:cs="Calibri"/>
          <w:sz w:val="22"/>
          <w:szCs w:val="22"/>
        </w:rPr>
        <w:t>reported that when children or mothers told NZFC professionals about concerns for the child while at the abuser’s house, these were not reported accurately to the Court or taken into consideration when care and contact orders were made.</w:t>
      </w:r>
      <w:r w:rsidR="00AD56DE" w:rsidRPr="001A6D2B">
        <w:rPr>
          <w:rFonts w:ascii="Calibri" w:hAnsi="Calibri" w:cs="Calibri"/>
          <w:sz w:val="22"/>
          <w:szCs w:val="22"/>
          <w:vertAlign w:val="superscript"/>
        </w:rPr>
        <w:footnoteReference w:id="22"/>
      </w:r>
      <w:r w:rsidR="00AD56DE" w:rsidRPr="001A6D2B">
        <w:rPr>
          <w:rFonts w:ascii="Calibri" w:hAnsi="Calibri" w:cs="Calibri"/>
          <w:sz w:val="22"/>
          <w:szCs w:val="22"/>
          <w:vertAlign w:val="superscript"/>
        </w:rPr>
        <w:t xml:space="preserve">  </w:t>
      </w:r>
    </w:p>
    <w:p w14:paraId="5A7E6A30" w14:textId="79777E0A" w:rsidR="009F460F" w:rsidRPr="001B3DC9" w:rsidRDefault="009F460F" w:rsidP="009F460F">
      <w:pPr>
        <w:rPr>
          <w:rFonts w:eastAsia="Arial" w:cstheme="minorHAnsi"/>
        </w:rPr>
      </w:pPr>
      <w:r w:rsidRPr="001B3DC9">
        <w:rPr>
          <w:rFonts w:eastAsia="Arial" w:cstheme="minorHAnsi"/>
        </w:rPr>
        <w:t xml:space="preserve">In Backbone surveys, 55% to 62% of responding mothers said the Court accused them of </w:t>
      </w:r>
      <w:r w:rsidR="00061FA7">
        <w:rPr>
          <w:rFonts w:eastAsia="Arial" w:cstheme="minorHAnsi"/>
        </w:rPr>
        <w:t>parental alienation (PA)</w:t>
      </w:r>
      <w:r w:rsidRPr="001B3DC9">
        <w:rPr>
          <w:rFonts w:eastAsia="Arial" w:cstheme="minorHAnsi"/>
        </w:rPr>
        <w:t>.</w:t>
      </w:r>
      <w:r w:rsidR="004369C8">
        <w:rPr>
          <w:rStyle w:val="FootnoteReference"/>
          <w:rFonts w:eastAsia="Arial" w:cstheme="minorHAnsi"/>
        </w:rPr>
        <w:footnoteReference w:id="23"/>
      </w:r>
      <w:r w:rsidRPr="001B3DC9">
        <w:rPr>
          <w:rFonts w:eastAsia="Arial" w:cstheme="minorHAnsi"/>
        </w:rPr>
        <w:t xml:space="preserve"> Rather than believing these </w:t>
      </w:r>
      <w:r w:rsidR="00BC5DF8">
        <w:rPr>
          <w:rFonts w:eastAsia="Arial" w:cstheme="minorHAnsi"/>
        </w:rPr>
        <w:t>VS</w:t>
      </w:r>
      <w:r w:rsidRPr="001B3DC9">
        <w:rPr>
          <w:rFonts w:eastAsia="Arial" w:cstheme="minorHAnsi"/>
        </w:rPr>
        <w:t xml:space="preserve">, NZFC professionals deny that abuse occurred, or </w:t>
      </w:r>
      <w:r w:rsidRPr="001B3DC9">
        <w:rPr>
          <w:rFonts w:eastAsia="Arial" w:cstheme="minorHAnsi"/>
        </w:rPr>
        <w:lastRenderedPageBreak/>
        <w:t>reframe it as minor, historical, irrelevant, situational or their fault.</w:t>
      </w:r>
      <w:r w:rsidRPr="001B3DC9">
        <w:rPr>
          <w:rFonts w:eastAsia="Arial" w:cstheme="minorHAnsi"/>
          <w:vertAlign w:val="superscript"/>
        </w:rPr>
        <w:footnoteReference w:id="24"/>
      </w:r>
      <w:r w:rsidRPr="001B3DC9">
        <w:rPr>
          <w:rFonts w:eastAsia="Arial" w:cstheme="minorHAnsi"/>
        </w:rPr>
        <w:t> Once PA becomes part of a case’s accepted narrative, all evidence of abuse becomes perversely reframed as evidence of alienation. The more children disclose abuse or demonstrate fear of the abuser, the more the mother may be vilified and seen as the abuser. Subsequent judgments reflect the poor understanding of FV/SV dynamic and result in further harm to children.</w:t>
      </w:r>
      <w:r w:rsidRPr="001B3DC9">
        <w:rPr>
          <w:rFonts w:eastAsia="Arial" w:cstheme="minorHAnsi"/>
          <w:vertAlign w:val="superscript"/>
        </w:rPr>
        <w:footnoteReference w:id="25"/>
      </w:r>
      <w:r w:rsidRPr="001B3DC9">
        <w:rPr>
          <w:rFonts w:eastAsia="Arial" w:cstheme="minorHAnsi"/>
        </w:rPr>
        <w:t xml:space="preserve"> </w:t>
      </w:r>
      <w:r w:rsidR="007477F0">
        <w:rPr>
          <w:rFonts w:eastAsia="Arial" w:cstheme="minorHAnsi"/>
        </w:rPr>
        <w:t>M</w:t>
      </w:r>
      <w:r w:rsidRPr="001B3DC9">
        <w:rPr>
          <w:rFonts w:eastAsia="Arial" w:cstheme="minorHAnsi"/>
        </w:rPr>
        <w:t>others sometimes lose day to day care of the children (including very young children) on the grounds that their “unreasonable” anxiety over the children’s safety with the father is psychologically abusive.</w:t>
      </w:r>
      <w:r w:rsidRPr="001B3DC9">
        <w:rPr>
          <w:rFonts w:eastAsia="Arial" w:cstheme="minorHAnsi"/>
          <w:vertAlign w:val="superscript"/>
        </w:rPr>
        <w:footnoteReference w:id="26"/>
      </w:r>
    </w:p>
    <w:p w14:paraId="1F38985F" w14:textId="25042B52" w:rsidR="0053419C" w:rsidRPr="00A94A6E" w:rsidRDefault="0053419C" w:rsidP="0053419C">
      <w:bookmarkStart w:id="1" w:name="_Toc110968346"/>
      <w:bookmarkStart w:id="2" w:name="_Toc110968878"/>
      <w:r w:rsidRPr="001A6D2B">
        <w:rPr>
          <w:rFonts w:ascii="Calibri" w:eastAsia="Times New Roman" w:hAnsi="Calibri" w:cs="Calibri"/>
          <w:b/>
          <w:bCs/>
          <w:shd w:val="clear" w:color="auto" w:fill="F6CDC2" w:themeFill="accent3"/>
        </w:rPr>
        <w:t>Forced uplifts to enforce parenting orders</w:t>
      </w:r>
      <w:bookmarkEnd w:id="1"/>
      <w:bookmarkEnd w:id="2"/>
      <w:r w:rsidRPr="001A6D2B">
        <w:rPr>
          <w:rFonts w:ascii="Calibri" w:eastAsia="Times New Roman" w:hAnsi="Calibri" w:cs="Calibri"/>
          <w:b/>
          <w:bCs/>
          <w:shd w:val="clear" w:color="auto" w:fill="F6CDC2" w:themeFill="accent3"/>
        </w:rPr>
        <w:t>.</w:t>
      </w:r>
      <w:r w:rsidRPr="001A6D2B">
        <w:rPr>
          <w:rFonts w:ascii="Calibri" w:eastAsia="Times New Roman" w:hAnsi="Calibri" w:cs="Calibri"/>
          <w:bCs/>
          <w:i/>
        </w:rPr>
        <w:t xml:space="preserve"> </w:t>
      </w:r>
      <w:r w:rsidRPr="001A6D2B">
        <w:t xml:space="preserve">Some children are physically forced by </w:t>
      </w:r>
      <w:r w:rsidR="00C50907">
        <w:t>p</w:t>
      </w:r>
      <w:r w:rsidRPr="001A6D2B">
        <w:t>olice into the care of the abuser.</w:t>
      </w:r>
      <w:r w:rsidRPr="001A6D2B">
        <w:rPr>
          <w:vertAlign w:val="superscript"/>
        </w:rPr>
        <w:footnoteReference w:id="27"/>
      </w:r>
      <w:r w:rsidRPr="001A6D2B">
        <w:t xml:space="preserve"> The NZ media investigated this practice in 2017.</w:t>
      </w:r>
      <w:r w:rsidRPr="001A6D2B">
        <w:rPr>
          <w:vertAlign w:val="superscript"/>
        </w:rPr>
        <w:footnoteReference w:id="28"/>
      </w:r>
      <w:r w:rsidRPr="001A6D2B">
        <w:t xml:space="preserve"> There was public outcry at the time yet the NZFC continues to order these uplifts</w:t>
      </w:r>
      <w:r w:rsidR="007477F0">
        <w:t xml:space="preserve"> which are traumatic for children and women VS</w:t>
      </w:r>
      <w:r w:rsidRPr="001A6D2B">
        <w:t>. In most cases they are made without notice – the parent</w:t>
      </w:r>
      <w:r w:rsidRPr="00A94A6E">
        <w:t xml:space="preserve"> they are made against has no prior knowledge of it; Police arrive to execute the </w:t>
      </w:r>
      <w:r>
        <w:t xml:space="preserve">uplift </w:t>
      </w:r>
      <w:r w:rsidRPr="00A94A6E">
        <w:t xml:space="preserve">warrant without warning. </w:t>
      </w:r>
    </w:p>
    <w:p w14:paraId="2BF0EEF9" w14:textId="20EE31F7" w:rsidR="00C50907" w:rsidRDefault="007477F0" w:rsidP="001B3DC9">
      <w:r>
        <w:t>A</w:t>
      </w:r>
      <w:r w:rsidR="0053419C" w:rsidRPr="00FE360F">
        <w:t xml:space="preserve">pplications granted for these uplifts have remained steady throughout 2016 – 2021 with numbers ranging from 485 to 594 warrants granted per year. Each warrant applies to one or more children. </w:t>
      </w:r>
      <w:r>
        <w:t xml:space="preserve">The </w:t>
      </w:r>
      <w:r w:rsidR="0053419C" w:rsidRPr="00FE360F">
        <w:t xml:space="preserve">percentage of total applications that were granted for both s72 and s73 applications rose in 2020/21, as shown </w:t>
      </w:r>
      <w:r w:rsidR="00C50907">
        <w:t xml:space="preserve">in Figure 2 </w:t>
      </w:r>
      <w:r w:rsidR="0053419C" w:rsidRPr="00FE360F">
        <w:t>below.</w:t>
      </w:r>
      <w:r w:rsidR="0053419C" w:rsidRPr="001B3DC9">
        <w:rPr>
          <w:vertAlign w:val="superscript"/>
        </w:rPr>
        <w:footnoteReference w:id="29"/>
      </w:r>
      <w:r w:rsidR="0053419C" w:rsidRPr="001B3DC9">
        <w:t xml:space="preserve"> </w:t>
      </w:r>
    </w:p>
    <w:p w14:paraId="520E2B6F" w14:textId="77777777" w:rsidR="00C50907" w:rsidRDefault="00C50907">
      <w:pPr>
        <w:spacing w:after="160" w:line="259" w:lineRule="auto"/>
      </w:pPr>
      <w:r>
        <w:br w:type="page"/>
      </w:r>
    </w:p>
    <w:p w14:paraId="5F4362BB" w14:textId="13FD2565" w:rsidR="0053419C" w:rsidRDefault="0053419C" w:rsidP="0053419C">
      <w:pPr>
        <w:spacing w:after="0" w:line="240" w:lineRule="auto"/>
        <w:jc w:val="center"/>
        <w:rPr>
          <w:rFonts w:asciiTheme="majorHAnsi" w:eastAsia="Arial" w:hAnsiTheme="majorHAnsi" w:cs="Arial"/>
          <w:b/>
          <w:color w:val="000000"/>
        </w:rPr>
      </w:pPr>
      <w:r w:rsidRPr="00A94A6E">
        <w:rPr>
          <w:rFonts w:asciiTheme="majorHAnsi" w:eastAsia="Arial" w:hAnsiTheme="majorHAnsi" w:cs="Arial"/>
          <w:b/>
        </w:rPr>
        <w:lastRenderedPageBreak/>
        <w:t>Figure</w:t>
      </w:r>
      <w:r w:rsidRPr="00A94A6E">
        <w:rPr>
          <w:rFonts w:asciiTheme="majorHAnsi" w:eastAsia="Arial" w:hAnsiTheme="majorHAnsi" w:cs="Arial"/>
          <w:b/>
          <w:color w:val="000000"/>
        </w:rPr>
        <w:t xml:space="preserve"> </w:t>
      </w:r>
      <w:r w:rsidR="00A308CF">
        <w:rPr>
          <w:rFonts w:asciiTheme="majorHAnsi" w:eastAsia="Arial" w:hAnsiTheme="majorHAnsi" w:cs="Arial"/>
          <w:b/>
          <w:color w:val="000000"/>
        </w:rPr>
        <w:t>2</w:t>
      </w:r>
      <w:r w:rsidRPr="00A94A6E">
        <w:rPr>
          <w:rFonts w:asciiTheme="majorHAnsi" w:eastAsia="Arial" w:hAnsiTheme="majorHAnsi" w:cs="Arial"/>
          <w:b/>
          <w:color w:val="000000"/>
        </w:rPr>
        <w:t xml:space="preserve">: </w:t>
      </w:r>
      <w:r w:rsidRPr="00A94A6E">
        <w:rPr>
          <w:rFonts w:asciiTheme="majorHAnsi" w:eastAsia="Arial" w:hAnsiTheme="majorHAnsi" w:cs="Arial"/>
          <w:b/>
        </w:rPr>
        <w:t>G</w:t>
      </w:r>
      <w:r w:rsidRPr="00A94A6E">
        <w:rPr>
          <w:rFonts w:asciiTheme="majorHAnsi" w:eastAsia="Arial" w:hAnsiTheme="majorHAnsi" w:cs="Arial"/>
          <w:b/>
          <w:color w:val="000000"/>
        </w:rPr>
        <w:t>ranted warrants to uplift children in Aotearoa NZ</w:t>
      </w:r>
    </w:p>
    <w:p w14:paraId="372F7FEB" w14:textId="77777777" w:rsidR="0053419C" w:rsidRDefault="0053419C" w:rsidP="0053419C">
      <w:pPr>
        <w:spacing w:after="0" w:line="240" w:lineRule="auto"/>
        <w:jc w:val="center"/>
        <w:rPr>
          <w:rFonts w:asciiTheme="majorHAnsi" w:eastAsia="Arial" w:hAnsiTheme="majorHAnsi" w:cs="Arial"/>
          <w:b/>
          <w:color w:val="000000"/>
        </w:rPr>
      </w:pPr>
    </w:p>
    <w:p w14:paraId="344B27FF" w14:textId="77777777" w:rsidR="0053419C" w:rsidRDefault="0053419C" w:rsidP="0053419C">
      <w:pPr>
        <w:spacing w:after="0" w:line="240" w:lineRule="auto"/>
        <w:jc w:val="both"/>
        <w:rPr>
          <w:rFonts w:asciiTheme="majorHAnsi" w:eastAsia="Arial" w:hAnsiTheme="majorHAnsi" w:cs="Arial"/>
          <w:b/>
          <w:color w:val="000000"/>
        </w:rPr>
      </w:pPr>
      <w:r>
        <w:rPr>
          <w:noProof/>
        </w:rPr>
        <w:drawing>
          <wp:inline distT="0" distB="0" distL="0" distR="0" wp14:anchorId="135A5F9B" wp14:editId="0D1287A4">
            <wp:extent cx="6208765" cy="267589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17236" cy="2679541"/>
                    </a:xfrm>
                    <a:prstGeom prst="rect">
                      <a:avLst/>
                    </a:prstGeom>
                    <a:noFill/>
                    <a:ln>
                      <a:noFill/>
                    </a:ln>
                  </pic:spPr>
                </pic:pic>
              </a:graphicData>
            </a:graphic>
          </wp:inline>
        </w:drawing>
      </w:r>
    </w:p>
    <w:p w14:paraId="424A425F" w14:textId="77777777" w:rsidR="0053419C" w:rsidRPr="00A94A6E" w:rsidRDefault="0053419C" w:rsidP="0053419C">
      <w:pPr>
        <w:spacing w:after="0" w:line="240" w:lineRule="auto"/>
        <w:jc w:val="center"/>
        <w:rPr>
          <w:rFonts w:asciiTheme="majorHAnsi" w:eastAsia="Arial" w:hAnsiTheme="majorHAnsi" w:cs="Arial"/>
          <w:b/>
          <w:color w:val="000000"/>
        </w:rPr>
      </w:pPr>
    </w:p>
    <w:p w14:paraId="35E0FD18" w14:textId="77777777" w:rsidR="0053419C" w:rsidRPr="00A94A6E" w:rsidRDefault="0053419C" w:rsidP="0053419C">
      <w:pPr>
        <w:spacing w:after="0" w:line="240" w:lineRule="auto"/>
        <w:rPr>
          <w:rFonts w:asciiTheme="majorHAnsi" w:eastAsia="Arial" w:hAnsiTheme="majorHAnsi" w:cs="Arial"/>
          <w:i/>
          <w:color w:val="000000"/>
          <w:sz w:val="20"/>
          <w:szCs w:val="20"/>
        </w:rPr>
      </w:pPr>
      <w:r w:rsidRPr="00A94A6E">
        <w:rPr>
          <w:rFonts w:asciiTheme="majorHAnsi" w:eastAsia="Arial" w:hAnsiTheme="majorHAnsi" w:cs="Arial"/>
          <w:i/>
          <w:color w:val="000000"/>
          <w:sz w:val="20"/>
          <w:szCs w:val="20"/>
        </w:rPr>
        <w:t>*percentage granted based on total</w:t>
      </w:r>
      <w:r>
        <w:rPr>
          <w:rFonts w:asciiTheme="majorHAnsi" w:eastAsia="Arial" w:hAnsiTheme="majorHAnsi" w:cs="Arial"/>
          <w:i/>
          <w:color w:val="000000"/>
          <w:sz w:val="20"/>
          <w:szCs w:val="20"/>
        </w:rPr>
        <w:t xml:space="preserve"> number</w:t>
      </w:r>
      <w:r w:rsidRPr="00A94A6E">
        <w:rPr>
          <w:rFonts w:asciiTheme="majorHAnsi" w:eastAsia="Arial" w:hAnsiTheme="majorHAnsi" w:cs="Arial"/>
          <w:i/>
          <w:color w:val="000000"/>
          <w:sz w:val="20"/>
          <w:szCs w:val="20"/>
        </w:rPr>
        <w:t xml:space="preserve"> of </w:t>
      </w:r>
      <w:r>
        <w:rPr>
          <w:rFonts w:asciiTheme="majorHAnsi" w:eastAsia="Arial" w:hAnsiTheme="majorHAnsi" w:cs="Arial"/>
          <w:i/>
          <w:color w:val="000000"/>
          <w:sz w:val="20"/>
          <w:szCs w:val="20"/>
        </w:rPr>
        <w:t xml:space="preserve">determined </w:t>
      </w:r>
      <w:r w:rsidRPr="00A94A6E">
        <w:rPr>
          <w:rFonts w:asciiTheme="majorHAnsi" w:eastAsia="Arial" w:hAnsiTheme="majorHAnsi" w:cs="Arial"/>
          <w:i/>
          <w:color w:val="000000"/>
          <w:sz w:val="20"/>
          <w:szCs w:val="20"/>
        </w:rPr>
        <w:t xml:space="preserve">applications </w:t>
      </w:r>
      <w:r>
        <w:rPr>
          <w:rFonts w:asciiTheme="majorHAnsi" w:eastAsia="Arial" w:hAnsiTheme="majorHAnsi" w:cs="Arial"/>
          <w:i/>
          <w:color w:val="000000"/>
          <w:sz w:val="20"/>
          <w:szCs w:val="20"/>
        </w:rPr>
        <w:t xml:space="preserve">- </w:t>
      </w:r>
      <w:r w:rsidRPr="00A94A6E">
        <w:rPr>
          <w:rFonts w:asciiTheme="majorHAnsi" w:eastAsia="Arial" w:hAnsiTheme="majorHAnsi" w:cs="Arial"/>
          <w:i/>
          <w:color w:val="000000"/>
          <w:sz w:val="20"/>
          <w:szCs w:val="20"/>
        </w:rPr>
        <w:t>exclud</w:t>
      </w:r>
      <w:r>
        <w:rPr>
          <w:rFonts w:asciiTheme="majorHAnsi" w:eastAsia="Arial" w:hAnsiTheme="majorHAnsi" w:cs="Arial"/>
          <w:i/>
          <w:color w:val="000000"/>
          <w:sz w:val="20"/>
          <w:szCs w:val="20"/>
        </w:rPr>
        <w:t>es</w:t>
      </w:r>
      <w:r w:rsidRPr="00A94A6E">
        <w:rPr>
          <w:rFonts w:asciiTheme="majorHAnsi" w:eastAsia="Arial" w:hAnsiTheme="majorHAnsi" w:cs="Arial"/>
          <w:i/>
          <w:color w:val="000000"/>
          <w:sz w:val="20"/>
          <w:szCs w:val="20"/>
        </w:rPr>
        <w:t xml:space="preserve"> those that are still active/undecided or have been lapsed, withdrawn or discontinued.</w:t>
      </w:r>
    </w:p>
    <w:p w14:paraId="5260B404" w14:textId="77777777" w:rsidR="00B01F52" w:rsidRDefault="00B01F52" w:rsidP="0053419C">
      <w:pPr>
        <w:rPr>
          <w:rFonts w:ascii="Calibri" w:eastAsia="Times New Roman" w:hAnsi="Calibri" w:cs="Calibri"/>
          <w:b/>
          <w:bCs/>
          <w:shd w:val="clear" w:color="auto" w:fill="F6CDC2" w:themeFill="accent3"/>
        </w:rPr>
      </w:pPr>
    </w:p>
    <w:p w14:paraId="3E0A9AFC" w14:textId="66893414" w:rsidR="0053419C" w:rsidRPr="00A94A6E" w:rsidRDefault="0053419C" w:rsidP="0053419C">
      <w:r w:rsidRPr="001A6D2B">
        <w:rPr>
          <w:rFonts w:ascii="Calibri" w:eastAsia="Times New Roman" w:hAnsi="Calibri" w:cs="Calibri"/>
          <w:b/>
          <w:bCs/>
          <w:shd w:val="clear" w:color="auto" w:fill="F6CDC2" w:themeFill="accent3"/>
        </w:rPr>
        <w:t xml:space="preserve">Hague Convention. </w:t>
      </w:r>
      <w:r w:rsidR="001A6D2B">
        <w:t>Our organisations are</w:t>
      </w:r>
      <w:r w:rsidRPr="00A94A6E">
        <w:t xml:space="preserve"> regularly contacted by women involved in Hague Convention proceedings. Frequently they have fled </w:t>
      </w:r>
      <w:r w:rsidR="00061FA7">
        <w:t>FV/SV</w:t>
      </w:r>
      <w:r w:rsidRPr="00A94A6E">
        <w:t xml:space="preserve"> in another country, returning home </w:t>
      </w:r>
      <w:r w:rsidR="007477F0">
        <w:t xml:space="preserve">to </w:t>
      </w:r>
      <w:r w:rsidR="00025938">
        <w:t>Aotearoa</w:t>
      </w:r>
      <w:r w:rsidR="007477F0">
        <w:t xml:space="preserve"> NZ </w:t>
      </w:r>
      <w:r w:rsidRPr="00A94A6E">
        <w:t>where they have support networks. In the vast majority of cases, children are ordered back to their ‘habitual residence’ – even if that involves an unsafe/unsupportive environment. The bar for not returning children is exceptionally high</w:t>
      </w:r>
      <w:r w:rsidRPr="00A94A6E">
        <w:rPr>
          <w:vertAlign w:val="superscript"/>
        </w:rPr>
        <w:footnoteReference w:id="30"/>
      </w:r>
      <w:r w:rsidRPr="00A94A6E">
        <w:t xml:space="preserve"> and the NZFC almost always presumes that legal systems in the other country are adequate to protect the child. This compromises the safety of women and children as they are returned to situations of </w:t>
      </w:r>
      <w:r w:rsidR="00061FA7">
        <w:t>FV/SV</w:t>
      </w:r>
      <w:r w:rsidRPr="00A94A6E">
        <w:t xml:space="preserve"> in which they have no support and inadequate protection.</w:t>
      </w:r>
      <w:r w:rsidR="000A0245">
        <w:t xml:space="preserve"> </w:t>
      </w:r>
    </w:p>
    <w:p w14:paraId="31B2BF2C" w14:textId="22846C20" w:rsidR="009F7A75" w:rsidRPr="00F937C2" w:rsidRDefault="00061FA7" w:rsidP="003A43D4">
      <w:pPr>
        <w:pStyle w:val="August4"/>
      </w:pPr>
      <w:bookmarkStart w:id="3" w:name="recommendations"/>
      <w:bookmarkStart w:id="4" w:name="recommended"/>
      <w:bookmarkEnd w:id="3"/>
      <w:bookmarkEnd w:id="4"/>
      <w:r>
        <w:t>R</w:t>
      </w:r>
      <w:r w:rsidR="00F937C2" w:rsidRPr="00F937C2">
        <w:t>esponse to NZ State report</w:t>
      </w:r>
      <w:r w:rsidR="00C0374D">
        <w:t xml:space="preserve"> </w:t>
      </w:r>
      <w:r w:rsidR="00C50907">
        <w:t xml:space="preserve">to CEDAW </w:t>
      </w:r>
      <w:r w:rsidR="00C0374D">
        <w:t>regarding Family Law</w:t>
      </w:r>
    </w:p>
    <w:p w14:paraId="3A4A477D" w14:textId="5C21E0C1" w:rsidR="00FE360F" w:rsidRPr="001B3DC9" w:rsidRDefault="00EA6361" w:rsidP="001B3DC9">
      <w:pPr>
        <w:rPr>
          <w:rFonts w:cstheme="minorHAnsi"/>
        </w:rPr>
      </w:pPr>
      <w:r w:rsidRPr="001B3DC9">
        <w:rPr>
          <w:rFonts w:cstheme="minorHAnsi"/>
        </w:rPr>
        <w:t xml:space="preserve">The NZ Government has stated that Aotearoa New Zealand’s family laws do not refer to parental alienation syndrome theory. </w:t>
      </w:r>
      <w:r w:rsidR="00136BB8" w:rsidRPr="001B3DC9">
        <w:rPr>
          <w:rFonts w:eastAsia="Arial" w:cstheme="minorHAnsi"/>
        </w:rPr>
        <w:t xml:space="preserve">Nonetheless, </w:t>
      </w:r>
      <w:r w:rsidR="00136BB8" w:rsidRPr="00C50907">
        <w:rPr>
          <w:rFonts w:eastAsia="Arial" w:cstheme="minorHAnsi"/>
          <w:b/>
          <w:shd w:val="clear" w:color="auto" w:fill="F6CDC2" w:themeFill="accent3"/>
        </w:rPr>
        <w:t>the NZFC frequently subscribes to PA theory.</w:t>
      </w:r>
      <w:r w:rsidR="00136BB8" w:rsidRPr="00C50907">
        <w:rPr>
          <w:rStyle w:val="FootnoteReference"/>
          <w:rFonts w:eastAsia="Arial" w:cstheme="minorHAnsi"/>
          <w:b/>
          <w:shd w:val="clear" w:color="auto" w:fill="F6CDC2" w:themeFill="accent3"/>
        </w:rPr>
        <w:footnoteReference w:id="31"/>
      </w:r>
      <w:r w:rsidR="00136BB8" w:rsidRPr="00C50907">
        <w:rPr>
          <w:rFonts w:eastAsia="Arial" w:cstheme="minorHAnsi"/>
          <w:b/>
          <w:shd w:val="clear" w:color="auto" w:fill="F6CDC2" w:themeFill="accent3"/>
        </w:rPr>
        <w:t xml:space="preserve"> </w:t>
      </w:r>
      <w:r w:rsidR="00136BB8" w:rsidRPr="00C50907">
        <w:rPr>
          <w:rFonts w:cstheme="minorHAnsi"/>
          <w:b/>
          <w:shd w:val="clear" w:color="auto" w:fill="F6CDC2" w:themeFill="accent3"/>
        </w:rPr>
        <w:t>Our</w:t>
      </w:r>
      <w:r w:rsidRPr="00B01F52">
        <w:rPr>
          <w:rFonts w:cstheme="minorHAnsi"/>
          <w:b/>
          <w:shd w:val="clear" w:color="auto" w:fill="F6CDC2" w:themeFill="accent3"/>
        </w:rPr>
        <w:t xml:space="preserve"> review of Family Law cases from 20</w:t>
      </w:r>
      <w:r w:rsidR="001B3DC9" w:rsidRPr="00B01F52">
        <w:rPr>
          <w:rFonts w:cstheme="minorHAnsi"/>
          <w:b/>
          <w:shd w:val="clear" w:color="auto" w:fill="F6CDC2" w:themeFill="accent3"/>
        </w:rPr>
        <w:t>16</w:t>
      </w:r>
      <w:r w:rsidRPr="00B01F52">
        <w:rPr>
          <w:rFonts w:cstheme="minorHAnsi"/>
          <w:b/>
          <w:shd w:val="clear" w:color="auto" w:fill="F6CDC2" w:themeFill="accent3"/>
        </w:rPr>
        <w:t xml:space="preserve"> to 2023 shows the concept is in wide use in NZ</w:t>
      </w:r>
      <w:r w:rsidR="000D35E8" w:rsidRPr="00B01F52">
        <w:rPr>
          <w:rFonts w:cstheme="minorHAnsi"/>
          <w:b/>
          <w:shd w:val="clear" w:color="auto" w:fill="F6CDC2" w:themeFill="accent3"/>
        </w:rPr>
        <w:t>FC</w:t>
      </w:r>
      <w:r w:rsidRPr="009F460F">
        <w:rPr>
          <w:rFonts w:cstheme="minorHAnsi"/>
          <w:b/>
        </w:rPr>
        <w:t xml:space="preserve"> </w:t>
      </w:r>
      <w:r w:rsidRPr="001B3DC9">
        <w:rPr>
          <w:rFonts w:cstheme="minorHAnsi"/>
        </w:rPr>
        <w:t>– please see Appendix 1 for excerpts from judicial decisions</w:t>
      </w:r>
      <w:r w:rsidR="001B3DC9">
        <w:rPr>
          <w:rFonts w:cstheme="minorHAnsi"/>
        </w:rPr>
        <w:t xml:space="preserve"> since 2020</w:t>
      </w:r>
      <w:r w:rsidRPr="001B3DC9">
        <w:rPr>
          <w:rFonts w:cstheme="minorHAnsi"/>
        </w:rPr>
        <w:t xml:space="preserve">. </w:t>
      </w:r>
    </w:p>
    <w:p w14:paraId="2F3985BA" w14:textId="314926C1" w:rsidR="00FE360F" w:rsidRPr="001B3DC9" w:rsidRDefault="00136BB8" w:rsidP="001B3DC9">
      <w:pPr>
        <w:rPr>
          <w:rFonts w:cstheme="minorHAnsi"/>
        </w:rPr>
      </w:pPr>
      <w:r w:rsidRPr="001B3DC9">
        <w:rPr>
          <w:rFonts w:eastAsia="Arial" w:cstheme="minorHAnsi"/>
        </w:rPr>
        <w:t xml:space="preserve">CEDAW’s 2018 periodic review recommended that  NZ ‘Review the reliance on the Parental Alienation theory, with a view to limit its usage in child custody disputes’ (48,d). </w:t>
      </w:r>
      <w:r w:rsidRPr="001B3DC9">
        <w:rPr>
          <w:rFonts w:cstheme="minorHAnsi"/>
          <w:color w:val="000000"/>
        </w:rPr>
        <w:t>T</w:t>
      </w:r>
      <w:r w:rsidR="00EA6361" w:rsidRPr="001B3DC9">
        <w:rPr>
          <w:rFonts w:cstheme="minorHAnsi"/>
          <w:color w:val="000000"/>
        </w:rPr>
        <w:t>he United Nations Special Rapporteur</w:t>
      </w:r>
      <w:r w:rsidRPr="001B3DC9">
        <w:rPr>
          <w:rFonts w:cstheme="minorHAnsi"/>
          <w:color w:val="000000"/>
        </w:rPr>
        <w:t xml:space="preserve"> made her </w:t>
      </w:r>
      <w:r w:rsidR="00EA6361" w:rsidRPr="001B3DC9">
        <w:rPr>
          <w:rFonts w:cstheme="minorHAnsi"/>
          <w:color w:val="000000"/>
        </w:rPr>
        <w:t>2023 recommendation to “</w:t>
      </w:r>
      <w:r w:rsidR="00EA6361" w:rsidRPr="001B3DC9">
        <w:rPr>
          <w:rFonts w:cstheme="minorHAnsi"/>
        </w:rPr>
        <w:t>legislate to prohibit the use of parental alienation or related pseudo-concepts in family law cases and the use of so-called experts in parental alienation and related pseudo-concepts”</w:t>
      </w:r>
      <w:r w:rsidR="00EA6361" w:rsidRPr="001B3DC9">
        <w:rPr>
          <w:rStyle w:val="FootnoteTextChar"/>
          <w:rFonts w:cstheme="minorHAnsi"/>
          <w:sz w:val="22"/>
          <w:szCs w:val="22"/>
          <w:vertAlign w:val="superscript"/>
        </w:rPr>
        <w:footnoteReference w:id="32"/>
      </w:r>
    </w:p>
    <w:p w14:paraId="37274946" w14:textId="26F8D305" w:rsidR="00FE360F" w:rsidRDefault="00FE360F" w:rsidP="00FE360F">
      <w:r>
        <w:lastRenderedPageBreak/>
        <w:t xml:space="preserve">The NZ Government has stated that it has a multiyear programme underway to transform the family justice system and lists a number of activities. However, </w:t>
      </w:r>
      <w:r w:rsidR="00BC5DF8">
        <w:t>VS</w:t>
      </w:r>
      <w:r>
        <w:t xml:space="preserve"> and women’s organisations have not seen any improvement in the response to </w:t>
      </w:r>
      <w:r w:rsidR="00BC5DF8">
        <w:t>VS</w:t>
      </w:r>
      <w:r>
        <w:t xml:space="preserve"> in the </w:t>
      </w:r>
      <w:r w:rsidR="000D35E8">
        <w:t>NZFC</w:t>
      </w:r>
      <w:r>
        <w:t xml:space="preserve"> over the last four years. For example:</w:t>
      </w:r>
    </w:p>
    <w:p w14:paraId="37ACD7FD" w14:textId="6FD440FD" w:rsidR="00772283" w:rsidRPr="00A308CF" w:rsidRDefault="00772283" w:rsidP="00A308CF">
      <w:pPr>
        <w:rPr>
          <w:color w:val="000000"/>
        </w:rPr>
      </w:pPr>
      <w:r w:rsidRPr="00A308CF">
        <w:rPr>
          <w:b/>
          <w:shd w:val="clear" w:color="auto" w:fill="F6CDC2" w:themeFill="accent3"/>
        </w:rPr>
        <w:t>The implementation of the Family Court (Supporting Children in Court) Legislation Act</w:t>
      </w:r>
      <w:r w:rsidR="008D1F66" w:rsidRPr="00A308CF">
        <w:rPr>
          <w:shd w:val="clear" w:color="auto" w:fill="F6CDC2" w:themeFill="accent3"/>
        </w:rPr>
        <w:t xml:space="preserve"> </w:t>
      </w:r>
      <w:r w:rsidR="00217657">
        <w:rPr>
          <w:b/>
          <w:shd w:val="clear" w:color="auto" w:fill="F6CDC2" w:themeFill="accent3"/>
        </w:rPr>
        <w:t>is questionable</w:t>
      </w:r>
      <w:r w:rsidR="008D1F66" w:rsidRPr="00A308CF">
        <w:rPr>
          <w:b/>
          <w:shd w:val="clear" w:color="auto" w:fill="F6CDC2" w:themeFill="accent3"/>
        </w:rPr>
        <w:t>.</w:t>
      </w:r>
      <w:r w:rsidR="008D1F66" w:rsidRPr="00A308CF">
        <w:t xml:space="preserve"> </w:t>
      </w:r>
      <w:r w:rsidR="001B3DC9" w:rsidRPr="00A308CF">
        <w:t>As part of the Act</w:t>
      </w:r>
      <w:r w:rsidR="00217657">
        <w:t>,</w:t>
      </w:r>
      <w:r w:rsidR="001B3DC9" w:rsidRPr="00A308CF">
        <w:t xml:space="preserve"> the </w:t>
      </w:r>
      <w:proofErr w:type="spellStart"/>
      <w:r w:rsidR="00C50907">
        <w:t>MoJ</w:t>
      </w:r>
      <w:proofErr w:type="spellEnd"/>
      <w:r w:rsidR="001B3DC9" w:rsidRPr="00A308CF">
        <w:t xml:space="preserve"> was to commission a report on child participation models and make recommendations. </w:t>
      </w:r>
      <w:r w:rsidR="00596D3F">
        <w:t xml:space="preserve">The report was commissioned </w:t>
      </w:r>
      <w:r w:rsidR="00BC5DF8">
        <w:rPr>
          <w:color w:val="000000"/>
        </w:rPr>
        <w:t>i</w:t>
      </w:r>
      <w:r w:rsidR="001B3DC9" w:rsidRPr="00A308CF">
        <w:rPr>
          <w:color w:val="000000"/>
        </w:rPr>
        <w:t xml:space="preserve">n 2021, </w:t>
      </w:r>
      <w:r w:rsidR="00596D3F">
        <w:rPr>
          <w:color w:val="000000"/>
        </w:rPr>
        <w:t xml:space="preserve">and </w:t>
      </w:r>
      <w:r w:rsidR="001B3DC9" w:rsidRPr="00A308CF">
        <w:rPr>
          <w:color w:val="000000"/>
        </w:rPr>
        <w:t xml:space="preserve">delivered in </w:t>
      </w:r>
      <w:r w:rsidR="00596D3F">
        <w:rPr>
          <w:color w:val="000000"/>
        </w:rPr>
        <w:t xml:space="preserve">early </w:t>
      </w:r>
      <w:r w:rsidR="001B3DC9" w:rsidRPr="00A308CF">
        <w:rPr>
          <w:color w:val="000000"/>
        </w:rPr>
        <w:t>2022</w:t>
      </w:r>
      <w:r w:rsidR="00596D3F">
        <w:rPr>
          <w:color w:val="000000"/>
        </w:rPr>
        <w:t>. It is</w:t>
      </w:r>
      <w:r w:rsidR="001B3DC9" w:rsidRPr="00A308CF">
        <w:rPr>
          <w:color w:val="000000"/>
        </w:rPr>
        <w:t xml:space="preserve"> highly critical of the Lawyer for the Child role.</w:t>
      </w:r>
      <w:r w:rsidR="001B3DC9" w:rsidRPr="00A308CF">
        <w:rPr>
          <w:rStyle w:val="FootnoteReference"/>
          <w:rFonts w:cstheme="minorHAnsi"/>
          <w:color w:val="000000"/>
        </w:rPr>
        <w:footnoteReference w:id="33"/>
      </w:r>
      <w:r w:rsidR="001B3DC9" w:rsidRPr="00A308CF">
        <w:rPr>
          <w:color w:val="000000"/>
        </w:rPr>
        <w:t xml:space="preserve"> Yet the Ministry has taken no action in response to the report’s recommendations to introduce child specialists into the </w:t>
      </w:r>
      <w:r w:rsidR="00BC5DF8">
        <w:rPr>
          <w:color w:val="000000"/>
        </w:rPr>
        <w:t>NZFC</w:t>
      </w:r>
      <w:r w:rsidR="001B3DC9" w:rsidRPr="00A308CF">
        <w:rPr>
          <w:color w:val="000000"/>
        </w:rPr>
        <w:t>, screen cases for FV/SV, undertake risk assessments, provide training for court professionals and ensure principles of Tikanga are used to inform the development of the new child participation process.</w:t>
      </w:r>
      <w:r w:rsidR="00A308CF" w:rsidRPr="00A308CF">
        <w:rPr>
          <w:rStyle w:val="FootnoteReference"/>
          <w:rFonts w:cstheme="minorHAnsi"/>
        </w:rPr>
        <w:t xml:space="preserve"> </w:t>
      </w:r>
      <w:r w:rsidR="00A308CF" w:rsidRPr="00A308CF">
        <w:rPr>
          <w:rStyle w:val="FootnoteReference"/>
          <w:rFonts w:cstheme="minorHAnsi"/>
        </w:rPr>
        <w:footnoteReference w:id="34"/>
      </w:r>
      <w:r w:rsidR="001B3DC9" w:rsidRPr="00A308CF">
        <w:rPr>
          <w:color w:val="000000"/>
        </w:rPr>
        <w:t xml:space="preserve"> </w:t>
      </w:r>
      <w:r w:rsidR="008D1F66" w:rsidRPr="00A308CF">
        <w:t>To date MoJ have not commenced any specific training for Lawyer for Child nor met with the Law Society to discuss the Inder report.</w:t>
      </w:r>
      <w:r w:rsidR="003B6B4E" w:rsidRPr="00A308CF">
        <w:rPr>
          <w:rStyle w:val="FootnoteReference"/>
          <w:rFonts w:cstheme="minorHAnsi"/>
        </w:rPr>
        <w:footnoteReference w:id="35"/>
      </w:r>
    </w:p>
    <w:p w14:paraId="2076C793" w14:textId="71E9DA70" w:rsidR="000D7A7A" w:rsidRDefault="00E40B15" w:rsidP="000D7A7A">
      <w:r>
        <w:t xml:space="preserve"> </w:t>
      </w:r>
      <w:r w:rsidR="000D7A7A" w:rsidRPr="00E517C4">
        <w:rPr>
          <w:b/>
          <w:shd w:val="clear" w:color="auto" w:fill="F6CDC2" w:themeFill="accent3"/>
        </w:rPr>
        <w:t xml:space="preserve">The </w:t>
      </w:r>
      <w:r w:rsidR="00A308CF">
        <w:rPr>
          <w:b/>
          <w:shd w:val="clear" w:color="auto" w:fill="F6CDC2" w:themeFill="accent3"/>
        </w:rPr>
        <w:t>MoJ</w:t>
      </w:r>
      <w:r w:rsidR="000D7A7A" w:rsidRPr="00E517C4">
        <w:rPr>
          <w:b/>
          <w:shd w:val="clear" w:color="auto" w:fill="F6CDC2" w:themeFill="accent3"/>
        </w:rPr>
        <w:t xml:space="preserve"> has commissioned a FVSV Response Training package</w:t>
      </w:r>
      <w:r w:rsidR="000D7A7A" w:rsidRPr="00E517C4">
        <w:rPr>
          <w:shd w:val="clear" w:color="auto" w:fill="F6CDC2" w:themeFill="accent3"/>
        </w:rPr>
        <w:t xml:space="preserve"> </w:t>
      </w:r>
      <w:r w:rsidR="000D7A7A">
        <w:t xml:space="preserve">and delivery to people working in the </w:t>
      </w:r>
      <w:r w:rsidR="00BC5DF8">
        <w:t>NZFC</w:t>
      </w:r>
      <w:r w:rsidR="000D7A7A">
        <w:t>. It is intended to include Lawyer for Child and Specialist s133 report writers (court appointed psychologists</w:t>
      </w:r>
      <w:r w:rsidR="00A308CF">
        <w:t>)</w:t>
      </w:r>
      <w:r w:rsidR="000D7A7A">
        <w:t xml:space="preserve">, however, to date </w:t>
      </w:r>
      <w:r w:rsidR="005F7A31">
        <w:t>it appears</w:t>
      </w:r>
      <w:r w:rsidR="005712F7">
        <w:t xml:space="preserve"> only a </w:t>
      </w:r>
      <w:r w:rsidR="00217657">
        <w:t xml:space="preserve">very </w:t>
      </w:r>
      <w:r w:rsidR="005712F7">
        <w:t xml:space="preserve">small number of these types of </w:t>
      </w:r>
      <w:r w:rsidR="000D7A7A">
        <w:t xml:space="preserve">participants </w:t>
      </w:r>
      <w:r w:rsidR="008A1462">
        <w:t xml:space="preserve">have </w:t>
      </w:r>
      <w:r w:rsidR="005712F7">
        <w:t>attended.</w:t>
      </w:r>
      <w:r w:rsidR="00217657">
        <w:t xml:space="preserve"> Training elsewhere remains inadequate</w:t>
      </w:r>
      <w:r w:rsidR="00217657" w:rsidRPr="00217657">
        <w:t xml:space="preserve"> </w:t>
      </w:r>
      <w:r w:rsidR="00217657">
        <w:rPr>
          <w:rStyle w:val="FootnoteReference"/>
        </w:rPr>
        <w:footnoteReference w:id="36"/>
      </w:r>
      <w:r w:rsidR="00217657">
        <w:t xml:space="preserve"> </w:t>
      </w:r>
      <w:r w:rsidR="005712F7">
        <w:t xml:space="preserve"> </w:t>
      </w:r>
    </w:p>
    <w:p w14:paraId="7932D453" w14:textId="55B4721F" w:rsidR="00FE360F" w:rsidRDefault="00FE360F" w:rsidP="00FE360F">
      <w:r>
        <w:t>It</w:t>
      </w:r>
      <w:r w:rsidRPr="00E40B15">
        <w:rPr>
          <w:shd w:val="clear" w:color="auto" w:fill="FFFFFF" w:themeFill="background1"/>
        </w:rPr>
        <w:t xml:space="preserve"> is</w:t>
      </w:r>
      <w:r w:rsidRPr="00E517C4">
        <w:rPr>
          <w:shd w:val="clear" w:color="auto" w:fill="F6CDC2" w:themeFill="accent3"/>
        </w:rPr>
        <w:t xml:space="preserve"> </w:t>
      </w:r>
      <w:r w:rsidRPr="00E517C4">
        <w:rPr>
          <w:b/>
          <w:shd w:val="clear" w:color="auto" w:fill="F6CDC2" w:themeFill="accent3"/>
        </w:rPr>
        <w:t>extremely difficult</w:t>
      </w:r>
      <w:r w:rsidR="00217657">
        <w:rPr>
          <w:b/>
          <w:shd w:val="clear" w:color="auto" w:fill="F6CDC2" w:themeFill="accent3"/>
        </w:rPr>
        <w:t xml:space="preserve"> – often impossible in rural areas –</w:t>
      </w:r>
      <w:r w:rsidRPr="00E517C4">
        <w:rPr>
          <w:b/>
          <w:shd w:val="clear" w:color="auto" w:fill="F6CDC2" w:themeFill="accent3"/>
        </w:rPr>
        <w:t xml:space="preserve"> for women to secure legal representation</w:t>
      </w:r>
      <w:r>
        <w:t xml:space="preserve"> (either legally aided or not) as </w:t>
      </w:r>
      <w:r w:rsidR="00217657">
        <w:t xml:space="preserve">few </w:t>
      </w:r>
      <w:r>
        <w:t xml:space="preserve">lawyers </w:t>
      </w:r>
      <w:r w:rsidR="00217657">
        <w:t xml:space="preserve">have been </w:t>
      </w:r>
      <w:r>
        <w:t>willing to take on new clients since COVID 19. Women are increasingly forced to represent themselves in proceedings against their abuser</w:t>
      </w:r>
      <w:r w:rsidR="00A308CF">
        <w:t>. In</w:t>
      </w:r>
      <w:r>
        <w:t xml:space="preserve"> some cases that person may also be unrepresented</w:t>
      </w:r>
      <w:r w:rsidR="00217657">
        <w:t>,</w:t>
      </w:r>
      <w:r>
        <w:t xml:space="preserve"> meaning she must cross</w:t>
      </w:r>
      <w:r w:rsidR="00217657">
        <w:t>-</w:t>
      </w:r>
      <w:r>
        <w:t>examine him in court herself.</w:t>
      </w:r>
    </w:p>
    <w:p w14:paraId="12B597A4" w14:textId="1DD1F171" w:rsidR="00FE360F" w:rsidRDefault="00FE360F" w:rsidP="00FE360F">
      <w:r w:rsidRPr="00E517C4">
        <w:rPr>
          <w:b/>
          <w:shd w:val="clear" w:color="auto" w:fill="F6CDC2" w:themeFill="accent3"/>
        </w:rPr>
        <w:t xml:space="preserve">The new role of Kaiārahi – Family Court Navigator has not been established as a </w:t>
      </w:r>
      <w:r w:rsidR="00A308CF">
        <w:rPr>
          <w:b/>
          <w:shd w:val="clear" w:color="auto" w:fill="F6CDC2" w:themeFill="accent3"/>
        </w:rPr>
        <w:t>FV/SV</w:t>
      </w:r>
      <w:r w:rsidRPr="00E517C4">
        <w:rPr>
          <w:b/>
          <w:shd w:val="clear" w:color="auto" w:fill="F6CDC2" w:themeFill="accent3"/>
        </w:rPr>
        <w:t xml:space="preserve"> specialist role.</w:t>
      </w:r>
      <w:r>
        <w:t xml:space="preserve"> </w:t>
      </w:r>
      <w:r w:rsidR="003B6B4E">
        <w:t xml:space="preserve">This role </w:t>
      </w:r>
      <w:r>
        <w:t xml:space="preserve">cannot advocate for </w:t>
      </w:r>
      <w:r w:rsidR="00BC5DF8">
        <w:t>VS</w:t>
      </w:r>
      <w:r>
        <w:t xml:space="preserve"> in court. </w:t>
      </w:r>
      <w:r w:rsidR="00217657">
        <w:t xml:space="preserve">It has </w:t>
      </w:r>
      <w:r>
        <w:t xml:space="preserve">not changed the unsafe way the court responds to </w:t>
      </w:r>
      <w:r w:rsidR="00A308CF">
        <w:t>FV/SV</w:t>
      </w:r>
      <w:r>
        <w:t>.</w:t>
      </w:r>
    </w:p>
    <w:p w14:paraId="5C944BCB" w14:textId="58F952EA" w:rsidR="00C663B6" w:rsidRDefault="00FE360F" w:rsidP="004D6840">
      <w:r w:rsidRPr="00E517C4">
        <w:rPr>
          <w:b/>
          <w:shd w:val="clear" w:color="auto" w:fill="F6CDC2" w:themeFill="accent3"/>
        </w:rPr>
        <w:t>The legislative reform regarding litigation abuse announced by government in 2023 was not supported by specialist victim-survivor organisations</w:t>
      </w:r>
      <w:r w:rsidRPr="00E517C4">
        <w:rPr>
          <w:shd w:val="clear" w:color="auto" w:fill="F6CDC2" w:themeFill="accent3"/>
        </w:rPr>
        <w:t xml:space="preserve"> </w:t>
      </w:r>
      <w:r w:rsidR="00D8091F">
        <w:t>because</w:t>
      </w:r>
      <w:r>
        <w:t xml:space="preserve"> we believe there is a genuine risk that the Bill will be used against </w:t>
      </w:r>
      <w:r w:rsidR="00BC5DF8">
        <w:t>VS</w:t>
      </w:r>
      <w:r>
        <w:t xml:space="preserve"> who legitimately try to use the court process by filing multiple and ongoing applications/submissions to raise safety concerns for their children or progress other proceedings under the Family Violence Act or Relationship Property Act. Therefore, we recommended the MoJ extend their consultation on litigation abuse to include </w:t>
      </w:r>
      <w:r w:rsidR="00BC5DF8">
        <w:t>VS</w:t>
      </w:r>
      <w:r>
        <w:t xml:space="preserve"> (in a safe and appropriate way) and allocate resources to urgently develop a specialist Family Court model for responding to cases involving </w:t>
      </w:r>
      <w:r w:rsidR="00A308CF">
        <w:t>FV/SV</w:t>
      </w:r>
      <w:r>
        <w:t>. However, the Justice select committee has recommended the Bill be made into law</w:t>
      </w:r>
      <w:r w:rsidR="004B4A9E">
        <w:t>,</w:t>
      </w:r>
      <w:r>
        <w:t xml:space="preserve"> and </w:t>
      </w:r>
      <w:r w:rsidR="00D8091F">
        <w:t xml:space="preserve">we understand </w:t>
      </w:r>
      <w:r>
        <w:t>justice officials are currently drafting the legislation.</w:t>
      </w:r>
      <w:bookmarkStart w:id="5" w:name="_lzkyg9aojlcp" w:colFirst="0" w:colLast="0"/>
      <w:bookmarkEnd w:id="5"/>
    </w:p>
    <w:p w14:paraId="268C0791" w14:textId="2255118F" w:rsidR="0018596B" w:rsidRPr="00A308CF" w:rsidRDefault="0018596B" w:rsidP="003A43D4">
      <w:pPr>
        <w:pStyle w:val="header2"/>
      </w:pPr>
      <w:r w:rsidRPr="00A308CF">
        <w:lastRenderedPageBreak/>
        <w:t>Police response</w:t>
      </w:r>
      <w:r w:rsidR="005F1E34" w:rsidRPr="00A308CF">
        <w:t xml:space="preserve"> (lack of)</w:t>
      </w:r>
      <w:r w:rsidRPr="00A308CF">
        <w:t xml:space="preserve"> is often unsafe</w:t>
      </w:r>
      <w:r w:rsidR="008A1462" w:rsidRPr="00A308CF">
        <w:t xml:space="preserve"> </w:t>
      </w:r>
    </w:p>
    <w:p w14:paraId="626617E1" w14:textId="2F54D453" w:rsidR="00E517C4" w:rsidRPr="00C0374D" w:rsidRDefault="00E517C4" w:rsidP="00E40B15">
      <w:pPr>
        <w:rPr>
          <w:b/>
        </w:rPr>
      </w:pPr>
      <w:r w:rsidRPr="00C0374D">
        <w:rPr>
          <w:b/>
        </w:rPr>
        <w:t>Access to Justice (Issue 5 c/d)</w:t>
      </w:r>
    </w:p>
    <w:p w14:paraId="059407F3" w14:textId="1E00FA38" w:rsidR="003F4A2C" w:rsidRPr="005F710E" w:rsidRDefault="003F4A2C" w:rsidP="005F710E">
      <w:pPr>
        <w:pStyle w:val="August4"/>
        <w:rPr>
          <w:i w:val="0"/>
          <w:sz w:val="24"/>
          <w:szCs w:val="24"/>
        </w:rPr>
      </w:pPr>
      <w:r w:rsidRPr="005F710E">
        <w:rPr>
          <w:i w:val="0"/>
          <w:sz w:val="24"/>
          <w:szCs w:val="24"/>
        </w:rPr>
        <w:t>Police retreat from family violence cases</w:t>
      </w:r>
    </w:p>
    <w:p w14:paraId="24388F4F" w14:textId="717006C1" w:rsidR="00B31F9F" w:rsidRDefault="00790980" w:rsidP="00B31F9F">
      <w:r>
        <w:t>FV/SV</w:t>
      </w:r>
      <w:r w:rsidR="00B31F9F">
        <w:t xml:space="preserve"> are </w:t>
      </w:r>
      <w:r w:rsidR="00B31F9F" w:rsidRPr="00A71F95">
        <w:rPr>
          <w:b/>
          <w:bCs/>
        </w:rPr>
        <w:t>crimes</w:t>
      </w:r>
      <w:r w:rsidR="00B31F9F">
        <w:t>. NZ Police is responsible for upholding the maintenance of law and order, including:</w:t>
      </w:r>
    </w:p>
    <w:p w14:paraId="28DE8DF6" w14:textId="4770120A" w:rsidR="00B31F9F" w:rsidRDefault="00B31F9F" w:rsidP="00B31F9F">
      <w:pPr>
        <w:pStyle w:val="ListParagraph"/>
        <w:numPr>
          <w:ilvl w:val="0"/>
          <w:numId w:val="24"/>
        </w:numPr>
      </w:pPr>
      <w:r>
        <w:t xml:space="preserve">Making and keeping </w:t>
      </w:r>
      <w:r w:rsidR="00BC5DF8">
        <w:t>VS</w:t>
      </w:r>
      <w:r>
        <w:t xml:space="preserve"> and potential </w:t>
      </w:r>
      <w:r w:rsidR="00BC5DF8">
        <w:t>VS</w:t>
      </w:r>
      <w:r>
        <w:t xml:space="preserve"> safe, including children; for example, by issuing Police Safety Orders, and by enforcing Protection Orders.</w:t>
      </w:r>
    </w:p>
    <w:p w14:paraId="7CF8DC0C" w14:textId="0D982EDC" w:rsidR="00B31F9F" w:rsidRDefault="00B31F9F" w:rsidP="00B31F9F">
      <w:pPr>
        <w:pStyle w:val="ListParagraph"/>
        <w:numPr>
          <w:ilvl w:val="0"/>
          <w:numId w:val="24"/>
        </w:numPr>
      </w:pPr>
      <w:r>
        <w:t>Arresting and removing perpetrators</w:t>
      </w:r>
      <w:r w:rsidR="00F81BDE">
        <w:t>/</w:t>
      </w:r>
      <w:r>
        <w:t>offenders where a crime has been committed. No other agency has the power to do this, and with this power comes a responsibility to use it astutely.</w:t>
      </w:r>
    </w:p>
    <w:p w14:paraId="3D63E421" w14:textId="3185B53A" w:rsidR="00E83149" w:rsidRPr="008D45BD" w:rsidRDefault="003B6B4E" w:rsidP="008D45BD">
      <w:r>
        <w:t xml:space="preserve">Therefore, </w:t>
      </w:r>
      <w:r w:rsidRPr="00C75F52">
        <w:rPr>
          <w:b/>
          <w:shd w:val="clear" w:color="auto" w:fill="F6CDC2" w:themeFill="accent3"/>
        </w:rPr>
        <w:t>w</w:t>
      </w:r>
      <w:r w:rsidR="00CA3021" w:rsidRPr="00C75F52">
        <w:rPr>
          <w:b/>
          <w:shd w:val="clear" w:color="auto" w:fill="F6CDC2" w:themeFill="accent3"/>
        </w:rPr>
        <w:t xml:space="preserve">e are deeply concerned about current NZ Police signals that they are moving away from responding to </w:t>
      </w:r>
      <w:r w:rsidR="00F81BDE" w:rsidRPr="00C75F52">
        <w:rPr>
          <w:b/>
          <w:shd w:val="clear" w:color="auto" w:fill="F6CDC2" w:themeFill="accent3"/>
        </w:rPr>
        <w:t>FV</w:t>
      </w:r>
      <w:r w:rsidR="00CA3021" w:rsidRPr="00C75F52">
        <w:rPr>
          <w:b/>
          <w:shd w:val="clear" w:color="auto" w:fill="F6CDC2" w:themeFill="accent3"/>
        </w:rPr>
        <w:t xml:space="preserve"> callouts</w:t>
      </w:r>
      <w:r w:rsidR="00C75F52" w:rsidRPr="00C75F52">
        <w:rPr>
          <w:b/>
          <w:shd w:val="clear" w:color="auto" w:fill="FFFFFF" w:themeFill="background1"/>
        </w:rPr>
        <w:t xml:space="preserve"> </w:t>
      </w:r>
      <w:r w:rsidR="00CA3021" w:rsidRPr="00B31F9F">
        <w:t>– what they call “family harm”.</w:t>
      </w:r>
      <w:r w:rsidR="00CA3021">
        <w:rPr>
          <w:sz w:val="24"/>
          <w:szCs w:val="24"/>
        </w:rPr>
        <w:t xml:space="preserve"> </w:t>
      </w:r>
      <w:r w:rsidR="007E7431">
        <w:t>Family harm is a police term and it refers to what is generally known as ‘family violence’.</w:t>
      </w:r>
      <w:r w:rsidR="007E7431">
        <w:rPr>
          <w:rStyle w:val="FootnoteReference"/>
        </w:rPr>
        <w:footnoteReference w:id="37"/>
      </w:r>
      <w:r w:rsidR="007E7431">
        <w:t xml:space="preserve"> </w:t>
      </w:r>
      <w:r w:rsidR="008D45BD">
        <w:t>The police have repeatedly suggested that ‘family harm’ is not ‘core policing.’</w:t>
      </w:r>
      <w:r w:rsidR="008D45BD" w:rsidRPr="008D45BD">
        <w:t xml:space="preserve"> </w:t>
      </w:r>
      <w:r w:rsidR="008D45BD">
        <w:t>Police say they will refer callers to community agencies</w:t>
      </w:r>
      <w:r w:rsidR="00B31F9F">
        <w:t xml:space="preserve"> instead of responding themselves</w:t>
      </w:r>
      <w:r>
        <w:t xml:space="preserve"> – this is inappropriate as </w:t>
      </w:r>
      <w:r w:rsidR="00F81BDE">
        <w:t>FV</w:t>
      </w:r>
      <w:r>
        <w:t xml:space="preserve"> is a crime</w:t>
      </w:r>
      <w:r w:rsidR="008D45BD">
        <w:t xml:space="preserve">. </w:t>
      </w:r>
    </w:p>
    <w:p w14:paraId="256785A2" w14:textId="142DE50B" w:rsidR="003B6B4E" w:rsidRDefault="008D45BD" w:rsidP="00B31F9F">
      <w:r w:rsidRPr="00B31F9F">
        <w:t xml:space="preserve">The police </w:t>
      </w:r>
      <w:r w:rsidR="003B6B4E">
        <w:t xml:space="preserve">believe </w:t>
      </w:r>
      <w:r w:rsidRPr="00B31F9F">
        <w:t xml:space="preserve">their recent </w:t>
      </w:r>
      <w:r w:rsidR="00B31F9F">
        <w:t xml:space="preserve">phone </w:t>
      </w:r>
      <w:r w:rsidRPr="00B31F9F">
        <w:t>pilot to triage response</w:t>
      </w:r>
      <w:r w:rsidR="00B31F9F">
        <w:t>s</w:t>
      </w:r>
      <w:r w:rsidRPr="00B31F9F">
        <w:t xml:space="preserve"> to </w:t>
      </w:r>
      <w:r w:rsidR="00F81BDE">
        <w:t>FV</w:t>
      </w:r>
      <w:r w:rsidRPr="00B31F9F">
        <w:t xml:space="preserve"> calls has relieved frontline pressure. </w:t>
      </w:r>
      <w:r w:rsidR="007E7431">
        <w:t xml:space="preserve"> It involves officers on light duties calling </w:t>
      </w:r>
      <w:r w:rsidR="00BC5DF8">
        <w:t>VS</w:t>
      </w:r>
      <w:r w:rsidR="0018596B">
        <w:t xml:space="preserve"> in a follow up call, </w:t>
      </w:r>
      <w:r w:rsidR="0099797A">
        <w:t>on average eight hours</w:t>
      </w:r>
      <w:r w:rsidR="0018596B">
        <w:t xml:space="preserve"> after the 111 call, rather than sending a police car urgently. </w:t>
      </w:r>
      <w:r w:rsidR="00B31F9F">
        <w:t xml:space="preserve">The police </w:t>
      </w:r>
      <w:r w:rsidRPr="00B31F9F">
        <w:t>claim</w:t>
      </w:r>
      <w:r w:rsidR="003B6B4E">
        <w:t>:</w:t>
      </w:r>
    </w:p>
    <w:p w14:paraId="72D1B3B1" w14:textId="61F068CC" w:rsidR="003B6B4E" w:rsidRDefault="00B31F9F" w:rsidP="003B6B4E">
      <w:pPr>
        <w:pStyle w:val="ListParagraph"/>
        <w:numPr>
          <w:ilvl w:val="0"/>
          <w:numId w:val="32"/>
        </w:numPr>
      </w:pPr>
      <w:r>
        <w:t xml:space="preserve"> </w:t>
      </w:r>
      <w:r w:rsidR="00FD635E">
        <w:t>the pilot</w:t>
      </w:r>
      <w:r w:rsidR="008D45BD" w:rsidRPr="00B31F9F">
        <w:t xml:space="preserve"> led to increased victim trust in the police - however no </w:t>
      </w:r>
      <w:r w:rsidR="00BC5DF8">
        <w:t>VS</w:t>
      </w:r>
      <w:r w:rsidR="008D45BD" w:rsidRPr="00B31F9F">
        <w:t xml:space="preserve"> in the pilot were </w:t>
      </w:r>
      <w:r w:rsidR="0018596B">
        <w:t>directly involved in the</w:t>
      </w:r>
      <w:r w:rsidR="008D45BD" w:rsidRPr="00B31F9F">
        <w:t xml:space="preserve"> evaluation</w:t>
      </w:r>
      <w:r w:rsidR="0018596B">
        <w:t>, or knew they were part of a pilot</w:t>
      </w:r>
      <w:r w:rsidR="008D45BD" w:rsidRPr="00B31F9F">
        <w:t xml:space="preserve">. </w:t>
      </w:r>
    </w:p>
    <w:p w14:paraId="7FBB1278" w14:textId="2DEBBFE2" w:rsidR="008D45BD" w:rsidRPr="00B31F9F" w:rsidRDefault="00E40B15" w:rsidP="0034775B">
      <w:pPr>
        <w:pStyle w:val="ListParagraph"/>
        <w:numPr>
          <w:ilvl w:val="0"/>
          <w:numId w:val="32"/>
        </w:numPr>
      </w:pPr>
      <w:r>
        <w:t>t</w:t>
      </w:r>
      <w:r w:rsidR="003B6B4E">
        <w:t xml:space="preserve">he pilot was based on earlier UK phone pilots. However, the UK research had significant differences from the NZ pilot – for example, </w:t>
      </w:r>
      <w:r w:rsidR="00B31F9F" w:rsidRPr="00B31F9F">
        <w:t>one of the</w:t>
      </w:r>
      <w:r w:rsidR="008D45BD" w:rsidRPr="008D45BD">
        <w:t xml:space="preserve"> UK phone pilot</w:t>
      </w:r>
      <w:r w:rsidR="00B31F9F" w:rsidRPr="00B31F9F">
        <w:t>s</w:t>
      </w:r>
      <w:r w:rsidR="008D45BD" w:rsidRPr="008D45BD">
        <w:t xml:space="preserve"> excluded </w:t>
      </w:r>
      <w:r w:rsidR="00F81BDE">
        <w:t>F</w:t>
      </w:r>
      <w:r w:rsidR="008D45BD" w:rsidRPr="008D45BD">
        <w:t>V cases and </w:t>
      </w:r>
      <w:r w:rsidR="00B31F9F">
        <w:t>t</w:t>
      </w:r>
      <w:r w:rsidR="00B31F9F" w:rsidRPr="00B31F9F">
        <w:t xml:space="preserve">he other </w:t>
      </w:r>
      <w:r w:rsidR="008D45BD" w:rsidRPr="008D45BD">
        <w:t xml:space="preserve">did not include cases where the perpetrator was present - in </w:t>
      </w:r>
      <w:r w:rsidR="00B31F9F" w:rsidRPr="00B31F9F">
        <w:t xml:space="preserve">the </w:t>
      </w:r>
      <w:r w:rsidR="0012136D">
        <w:t>NZ</w:t>
      </w:r>
      <w:r w:rsidR="00C75F52">
        <w:t xml:space="preserve"> </w:t>
      </w:r>
      <w:r w:rsidR="00B31F9F" w:rsidRPr="00B31F9F">
        <w:t>pilot</w:t>
      </w:r>
      <w:r w:rsidR="00F81BDE">
        <w:t>,</w:t>
      </w:r>
      <w:r w:rsidR="00B31F9F" w:rsidRPr="00B31F9F">
        <w:t xml:space="preserve"> calls where </w:t>
      </w:r>
      <w:r w:rsidR="008D45BD" w:rsidRPr="008D45BD">
        <w:t>a perp</w:t>
      </w:r>
      <w:r w:rsidR="0018596B">
        <w:t>etrator</w:t>
      </w:r>
      <w:r w:rsidR="008D45BD" w:rsidRPr="008D45BD">
        <w:t xml:space="preserve"> is present</w:t>
      </w:r>
      <w:r w:rsidR="00B31F9F" w:rsidRPr="00B31F9F">
        <w:t xml:space="preserve"> (Priority 2 calls)</w:t>
      </w:r>
      <w:r w:rsidR="008D45BD" w:rsidRPr="008D45BD">
        <w:t xml:space="preserve"> were included</w:t>
      </w:r>
      <w:r w:rsidR="00B31F9F" w:rsidRPr="00B31F9F">
        <w:t>.</w:t>
      </w:r>
      <w:r w:rsidR="003B6B4E">
        <w:rPr>
          <w:rStyle w:val="FootnoteReference"/>
        </w:rPr>
        <w:footnoteReference w:id="38"/>
      </w:r>
    </w:p>
    <w:p w14:paraId="64E54DDB" w14:textId="6731B9A3" w:rsidR="00FD635E" w:rsidRDefault="00BC5DF8" w:rsidP="008D45BD">
      <w:r>
        <w:t>VS</w:t>
      </w:r>
      <w:r w:rsidR="00B31F9F">
        <w:t xml:space="preserve"> have said they want NZ P</w:t>
      </w:r>
      <w:r w:rsidR="008D45BD">
        <w:t xml:space="preserve">olice to step up, not down, when they make the often-risky decision to call police. They want the NZ Police to use the statutory power they alone possess </w:t>
      </w:r>
      <w:r w:rsidR="00B01F52">
        <w:t>t</w:t>
      </w:r>
      <w:r w:rsidR="008D45BD">
        <w:t>o remove the perpetrator and hold them to account, like they would for any other kind of violent crime.</w:t>
      </w:r>
      <w:r w:rsidR="003B6B4E">
        <w:rPr>
          <w:rStyle w:val="FootnoteReference"/>
        </w:rPr>
        <w:footnoteReference w:id="39"/>
      </w:r>
      <w:r w:rsidR="008D45BD">
        <w:t xml:space="preserve"> </w:t>
      </w:r>
    </w:p>
    <w:p w14:paraId="019EF834" w14:textId="034EA661" w:rsidR="00234E09" w:rsidRPr="005F710E" w:rsidRDefault="00234E09" w:rsidP="005F710E">
      <w:pPr>
        <w:pStyle w:val="August4"/>
        <w:rPr>
          <w:i w:val="0"/>
          <w:sz w:val="24"/>
          <w:szCs w:val="24"/>
        </w:rPr>
      </w:pPr>
      <w:r w:rsidRPr="005F710E">
        <w:rPr>
          <w:i w:val="0"/>
          <w:sz w:val="24"/>
          <w:szCs w:val="24"/>
        </w:rPr>
        <w:t xml:space="preserve">The police response to </w:t>
      </w:r>
      <w:r w:rsidR="000D35E8" w:rsidRPr="005F710E">
        <w:rPr>
          <w:i w:val="0"/>
          <w:sz w:val="24"/>
          <w:szCs w:val="24"/>
        </w:rPr>
        <w:t>FV/SV</w:t>
      </w:r>
      <w:r w:rsidRPr="005F710E">
        <w:rPr>
          <w:i w:val="0"/>
          <w:sz w:val="24"/>
          <w:szCs w:val="24"/>
        </w:rPr>
        <w:t xml:space="preserve"> i</w:t>
      </w:r>
      <w:r w:rsidR="0018596B" w:rsidRPr="005F710E">
        <w:rPr>
          <w:i w:val="0"/>
          <w:sz w:val="24"/>
          <w:szCs w:val="24"/>
        </w:rPr>
        <w:t xml:space="preserve">s </w:t>
      </w:r>
      <w:r w:rsidRPr="005F710E">
        <w:rPr>
          <w:i w:val="0"/>
          <w:sz w:val="24"/>
          <w:szCs w:val="24"/>
        </w:rPr>
        <w:t xml:space="preserve">often </w:t>
      </w:r>
      <w:r w:rsidR="002666F0" w:rsidRPr="005F710E">
        <w:rPr>
          <w:i w:val="0"/>
          <w:sz w:val="24"/>
          <w:szCs w:val="24"/>
        </w:rPr>
        <w:t>unsafe</w:t>
      </w:r>
    </w:p>
    <w:p w14:paraId="431235CC" w14:textId="22E8655E" w:rsidR="00C75F52" w:rsidRDefault="001D6BA7" w:rsidP="00FD635E">
      <w:pPr>
        <w:rPr>
          <w:rFonts w:ascii="Calibri" w:hAnsi="Calibri" w:cs="Calibri"/>
          <w:color w:val="000000" w:themeColor="text1"/>
        </w:rPr>
      </w:pPr>
      <w:r>
        <w:rPr>
          <w:rFonts w:ascii="Calibri" w:hAnsi="Calibri" w:cs="Calibri"/>
        </w:rPr>
        <w:t>VS</w:t>
      </w:r>
      <w:r w:rsidR="00FD635E" w:rsidRPr="0071510C">
        <w:rPr>
          <w:rFonts w:ascii="Calibri" w:hAnsi="Calibri" w:cs="Calibri"/>
        </w:rPr>
        <w:t xml:space="preserve"> who contact police do so because they need help urgently and hope police will protect them – often contacting the police is their ‘last resort’. Yet a </w:t>
      </w:r>
      <w:bookmarkStart w:id="7" w:name="_Hlk176349629"/>
      <w:r w:rsidR="00FD635E" w:rsidRPr="0071510C">
        <w:rPr>
          <w:rFonts w:ascii="Calibri" w:hAnsi="Calibri" w:cs="Calibri"/>
        </w:rPr>
        <w:t xml:space="preserve">2022 survey undertaken by Backbone and </w:t>
      </w:r>
      <w:r w:rsidR="00FD635E" w:rsidRPr="0071510C">
        <w:rPr>
          <w:rFonts w:ascii="Calibri" w:hAnsi="Calibri" w:cs="Calibri"/>
        </w:rPr>
        <w:lastRenderedPageBreak/>
        <w:t xml:space="preserve">Hohou </w:t>
      </w:r>
      <w:r w:rsidR="005A2C5E">
        <w:rPr>
          <w:rFonts w:ascii="Calibri" w:hAnsi="Calibri" w:cs="Calibri"/>
        </w:rPr>
        <w:t>T</w:t>
      </w:r>
      <w:r w:rsidR="00FD635E" w:rsidRPr="0071510C">
        <w:rPr>
          <w:rFonts w:ascii="Calibri" w:hAnsi="Calibri" w:cs="Calibri"/>
        </w:rPr>
        <w:t>e Rongo Kahukura</w:t>
      </w:r>
      <w:r w:rsidR="00FD635E" w:rsidRPr="0071510C">
        <w:rPr>
          <w:rStyle w:val="FootnoteReference"/>
          <w:rFonts w:ascii="Calibri" w:hAnsi="Calibri" w:cs="Calibri"/>
        </w:rPr>
        <w:footnoteReference w:id="40"/>
      </w:r>
      <w:r w:rsidR="00FD635E" w:rsidRPr="0071510C">
        <w:rPr>
          <w:rFonts w:ascii="Calibri" w:hAnsi="Calibri" w:cs="Calibri"/>
        </w:rPr>
        <w:t xml:space="preserve"> of nearly 600 (women, trans and non-binary) </w:t>
      </w:r>
      <w:r w:rsidR="00BC5DF8">
        <w:rPr>
          <w:rFonts w:ascii="Calibri" w:hAnsi="Calibri" w:cs="Calibri"/>
        </w:rPr>
        <w:t>VS</w:t>
      </w:r>
      <w:r w:rsidR="00FD635E" w:rsidRPr="0071510C">
        <w:rPr>
          <w:rFonts w:ascii="Calibri" w:hAnsi="Calibri" w:cs="Calibri"/>
        </w:rPr>
        <w:t xml:space="preserve"> regarding police response, shows </w:t>
      </w:r>
      <w:r w:rsidR="00FD635E" w:rsidRPr="00303297">
        <w:rPr>
          <w:rFonts w:ascii="Calibri" w:hAnsi="Calibri" w:cs="Calibri"/>
          <w:shd w:val="clear" w:color="auto" w:fill="FFFFFF" w:themeFill="background1"/>
        </w:rPr>
        <w:t xml:space="preserve">that </w:t>
      </w:r>
      <w:r w:rsidR="00FD635E" w:rsidRPr="001A57E3">
        <w:rPr>
          <w:rFonts w:ascii="Calibri" w:hAnsi="Calibri" w:cs="Calibri"/>
          <w:b/>
          <w:bCs/>
          <w:shd w:val="clear" w:color="auto" w:fill="F6CDC2" w:themeFill="accent3"/>
        </w:rPr>
        <w:t xml:space="preserve">inadequate police action makes many </w:t>
      </w:r>
      <w:r w:rsidR="00BC5DF8" w:rsidRPr="001A57E3">
        <w:rPr>
          <w:rFonts w:ascii="Calibri" w:hAnsi="Calibri" w:cs="Calibri"/>
          <w:b/>
          <w:bCs/>
          <w:shd w:val="clear" w:color="auto" w:fill="F6CDC2" w:themeFill="accent3"/>
        </w:rPr>
        <w:t>VS</w:t>
      </w:r>
      <w:r w:rsidR="00FD635E" w:rsidRPr="001A57E3">
        <w:rPr>
          <w:rFonts w:ascii="Calibri" w:hAnsi="Calibri" w:cs="Calibri"/>
          <w:b/>
          <w:bCs/>
          <w:shd w:val="clear" w:color="auto" w:fill="F6CDC2" w:themeFill="accent3"/>
        </w:rPr>
        <w:t xml:space="preserve"> and their children </w:t>
      </w:r>
      <w:r w:rsidR="00FD635E" w:rsidRPr="001A57E3">
        <w:rPr>
          <w:rFonts w:ascii="Calibri" w:hAnsi="Calibri" w:cs="Calibri"/>
          <w:b/>
          <w:bCs/>
          <w:i/>
          <w:iCs/>
          <w:shd w:val="clear" w:color="auto" w:fill="F6CDC2" w:themeFill="accent3"/>
        </w:rPr>
        <w:t>less</w:t>
      </w:r>
      <w:r w:rsidR="00FD635E" w:rsidRPr="001A57E3">
        <w:rPr>
          <w:rFonts w:ascii="Calibri" w:hAnsi="Calibri" w:cs="Calibri"/>
          <w:b/>
          <w:bCs/>
          <w:shd w:val="clear" w:color="auto" w:fill="F6CDC2" w:themeFill="accent3"/>
        </w:rPr>
        <w:t xml:space="preserve"> safe</w:t>
      </w:r>
      <w:r w:rsidR="00FD635E" w:rsidRPr="0071510C">
        <w:rPr>
          <w:rFonts w:ascii="Calibri" w:hAnsi="Calibri" w:cs="Calibri"/>
        </w:rPr>
        <w:t>.</w:t>
      </w:r>
      <w:r w:rsidR="0027415B">
        <w:rPr>
          <w:rStyle w:val="FootnoteReference"/>
          <w:rFonts w:ascii="Calibri" w:hAnsi="Calibri" w:cs="Calibri"/>
        </w:rPr>
        <w:footnoteReference w:id="41"/>
      </w:r>
      <w:r w:rsidR="007835AB">
        <w:rPr>
          <w:rFonts w:ascii="Calibri" w:hAnsi="Calibri" w:cs="Calibri"/>
        </w:rPr>
        <w:t xml:space="preserve"> </w:t>
      </w:r>
      <w:r w:rsidR="00FD635E" w:rsidRPr="0071510C">
        <w:rPr>
          <w:rFonts w:ascii="Calibri" w:hAnsi="Calibri" w:cs="Calibri"/>
        </w:rPr>
        <w:t xml:space="preserve">Unsafe and harmful police responses were particularly likely for trans and non-binary people, wāhine Māori and disabled </w:t>
      </w:r>
      <w:r w:rsidR="00FD635E" w:rsidRPr="0071510C">
        <w:rPr>
          <w:rFonts w:ascii="Calibri" w:hAnsi="Calibri" w:cs="Calibri"/>
          <w:color w:val="000000" w:themeColor="text1"/>
        </w:rPr>
        <w:t xml:space="preserve">people. </w:t>
      </w:r>
    </w:p>
    <w:bookmarkEnd w:id="7"/>
    <w:p w14:paraId="20825C52" w14:textId="4C0A52AB" w:rsidR="00FD635E" w:rsidRPr="0071510C" w:rsidRDefault="00FD635E" w:rsidP="00FD635E">
      <w:pPr>
        <w:rPr>
          <w:rFonts w:ascii="Calibri" w:hAnsi="Calibri" w:cs="Calibri"/>
        </w:rPr>
      </w:pPr>
      <w:r w:rsidRPr="0071510C">
        <w:rPr>
          <w:rFonts w:ascii="Calibri" w:hAnsi="Calibri" w:cs="Calibri"/>
        </w:rPr>
        <w:t xml:space="preserve">Police did not always take </w:t>
      </w:r>
      <w:r w:rsidR="00C75F52">
        <w:rPr>
          <w:rFonts w:ascii="Calibri" w:hAnsi="Calibri" w:cs="Calibri"/>
        </w:rPr>
        <w:t>VS</w:t>
      </w:r>
      <w:r w:rsidRPr="0071510C">
        <w:rPr>
          <w:rFonts w:ascii="Calibri" w:hAnsi="Calibri" w:cs="Calibri"/>
        </w:rPr>
        <w:t xml:space="preserve"> concerns seriously. Police took the side of the abuser for nearly a third of all survey participants. Police inaction which offered few or no consequences emboldened the abuser. Many </w:t>
      </w:r>
      <w:r w:rsidR="00BC5DF8">
        <w:rPr>
          <w:rFonts w:ascii="Calibri" w:hAnsi="Calibri" w:cs="Calibri"/>
        </w:rPr>
        <w:t>VS</w:t>
      </w:r>
      <w:r w:rsidRPr="0071510C">
        <w:rPr>
          <w:rFonts w:ascii="Calibri" w:hAnsi="Calibri" w:cs="Calibri"/>
        </w:rPr>
        <w:t xml:space="preserve"> described e</w:t>
      </w:r>
      <w:bookmarkStart w:id="8" w:name="_GoBack"/>
      <w:bookmarkEnd w:id="8"/>
      <w:r w:rsidRPr="0071510C">
        <w:rPr>
          <w:rFonts w:ascii="Calibri" w:hAnsi="Calibri" w:cs="Calibri"/>
        </w:rPr>
        <w:t xml:space="preserve">xperiences where police actions were not informed by an understanding of psychological abuse and its effects, nor of typical abuser presentation as ‘rational’ ‘charming’ and ‘nice’, nor of what trauma and distress looks like in person. </w:t>
      </w:r>
    </w:p>
    <w:p w14:paraId="47E35645" w14:textId="77777777" w:rsidR="0071510C" w:rsidRDefault="0071510C" w:rsidP="0071510C">
      <w:pPr>
        <w:pStyle w:val="header2"/>
        <w:ind w:left="567"/>
        <w:rPr>
          <w:b w:val="0"/>
          <w:bCs/>
          <w:sz w:val="28"/>
          <w:szCs w:val="28"/>
        </w:rPr>
      </w:pPr>
      <w:r w:rsidRPr="00C60B50">
        <w:rPr>
          <w:b w:val="0"/>
          <w:bCs/>
          <w:noProof/>
          <w:sz w:val="28"/>
          <w:szCs w:val="28"/>
        </w:rPr>
        <mc:AlternateContent>
          <mc:Choice Requires="wps">
            <w:drawing>
              <wp:anchor distT="0" distB="0" distL="114300" distR="114300" simplePos="0" relativeHeight="251672576" behindDoc="0" locked="0" layoutInCell="1" allowOverlap="1" wp14:anchorId="77716BC1" wp14:editId="553FD162">
                <wp:simplePos x="0" y="0"/>
                <wp:positionH relativeFrom="column">
                  <wp:posOffset>132034</wp:posOffset>
                </wp:positionH>
                <wp:positionV relativeFrom="paragraph">
                  <wp:posOffset>10183</wp:posOffset>
                </wp:positionV>
                <wp:extent cx="100815" cy="658369"/>
                <wp:effectExtent l="0" t="19050" r="0" b="27940"/>
                <wp:wrapNone/>
                <wp:docPr id="143467848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
                          <a:off x="0" y="0"/>
                          <a:ext cx="100815" cy="658369"/>
                        </a:xfrm>
                        <a:prstGeom prst="straightConnector1">
                          <a:avLst/>
                        </a:prstGeom>
                        <a:noFill/>
                        <a:ln w="28575">
                          <a:solidFill>
                            <a:schemeClr val="accent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15AAF1F0" id="_x0000_t32" coordsize="21600,21600" o:spt="32" o:oned="t" path="m,l21600,21600e" filled="f">
                <v:path arrowok="t" fillok="f" o:connecttype="none"/>
                <o:lock v:ext="edit" shapetype="t"/>
              </v:shapetype>
              <v:shape id="AutoShape 2" o:spid="_x0000_s1026" type="#_x0000_t32" style="position:absolute;margin-left:10.4pt;margin-top:.8pt;width:7.95pt;height:51.85pt;rotation:9;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" strokecolor="#7dd3d3 [3205]" strokeweight="2.25pt"/>
            </w:pict>
          </mc:Fallback>
        </mc:AlternateContent>
      </w:r>
      <w:r w:rsidRPr="00C60B50">
        <w:rPr>
          <w:b w:val="0"/>
          <w:bCs/>
          <w:sz w:val="28"/>
          <w:szCs w:val="28"/>
        </w:rPr>
        <w:t>“</w:t>
      </w:r>
      <w:r w:rsidRPr="00DF0063">
        <w:rPr>
          <w:b w:val="0"/>
          <w:bCs/>
          <w:sz w:val="28"/>
          <w:szCs w:val="28"/>
        </w:rPr>
        <w:t xml:space="preserve">I went to police to report being strangled, and was told they would follow up. They did, then told me my husband was handsome, charming and </w:t>
      </w:r>
      <w:r>
        <w:rPr>
          <w:b w:val="0"/>
          <w:bCs/>
          <w:sz w:val="28"/>
          <w:szCs w:val="28"/>
        </w:rPr>
        <w:t xml:space="preserve">[they] </w:t>
      </w:r>
      <w:r w:rsidRPr="00DF0063">
        <w:rPr>
          <w:b w:val="0"/>
          <w:bCs/>
          <w:sz w:val="28"/>
          <w:szCs w:val="28"/>
        </w:rPr>
        <w:t>didn't believe me</w:t>
      </w:r>
      <w:r w:rsidRPr="00C60B50">
        <w:rPr>
          <w:b w:val="0"/>
          <w:bCs/>
          <w:sz w:val="28"/>
          <w:szCs w:val="28"/>
        </w:rPr>
        <w:t>.”</w:t>
      </w:r>
      <w:r w:rsidRPr="00C60B50">
        <w:rPr>
          <w:b w:val="0"/>
          <w:bCs/>
          <w:sz w:val="28"/>
          <w:szCs w:val="28"/>
        </w:rPr>
        <w:tab/>
      </w:r>
    </w:p>
    <w:p w14:paraId="2D0C5A67" w14:textId="233F7C8F" w:rsidR="00FD635E" w:rsidRPr="0071510C" w:rsidRDefault="00FD635E" w:rsidP="00FD635E">
      <w:pPr>
        <w:rPr>
          <w:rFonts w:ascii="Calibri" w:hAnsi="Calibri" w:cs="Calibri"/>
        </w:rPr>
      </w:pPr>
      <w:r w:rsidRPr="0071510C">
        <w:rPr>
          <w:rFonts w:ascii="Calibri" w:hAnsi="Calibri" w:cs="Calibri"/>
        </w:rPr>
        <w:t xml:space="preserve">Some </w:t>
      </w:r>
      <w:r w:rsidR="00BC5DF8">
        <w:rPr>
          <w:rFonts w:ascii="Calibri" w:hAnsi="Calibri" w:cs="Calibri"/>
        </w:rPr>
        <w:t>VS</w:t>
      </w:r>
      <w:r w:rsidRPr="0071510C">
        <w:rPr>
          <w:rFonts w:ascii="Calibri" w:hAnsi="Calibri" w:cs="Calibri"/>
        </w:rPr>
        <w:t xml:space="preserve"> experienced police whose actions and/or who were overtly discriminatory.</w:t>
      </w:r>
    </w:p>
    <w:p w14:paraId="49C6459B" w14:textId="77777777" w:rsidR="0071510C" w:rsidRPr="00521969" w:rsidRDefault="0071510C" w:rsidP="0071510C">
      <w:pPr>
        <w:pStyle w:val="header2"/>
        <w:ind w:left="567"/>
        <w:rPr>
          <w:sz w:val="28"/>
          <w:szCs w:val="20"/>
        </w:rPr>
      </w:pPr>
      <w:r w:rsidRPr="00C60B50">
        <w:rPr>
          <w:b w:val="0"/>
          <w:bCs/>
          <w:noProof/>
          <w:sz w:val="28"/>
          <w:szCs w:val="28"/>
        </w:rPr>
        <mc:AlternateContent>
          <mc:Choice Requires="wps">
            <w:drawing>
              <wp:anchor distT="0" distB="0" distL="114300" distR="114300" simplePos="0" relativeHeight="251674624" behindDoc="0" locked="0" layoutInCell="1" allowOverlap="1" wp14:anchorId="7D436D45" wp14:editId="1EC3E628">
                <wp:simplePos x="0" y="0"/>
                <wp:positionH relativeFrom="column">
                  <wp:posOffset>148443</wp:posOffset>
                </wp:positionH>
                <wp:positionV relativeFrom="paragraph">
                  <wp:posOffset>12077</wp:posOffset>
                </wp:positionV>
                <wp:extent cx="85388" cy="466078"/>
                <wp:effectExtent l="0" t="19050" r="0" b="29845"/>
                <wp:wrapNone/>
                <wp:docPr id="106158200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
                          <a:off x="0" y="0"/>
                          <a:ext cx="85388" cy="466078"/>
                        </a:xfrm>
                        <a:prstGeom prst="straightConnector1">
                          <a:avLst/>
                        </a:prstGeom>
                        <a:noFill/>
                        <a:ln w="28575">
                          <a:solidFill>
                            <a:schemeClr val="accent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D2C33B0" id="AutoShape 2" o:spid="_x0000_s1026" type="#_x0000_t32" style="position:absolute;margin-left:11.7pt;margin-top:.95pt;width:6.7pt;height:36.7pt;rotation:9;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" strokecolor="#7dd3d3 [3205]" strokeweight="2.25pt"/>
            </w:pict>
          </mc:Fallback>
        </mc:AlternateContent>
      </w:r>
      <w:r w:rsidRPr="00C60B50">
        <w:rPr>
          <w:b w:val="0"/>
          <w:bCs/>
          <w:sz w:val="28"/>
          <w:szCs w:val="28"/>
        </w:rPr>
        <w:t>“</w:t>
      </w:r>
      <w:r w:rsidRPr="005243FC">
        <w:rPr>
          <w:b w:val="0"/>
          <w:bCs/>
          <w:sz w:val="28"/>
          <w:szCs w:val="28"/>
        </w:rPr>
        <w:t>[Police] told me it was my fault I got raped because it's what trans freaks like me deserve</w:t>
      </w:r>
      <w:r w:rsidRPr="00C60B50">
        <w:rPr>
          <w:b w:val="0"/>
          <w:bCs/>
          <w:sz w:val="28"/>
          <w:szCs w:val="28"/>
        </w:rPr>
        <w:t>.”</w:t>
      </w:r>
      <w:r w:rsidRPr="00C60B50">
        <w:rPr>
          <w:b w:val="0"/>
          <w:bCs/>
          <w:sz w:val="28"/>
          <w:szCs w:val="28"/>
        </w:rPr>
        <w:tab/>
      </w:r>
      <w:r>
        <w:rPr>
          <w:b w:val="0"/>
          <w:bCs/>
          <w:sz w:val="28"/>
          <w:szCs w:val="28"/>
        </w:rPr>
        <w:tab/>
      </w:r>
      <w:r>
        <w:rPr>
          <w:b w:val="0"/>
          <w:bCs/>
          <w:sz w:val="28"/>
          <w:szCs w:val="28"/>
        </w:rPr>
        <w:tab/>
      </w:r>
      <w:r>
        <w:rPr>
          <w:b w:val="0"/>
          <w:bCs/>
          <w:sz w:val="28"/>
          <w:szCs w:val="28"/>
        </w:rPr>
        <w:tab/>
      </w:r>
      <w:r w:rsidRPr="00E840BF">
        <w:rPr>
          <w:sz w:val="28"/>
          <w:szCs w:val="28"/>
        </w:rPr>
        <w:tab/>
      </w:r>
      <w:r>
        <w:rPr>
          <w:sz w:val="28"/>
          <w:szCs w:val="28"/>
        </w:rPr>
        <w:tab/>
      </w:r>
      <w:r>
        <w:rPr>
          <w:sz w:val="28"/>
          <w:szCs w:val="28"/>
        </w:rPr>
        <w:tab/>
      </w:r>
      <w:r w:rsidRPr="00603AC6">
        <w:rPr>
          <w:rStyle w:val="cf01"/>
          <w:rFonts w:cstheme="majorHAnsi"/>
          <w:b w:val="0"/>
          <w:bCs/>
          <w:sz w:val="24"/>
        </w:rPr>
        <w:t xml:space="preserve"> </w:t>
      </w:r>
    </w:p>
    <w:p w14:paraId="56692572" w14:textId="77777777" w:rsidR="0071510C" w:rsidRPr="005243FC" w:rsidRDefault="0071510C" w:rsidP="0071510C">
      <w:pPr>
        <w:pStyle w:val="header2"/>
        <w:ind w:left="567"/>
        <w:rPr>
          <w:sz w:val="28"/>
          <w:szCs w:val="20"/>
        </w:rPr>
      </w:pPr>
      <w:r>
        <w:rPr>
          <w:noProof/>
        </w:rPr>
        <mc:AlternateContent>
          <mc:Choice Requires="wps">
            <w:drawing>
              <wp:anchor distT="0" distB="0" distL="114300" distR="114300" simplePos="0" relativeHeight="251675648" behindDoc="0" locked="0" layoutInCell="1" allowOverlap="1" wp14:anchorId="5C614A32" wp14:editId="1B684CD0">
                <wp:simplePos x="0" y="0"/>
                <wp:positionH relativeFrom="column">
                  <wp:posOffset>158403</wp:posOffset>
                </wp:positionH>
                <wp:positionV relativeFrom="paragraph">
                  <wp:posOffset>13480</wp:posOffset>
                </wp:positionV>
                <wp:extent cx="50373" cy="310884"/>
                <wp:effectExtent l="0" t="19050" r="6985" b="32385"/>
                <wp:wrapNone/>
                <wp:docPr id="722963264"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
                          <a:off x="0" y="0"/>
                          <a:ext cx="50373" cy="310884"/>
                        </a:xfrm>
                        <a:prstGeom prst="straightConnector1">
                          <a:avLst/>
                        </a:prstGeom>
                        <a:noFill/>
                        <a:ln w="28575">
                          <a:solidFill>
                            <a:schemeClr val="accent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62D39B7A" id="Straight Arrow Connector 1" o:spid="_x0000_s1026" type="#_x0000_t32" style="position:absolute;margin-left:12.45pt;margin-top:1.05pt;width:3.95pt;height:24.5pt;rotation:9;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" strokecolor="#7dd3d3 [3205]" strokeweight="2.25pt"/>
            </w:pict>
          </mc:Fallback>
        </mc:AlternateContent>
      </w:r>
      <w:r>
        <w:rPr>
          <w:b w:val="0"/>
          <w:bCs/>
          <w:sz w:val="28"/>
          <w:szCs w:val="28"/>
        </w:rPr>
        <w:t>“</w:t>
      </w:r>
      <w:r w:rsidRPr="005243FC">
        <w:rPr>
          <w:b w:val="0"/>
          <w:bCs/>
          <w:sz w:val="28"/>
          <w:szCs w:val="28"/>
        </w:rPr>
        <w:t xml:space="preserve">[Police] </w:t>
      </w:r>
      <w:r>
        <w:rPr>
          <w:b w:val="0"/>
          <w:bCs/>
          <w:sz w:val="28"/>
          <w:szCs w:val="28"/>
        </w:rPr>
        <w:t>m</w:t>
      </w:r>
      <w:r w:rsidRPr="005243FC">
        <w:rPr>
          <w:b w:val="0"/>
          <w:bCs/>
          <w:sz w:val="28"/>
          <w:szCs w:val="28"/>
        </w:rPr>
        <w:t>ade sexist comments when I asked for a female officer</w:t>
      </w:r>
      <w:r>
        <w:rPr>
          <w:b w:val="0"/>
          <w:bCs/>
          <w:sz w:val="28"/>
          <w:szCs w:val="28"/>
        </w:rPr>
        <w:t>.”</w:t>
      </w:r>
      <w:r>
        <w:rPr>
          <w:rStyle w:val="cf01"/>
          <w:rFonts w:cstheme="majorHAnsi"/>
          <w:b w:val="0"/>
          <w:bCs/>
          <w:sz w:val="24"/>
        </w:rPr>
        <w:t xml:space="preserve"> </w:t>
      </w:r>
    </w:p>
    <w:p w14:paraId="683655E0" w14:textId="365FC4B7" w:rsidR="00FD635E" w:rsidRPr="0071510C" w:rsidRDefault="00BC5DF8" w:rsidP="0034775B">
      <w:pPr>
        <w:pStyle w:val="NormalWeb"/>
        <w:spacing w:before="240" w:beforeAutospacing="0" w:after="160" w:afterAutospacing="0"/>
        <w:rPr>
          <w:rFonts w:ascii="Calibri" w:hAnsi="Calibri" w:cs="Calibri"/>
          <w:color w:val="000000"/>
          <w:sz w:val="22"/>
          <w:szCs w:val="22"/>
        </w:rPr>
      </w:pPr>
      <w:r>
        <w:rPr>
          <w:rFonts w:ascii="Calibri" w:hAnsi="Calibri" w:cs="Calibri"/>
          <w:color w:val="000000"/>
          <w:sz w:val="22"/>
          <w:szCs w:val="22"/>
        </w:rPr>
        <w:t>VS</w:t>
      </w:r>
      <w:r w:rsidR="00FD635E" w:rsidRPr="0071510C">
        <w:rPr>
          <w:rFonts w:ascii="Calibri" w:hAnsi="Calibri" w:cs="Calibri"/>
          <w:color w:val="000000"/>
          <w:sz w:val="22"/>
          <w:szCs w:val="22"/>
        </w:rPr>
        <w:t xml:space="preserve"> in areas of low deprivation were judged critically and not believed because of where they lived or because the abuser was a professional, and </w:t>
      </w:r>
      <w:r>
        <w:rPr>
          <w:rFonts w:ascii="Calibri" w:hAnsi="Calibri" w:cs="Calibri"/>
          <w:color w:val="000000"/>
          <w:sz w:val="22"/>
          <w:szCs w:val="22"/>
        </w:rPr>
        <w:t>VS</w:t>
      </w:r>
      <w:r w:rsidR="00FD635E" w:rsidRPr="0071510C">
        <w:rPr>
          <w:rFonts w:ascii="Calibri" w:hAnsi="Calibri" w:cs="Calibri"/>
          <w:color w:val="000000"/>
          <w:sz w:val="22"/>
          <w:szCs w:val="22"/>
        </w:rPr>
        <w:t xml:space="preserve"> in areas of high deprivation said police did not believe them and blamed them for the abuse.</w:t>
      </w:r>
    </w:p>
    <w:p w14:paraId="7163FD72" w14:textId="54117951" w:rsidR="0071510C" w:rsidRPr="005243FC" w:rsidRDefault="0071510C" w:rsidP="0071510C">
      <w:pPr>
        <w:pStyle w:val="header2"/>
        <w:ind w:left="567"/>
        <w:rPr>
          <w:sz w:val="28"/>
          <w:szCs w:val="20"/>
        </w:rPr>
      </w:pPr>
      <w:r>
        <w:rPr>
          <w:noProof/>
        </w:rPr>
        <mc:AlternateContent>
          <mc:Choice Requires="wps">
            <w:drawing>
              <wp:anchor distT="0" distB="0" distL="114300" distR="114300" simplePos="0" relativeHeight="251677696" behindDoc="0" locked="0" layoutInCell="1" allowOverlap="1" wp14:anchorId="23FEE91D" wp14:editId="0541CA31">
                <wp:simplePos x="0" y="0"/>
                <wp:positionH relativeFrom="column">
                  <wp:posOffset>127648</wp:posOffset>
                </wp:positionH>
                <wp:positionV relativeFrom="paragraph">
                  <wp:posOffset>15765</wp:posOffset>
                </wp:positionV>
                <wp:extent cx="118233" cy="698743"/>
                <wp:effectExtent l="0" t="19050" r="0" b="25400"/>
                <wp:wrapNone/>
                <wp:docPr id="872074556"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
                          <a:off x="0" y="0"/>
                          <a:ext cx="118233" cy="698743"/>
                        </a:xfrm>
                        <a:prstGeom prst="straightConnector1">
                          <a:avLst/>
                        </a:prstGeom>
                        <a:noFill/>
                        <a:ln w="28575">
                          <a:solidFill>
                            <a:schemeClr val="accent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6AAA63D" id="Straight Arrow Connector 1" o:spid="_x0000_s1026" type="#_x0000_t32" style="position:absolute;margin-left:10.05pt;margin-top:1.25pt;width:9.3pt;height:55pt;rotation:9;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" strokecolor="#7dd3d3 [3205]" strokeweight="2.25pt"/>
            </w:pict>
          </mc:Fallback>
        </mc:AlternateContent>
      </w:r>
      <w:r w:rsidR="0084452C">
        <w:rPr>
          <w:b w:val="0"/>
          <w:bCs/>
          <w:sz w:val="28"/>
          <w:szCs w:val="28"/>
        </w:rPr>
        <w:t>“</w:t>
      </w:r>
      <w:r w:rsidR="0084452C" w:rsidRPr="0084452C">
        <w:rPr>
          <w:b w:val="0"/>
          <w:bCs/>
          <w:sz w:val="28"/>
          <w:szCs w:val="28"/>
        </w:rPr>
        <w:t>When</w:t>
      </w:r>
      <w:r w:rsidRPr="005243FC">
        <w:rPr>
          <w:b w:val="0"/>
          <w:bCs/>
          <w:sz w:val="28"/>
          <w:szCs w:val="28"/>
        </w:rPr>
        <w:t xml:space="preserve"> they arrived, they didn't believe [my child’s] story, they told me and the abuser that we seemed like a nice family in a nice area and that they knew we were 'good people'</w:t>
      </w:r>
      <w:r>
        <w:rPr>
          <w:b w:val="0"/>
          <w:bCs/>
          <w:sz w:val="28"/>
          <w:szCs w:val="28"/>
        </w:rPr>
        <w:t>.”</w:t>
      </w:r>
      <w:r>
        <w:rPr>
          <w:rStyle w:val="cf01"/>
          <w:rFonts w:cstheme="majorHAnsi"/>
          <w:b w:val="0"/>
          <w:bCs/>
          <w:sz w:val="24"/>
        </w:rPr>
        <w:t xml:space="preserve"> </w:t>
      </w:r>
    </w:p>
    <w:p w14:paraId="1F6A5AF5" w14:textId="6B9612D5" w:rsidR="00FD635E" w:rsidRDefault="00BC5DF8" w:rsidP="0018596B">
      <w:pPr>
        <w:rPr>
          <w:b/>
          <w:bCs/>
          <w:sz w:val="28"/>
          <w:szCs w:val="28"/>
        </w:rPr>
      </w:pPr>
      <w:r>
        <w:rPr>
          <w:rFonts w:ascii="Calibri" w:hAnsi="Calibri" w:cs="Calibri"/>
          <w:sz w:val="24"/>
          <w:szCs w:val="24"/>
        </w:rPr>
        <w:t>VS</w:t>
      </w:r>
      <w:r w:rsidR="00FD635E">
        <w:rPr>
          <w:rFonts w:ascii="Calibri" w:hAnsi="Calibri" w:cs="Calibri"/>
          <w:sz w:val="24"/>
          <w:szCs w:val="24"/>
        </w:rPr>
        <w:t xml:space="preserve"> were also blamed for the violence and abuse.</w:t>
      </w:r>
    </w:p>
    <w:p w14:paraId="126CD959" w14:textId="6ED1AA2F" w:rsidR="0071510C" w:rsidRDefault="0071510C" w:rsidP="0071510C">
      <w:pPr>
        <w:pStyle w:val="header2"/>
        <w:ind w:left="567"/>
        <w:rPr>
          <w:rStyle w:val="cf01"/>
          <w:rFonts w:cstheme="majorHAnsi"/>
          <w:b w:val="0"/>
          <w:bCs/>
          <w:sz w:val="24"/>
        </w:rPr>
      </w:pPr>
      <w:r>
        <w:rPr>
          <w:noProof/>
        </w:rPr>
        <mc:AlternateContent>
          <mc:Choice Requires="wps">
            <w:drawing>
              <wp:anchor distT="0" distB="0" distL="114300" distR="114300" simplePos="0" relativeHeight="251679744" behindDoc="0" locked="0" layoutInCell="1" allowOverlap="1" wp14:anchorId="74DAF595" wp14:editId="0F0C558F">
                <wp:simplePos x="0" y="0"/>
                <wp:positionH relativeFrom="column">
                  <wp:posOffset>176932</wp:posOffset>
                </wp:positionH>
                <wp:positionV relativeFrom="paragraph">
                  <wp:posOffset>54215</wp:posOffset>
                </wp:positionV>
                <wp:extent cx="89378" cy="556264"/>
                <wp:effectExtent l="0" t="19050" r="0" b="34290"/>
                <wp:wrapNone/>
                <wp:docPr id="1837624876"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
                          <a:off x="0" y="0"/>
                          <a:ext cx="89378" cy="556264"/>
                        </a:xfrm>
                        <a:prstGeom prst="straightConnector1">
                          <a:avLst/>
                        </a:prstGeom>
                        <a:noFill/>
                        <a:ln w="28575">
                          <a:solidFill>
                            <a:schemeClr val="accent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D611101" id="Straight Arrow Connector 4" o:spid="_x0000_s1026" type="#_x0000_t32" style="position:absolute;margin-left:13.95pt;margin-top:4.25pt;width:7.05pt;height:43.8pt;rotation:9;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" strokecolor="#7dd3d3 [3205]" strokeweight="2.25pt"/>
            </w:pict>
          </mc:Fallback>
        </mc:AlternateContent>
      </w:r>
      <w:proofErr w:type="gramStart"/>
      <w:r>
        <w:rPr>
          <w:b w:val="0"/>
          <w:bCs/>
          <w:sz w:val="28"/>
          <w:szCs w:val="28"/>
        </w:rPr>
        <w:t>“</w:t>
      </w:r>
      <w:r w:rsidRPr="00AE55BE">
        <w:t xml:space="preserve"> </w:t>
      </w:r>
      <w:r w:rsidRPr="00AE55BE">
        <w:rPr>
          <w:b w:val="0"/>
          <w:bCs/>
          <w:sz w:val="28"/>
          <w:szCs w:val="28"/>
        </w:rPr>
        <w:t>They</w:t>
      </w:r>
      <w:proofErr w:type="gramEnd"/>
      <w:r w:rsidRPr="00AE55BE">
        <w:rPr>
          <w:b w:val="0"/>
          <w:bCs/>
          <w:sz w:val="28"/>
          <w:szCs w:val="28"/>
        </w:rPr>
        <w:t xml:space="preserve"> asked me if it was so bad why had I stayed so long with my husband… I was so traumatised by the way police dealt with me and minimised me I don't think I will ever trust them again</w:t>
      </w:r>
      <w:r>
        <w:rPr>
          <w:b w:val="0"/>
          <w:bCs/>
          <w:sz w:val="28"/>
          <w:szCs w:val="28"/>
        </w:rPr>
        <w:t>.”</w:t>
      </w:r>
      <w:r>
        <w:rPr>
          <w:rStyle w:val="cf01"/>
          <w:rFonts w:cstheme="majorHAnsi"/>
          <w:b w:val="0"/>
          <w:bCs/>
          <w:sz w:val="24"/>
        </w:rPr>
        <w:t xml:space="preserve">  </w:t>
      </w:r>
    </w:p>
    <w:p w14:paraId="0C7B617B" w14:textId="77777777" w:rsidR="007A4790" w:rsidRPr="0071510C" w:rsidRDefault="007A4790" w:rsidP="007A4790">
      <w:pPr>
        <w:rPr>
          <w:shd w:val="clear" w:color="auto" w:fill="FFFFFF"/>
        </w:rPr>
      </w:pPr>
      <w:r w:rsidRPr="005C4244">
        <w:t>The result</w:t>
      </w:r>
      <w:r>
        <w:t xml:space="preserve"> of a poor police response to FV/SV is that </w:t>
      </w:r>
      <w:r>
        <w:rPr>
          <w:b/>
        </w:rPr>
        <w:t>VS</w:t>
      </w:r>
      <w:r w:rsidRPr="0071510C">
        <w:rPr>
          <w:b/>
        </w:rPr>
        <w:t xml:space="preserve"> and children are less safe</w:t>
      </w:r>
      <w:r>
        <w:rPr>
          <w:b/>
        </w:rPr>
        <w:t xml:space="preserve">, </w:t>
      </w:r>
      <w:r w:rsidRPr="0071510C">
        <w:t>feel hopeless and without support or options</w:t>
      </w:r>
      <w:r>
        <w:t xml:space="preserve"> and less likely to </w:t>
      </w:r>
      <w:r w:rsidRPr="0071510C">
        <w:t xml:space="preserve">contact police in the future. </w:t>
      </w:r>
      <w:r w:rsidRPr="0071510C">
        <w:rPr>
          <w:b/>
        </w:rPr>
        <w:t xml:space="preserve">Abusers continue </w:t>
      </w:r>
      <w:r>
        <w:rPr>
          <w:b/>
        </w:rPr>
        <w:t xml:space="preserve">and increase </w:t>
      </w:r>
      <w:r w:rsidRPr="0071510C">
        <w:rPr>
          <w:b/>
        </w:rPr>
        <w:t xml:space="preserve">their violence </w:t>
      </w:r>
      <w:r w:rsidRPr="0071510C">
        <w:rPr>
          <w:color w:val="000000"/>
        </w:rPr>
        <w:t>t</w:t>
      </w:r>
      <w:r>
        <w:rPr>
          <w:color w:val="000000"/>
        </w:rPr>
        <w:t>aking</w:t>
      </w:r>
      <w:r w:rsidRPr="0071510C">
        <w:rPr>
          <w:color w:val="000000"/>
        </w:rPr>
        <w:t xml:space="preserve"> revenge against </w:t>
      </w:r>
      <w:r>
        <w:rPr>
          <w:color w:val="000000"/>
        </w:rPr>
        <w:t>victims</w:t>
      </w:r>
      <w:r w:rsidRPr="0071510C">
        <w:rPr>
          <w:color w:val="000000"/>
        </w:rPr>
        <w:t xml:space="preserve"> for police involvement and only one in ten </w:t>
      </w:r>
      <w:r>
        <w:rPr>
          <w:color w:val="000000"/>
        </w:rPr>
        <w:t xml:space="preserve">VS </w:t>
      </w:r>
      <w:r w:rsidRPr="0071510C">
        <w:rPr>
          <w:color w:val="000000"/>
        </w:rPr>
        <w:t>said involving police had stopped the abuse.</w:t>
      </w:r>
      <w:r>
        <w:rPr>
          <w:color w:val="000000"/>
        </w:rPr>
        <w:t xml:space="preserve"> </w:t>
      </w:r>
      <w:r w:rsidRPr="0071510C">
        <w:rPr>
          <w:b/>
          <w:color w:val="000000"/>
        </w:rPr>
        <w:t>Other agencies and services withhold support</w:t>
      </w:r>
      <w:r>
        <w:rPr>
          <w:b/>
          <w:color w:val="000000"/>
        </w:rPr>
        <w:t xml:space="preserve"> as </w:t>
      </w:r>
      <w:r w:rsidRPr="0071510C">
        <w:rPr>
          <w:color w:val="000000"/>
        </w:rPr>
        <w:t xml:space="preserve">Police action (e.g. arrest) is generally viewed as the evidential benchmark that </w:t>
      </w:r>
      <w:r>
        <w:rPr>
          <w:color w:val="000000"/>
        </w:rPr>
        <w:t>FV/SV</w:t>
      </w:r>
      <w:r w:rsidRPr="0071510C">
        <w:rPr>
          <w:color w:val="000000"/>
        </w:rPr>
        <w:t xml:space="preserve"> has occurred. When police don’t act, </w:t>
      </w:r>
      <w:r>
        <w:rPr>
          <w:color w:val="000000"/>
        </w:rPr>
        <w:t>VS</w:t>
      </w:r>
      <w:r w:rsidRPr="0071510C">
        <w:rPr>
          <w:color w:val="000000"/>
        </w:rPr>
        <w:t xml:space="preserve"> are not believed and labelled ‘trouble makers’ by others. Police inaction influences agencies’ and services’ response to </w:t>
      </w:r>
      <w:r>
        <w:rPr>
          <w:color w:val="000000"/>
        </w:rPr>
        <w:t>VS</w:t>
      </w:r>
      <w:r w:rsidRPr="0071510C">
        <w:rPr>
          <w:color w:val="000000"/>
        </w:rPr>
        <w:t xml:space="preserve"> and their children for many years, impacting </w:t>
      </w:r>
      <w:r>
        <w:rPr>
          <w:color w:val="000000"/>
        </w:rPr>
        <w:t>NZFC</w:t>
      </w:r>
      <w:r w:rsidRPr="0071510C">
        <w:rPr>
          <w:color w:val="000000"/>
        </w:rPr>
        <w:t xml:space="preserve"> </w:t>
      </w:r>
      <w:r w:rsidRPr="0071510C">
        <w:rPr>
          <w:color w:val="000000"/>
        </w:rPr>
        <w:lastRenderedPageBreak/>
        <w:t xml:space="preserve">Care of Children decisions, Oranga Tamariki proceedings, support and services available to </w:t>
      </w:r>
      <w:r>
        <w:rPr>
          <w:color w:val="000000"/>
        </w:rPr>
        <w:t>VS</w:t>
      </w:r>
      <w:r w:rsidRPr="0071510C">
        <w:rPr>
          <w:color w:val="000000"/>
        </w:rPr>
        <w:t xml:space="preserve"> and children and support from friends, family, whānau, workplaces and members of their community.</w:t>
      </w:r>
    </w:p>
    <w:p w14:paraId="2B4A0F0A" w14:textId="07A8657A" w:rsidR="00FD635E" w:rsidRDefault="00FD635E" w:rsidP="00CC3579">
      <w:pPr>
        <w:pStyle w:val="NormalWeb"/>
        <w:spacing w:before="0" w:beforeAutospacing="0" w:after="160" w:afterAutospacing="0"/>
        <w:ind w:left="360"/>
        <w:jc w:val="center"/>
        <w:textAlignment w:val="baseline"/>
        <w:rPr>
          <w:rFonts w:ascii="Arial" w:hAnsi="Arial" w:cs="Arial"/>
          <w:i/>
          <w:iCs/>
          <w:color w:val="000000"/>
        </w:rPr>
      </w:pPr>
      <w:r w:rsidRPr="006A5411">
        <w:rPr>
          <w:rFonts w:ascii="Calibri" w:hAnsi="Calibri" w:cs="Calibri"/>
          <w:noProof/>
          <w:color w:val="000000"/>
        </w:rPr>
        <w:drawing>
          <wp:inline distT="0" distB="0" distL="0" distR="0" wp14:anchorId="29A79696" wp14:editId="1D48BBDB">
            <wp:extent cx="3900263" cy="2482850"/>
            <wp:effectExtent l="0" t="0" r="5080" b="0"/>
            <wp:docPr id="951567120" name="Picture 1" descr="Catch-22: When victim-survivors seek protection from authorities for family violence.&#10;woman caught in a cycle, on one side the police say &quot;if your case is before the Family Court then we don't like to intervene&quot; and on the other side the family court says &quot;We can't see any Police action here, must be ok&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567120" name="Picture 1" descr="Catch-22: When victim-survivors seek protection from authorities for family violence.&#10;woman caught in a cycle, on one side the police say &quot;if your case is before the Family Court then we don't like to intervene&quot; and on the other side the family court says &quot;We can't see any Police action here, must be ok&quot;"/>
                    <pic:cNvPicPr/>
                  </pic:nvPicPr>
                  <pic:blipFill>
                    <a:blip r:embed="rId18"/>
                    <a:stretch>
                      <a:fillRect/>
                    </a:stretch>
                  </pic:blipFill>
                  <pic:spPr>
                    <a:xfrm>
                      <a:off x="0" y="0"/>
                      <a:ext cx="3928129" cy="2500589"/>
                    </a:xfrm>
                    <a:prstGeom prst="rect">
                      <a:avLst/>
                    </a:prstGeom>
                  </pic:spPr>
                </pic:pic>
              </a:graphicData>
            </a:graphic>
          </wp:inline>
        </w:drawing>
      </w:r>
    </w:p>
    <w:p w14:paraId="6249A7D9" w14:textId="40DEA398" w:rsidR="00CC3579" w:rsidRPr="00CC3579" w:rsidRDefault="00CC3579" w:rsidP="00CC3579">
      <w:pPr>
        <w:pStyle w:val="NormalWeb"/>
        <w:spacing w:before="0" w:beforeAutospacing="0" w:after="160" w:afterAutospacing="0"/>
        <w:ind w:left="360"/>
        <w:jc w:val="center"/>
        <w:textAlignment w:val="baseline"/>
        <w:rPr>
          <w:rFonts w:asciiTheme="minorHAnsi" w:hAnsiTheme="minorHAnsi" w:cstheme="minorHAnsi"/>
          <w:i/>
          <w:iCs/>
          <w:color w:val="000000"/>
          <w:sz w:val="20"/>
          <w:szCs w:val="20"/>
        </w:rPr>
      </w:pPr>
      <w:r w:rsidRPr="00CC3579">
        <w:rPr>
          <w:rFonts w:asciiTheme="minorHAnsi" w:hAnsiTheme="minorHAnsi" w:cstheme="minorHAnsi"/>
          <w:i/>
          <w:iCs/>
          <w:color w:val="000000"/>
          <w:sz w:val="20"/>
          <w:szCs w:val="20"/>
        </w:rPr>
        <w:t>Infographic produced by The Backbone Collective 2024</w:t>
      </w:r>
    </w:p>
    <w:p w14:paraId="533EF24F" w14:textId="41F49A6C" w:rsidR="003F4A2C" w:rsidRDefault="003F4A2C" w:rsidP="003A43D4">
      <w:pPr>
        <w:pStyle w:val="header2"/>
      </w:pPr>
      <w:r w:rsidRPr="008303B8">
        <w:t>Sexual violence</w:t>
      </w:r>
    </w:p>
    <w:p w14:paraId="00654272" w14:textId="1E30AE69" w:rsidR="005F710E" w:rsidRPr="00C0374D" w:rsidRDefault="005F710E" w:rsidP="005F710E">
      <w:pPr>
        <w:rPr>
          <w:b/>
        </w:rPr>
      </w:pPr>
      <w:r w:rsidRPr="00C0374D">
        <w:rPr>
          <w:b/>
        </w:rPr>
        <w:t>Gender based violence 10 (e)</w:t>
      </w:r>
    </w:p>
    <w:p w14:paraId="72C8D540" w14:textId="2C549603" w:rsidR="003F4A2C" w:rsidRPr="003F4A2C" w:rsidRDefault="003F4A2C" w:rsidP="00772283">
      <w:pPr>
        <w:rPr>
          <w:shd w:val="clear" w:color="auto" w:fill="FFFFFF"/>
          <w:lang w:eastAsia="en-NZ"/>
        </w:rPr>
      </w:pPr>
      <w:r w:rsidRPr="001A57E3">
        <w:rPr>
          <w:b/>
          <w:shd w:val="clear" w:color="auto" w:fill="F6CDC2" w:themeFill="accent3"/>
          <w:lang w:eastAsia="en-NZ"/>
        </w:rPr>
        <w:t xml:space="preserve">There is a 1% conviction rate for </w:t>
      </w:r>
      <w:r w:rsidR="008303B8" w:rsidRPr="001A57E3">
        <w:rPr>
          <w:b/>
          <w:shd w:val="clear" w:color="auto" w:fill="F6CDC2" w:themeFill="accent3"/>
          <w:lang w:eastAsia="en-NZ"/>
        </w:rPr>
        <w:t>SV</w:t>
      </w:r>
      <w:r w:rsidRPr="001A57E3">
        <w:rPr>
          <w:b/>
          <w:shd w:val="clear" w:color="auto" w:fill="F6CDC2" w:themeFill="accent3"/>
          <w:lang w:eastAsia="en-NZ"/>
        </w:rPr>
        <w:t xml:space="preserve"> in </w:t>
      </w:r>
      <w:r w:rsidR="003B46B4" w:rsidRPr="001A57E3">
        <w:rPr>
          <w:b/>
          <w:shd w:val="clear" w:color="auto" w:fill="F6CDC2" w:themeFill="accent3"/>
          <w:lang w:eastAsia="en-NZ"/>
        </w:rPr>
        <w:t>NZ</w:t>
      </w:r>
      <w:r w:rsidRPr="001A57E3">
        <w:rPr>
          <w:b/>
          <w:shd w:val="clear" w:color="auto" w:fill="F6CDC2" w:themeFill="accent3"/>
          <w:lang w:eastAsia="en-NZ"/>
        </w:rPr>
        <w:t>, and the pathway to these convictions is almost always traumatic for complainants.</w:t>
      </w:r>
      <w:r w:rsidRPr="003F4A2C">
        <w:rPr>
          <w:shd w:val="clear" w:color="auto" w:fill="FFFFFF"/>
          <w:lang w:eastAsia="en-NZ"/>
        </w:rPr>
        <w:t xml:space="preserve"> We would like to see progression of possible solutions explored in a Law Commission Report (2013) - this included such changes as moving away from an adversarial system, development of treatment courts, and formalising alternative restorative models. </w:t>
      </w:r>
    </w:p>
    <w:p w14:paraId="5C1FADA5" w14:textId="1509F995" w:rsidR="001B0431" w:rsidRPr="0084452C" w:rsidRDefault="00772283" w:rsidP="008303B8">
      <w:pPr>
        <w:rPr>
          <w:b/>
          <w:shd w:val="clear" w:color="auto" w:fill="FFFFFF"/>
          <w:lang w:eastAsia="en-NZ"/>
        </w:rPr>
      </w:pPr>
      <w:r w:rsidRPr="008303B8">
        <w:rPr>
          <w:shd w:val="clear" w:color="auto" w:fill="FFFFFF"/>
          <w:lang w:eastAsia="en-NZ"/>
        </w:rPr>
        <w:t xml:space="preserve">The NZ State party has </w:t>
      </w:r>
      <w:r w:rsidR="001B0431" w:rsidRPr="008303B8">
        <w:rPr>
          <w:shd w:val="clear" w:color="auto" w:fill="FFFFFF"/>
          <w:lang w:eastAsia="en-NZ"/>
        </w:rPr>
        <w:t>referred</w:t>
      </w:r>
      <w:r w:rsidRPr="008303B8">
        <w:rPr>
          <w:shd w:val="clear" w:color="auto" w:fill="FFFFFF"/>
          <w:lang w:eastAsia="en-NZ"/>
        </w:rPr>
        <w:t xml:space="preserve"> to </w:t>
      </w:r>
      <w:r w:rsidR="001B0431" w:rsidRPr="008303B8">
        <w:rPr>
          <w:shd w:val="clear" w:color="auto" w:fill="FFFFFF"/>
          <w:lang w:eastAsia="en-NZ"/>
        </w:rPr>
        <w:t xml:space="preserve">the Strengthening </w:t>
      </w:r>
      <w:r w:rsidR="002666F0" w:rsidRPr="008303B8">
        <w:rPr>
          <w:shd w:val="clear" w:color="auto" w:fill="FFFFFF"/>
          <w:lang w:eastAsia="en-NZ"/>
        </w:rPr>
        <w:t xml:space="preserve">Sexual Violence </w:t>
      </w:r>
      <w:r w:rsidR="001B0431" w:rsidRPr="008303B8">
        <w:rPr>
          <w:shd w:val="clear" w:color="auto" w:fill="FFFFFF"/>
          <w:lang w:eastAsia="en-NZ"/>
        </w:rPr>
        <w:t>Bill</w:t>
      </w:r>
      <w:r w:rsidR="002666F0" w:rsidRPr="008303B8">
        <w:rPr>
          <w:shd w:val="clear" w:color="auto" w:fill="FFFFFF"/>
          <w:lang w:eastAsia="en-NZ"/>
        </w:rPr>
        <w:t xml:space="preserve">, which aims to reduce the potential re-traumatisation that </w:t>
      </w:r>
      <w:r w:rsidR="008303B8">
        <w:rPr>
          <w:shd w:val="clear" w:color="auto" w:fill="FFFFFF"/>
          <w:lang w:eastAsia="en-NZ"/>
        </w:rPr>
        <w:t>SV</w:t>
      </w:r>
      <w:r w:rsidR="002666F0" w:rsidRPr="008303B8">
        <w:rPr>
          <w:shd w:val="clear" w:color="auto" w:fill="FFFFFF"/>
          <w:lang w:eastAsia="en-NZ"/>
        </w:rPr>
        <w:t xml:space="preserve"> victims and witnesses experience when attending or giving evidence in court</w:t>
      </w:r>
      <w:r w:rsidR="001B0431" w:rsidRPr="008303B8">
        <w:rPr>
          <w:shd w:val="clear" w:color="auto" w:fill="FFFFFF"/>
          <w:lang w:eastAsia="en-NZ"/>
        </w:rPr>
        <w:t xml:space="preserve">. </w:t>
      </w:r>
      <w:r w:rsidR="00D8091F" w:rsidRPr="008303B8">
        <w:rPr>
          <w:shd w:val="clear" w:color="auto" w:fill="FFFFFF"/>
          <w:lang w:eastAsia="en-NZ"/>
        </w:rPr>
        <w:t xml:space="preserve">Specialists and advocates understand the Bill is a positive step towards addressing some of the ways </w:t>
      </w:r>
      <w:r w:rsidR="00BC5DF8">
        <w:rPr>
          <w:shd w:val="clear" w:color="auto" w:fill="FFFFFF"/>
          <w:lang w:eastAsia="en-NZ"/>
        </w:rPr>
        <w:t>VS</w:t>
      </w:r>
      <w:r w:rsidR="00D8091F" w:rsidRPr="008303B8">
        <w:rPr>
          <w:shd w:val="clear" w:color="auto" w:fill="FFFFFF"/>
          <w:lang w:eastAsia="en-NZ"/>
        </w:rPr>
        <w:t xml:space="preserve"> are traumatised and harmed by </w:t>
      </w:r>
      <w:r w:rsidR="003B46B4">
        <w:rPr>
          <w:shd w:val="clear" w:color="auto" w:fill="FFFFFF"/>
          <w:lang w:eastAsia="en-NZ"/>
        </w:rPr>
        <w:t>the</w:t>
      </w:r>
      <w:r w:rsidR="00D8091F" w:rsidRPr="008303B8">
        <w:rPr>
          <w:shd w:val="clear" w:color="auto" w:fill="FFFFFF"/>
          <w:lang w:eastAsia="en-NZ"/>
        </w:rPr>
        <w:t xml:space="preserve"> current response. </w:t>
      </w:r>
      <w:r w:rsidR="00CC3579" w:rsidRPr="008303B8">
        <w:rPr>
          <w:shd w:val="clear" w:color="auto" w:fill="FFFFFF"/>
          <w:lang w:eastAsia="en-NZ"/>
        </w:rPr>
        <w:t xml:space="preserve">However, </w:t>
      </w:r>
      <w:r w:rsidR="007F25EA" w:rsidRPr="0084452C">
        <w:rPr>
          <w:b/>
          <w:shd w:val="clear" w:color="auto" w:fill="F6CDC2" w:themeFill="accent3"/>
          <w:lang w:eastAsia="en-NZ"/>
        </w:rPr>
        <w:t>i</w:t>
      </w:r>
      <w:r w:rsidR="001B0431" w:rsidRPr="0084452C">
        <w:rPr>
          <w:b/>
          <w:shd w:val="clear" w:color="auto" w:fill="F6CDC2" w:themeFill="accent3"/>
          <w:lang w:eastAsia="en-NZ"/>
        </w:rPr>
        <w:t>t is of concern the Bill is only looking to protect under</w:t>
      </w:r>
      <w:r w:rsidR="008303B8" w:rsidRPr="0084452C">
        <w:rPr>
          <w:b/>
          <w:shd w:val="clear" w:color="auto" w:fill="F6CDC2" w:themeFill="accent3"/>
          <w:lang w:eastAsia="en-NZ"/>
        </w:rPr>
        <w:t xml:space="preserve"> </w:t>
      </w:r>
      <w:r w:rsidR="002106CA" w:rsidRPr="0084452C">
        <w:rPr>
          <w:b/>
          <w:shd w:val="clear" w:color="auto" w:fill="F6CDC2" w:themeFill="accent3"/>
          <w:lang w:eastAsia="en-NZ"/>
        </w:rPr>
        <w:t>12-year</w:t>
      </w:r>
      <w:r w:rsidR="001B0431" w:rsidRPr="0084452C">
        <w:rPr>
          <w:b/>
          <w:shd w:val="clear" w:color="auto" w:fill="F6CDC2" w:themeFill="accent3"/>
          <w:lang w:eastAsia="en-NZ"/>
        </w:rPr>
        <w:t xml:space="preserve"> olds regarding questioning about consent, leav</w:t>
      </w:r>
      <w:r w:rsidR="008303B8" w:rsidRPr="0084452C">
        <w:rPr>
          <w:b/>
          <w:shd w:val="clear" w:color="auto" w:fill="F6CDC2" w:themeFill="accent3"/>
          <w:lang w:eastAsia="en-NZ"/>
        </w:rPr>
        <w:t>ing</w:t>
      </w:r>
      <w:r w:rsidR="001B0431" w:rsidRPr="0084452C">
        <w:rPr>
          <w:b/>
          <w:shd w:val="clear" w:color="auto" w:fill="F6CDC2" w:themeFill="accent3"/>
          <w:lang w:eastAsia="en-NZ"/>
        </w:rPr>
        <w:t xml:space="preserve"> </w:t>
      </w:r>
      <w:r w:rsidR="002106CA" w:rsidRPr="0084452C">
        <w:rPr>
          <w:b/>
          <w:shd w:val="clear" w:color="auto" w:fill="F6CDC2" w:themeFill="accent3"/>
          <w:lang w:eastAsia="en-NZ"/>
        </w:rPr>
        <w:t>12-15-year</w:t>
      </w:r>
      <w:r w:rsidR="001B0431" w:rsidRPr="0084452C">
        <w:rPr>
          <w:b/>
          <w:shd w:val="clear" w:color="auto" w:fill="F6CDC2" w:themeFill="accent3"/>
          <w:lang w:eastAsia="en-NZ"/>
        </w:rPr>
        <w:t xml:space="preserve"> olds </w:t>
      </w:r>
      <w:r w:rsidR="008303B8" w:rsidRPr="0084452C">
        <w:rPr>
          <w:b/>
          <w:shd w:val="clear" w:color="auto" w:fill="F6CDC2" w:themeFill="accent3"/>
          <w:lang w:eastAsia="en-NZ"/>
        </w:rPr>
        <w:t xml:space="preserve">still </w:t>
      </w:r>
      <w:r w:rsidR="001B0431" w:rsidRPr="0084452C">
        <w:rPr>
          <w:b/>
          <w:shd w:val="clear" w:color="auto" w:fill="F6CDC2" w:themeFill="accent3"/>
          <w:lang w:eastAsia="en-NZ"/>
        </w:rPr>
        <w:t>being challenged.</w:t>
      </w:r>
    </w:p>
    <w:p w14:paraId="27A4FA31" w14:textId="636B3581" w:rsidR="00D8091F" w:rsidRDefault="001B0431" w:rsidP="008303B8">
      <w:pPr>
        <w:rPr>
          <w:shd w:val="clear" w:color="auto" w:fill="FFFFFF"/>
        </w:rPr>
      </w:pPr>
      <w:r w:rsidRPr="008303B8">
        <w:rPr>
          <w:shd w:val="clear" w:color="auto" w:fill="FFFFFF"/>
        </w:rPr>
        <w:t>T</w:t>
      </w:r>
      <w:r w:rsidR="00D8091F" w:rsidRPr="008303B8">
        <w:rPr>
          <w:shd w:val="clear" w:color="auto" w:fill="FFFFFF"/>
        </w:rPr>
        <w:t>here is much more work to be done to improve our justice response in order to achieve both safety</w:t>
      </w:r>
      <w:r w:rsidR="00D8091F" w:rsidRPr="00E517C4">
        <w:rPr>
          <w:shd w:val="clear" w:color="auto" w:fill="FFFFFF"/>
        </w:rPr>
        <w:t xml:space="preserve"> of </w:t>
      </w:r>
      <w:r w:rsidR="00BC5DF8">
        <w:rPr>
          <w:shd w:val="clear" w:color="auto" w:fill="FFFFFF"/>
        </w:rPr>
        <w:t>VS</w:t>
      </w:r>
      <w:r w:rsidR="00D8091F" w:rsidRPr="00E517C4">
        <w:rPr>
          <w:shd w:val="clear" w:color="auto" w:fill="FFFFFF"/>
        </w:rPr>
        <w:t xml:space="preserve"> and accountability of offenders. We recommended that the Government focus resources to work closely with specialist </w:t>
      </w:r>
      <w:r w:rsidR="008303B8">
        <w:rPr>
          <w:shd w:val="clear" w:color="auto" w:fill="FFFFFF"/>
        </w:rPr>
        <w:t>SV/FV</w:t>
      </w:r>
      <w:r w:rsidR="00D8091F" w:rsidRPr="00E517C4">
        <w:rPr>
          <w:shd w:val="clear" w:color="auto" w:fill="FFFFFF"/>
        </w:rPr>
        <w:t xml:space="preserve"> organisations </w:t>
      </w:r>
      <w:r w:rsidR="00CC3579">
        <w:rPr>
          <w:shd w:val="clear" w:color="auto" w:fill="FFFFFF"/>
        </w:rPr>
        <w:t>on</w:t>
      </w:r>
      <w:r w:rsidR="00D53D0F">
        <w:rPr>
          <w:shd w:val="clear" w:color="auto" w:fill="FFFFFF"/>
        </w:rPr>
        <w:t xml:space="preserve"> </w:t>
      </w:r>
      <w:r w:rsidR="00AB118C">
        <w:rPr>
          <w:shd w:val="clear" w:color="auto" w:fill="FFFFFF"/>
        </w:rPr>
        <w:t>recommendations</w:t>
      </w:r>
      <w:r w:rsidR="00CC3579">
        <w:rPr>
          <w:shd w:val="clear" w:color="auto" w:fill="FFFFFF"/>
        </w:rPr>
        <w:t xml:space="preserve"> proposed in this report</w:t>
      </w:r>
      <w:r w:rsidR="00D53D0F">
        <w:rPr>
          <w:shd w:val="clear" w:color="auto" w:fill="FFFFFF"/>
        </w:rPr>
        <w:t>.</w:t>
      </w:r>
    </w:p>
    <w:p w14:paraId="1A549D86" w14:textId="137E2D3F" w:rsidR="003F4A2C" w:rsidRPr="003A43D4" w:rsidRDefault="003F4A2C" w:rsidP="003A43D4">
      <w:pPr>
        <w:pStyle w:val="header2"/>
      </w:pPr>
      <w:r w:rsidRPr="003A43D4">
        <w:t xml:space="preserve">Lack of financial support and funded </w:t>
      </w:r>
      <w:r w:rsidR="00377158" w:rsidRPr="003A43D4">
        <w:t>counselling for</w:t>
      </w:r>
      <w:r w:rsidRPr="003A43D4">
        <w:t xml:space="preserve"> </w:t>
      </w:r>
      <w:r w:rsidR="00BC5DF8" w:rsidRPr="003A43D4">
        <w:t>VS</w:t>
      </w:r>
    </w:p>
    <w:p w14:paraId="76BD6555" w14:textId="22F08C7A" w:rsidR="005F1E34" w:rsidRPr="00C0374D" w:rsidRDefault="005F1E34" w:rsidP="00E40B15">
      <w:pPr>
        <w:rPr>
          <w:b/>
        </w:rPr>
      </w:pPr>
      <w:r w:rsidRPr="00C0374D">
        <w:rPr>
          <w:b/>
        </w:rPr>
        <w:t>Economic and social benefits and economic empowerment (18)</w:t>
      </w:r>
    </w:p>
    <w:p w14:paraId="28A7A1B9" w14:textId="68410F30" w:rsidR="00CA706B" w:rsidRDefault="003F4A2C" w:rsidP="008303B8">
      <w:r>
        <w:t>Safety</w:t>
      </w:r>
      <w:r w:rsidRPr="00D1019E">
        <w:t xml:space="preserve"> is achieved </w:t>
      </w:r>
      <w:r>
        <w:t xml:space="preserve">for </w:t>
      </w:r>
      <w:r w:rsidR="00BC5DF8">
        <w:t>VS</w:t>
      </w:r>
      <w:r>
        <w:t xml:space="preserve"> and their children </w:t>
      </w:r>
      <w:r w:rsidRPr="00D1019E">
        <w:t>by the right support and services</w:t>
      </w:r>
      <w:r>
        <w:t xml:space="preserve"> </w:t>
      </w:r>
      <w:r w:rsidRPr="00D1019E">
        <w:t xml:space="preserve">being available </w:t>
      </w:r>
      <w:r>
        <w:t xml:space="preserve">to them </w:t>
      </w:r>
      <w:r w:rsidRPr="00D1019E">
        <w:t>at the right time and for as long as it takes to be safe and recover.</w:t>
      </w:r>
      <w:r w:rsidR="00CA706B">
        <w:t xml:space="preserve"> </w:t>
      </w:r>
      <w:r w:rsidR="00CA706B" w:rsidRPr="00F961AF">
        <w:t xml:space="preserve">Financial support is vital </w:t>
      </w:r>
      <w:r w:rsidR="00CA706B">
        <w:t xml:space="preserve">for </w:t>
      </w:r>
      <w:r w:rsidR="00BC5DF8">
        <w:t>VS</w:t>
      </w:r>
      <w:r w:rsidR="00CA706B">
        <w:t xml:space="preserve"> </w:t>
      </w:r>
      <w:r w:rsidR="00CA706B" w:rsidRPr="00F961AF">
        <w:t xml:space="preserve">for two reasons: </w:t>
      </w:r>
    </w:p>
    <w:p w14:paraId="41F3FF90" w14:textId="77777777" w:rsidR="00CA706B" w:rsidRDefault="00CA706B" w:rsidP="008303B8">
      <w:r w:rsidRPr="00F961AF">
        <w:t>1. getting safe</w:t>
      </w:r>
      <w:r>
        <w:t xml:space="preserve">, </w:t>
      </w:r>
      <w:r w:rsidRPr="00F961AF">
        <w:t xml:space="preserve">staying safe </w:t>
      </w:r>
      <w:r>
        <w:t xml:space="preserve">and recovering from violence and abuse </w:t>
      </w:r>
      <w:r w:rsidRPr="00F961AF">
        <w:t xml:space="preserve">cost a lot, and </w:t>
      </w:r>
    </w:p>
    <w:p w14:paraId="48A00A7C" w14:textId="77777777" w:rsidR="00CA706B" w:rsidRDefault="00CA706B" w:rsidP="008303B8">
      <w:r w:rsidRPr="00F961AF">
        <w:lastRenderedPageBreak/>
        <w:t xml:space="preserve">2. violence reduces financial wellbeing. </w:t>
      </w:r>
    </w:p>
    <w:p w14:paraId="2922057F" w14:textId="67220923" w:rsidR="003F4A2C" w:rsidRDefault="003F4A2C" w:rsidP="008303B8">
      <w:pPr>
        <w:rPr>
          <w:rFonts w:ascii="Calibri" w:hAnsi="Calibri" w:cs="Calibri"/>
        </w:rPr>
      </w:pPr>
      <w:r w:rsidRPr="00E40B15">
        <w:rPr>
          <w:rFonts w:ascii="Calibri" w:hAnsi="Calibri" w:cs="Calibri"/>
          <w:b/>
          <w:shd w:val="clear" w:color="auto" w:fill="F6CDC2" w:themeFill="accent3"/>
        </w:rPr>
        <w:t xml:space="preserve">Currently, there is very little financial support specifically targeted for </w:t>
      </w:r>
      <w:r w:rsidR="00BC5DF8">
        <w:rPr>
          <w:rFonts w:ascii="Calibri" w:hAnsi="Calibri" w:cs="Calibri"/>
          <w:b/>
          <w:shd w:val="clear" w:color="auto" w:fill="F6CDC2" w:themeFill="accent3"/>
        </w:rPr>
        <w:t>VS</w:t>
      </w:r>
      <w:r w:rsidRPr="00E40B15">
        <w:rPr>
          <w:rFonts w:ascii="Calibri" w:hAnsi="Calibri" w:cs="Calibri"/>
          <w:b/>
          <w:shd w:val="clear" w:color="auto" w:fill="F6CDC2" w:themeFill="accent3"/>
        </w:rPr>
        <w:t>, and it is very hard to access.</w:t>
      </w:r>
      <w:r>
        <w:rPr>
          <w:rFonts w:ascii="Calibri" w:hAnsi="Calibri" w:cs="Calibri"/>
        </w:rPr>
        <w:t xml:space="preserve"> </w:t>
      </w:r>
      <w:r w:rsidR="003C54BD">
        <w:rPr>
          <w:rFonts w:ascii="Calibri" w:hAnsi="Calibri" w:cs="Calibri"/>
        </w:rPr>
        <w:t xml:space="preserve">There is no state funded counselling/therapy for VS who have experienced coercive control. </w:t>
      </w:r>
      <w:r>
        <w:rPr>
          <w:rFonts w:ascii="Calibri" w:hAnsi="Calibri" w:cs="Calibri"/>
        </w:rPr>
        <w:t>Work and Income NZ (</w:t>
      </w:r>
      <w:r w:rsidR="00CC3579">
        <w:rPr>
          <w:rFonts w:ascii="Calibri" w:hAnsi="Calibri" w:cs="Calibri"/>
        </w:rPr>
        <w:t xml:space="preserve">WINZ - </w:t>
      </w:r>
      <w:r w:rsidR="00603056">
        <w:rPr>
          <w:rFonts w:ascii="Calibri" w:hAnsi="Calibri" w:cs="Calibri"/>
        </w:rPr>
        <w:t>agency</w:t>
      </w:r>
      <w:r w:rsidR="00C71FA7">
        <w:rPr>
          <w:rFonts w:ascii="Calibri" w:hAnsi="Calibri" w:cs="Calibri"/>
        </w:rPr>
        <w:t xml:space="preserve"> that deliver</w:t>
      </w:r>
      <w:r w:rsidR="00603056">
        <w:rPr>
          <w:rFonts w:ascii="Calibri" w:hAnsi="Calibri" w:cs="Calibri"/>
        </w:rPr>
        <w:t>s</w:t>
      </w:r>
      <w:r w:rsidR="00C71FA7">
        <w:rPr>
          <w:rFonts w:ascii="Calibri" w:hAnsi="Calibri" w:cs="Calibri"/>
        </w:rPr>
        <w:t xml:space="preserve"> state financial support</w:t>
      </w:r>
      <w:r>
        <w:rPr>
          <w:rFonts w:ascii="Calibri" w:hAnsi="Calibri" w:cs="Calibri"/>
        </w:rPr>
        <w:t xml:space="preserve">) offer limited specialist staff to work with </w:t>
      </w:r>
      <w:r w:rsidR="00BC5DF8">
        <w:rPr>
          <w:rFonts w:ascii="Calibri" w:hAnsi="Calibri" w:cs="Calibri"/>
        </w:rPr>
        <w:t>VS</w:t>
      </w:r>
      <w:r>
        <w:rPr>
          <w:rFonts w:ascii="Calibri" w:hAnsi="Calibri" w:cs="Calibri"/>
        </w:rPr>
        <w:t xml:space="preserve"> </w:t>
      </w:r>
      <w:r w:rsidR="00CA706B">
        <w:rPr>
          <w:rFonts w:ascii="Calibri" w:hAnsi="Calibri" w:cs="Calibri"/>
        </w:rPr>
        <w:t xml:space="preserve">but </w:t>
      </w:r>
      <w:r>
        <w:rPr>
          <w:rFonts w:ascii="Calibri" w:hAnsi="Calibri" w:cs="Calibri"/>
        </w:rPr>
        <w:t xml:space="preserve">women have shared with </w:t>
      </w:r>
      <w:r w:rsidR="00E40B15">
        <w:rPr>
          <w:rFonts w:ascii="Calibri" w:hAnsi="Calibri" w:cs="Calibri"/>
        </w:rPr>
        <w:t>us</w:t>
      </w:r>
      <w:r>
        <w:rPr>
          <w:rFonts w:ascii="Calibri" w:hAnsi="Calibri" w:cs="Calibri"/>
        </w:rPr>
        <w:t xml:space="preserve"> that accessing financial support via WINZ is very difficult because:</w:t>
      </w:r>
    </w:p>
    <w:p w14:paraId="19399B9A" w14:textId="13C33AB0" w:rsidR="003F4A2C" w:rsidRPr="008303B8" w:rsidRDefault="003F4A2C" w:rsidP="008303B8">
      <w:pPr>
        <w:pStyle w:val="ListParagraph"/>
        <w:numPr>
          <w:ilvl w:val="0"/>
          <w:numId w:val="36"/>
        </w:numPr>
        <w:rPr>
          <w:rFonts w:ascii="Calibri" w:hAnsi="Calibri" w:cs="Calibri"/>
        </w:rPr>
      </w:pPr>
      <w:r w:rsidRPr="008303B8">
        <w:rPr>
          <w:rFonts w:ascii="Calibri" w:hAnsi="Calibri" w:cs="Calibri"/>
        </w:rPr>
        <w:t>It</w:t>
      </w:r>
      <w:r w:rsidR="00603056">
        <w:rPr>
          <w:rFonts w:ascii="Calibri" w:hAnsi="Calibri" w:cs="Calibri"/>
        </w:rPr>
        <w:t>’s</w:t>
      </w:r>
      <w:r w:rsidRPr="008303B8">
        <w:rPr>
          <w:rFonts w:ascii="Calibri" w:hAnsi="Calibri" w:cs="Calibri"/>
        </w:rPr>
        <w:t xml:space="preserve"> hard to find out about grants/benefits and eligibility criteria</w:t>
      </w:r>
    </w:p>
    <w:p w14:paraId="52131AD7" w14:textId="77777777" w:rsidR="003F4A2C" w:rsidRPr="008303B8" w:rsidRDefault="003F4A2C" w:rsidP="008303B8">
      <w:pPr>
        <w:pStyle w:val="ListParagraph"/>
        <w:numPr>
          <w:ilvl w:val="0"/>
          <w:numId w:val="36"/>
        </w:numPr>
        <w:rPr>
          <w:rFonts w:ascii="Calibri" w:hAnsi="Calibri" w:cs="Calibri"/>
        </w:rPr>
      </w:pPr>
      <w:r w:rsidRPr="008303B8">
        <w:rPr>
          <w:rFonts w:ascii="Calibri" w:hAnsi="Calibri" w:cs="Calibri"/>
        </w:rPr>
        <w:t>They are too traumatised to fill out the multiple forms required</w:t>
      </w:r>
    </w:p>
    <w:p w14:paraId="41F99747" w14:textId="43AF2AA9" w:rsidR="003F4A2C" w:rsidRPr="008303B8" w:rsidRDefault="003F4A2C" w:rsidP="008303B8">
      <w:pPr>
        <w:pStyle w:val="ListParagraph"/>
        <w:numPr>
          <w:ilvl w:val="0"/>
          <w:numId w:val="36"/>
        </w:numPr>
        <w:rPr>
          <w:rFonts w:ascii="Calibri" w:hAnsi="Calibri" w:cs="Calibri"/>
        </w:rPr>
      </w:pPr>
      <w:r w:rsidRPr="008303B8">
        <w:rPr>
          <w:rFonts w:ascii="Calibri" w:hAnsi="Calibri" w:cs="Calibri"/>
        </w:rPr>
        <w:t xml:space="preserve">Staff have a very poor understanding of </w:t>
      </w:r>
      <w:r w:rsidR="00E40B15">
        <w:rPr>
          <w:rFonts w:ascii="Calibri" w:hAnsi="Calibri" w:cs="Calibri"/>
        </w:rPr>
        <w:t>FV/SV</w:t>
      </w:r>
    </w:p>
    <w:p w14:paraId="1F2D4B39" w14:textId="32045C21" w:rsidR="003F4A2C" w:rsidRPr="008303B8" w:rsidRDefault="003F4A2C" w:rsidP="008303B8">
      <w:pPr>
        <w:pStyle w:val="ListParagraph"/>
        <w:numPr>
          <w:ilvl w:val="0"/>
          <w:numId w:val="36"/>
        </w:numPr>
        <w:rPr>
          <w:rFonts w:ascii="Calibri" w:hAnsi="Calibri" w:cs="Calibri"/>
        </w:rPr>
      </w:pPr>
      <w:r w:rsidRPr="008303B8">
        <w:rPr>
          <w:rFonts w:ascii="Calibri" w:hAnsi="Calibri" w:cs="Calibri"/>
        </w:rPr>
        <w:t>They may ostensibly have assets which make them ineligible for support, but they are unable to use that asset as it is held by the abuser (e.g., he lives in the family home)</w:t>
      </w:r>
      <w:r w:rsidR="00603056">
        <w:rPr>
          <w:rFonts w:ascii="Calibri" w:hAnsi="Calibri" w:cs="Calibri"/>
        </w:rPr>
        <w:t>.</w:t>
      </w:r>
    </w:p>
    <w:p w14:paraId="27AB87AD" w14:textId="5B1D07E3" w:rsidR="003F4A2C" w:rsidRDefault="00603056" w:rsidP="008303B8">
      <w:pPr>
        <w:rPr>
          <w:rFonts w:ascii="Calibri" w:hAnsi="Calibri" w:cs="Calibri"/>
        </w:rPr>
      </w:pPr>
      <w:r>
        <w:rPr>
          <w:rFonts w:ascii="Calibri" w:hAnsi="Calibri" w:cs="Calibri"/>
        </w:rPr>
        <w:t>W</w:t>
      </w:r>
      <w:r w:rsidR="003F4A2C">
        <w:rPr>
          <w:rFonts w:ascii="Calibri" w:hAnsi="Calibri" w:cs="Calibri"/>
        </w:rPr>
        <w:t xml:space="preserve">hen attempting to access financial support, some </w:t>
      </w:r>
      <w:r w:rsidR="003F4A2C" w:rsidRPr="003E485D">
        <w:rPr>
          <w:rFonts w:ascii="Calibri" w:hAnsi="Calibri" w:cs="Calibri"/>
        </w:rPr>
        <w:t>women are penalised by their association with the abuser</w:t>
      </w:r>
      <w:r w:rsidR="003F4A2C">
        <w:rPr>
          <w:rFonts w:ascii="Calibri" w:hAnsi="Calibri" w:cs="Calibri"/>
        </w:rPr>
        <w:t xml:space="preserve">. For example, joint home ownership, on paper – even if the </w:t>
      </w:r>
      <w:r w:rsidR="00BC5DF8">
        <w:rPr>
          <w:rFonts w:ascii="Calibri" w:hAnsi="Calibri" w:cs="Calibri"/>
        </w:rPr>
        <w:t>VS</w:t>
      </w:r>
      <w:r w:rsidR="003F4A2C">
        <w:rPr>
          <w:rFonts w:ascii="Calibri" w:hAnsi="Calibri" w:cs="Calibri"/>
        </w:rPr>
        <w:t xml:space="preserve"> no longer have access to the house – is taken as evidence of an ongoing “relationship” with the abuser, </w:t>
      </w:r>
      <w:r w:rsidR="003F4A2C" w:rsidRPr="003E485D">
        <w:rPr>
          <w:rFonts w:ascii="Calibri" w:hAnsi="Calibri" w:cs="Calibri"/>
        </w:rPr>
        <w:t xml:space="preserve">and therefore </w:t>
      </w:r>
      <w:r w:rsidR="003F4A2C">
        <w:rPr>
          <w:rFonts w:ascii="Calibri" w:hAnsi="Calibri" w:cs="Calibri"/>
        </w:rPr>
        <w:t xml:space="preserve">impacts on </w:t>
      </w:r>
      <w:r w:rsidR="00BC5DF8">
        <w:rPr>
          <w:rFonts w:ascii="Calibri" w:hAnsi="Calibri" w:cs="Calibri"/>
        </w:rPr>
        <w:t>VS</w:t>
      </w:r>
      <w:r w:rsidR="003F4A2C">
        <w:rPr>
          <w:rFonts w:ascii="Calibri" w:hAnsi="Calibri" w:cs="Calibri"/>
        </w:rPr>
        <w:t xml:space="preserve">’ eligibility </w:t>
      </w:r>
      <w:r w:rsidR="003F4A2C" w:rsidRPr="003E485D">
        <w:rPr>
          <w:rFonts w:ascii="Calibri" w:hAnsi="Calibri" w:cs="Calibri"/>
        </w:rPr>
        <w:t xml:space="preserve">for support (e.g. Accommodation </w:t>
      </w:r>
      <w:r w:rsidR="003F4A2C">
        <w:rPr>
          <w:rFonts w:ascii="Calibri" w:hAnsi="Calibri" w:cs="Calibri"/>
        </w:rPr>
        <w:t>S</w:t>
      </w:r>
      <w:r w:rsidR="003F4A2C" w:rsidRPr="003E485D">
        <w:rPr>
          <w:rFonts w:ascii="Calibri" w:hAnsi="Calibri" w:cs="Calibri"/>
        </w:rPr>
        <w:t xml:space="preserve">upplement, Training Incentive Allowance, Disability Allowance) </w:t>
      </w:r>
      <w:r w:rsidR="003F4A2C">
        <w:rPr>
          <w:rFonts w:ascii="Calibri" w:hAnsi="Calibri" w:cs="Calibri"/>
        </w:rPr>
        <w:t xml:space="preserve">and </w:t>
      </w:r>
      <w:r w:rsidR="003F4A2C" w:rsidRPr="003E485D">
        <w:rPr>
          <w:rFonts w:ascii="Calibri" w:hAnsi="Calibri" w:cs="Calibri"/>
        </w:rPr>
        <w:t>Legal Aid etc.</w:t>
      </w:r>
      <w:r w:rsidR="003F4A2C">
        <w:rPr>
          <w:rStyle w:val="FootnoteReference"/>
          <w:rFonts w:ascii="Calibri" w:hAnsi="Calibri" w:cs="Calibri"/>
        </w:rPr>
        <w:footnoteReference w:id="42"/>
      </w:r>
      <w:r w:rsidR="003F4A2C" w:rsidRPr="003E485D">
        <w:rPr>
          <w:rFonts w:ascii="Calibri" w:hAnsi="Calibri" w:cs="Calibri"/>
        </w:rPr>
        <w:t xml:space="preserve"> </w:t>
      </w:r>
      <w:r w:rsidR="003F4A2C">
        <w:rPr>
          <w:rFonts w:ascii="Calibri" w:hAnsi="Calibri" w:cs="Calibri"/>
        </w:rPr>
        <w:t>– or can even lead them to be investigated for benefit fraud.</w:t>
      </w:r>
      <w:r w:rsidR="003F4A2C">
        <w:rPr>
          <w:rStyle w:val="FootnoteReference"/>
          <w:rFonts w:ascii="Calibri" w:hAnsi="Calibri" w:cs="Calibri"/>
        </w:rPr>
        <w:footnoteReference w:id="43"/>
      </w:r>
    </w:p>
    <w:p w14:paraId="7A80B3A3" w14:textId="03C47632" w:rsidR="002106CA" w:rsidRPr="00603AC6" w:rsidRDefault="003F4A2C" w:rsidP="002106CA">
      <w:pPr>
        <w:rPr>
          <w:rStyle w:val="cf01"/>
          <w:rFonts w:cstheme="majorHAnsi"/>
          <w:b/>
          <w:bCs/>
          <w:sz w:val="24"/>
        </w:rPr>
      </w:pPr>
      <w:r>
        <w:t xml:space="preserve">For those </w:t>
      </w:r>
      <w:r w:rsidR="00BC5DF8">
        <w:t>VS</w:t>
      </w:r>
      <w:r>
        <w:t xml:space="preserve"> </w:t>
      </w:r>
      <w:r w:rsidR="00603056">
        <w:t>seeking</w:t>
      </w:r>
      <w:r>
        <w:t xml:space="preserve"> to be in paid work, state-mandated employment assistance is not designed to address the barriers they face, which are often psychological </w:t>
      </w:r>
      <w:r w:rsidR="00603056">
        <w:t>(</w:t>
      </w:r>
      <w:r w:rsidR="00603056" w:rsidRPr="003A30DA">
        <w:t>PTSD, anxiety and low self-confidence</w:t>
      </w:r>
      <w:r w:rsidR="00603056">
        <w:t xml:space="preserve">) </w:t>
      </w:r>
      <w:r>
        <w:t xml:space="preserve">rather than capability based. </w:t>
      </w:r>
      <w:r w:rsidR="00BC5DF8">
        <w:t>VS</w:t>
      </w:r>
      <w:r w:rsidRPr="003A30DA">
        <w:t xml:space="preserve"> tell us that jobseeker services are a very poor fit for </w:t>
      </w:r>
      <w:r w:rsidR="00603056">
        <w:t>supporting</w:t>
      </w:r>
      <w:r w:rsidRPr="003A30DA">
        <w:t xml:space="preserve"> them to overcome the specific employment barriers they face</w:t>
      </w:r>
      <w:r w:rsidR="00E91418">
        <w:t xml:space="preserve">. </w:t>
      </w:r>
    </w:p>
    <w:p w14:paraId="7BDF32C9" w14:textId="201ACA69" w:rsidR="003F4A2C" w:rsidRPr="00AE67BA" w:rsidRDefault="003F2F9B" w:rsidP="00AE67BA">
      <w:r w:rsidRPr="001A57E3">
        <w:rPr>
          <w:b/>
          <w:shd w:val="clear" w:color="auto" w:fill="F6CDC2" w:themeFill="accent3"/>
        </w:rPr>
        <w:t xml:space="preserve">Very recently the NZ State Party introduced </w:t>
      </w:r>
      <w:r w:rsidR="00CA706B" w:rsidRPr="001A57E3">
        <w:rPr>
          <w:b/>
          <w:shd w:val="clear" w:color="auto" w:fill="F6CDC2" w:themeFill="accent3"/>
        </w:rPr>
        <w:t xml:space="preserve">a new system of </w:t>
      </w:r>
      <w:r w:rsidRPr="001A57E3">
        <w:rPr>
          <w:b/>
          <w:shd w:val="clear" w:color="auto" w:fill="F6CDC2" w:themeFill="accent3"/>
        </w:rPr>
        <w:t>benefit sanctions</w:t>
      </w:r>
      <w:r w:rsidR="00DA4823" w:rsidRPr="001A57E3">
        <w:rPr>
          <w:rStyle w:val="FootnoteReference"/>
          <w:b/>
          <w:shd w:val="clear" w:color="auto" w:fill="F6CDC2" w:themeFill="accent3"/>
        </w:rPr>
        <w:footnoteReference w:id="44"/>
      </w:r>
      <w:r w:rsidRPr="001A57E3">
        <w:rPr>
          <w:b/>
          <w:shd w:val="clear" w:color="auto" w:fill="F6CDC2" w:themeFill="accent3"/>
        </w:rPr>
        <w:t xml:space="preserve"> which we believe will disproportionately </w:t>
      </w:r>
      <w:r w:rsidR="00DA4823" w:rsidRPr="001A57E3">
        <w:rPr>
          <w:b/>
          <w:shd w:val="clear" w:color="auto" w:fill="F6CDC2" w:themeFill="accent3"/>
        </w:rPr>
        <w:t xml:space="preserve">negatively </w:t>
      </w:r>
      <w:r w:rsidRPr="001A57E3">
        <w:rPr>
          <w:b/>
          <w:shd w:val="clear" w:color="auto" w:fill="F6CDC2" w:themeFill="accent3"/>
        </w:rPr>
        <w:t xml:space="preserve">impact sole </w:t>
      </w:r>
      <w:r w:rsidR="00CA706B" w:rsidRPr="001A57E3">
        <w:rPr>
          <w:b/>
          <w:shd w:val="clear" w:color="auto" w:fill="F6CDC2" w:themeFill="accent3"/>
        </w:rPr>
        <w:t xml:space="preserve">mothers </w:t>
      </w:r>
      <w:r w:rsidRPr="001A57E3">
        <w:rPr>
          <w:b/>
          <w:shd w:val="clear" w:color="auto" w:fill="F6CDC2" w:themeFill="accent3"/>
        </w:rPr>
        <w:t xml:space="preserve">who are often forced to rely on state support as a result of their experience of </w:t>
      </w:r>
      <w:r w:rsidR="008303B8" w:rsidRPr="001A57E3">
        <w:rPr>
          <w:b/>
          <w:shd w:val="clear" w:color="auto" w:fill="F6CDC2" w:themeFill="accent3"/>
        </w:rPr>
        <w:t>FV/SV</w:t>
      </w:r>
      <w:r w:rsidRPr="001A57E3">
        <w:rPr>
          <w:b/>
          <w:shd w:val="clear" w:color="auto" w:fill="F6CDC2" w:themeFill="accent3"/>
        </w:rPr>
        <w:t>.</w:t>
      </w:r>
      <w:r w:rsidRPr="000D7A7A">
        <w:t xml:space="preserve"> </w:t>
      </w:r>
      <w:r w:rsidR="00DA4823" w:rsidRPr="000D7A7A">
        <w:rPr>
          <w:rFonts w:cs="Arial"/>
        </w:rPr>
        <w:t xml:space="preserve">The </w:t>
      </w:r>
      <w:hyperlink r:id="rId19" w:tgtFrame="_blank" w:history="1">
        <w:r w:rsidR="00DA4823" w:rsidRPr="000D7A7A">
          <w:rPr>
            <w:rStyle w:val="Hyperlink"/>
            <w:rFonts w:cs="Arial"/>
            <w:color w:val="auto"/>
          </w:rPr>
          <w:t>Mako Mama</w:t>
        </w:r>
      </w:hyperlink>
      <w:r w:rsidR="00DA4823" w:rsidRPr="000D7A7A">
        <w:rPr>
          <w:rFonts w:cs="Arial"/>
        </w:rPr>
        <w:t xml:space="preserve"> research found that a key factor facing single parents and impacting their ability to rebuild their lives is their experience of intimate partner violence (IPV), with two-thirds (67%) of the single </w:t>
      </w:r>
      <w:proofErr w:type="spellStart"/>
      <w:r w:rsidR="00DA4823" w:rsidRPr="000D7A7A">
        <w:rPr>
          <w:rFonts w:cs="Arial"/>
        </w:rPr>
        <w:t>māmā</w:t>
      </w:r>
      <w:proofErr w:type="spellEnd"/>
      <w:r w:rsidR="00DA4823" w:rsidRPr="000D7A7A">
        <w:rPr>
          <w:rFonts w:cs="Arial"/>
        </w:rPr>
        <w:t xml:space="preserve"> in their sample having experienced IPV. </w:t>
      </w:r>
      <w:r w:rsidR="003F4A2C" w:rsidRPr="00FB2626">
        <w:t xml:space="preserve">In addition, rates of IPV experience for disabled </w:t>
      </w:r>
      <w:r w:rsidR="003F4A2C">
        <w:t xml:space="preserve">sole </w:t>
      </w:r>
      <w:r w:rsidR="003F4A2C" w:rsidRPr="00FB2626">
        <w:t>mothers – mostly those who have a diagnosed psychological condition (such as clinical depression or PTSD) – are around a third higher than for non-disabled single mothers – and the IPV will have been a contributing factor to the disability for some.</w:t>
      </w:r>
      <w:r w:rsidR="003F4A2C">
        <w:rPr>
          <w:rStyle w:val="FootnoteReference"/>
          <w:rFonts w:ascii="Calibri" w:hAnsi="Calibri" w:cs="Calibri"/>
        </w:rPr>
        <w:footnoteReference w:id="45"/>
      </w:r>
      <w:r w:rsidR="003F4A2C">
        <w:t xml:space="preserve"> </w:t>
      </w:r>
      <w:r w:rsidR="008303B8">
        <w:t>FV/SV</w:t>
      </w:r>
      <w:r w:rsidR="003F4A2C">
        <w:t xml:space="preserve"> affects the earning ability of some </w:t>
      </w:r>
      <w:r w:rsidR="00BC5DF8">
        <w:t>VS</w:t>
      </w:r>
      <w:r w:rsidR="003F4A2C">
        <w:t>.</w:t>
      </w:r>
    </w:p>
    <w:p w14:paraId="32A63C6C" w14:textId="2F822F35" w:rsidR="003F4A2C" w:rsidRPr="009167B7" w:rsidRDefault="003F4A2C" w:rsidP="008303B8">
      <w:r w:rsidRPr="009167B7">
        <w:t>In Victoria Australia, the Flexible Support Packages (FSP) have been in place since 2016, and the first-year evaluation found the packages to “</w:t>
      </w:r>
      <w:r w:rsidRPr="009167B7">
        <w:rPr>
          <w:color w:val="1A1A1A"/>
          <w:spacing w:val="5"/>
          <w:shd w:val="clear" w:color="auto" w:fill="FFFFFF"/>
        </w:rPr>
        <w:t xml:space="preserve">have had a transformational impact in supporting thousands of victim survivors to achieve safety and recover from their experience of family </w:t>
      </w:r>
      <w:r w:rsidRPr="009167B7">
        <w:rPr>
          <w:color w:val="1A1A1A"/>
          <w:spacing w:val="5"/>
          <w:shd w:val="clear" w:color="auto" w:fill="FFFFFF"/>
        </w:rPr>
        <w:lastRenderedPageBreak/>
        <w:t>violence”.</w:t>
      </w:r>
      <w:r w:rsidRPr="009167B7">
        <w:rPr>
          <w:rStyle w:val="FootnoteReference"/>
          <w:rFonts w:ascii="Calibri" w:hAnsi="Calibri" w:cs="Calibri"/>
          <w:color w:val="1A1A1A"/>
          <w:spacing w:val="5"/>
          <w:shd w:val="clear" w:color="auto" w:fill="FFFFFF"/>
        </w:rPr>
        <w:footnoteReference w:id="46"/>
      </w:r>
      <w:r w:rsidRPr="009167B7">
        <w:rPr>
          <w:color w:val="1A1A1A"/>
          <w:spacing w:val="5"/>
          <w:shd w:val="clear" w:color="auto" w:fill="FFFFFF"/>
        </w:rPr>
        <w:t xml:space="preserve"> </w:t>
      </w:r>
      <w:r w:rsidR="00BC5DF8">
        <w:t>VS</w:t>
      </w:r>
      <w:r w:rsidRPr="009167B7">
        <w:t xml:space="preserve"> are provided with a lump-sum</w:t>
      </w:r>
      <w:r w:rsidR="0084452C">
        <w:t xml:space="preserve">, </w:t>
      </w:r>
      <w:r w:rsidR="00FC6B20">
        <w:t>non-income</w:t>
      </w:r>
      <w:r w:rsidR="0084452C">
        <w:t>-tested,</w:t>
      </w:r>
      <w:r w:rsidRPr="009167B7">
        <w:t xml:space="preserve"> non-refundable </w:t>
      </w:r>
      <w:r w:rsidR="009167B7" w:rsidRPr="009167B7">
        <w:t xml:space="preserve">flexible </w:t>
      </w:r>
      <w:r w:rsidRPr="009167B7">
        <w:t>grant of up to AUS$10,000 each which can be used for anything they need to help them get safe an</w:t>
      </w:r>
      <w:r w:rsidRPr="009167B7">
        <w:rPr>
          <w:rFonts w:ascii="Calibri" w:hAnsi="Calibri" w:cs="Calibri"/>
        </w:rPr>
        <w:t>d recover</w:t>
      </w:r>
      <w:r w:rsidR="009167B7" w:rsidRPr="009167B7">
        <w:rPr>
          <w:rFonts w:ascii="Calibri" w:hAnsi="Calibri" w:cs="Calibri"/>
        </w:rPr>
        <w:t>.</w:t>
      </w:r>
      <w:r w:rsidRPr="009167B7">
        <w:rPr>
          <w:rStyle w:val="FootnoteReference"/>
        </w:rPr>
        <w:footnoteReference w:id="47"/>
      </w:r>
      <w:r w:rsidRPr="009167B7">
        <w:t xml:space="preserve">  </w:t>
      </w:r>
      <w:r w:rsidR="00E91418" w:rsidRPr="009167B7">
        <w:t xml:space="preserve">A fund like this </w:t>
      </w:r>
      <w:r w:rsidR="00E91418">
        <w:t xml:space="preserve">in NZ </w:t>
      </w:r>
      <w:r w:rsidR="00E91418" w:rsidRPr="009167B7">
        <w:t>would make an immediate difference to women and children's safety.</w:t>
      </w:r>
    </w:p>
    <w:p w14:paraId="48C10FDC" w14:textId="269EA998" w:rsidR="00D30100" w:rsidRPr="001A57E3" w:rsidRDefault="00B21C7A" w:rsidP="001A57E3">
      <w:pPr>
        <w:rPr>
          <w:b/>
          <w:lang w:eastAsia="en-NZ"/>
        </w:rPr>
      </w:pPr>
      <w:r w:rsidRPr="001A57E3">
        <w:rPr>
          <w:shd w:val="clear" w:color="auto" w:fill="FFFFFF" w:themeFill="background1"/>
          <w:lang w:eastAsia="en-NZ"/>
        </w:rPr>
        <w:t>Furthermore, w</w:t>
      </w:r>
      <w:r w:rsidR="003F4A2C" w:rsidRPr="001A57E3">
        <w:rPr>
          <w:shd w:val="clear" w:color="auto" w:fill="FFFFFF" w:themeFill="background1"/>
          <w:lang w:eastAsia="en-NZ"/>
        </w:rPr>
        <w:t xml:space="preserve">hile funded counselling is available for those harmed by many forms of </w:t>
      </w:r>
      <w:r w:rsidR="003D7D26" w:rsidRPr="001A57E3">
        <w:rPr>
          <w:shd w:val="clear" w:color="auto" w:fill="FFFFFF" w:themeFill="background1"/>
          <w:lang w:eastAsia="en-NZ"/>
        </w:rPr>
        <w:t>SV</w:t>
      </w:r>
      <w:r w:rsidR="003F4A2C" w:rsidRPr="001A57E3">
        <w:rPr>
          <w:shd w:val="clear" w:color="auto" w:fill="FFFFFF" w:themeFill="background1"/>
          <w:lang w:eastAsia="en-NZ"/>
        </w:rPr>
        <w:t xml:space="preserve"> if it was perpetrated in </w:t>
      </w:r>
      <w:r w:rsidR="009167B7" w:rsidRPr="001A57E3">
        <w:rPr>
          <w:shd w:val="clear" w:color="auto" w:fill="FFFFFF" w:themeFill="background1"/>
          <w:lang w:eastAsia="en-NZ"/>
        </w:rPr>
        <w:t>NZ</w:t>
      </w:r>
      <w:r w:rsidR="003F4A2C" w:rsidRPr="001A57E3">
        <w:rPr>
          <w:shd w:val="clear" w:color="auto" w:fill="FFFFFF" w:themeFill="background1"/>
          <w:lang w:eastAsia="en-NZ"/>
        </w:rPr>
        <w:t>,</w:t>
      </w:r>
      <w:r w:rsidR="003F4A2C" w:rsidRPr="00D30100">
        <w:rPr>
          <w:lang w:eastAsia="en-NZ"/>
        </w:rPr>
        <w:t xml:space="preserve"> </w:t>
      </w:r>
      <w:r w:rsidR="003F4A2C" w:rsidRPr="001A57E3">
        <w:rPr>
          <w:b/>
          <w:shd w:val="clear" w:color="auto" w:fill="F6CDC2" w:themeFill="accent3"/>
          <w:lang w:eastAsia="en-NZ"/>
        </w:rPr>
        <w:t>funded counselling is not generally available for those who have been</w:t>
      </w:r>
      <w:r w:rsidR="008D00C9" w:rsidRPr="001A57E3">
        <w:rPr>
          <w:b/>
          <w:shd w:val="clear" w:color="auto" w:fill="F6CDC2" w:themeFill="accent3"/>
          <w:lang w:eastAsia="en-NZ"/>
        </w:rPr>
        <w:t xml:space="preserve"> hurt by</w:t>
      </w:r>
      <w:r w:rsidR="003F4A2C" w:rsidRPr="001A57E3">
        <w:rPr>
          <w:b/>
          <w:shd w:val="clear" w:color="auto" w:fill="F6CDC2" w:themeFill="accent3"/>
          <w:lang w:eastAsia="en-NZ"/>
        </w:rPr>
        <w:t xml:space="preserve"> online voyeurism, grooming, sexualised harassment, or digital harm, such as due to sexual or sexualised photos being shared on the internet.</w:t>
      </w:r>
    </w:p>
    <w:p w14:paraId="4C4E14F8" w14:textId="36A14423" w:rsidR="00F52750" w:rsidRPr="003A0894" w:rsidRDefault="00D30100" w:rsidP="00954E74">
      <w:pPr>
        <w:pStyle w:val="header1"/>
        <w:rPr>
          <w:color w:val="40395F" w:themeColor="accent6"/>
        </w:rPr>
      </w:pPr>
      <w:r>
        <w:br w:type="page"/>
      </w:r>
      <w:bookmarkStart w:id="9" w:name="_Hlk175063263"/>
      <w:r w:rsidR="00F52750" w:rsidRPr="003A0894">
        <w:rPr>
          <w:color w:val="40395F" w:themeColor="accent6"/>
        </w:rPr>
        <w:lastRenderedPageBreak/>
        <w:t>Appendix 1</w:t>
      </w:r>
      <w:r w:rsidR="00733C00" w:rsidRPr="003A0894">
        <w:rPr>
          <w:color w:val="40395F" w:themeColor="accent6"/>
        </w:rPr>
        <w:t xml:space="preserve"> </w:t>
      </w:r>
    </w:p>
    <w:p w14:paraId="6A8752CC" w14:textId="6371FD7E" w:rsidR="00F52750" w:rsidRPr="00F52750" w:rsidRDefault="00F52750" w:rsidP="00F52750">
      <w:pPr>
        <w:rPr>
          <w:iCs/>
          <w:lang w:val="en-US"/>
        </w:rPr>
      </w:pPr>
      <w:bookmarkStart w:id="10" w:name="OLE_LINK12"/>
      <w:bookmarkStart w:id="11" w:name="OLE_LINK13"/>
      <w:r>
        <w:rPr>
          <w:iCs/>
          <w:lang w:val="en-US"/>
        </w:rPr>
        <w:t xml:space="preserve">Excerpts from a sample of judicial decisions from </w:t>
      </w:r>
      <w:r w:rsidR="00FF68E4">
        <w:rPr>
          <w:iCs/>
          <w:lang w:val="en-US"/>
        </w:rPr>
        <w:t>NZFC</w:t>
      </w:r>
      <w:r>
        <w:rPr>
          <w:iCs/>
          <w:lang w:val="en-US"/>
        </w:rPr>
        <w:t xml:space="preserve"> illustrating the use of </w:t>
      </w:r>
      <w:r w:rsidR="00FF68E4">
        <w:rPr>
          <w:iCs/>
          <w:lang w:val="en-US"/>
        </w:rPr>
        <w:t>PA</w:t>
      </w:r>
      <w:r>
        <w:rPr>
          <w:iCs/>
          <w:lang w:val="en-US"/>
        </w:rPr>
        <w:t xml:space="preserve"> concepts in family law cases (20</w:t>
      </w:r>
      <w:r w:rsidR="00A87D8A">
        <w:rPr>
          <w:iCs/>
          <w:lang w:val="en-US"/>
        </w:rPr>
        <w:t>20</w:t>
      </w:r>
      <w:r>
        <w:rPr>
          <w:iCs/>
          <w:lang w:val="en-US"/>
        </w:rPr>
        <w:t xml:space="preserve"> -2023)</w:t>
      </w:r>
    </w:p>
    <w:p w14:paraId="648051BF" w14:textId="77777777" w:rsidR="00F52750" w:rsidRPr="005F1E34" w:rsidRDefault="00F52750" w:rsidP="00F52750">
      <w:pPr>
        <w:rPr>
          <w:b/>
          <w:lang w:val="en-US"/>
        </w:rPr>
      </w:pPr>
      <w:r w:rsidRPr="005F1E34">
        <w:rPr>
          <w:b/>
          <w:i/>
          <w:iCs/>
          <w:lang w:val="en-US"/>
        </w:rPr>
        <w:t>Re: Jacobs</w:t>
      </w:r>
      <w:r w:rsidRPr="005F1E34">
        <w:rPr>
          <w:b/>
        </w:rPr>
        <w:t xml:space="preserve"> </w:t>
      </w:r>
      <w:r w:rsidRPr="005F1E34">
        <w:rPr>
          <w:b/>
          <w:lang w:val="en-US"/>
        </w:rPr>
        <w:t>[2023] NZFC 8318</w:t>
      </w:r>
    </w:p>
    <w:p w14:paraId="29CCECF9" w14:textId="77777777" w:rsidR="00F52750" w:rsidRDefault="00F52750" w:rsidP="00F52750">
      <w:bookmarkStart w:id="12" w:name="OLE_LINK14"/>
      <w:bookmarkStart w:id="13" w:name="OLE_LINK15"/>
      <w:bookmarkStart w:id="14" w:name="OLE_LINK16"/>
      <w:bookmarkEnd w:id="10"/>
      <w:bookmarkEnd w:id="11"/>
      <w:r>
        <w:rPr>
          <w:lang w:val="en-US"/>
        </w:rPr>
        <w:t>“</w:t>
      </w:r>
      <w:r>
        <w:t xml:space="preserve">The concept, now referred to in the Family Court jurisdiction as ‘refuse/resist’ rather than parental </w:t>
      </w:r>
      <w:r>
        <w:rPr>
          <w:rStyle w:val="cosearchterm"/>
        </w:rPr>
        <w:t>alienation</w:t>
      </w:r>
      <w:r>
        <w:t xml:space="preserve"> is widely accepted as being a complex issue.”</w:t>
      </w:r>
      <w:bookmarkEnd w:id="12"/>
      <w:bookmarkEnd w:id="13"/>
      <w:bookmarkEnd w:id="14"/>
    </w:p>
    <w:p w14:paraId="35ABC51B" w14:textId="77777777" w:rsidR="00F52750" w:rsidRPr="005F1E34" w:rsidRDefault="00F52750" w:rsidP="00F52750">
      <w:pPr>
        <w:rPr>
          <w:b/>
        </w:rPr>
      </w:pPr>
      <w:r w:rsidRPr="005F1E34">
        <w:rPr>
          <w:b/>
          <w:i/>
          <w:iCs/>
        </w:rPr>
        <w:t>Shirley v Richmond</w:t>
      </w:r>
      <w:r w:rsidRPr="005F1E34">
        <w:rPr>
          <w:b/>
        </w:rPr>
        <w:t xml:space="preserve"> [2023] NZHC 913</w:t>
      </w:r>
    </w:p>
    <w:p w14:paraId="19B55C93" w14:textId="77777777" w:rsidR="00F52750" w:rsidRDefault="00F52750" w:rsidP="00F52750">
      <w:r>
        <w:t>“[A] ‘</w:t>
      </w:r>
      <w:r>
        <w:rPr>
          <w:rStyle w:val="cosearchterm"/>
        </w:rPr>
        <w:t>resist</w:t>
      </w:r>
      <w:r>
        <w:t>/</w:t>
      </w:r>
      <w:r>
        <w:rPr>
          <w:rStyle w:val="cosearchterm"/>
        </w:rPr>
        <w:t>refuse</w:t>
      </w:r>
      <w:r>
        <w:t>’ relationship has developed in that Matthew is strongly opposed to a return to unsupervised contact with his father.”</w:t>
      </w:r>
    </w:p>
    <w:p w14:paraId="5DAD3CFB" w14:textId="77777777" w:rsidR="00F52750" w:rsidRPr="005F1E34" w:rsidRDefault="00F52750" w:rsidP="00F52750">
      <w:pPr>
        <w:rPr>
          <w:b/>
        </w:rPr>
      </w:pPr>
      <w:r w:rsidRPr="005F1E34">
        <w:rPr>
          <w:b/>
          <w:i/>
          <w:iCs/>
        </w:rPr>
        <w:t>Simpson v Ministry of Justice</w:t>
      </w:r>
      <w:r w:rsidRPr="005F1E34">
        <w:rPr>
          <w:b/>
        </w:rPr>
        <w:t xml:space="preserve"> [2023] NZHC 28</w:t>
      </w:r>
    </w:p>
    <w:p w14:paraId="5A095142" w14:textId="77777777" w:rsidR="00F52750" w:rsidRDefault="00F52750" w:rsidP="00F52750">
      <w:r>
        <w:t xml:space="preserve">“I accept that the phenomenon of </w:t>
      </w:r>
      <w:r>
        <w:rPr>
          <w:rStyle w:val="cosearchterm"/>
        </w:rPr>
        <w:t>alienation</w:t>
      </w:r>
      <w:r>
        <w:t xml:space="preserve"> is well-recognised.”</w:t>
      </w:r>
    </w:p>
    <w:p w14:paraId="327F3648" w14:textId="77777777" w:rsidR="00F52750" w:rsidRPr="005F1E34" w:rsidRDefault="00F52750" w:rsidP="00F52750">
      <w:pPr>
        <w:rPr>
          <w:b/>
        </w:rPr>
      </w:pPr>
      <w:proofErr w:type="spellStart"/>
      <w:r w:rsidRPr="005F1E34">
        <w:rPr>
          <w:b/>
          <w:i/>
          <w:iCs/>
        </w:rPr>
        <w:t>Fayen</w:t>
      </w:r>
      <w:proofErr w:type="spellEnd"/>
      <w:r w:rsidRPr="005F1E34">
        <w:rPr>
          <w:b/>
          <w:i/>
          <w:iCs/>
        </w:rPr>
        <w:t xml:space="preserve"> v Lees</w:t>
      </w:r>
      <w:r w:rsidRPr="005F1E34">
        <w:rPr>
          <w:b/>
        </w:rPr>
        <w:t xml:space="preserve"> [2022] NZFC 8870</w:t>
      </w:r>
    </w:p>
    <w:p w14:paraId="555231CF" w14:textId="77777777" w:rsidR="00F52750" w:rsidRDefault="00F52750" w:rsidP="00F52750">
      <w:r>
        <w:t xml:space="preserve">“The concept of </w:t>
      </w:r>
      <w:r>
        <w:rPr>
          <w:rStyle w:val="cosearchterm"/>
        </w:rPr>
        <w:t>alienation</w:t>
      </w:r>
      <w:r>
        <w:t xml:space="preserve"> is where one parent ‘deliberately and either overtly or covertly, sabotages a child's relationship from a previously favoured parent’.”</w:t>
      </w:r>
    </w:p>
    <w:p w14:paraId="4D4DC13E" w14:textId="77777777" w:rsidR="00F52750" w:rsidRPr="005F1E34" w:rsidRDefault="00F52750" w:rsidP="00F52750">
      <w:pPr>
        <w:rPr>
          <w:b/>
        </w:rPr>
      </w:pPr>
      <w:r w:rsidRPr="005F1E34">
        <w:rPr>
          <w:b/>
          <w:i/>
          <w:iCs/>
        </w:rPr>
        <w:t>Blair v Blair</w:t>
      </w:r>
      <w:r w:rsidRPr="005F1E34">
        <w:rPr>
          <w:b/>
        </w:rPr>
        <w:t xml:space="preserve"> [2022] NZFC 4030]</w:t>
      </w:r>
    </w:p>
    <w:p w14:paraId="3AFB48B5" w14:textId="77777777" w:rsidR="00F52750" w:rsidRDefault="00F52750" w:rsidP="00F52750">
      <w:r>
        <w:t xml:space="preserve">“An assessment of the nature of the relationship between children and the rejected parent pre-separation appears also to be relevant in assessing whether there is evidence of parental </w:t>
      </w:r>
      <w:r>
        <w:rPr>
          <w:rStyle w:val="cosearchterm"/>
        </w:rPr>
        <w:t>alienation</w:t>
      </w:r>
      <w:r>
        <w:t>, resist/refuse or justified estrangement.”</w:t>
      </w:r>
    </w:p>
    <w:p w14:paraId="552111C8" w14:textId="77777777" w:rsidR="00F52750" w:rsidRPr="005F1E34" w:rsidRDefault="00F52750" w:rsidP="00F52750">
      <w:pPr>
        <w:rPr>
          <w:b/>
        </w:rPr>
      </w:pPr>
      <w:r w:rsidRPr="005F1E34">
        <w:rPr>
          <w:b/>
          <w:i/>
          <w:iCs/>
        </w:rPr>
        <w:t xml:space="preserve">Simpson v Family Court </w:t>
      </w:r>
      <w:r w:rsidRPr="005F1E34">
        <w:rPr>
          <w:b/>
        </w:rPr>
        <w:t>[2021] NZHC 2601</w:t>
      </w:r>
    </w:p>
    <w:p w14:paraId="70B4112D" w14:textId="77777777" w:rsidR="00F52750" w:rsidRDefault="00F52750" w:rsidP="00F52750">
      <w:r>
        <w:t xml:space="preserve">“The sad fact is that Anna has grown to her present age </w:t>
      </w:r>
      <w:r>
        <w:rPr>
          <w:rStyle w:val="cosearchterm"/>
        </w:rPr>
        <w:t>alienated</w:t>
      </w:r>
      <w:r>
        <w:t xml:space="preserve"> from her father.”</w:t>
      </w:r>
    </w:p>
    <w:p w14:paraId="4703DE4A" w14:textId="77777777" w:rsidR="00F52750" w:rsidRPr="005F1E34" w:rsidRDefault="00F52750" w:rsidP="00F52750">
      <w:pPr>
        <w:rPr>
          <w:b/>
        </w:rPr>
      </w:pPr>
      <w:r w:rsidRPr="005F1E34">
        <w:rPr>
          <w:b/>
          <w:i/>
          <w:iCs/>
        </w:rPr>
        <w:t>GLE v MMW</w:t>
      </w:r>
      <w:r w:rsidRPr="005F1E34">
        <w:rPr>
          <w:b/>
        </w:rPr>
        <w:t xml:space="preserve"> [2021] NZHC 1862</w:t>
      </w:r>
    </w:p>
    <w:p w14:paraId="7A7388EF" w14:textId="77777777" w:rsidR="00F52750" w:rsidRDefault="00F52750" w:rsidP="00F52750">
      <w:r>
        <w:t xml:space="preserve">“Ms Lightfoot said O has become </w:t>
      </w:r>
      <w:r>
        <w:rPr>
          <w:rStyle w:val="cosearchterm"/>
        </w:rPr>
        <w:t>alienated</w:t>
      </w:r>
      <w:r>
        <w:t xml:space="preserve"> from his father and his refusal to have contact with his father has been supported and enabled by his mother.”</w:t>
      </w:r>
    </w:p>
    <w:p w14:paraId="3D5920AD" w14:textId="77777777" w:rsidR="00F52750" w:rsidRPr="005F1E34" w:rsidRDefault="00F52750" w:rsidP="00F52750">
      <w:pPr>
        <w:rPr>
          <w:b/>
        </w:rPr>
      </w:pPr>
      <w:r w:rsidRPr="005F1E34">
        <w:rPr>
          <w:b/>
          <w:i/>
          <w:iCs/>
        </w:rPr>
        <w:t xml:space="preserve">Smith v </w:t>
      </w:r>
      <w:proofErr w:type="spellStart"/>
      <w:r w:rsidRPr="005F1E34">
        <w:rPr>
          <w:b/>
          <w:i/>
          <w:iCs/>
        </w:rPr>
        <w:t>Shackman</w:t>
      </w:r>
      <w:proofErr w:type="spellEnd"/>
      <w:r w:rsidRPr="005F1E34">
        <w:rPr>
          <w:b/>
        </w:rPr>
        <w:t xml:space="preserve"> [2021] NZFC 3002</w:t>
      </w:r>
    </w:p>
    <w:p w14:paraId="1F475D66" w14:textId="77777777" w:rsidR="00F52750" w:rsidRDefault="00F52750" w:rsidP="00F52750">
      <w:r>
        <w:t xml:space="preserve">“[A] lot of the features of </w:t>
      </w:r>
      <w:r>
        <w:rPr>
          <w:rStyle w:val="cosearchterm"/>
        </w:rPr>
        <w:t>alienation</w:t>
      </w:r>
      <w:r>
        <w:t xml:space="preserve"> identified by [counsel for the respondent] have been proven in this case and there is </w:t>
      </w:r>
      <w:r>
        <w:rPr>
          <w:rStyle w:val="cosearchterm"/>
        </w:rPr>
        <w:t>alienating</w:t>
      </w:r>
      <w:r>
        <w:t xml:space="preserve"> type of behaviour.”</w:t>
      </w:r>
    </w:p>
    <w:p w14:paraId="0FD6CFA6" w14:textId="77777777" w:rsidR="00F52750" w:rsidRPr="005F1E34" w:rsidRDefault="00F52750" w:rsidP="00F52750">
      <w:pPr>
        <w:rPr>
          <w:b/>
        </w:rPr>
      </w:pPr>
      <w:r w:rsidRPr="005F1E34">
        <w:rPr>
          <w:b/>
          <w:i/>
          <w:iCs/>
        </w:rPr>
        <w:t>Marlowe v Gardiner</w:t>
      </w:r>
      <w:r w:rsidRPr="005F1E34">
        <w:rPr>
          <w:b/>
        </w:rPr>
        <w:t xml:space="preserve"> [2021] NZFC 5151 </w:t>
      </w:r>
    </w:p>
    <w:p w14:paraId="3EE8D29F" w14:textId="77777777" w:rsidR="00F52750" w:rsidRDefault="00F52750" w:rsidP="00F52750">
      <w:r>
        <w:t xml:space="preserve">Ms Lightfoot was clear in her evidence that [Owen] has become </w:t>
      </w:r>
      <w:r>
        <w:rPr>
          <w:rStyle w:val="cosearchterm"/>
        </w:rPr>
        <w:t>alienated</w:t>
      </w:r>
      <w:r>
        <w:t xml:space="preserve"> from Mr [Marlowe], and that his refusal to have contact with Mr [Marlowe] has been supported and enabled by Ms [Gardiner]”</w:t>
      </w:r>
    </w:p>
    <w:p w14:paraId="40C464C2" w14:textId="77777777" w:rsidR="005F1E34" w:rsidRDefault="005F1E34" w:rsidP="00F52750">
      <w:pPr>
        <w:rPr>
          <w:i/>
          <w:iCs/>
        </w:rPr>
      </w:pPr>
    </w:p>
    <w:p w14:paraId="04E4E3E6" w14:textId="757C6890" w:rsidR="00F52750" w:rsidRPr="005F1E34" w:rsidRDefault="00F52750" w:rsidP="00F52750">
      <w:pPr>
        <w:rPr>
          <w:b/>
        </w:rPr>
      </w:pPr>
      <w:r w:rsidRPr="005F1E34">
        <w:rPr>
          <w:b/>
          <w:i/>
          <w:iCs/>
        </w:rPr>
        <w:lastRenderedPageBreak/>
        <w:t>Schofield v Hargrave</w:t>
      </w:r>
      <w:r w:rsidRPr="005F1E34">
        <w:rPr>
          <w:b/>
        </w:rPr>
        <w:t xml:space="preserve"> [2021] NZFC 4244</w:t>
      </w:r>
    </w:p>
    <w:p w14:paraId="5C07A2A1" w14:textId="77777777" w:rsidR="00F52750" w:rsidRDefault="00F52750" w:rsidP="00F52750">
      <w:r>
        <w:t xml:space="preserve">“Ms Hargrave has actively continued to </w:t>
      </w:r>
      <w:r>
        <w:rPr>
          <w:rStyle w:val="cosearchterm"/>
        </w:rPr>
        <w:t>alienate</w:t>
      </w:r>
      <w:r>
        <w:t xml:space="preserve"> [Steph] from her father.”</w:t>
      </w:r>
    </w:p>
    <w:p w14:paraId="389DFC48" w14:textId="77777777" w:rsidR="00F52750" w:rsidRPr="005F1E34" w:rsidRDefault="00F52750" w:rsidP="00F52750">
      <w:pPr>
        <w:rPr>
          <w:b/>
        </w:rPr>
      </w:pPr>
      <w:r w:rsidRPr="005F1E34">
        <w:rPr>
          <w:b/>
          <w:i/>
          <w:iCs/>
        </w:rPr>
        <w:t>Armstrong v Mann</w:t>
      </w:r>
      <w:r w:rsidRPr="005F1E34">
        <w:rPr>
          <w:b/>
        </w:rPr>
        <w:t xml:space="preserve"> [2020] NZFC 1319]</w:t>
      </w:r>
    </w:p>
    <w:p w14:paraId="1FE42761" w14:textId="77777777" w:rsidR="00F52750" w:rsidRDefault="00F52750" w:rsidP="00F52750">
      <w:r>
        <w:t xml:space="preserve">“The report writer is very concerned that this appears to be a case of parental </w:t>
      </w:r>
      <w:r>
        <w:rPr>
          <w:rStyle w:val="cosearchterm"/>
        </w:rPr>
        <w:t>alienation</w:t>
      </w:r>
      <w:r>
        <w:t xml:space="preserve"> by Ms [Armstrong] towards Mr [Mann] and if this is not addressed then [Gilbert] will continue to believe the lies that he has already in his head about his Father, Mr [Mann].”</w:t>
      </w:r>
    </w:p>
    <w:p w14:paraId="0EC78A2F" w14:textId="77777777" w:rsidR="00F52750" w:rsidRPr="005F1E34" w:rsidRDefault="00F52750" w:rsidP="00F52750">
      <w:pPr>
        <w:rPr>
          <w:b/>
        </w:rPr>
      </w:pPr>
      <w:r w:rsidRPr="005F1E34">
        <w:rPr>
          <w:b/>
          <w:i/>
          <w:iCs/>
        </w:rPr>
        <w:t>KP v AZ</w:t>
      </w:r>
      <w:r w:rsidRPr="005F1E34">
        <w:rPr>
          <w:b/>
        </w:rPr>
        <w:t xml:space="preserve"> [2020] NZHC 1340]</w:t>
      </w:r>
    </w:p>
    <w:p w14:paraId="180CEDAA" w14:textId="77777777" w:rsidR="00F52750" w:rsidRDefault="00F52750" w:rsidP="00F52750">
      <w:r>
        <w:t xml:space="preserve">“The focus of this case was on </w:t>
      </w:r>
      <w:r>
        <w:rPr>
          <w:rStyle w:val="cosearchterm"/>
        </w:rPr>
        <w:t>alienation</w:t>
      </w:r>
      <w:r>
        <w:t xml:space="preserve"> and its effect on the welfare and best interests of M. The main basis for the Family Court's decision was that Ms K was responsible for </w:t>
      </w:r>
      <w:r>
        <w:rPr>
          <w:rStyle w:val="cosearchterm"/>
        </w:rPr>
        <w:t>alienating</w:t>
      </w:r>
      <w:r>
        <w:t xml:space="preserve"> M from his father to such an extent that M's future development and mental health called for a change in the parent carer and for no contact with Ms K until at least M had settled with his father.”</w:t>
      </w:r>
    </w:p>
    <w:p w14:paraId="43065C43" w14:textId="77777777" w:rsidR="00F52750" w:rsidRDefault="00F52750" w:rsidP="00F52750">
      <w:r>
        <w:t xml:space="preserve">“The Judge therefore concluded that M could not remain with his mother due to the severity of the </w:t>
      </w:r>
      <w:r>
        <w:rPr>
          <w:rStyle w:val="cosearchterm"/>
        </w:rPr>
        <w:t>alienation</w:t>
      </w:r>
      <w:r>
        <w:t xml:space="preserve"> in which was found to exist in the influence of the mother and the maternal family on M.”</w:t>
      </w:r>
    </w:p>
    <w:bookmarkEnd w:id="9"/>
    <w:p w14:paraId="6E97AD2E" w14:textId="77777777" w:rsidR="00F52750" w:rsidRDefault="00F52750" w:rsidP="00F52750">
      <w:r>
        <w:br w:type="page"/>
      </w:r>
    </w:p>
    <w:p w14:paraId="2B74E4ED" w14:textId="61EB710D" w:rsidR="00F52750" w:rsidRDefault="00F52750" w:rsidP="00C0374D">
      <w:pPr>
        <w:pStyle w:val="header2"/>
      </w:pPr>
      <w:bookmarkStart w:id="15" w:name="_Appendix_2"/>
      <w:bookmarkEnd w:id="15"/>
      <w:r>
        <w:lastRenderedPageBreak/>
        <w:t>Appendix 2</w:t>
      </w:r>
      <w:r w:rsidR="00733C00">
        <w:t xml:space="preserve"> </w:t>
      </w:r>
    </w:p>
    <w:p w14:paraId="205CF7C3" w14:textId="77777777" w:rsidR="000726F2" w:rsidRPr="000726F2" w:rsidRDefault="000726F2" w:rsidP="000726F2"/>
    <w:p w14:paraId="52A3B28A" w14:textId="3209AD68" w:rsidR="00C0374D" w:rsidRPr="00C0374D" w:rsidRDefault="00C0374D" w:rsidP="00C0374D">
      <w:pPr>
        <w:spacing w:before="100" w:beforeAutospacing="1" w:after="100" w:afterAutospacing="1" w:line="240" w:lineRule="auto"/>
        <w:jc w:val="center"/>
        <w:rPr>
          <w:rFonts w:ascii="Times New Roman" w:eastAsia="Times New Roman" w:hAnsi="Times New Roman" w:cs="Times New Roman"/>
          <w:sz w:val="24"/>
          <w:szCs w:val="24"/>
          <w:lang w:eastAsia="en-NZ"/>
        </w:rPr>
      </w:pPr>
      <w:r w:rsidRPr="00C0374D">
        <w:rPr>
          <w:rFonts w:ascii="Times New Roman" w:eastAsia="Times New Roman" w:hAnsi="Times New Roman" w:cs="Times New Roman"/>
          <w:noProof/>
          <w:sz w:val="24"/>
          <w:szCs w:val="24"/>
          <w:lang w:eastAsia="en-NZ"/>
        </w:rPr>
        <w:drawing>
          <wp:inline distT="0" distB="0" distL="0" distR="0" wp14:anchorId="4E314151" wp14:editId="190A0FB7">
            <wp:extent cx="2941955" cy="1264285"/>
            <wp:effectExtent l="0" t="0" r="0" b="0"/>
            <wp:docPr id="1" name="Picture 1" descr="C:\Users\Deborah Mackenzie\Downloads\cropped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borah Mackenzie\Downloads\cropped logo-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1955" cy="1264285"/>
                    </a:xfrm>
                    <a:prstGeom prst="rect">
                      <a:avLst/>
                    </a:prstGeom>
                    <a:noFill/>
                    <a:ln>
                      <a:noFill/>
                    </a:ln>
                  </pic:spPr>
                </pic:pic>
              </a:graphicData>
            </a:graphic>
          </wp:inline>
        </w:drawing>
      </w:r>
    </w:p>
    <w:p w14:paraId="29D37CF6" w14:textId="52EE34F8" w:rsidR="000726F2" w:rsidRPr="000726F2" w:rsidRDefault="000726F2" w:rsidP="000726F2"/>
    <w:p w14:paraId="3E7F21D4" w14:textId="7738A3BB" w:rsidR="00F52750" w:rsidRPr="004D6840" w:rsidRDefault="00C0374D" w:rsidP="004D6840">
      <w:r>
        <w:rPr>
          <w:rFonts w:ascii="Calibri" w:hAnsi="Calibri" w:cs="Calibri"/>
          <w:b/>
          <w:bCs/>
        </w:rPr>
        <w:t xml:space="preserve">Members: </w:t>
      </w:r>
      <w:r>
        <w:rPr>
          <w:rFonts w:ascii="Calibri" w:hAnsi="Calibri" w:cs="Calibri"/>
        </w:rPr>
        <w:t xml:space="preserve">Auckland Women’s </w:t>
      </w:r>
      <w:r>
        <w:rPr>
          <w:rStyle w:val="il"/>
          <w:rFonts w:ascii="Calibri" w:hAnsi="Calibri" w:cs="Calibri"/>
        </w:rPr>
        <w:t>Centre</w:t>
      </w:r>
      <w:r>
        <w:rPr>
          <w:rFonts w:ascii="Calibri" w:hAnsi="Calibri" w:cs="Calibri"/>
        </w:rPr>
        <w:t xml:space="preserve"> – Te W</w:t>
      </w:r>
      <w:proofErr w:type="spellStart"/>
      <w:r>
        <w:rPr>
          <w:rFonts w:ascii="Calibri" w:hAnsi="Calibri" w:cs="Calibri"/>
          <w:lang w:val="en-US"/>
        </w:rPr>
        <w:t>āhi</w:t>
      </w:r>
      <w:proofErr w:type="spellEnd"/>
      <w:r>
        <w:rPr>
          <w:rFonts w:ascii="Calibri" w:hAnsi="Calibri" w:cs="Calibri"/>
          <w:lang w:val="en-US"/>
        </w:rPr>
        <w:t xml:space="preserve"> Wāhine o </w:t>
      </w:r>
      <w:proofErr w:type="spellStart"/>
      <w:r>
        <w:rPr>
          <w:rFonts w:ascii="Calibri" w:hAnsi="Calibri" w:cs="Calibri"/>
        </w:rPr>
        <w:t>Tāmaki</w:t>
      </w:r>
      <w:proofErr w:type="spellEnd"/>
      <w:r>
        <w:rPr>
          <w:rFonts w:ascii="Calibri" w:hAnsi="Calibri" w:cs="Calibri"/>
        </w:rPr>
        <w:t xml:space="preserve"> </w:t>
      </w:r>
      <w:proofErr w:type="spellStart"/>
      <w:r>
        <w:rPr>
          <w:rFonts w:ascii="Calibri" w:hAnsi="Calibri" w:cs="Calibri"/>
        </w:rPr>
        <w:t>Makaurau</w:t>
      </w:r>
      <w:proofErr w:type="spellEnd"/>
      <w:r>
        <w:rPr>
          <w:rFonts w:ascii="Calibri" w:hAnsi="Calibri" w:cs="Calibri"/>
        </w:rPr>
        <w:t xml:space="preserve">, Eastern Women’s Refuge, the NZ Human Rights </w:t>
      </w:r>
      <w:r>
        <w:rPr>
          <w:rStyle w:val="il"/>
          <w:rFonts w:ascii="Calibri" w:hAnsi="Calibri" w:cs="Calibri"/>
        </w:rPr>
        <w:t>Centre</w:t>
      </w:r>
      <w:r>
        <w:rPr>
          <w:rFonts w:ascii="Calibri" w:hAnsi="Calibri" w:cs="Calibri"/>
        </w:rPr>
        <w:t xml:space="preserve">, HELP Support for Sexual Abuse Survivors, Hestia Women’s Refuge, Inner City Women’s Group, Kia </w:t>
      </w:r>
      <w:proofErr w:type="spellStart"/>
      <w:r>
        <w:rPr>
          <w:rFonts w:ascii="Calibri" w:hAnsi="Calibri" w:cs="Calibri"/>
        </w:rPr>
        <w:t>Haumaru</w:t>
      </w:r>
      <w:proofErr w:type="spellEnd"/>
      <w:r>
        <w:rPr>
          <w:rFonts w:ascii="Calibri" w:hAnsi="Calibri" w:cs="Calibri"/>
        </w:rPr>
        <w:t xml:space="preserve"> - Personal Safety Education, National Council of Women, Auckland, North Shore Family Violence Prevention Coordinator, North Shore Women’s </w:t>
      </w:r>
      <w:r>
        <w:rPr>
          <w:rStyle w:val="il"/>
          <w:rFonts w:ascii="Calibri" w:hAnsi="Calibri" w:cs="Calibri"/>
        </w:rPr>
        <w:t>Centre</w:t>
      </w:r>
      <w:r>
        <w:rPr>
          <w:rFonts w:ascii="Calibri" w:hAnsi="Calibri" w:cs="Calibri"/>
        </w:rPr>
        <w:t xml:space="preserve">, Pacific Women’s Watch, New Zealand, Rape Prevention Education – </w:t>
      </w:r>
      <w:proofErr w:type="spellStart"/>
      <w:r>
        <w:rPr>
          <w:rFonts w:ascii="Calibri" w:hAnsi="Calibri" w:cs="Calibri"/>
        </w:rPr>
        <w:t>Whakatu</w:t>
      </w:r>
      <w:proofErr w:type="spellEnd"/>
      <w:r>
        <w:rPr>
          <w:rFonts w:ascii="Calibri" w:hAnsi="Calibri" w:cs="Calibri"/>
        </w:rPr>
        <w:t xml:space="preserve"> Mauri, Respect, Rodney Women’s </w:t>
      </w:r>
      <w:r>
        <w:rPr>
          <w:rStyle w:val="il"/>
          <w:rFonts w:ascii="Calibri" w:hAnsi="Calibri" w:cs="Calibri"/>
        </w:rPr>
        <w:t>Centre</w:t>
      </w:r>
      <w:r>
        <w:rPr>
          <w:rFonts w:ascii="Calibri" w:hAnsi="Calibri" w:cs="Calibri"/>
        </w:rPr>
        <w:t xml:space="preserve">, Shakti Community Council NZ, SHINE Safer Homes in NZ </w:t>
      </w:r>
      <w:proofErr w:type="spellStart"/>
      <w:r>
        <w:rPr>
          <w:rFonts w:ascii="Calibri" w:hAnsi="Calibri" w:cs="Calibri"/>
        </w:rPr>
        <w:t>Everyday</w:t>
      </w:r>
      <w:proofErr w:type="spellEnd"/>
      <w:r>
        <w:rPr>
          <w:rFonts w:ascii="Calibri" w:hAnsi="Calibri" w:cs="Calibri"/>
        </w:rPr>
        <w:t xml:space="preserve">, The Backbone Collective, Women’s Health Action Trust, Women’s Refuge - </w:t>
      </w:r>
      <w:proofErr w:type="spellStart"/>
      <w:r>
        <w:rPr>
          <w:rFonts w:ascii="Calibri" w:hAnsi="Calibri" w:cs="Calibri"/>
        </w:rPr>
        <w:t>Tāmaki</w:t>
      </w:r>
      <w:proofErr w:type="spellEnd"/>
      <w:r>
        <w:rPr>
          <w:rFonts w:ascii="Calibri" w:hAnsi="Calibri" w:cs="Calibri"/>
        </w:rPr>
        <w:t xml:space="preserve"> </w:t>
      </w:r>
      <w:proofErr w:type="spellStart"/>
      <w:r>
        <w:rPr>
          <w:rFonts w:ascii="Calibri" w:hAnsi="Calibri" w:cs="Calibri"/>
        </w:rPr>
        <w:t>Makaurau</w:t>
      </w:r>
      <w:proofErr w:type="spellEnd"/>
      <w:r>
        <w:rPr>
          <w:rFonts w:ascii="Calibri" w:hAnsi="Calibri" w:cs="Calibri"/>
        </w:rPr>
        <w:t>, YWCA, Auckland.</w:t>
      </w:r>
    </w:p>
    <w:sectPr w:rsidR="00F52750" w:rsidRPr="004D6840">
      <w:headerReference w:type="default" r:id="rId20"/>
      <w:footerReference w:type="default" r:id="rId21"/>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896E8C7" w16cex:dateUtc="2024-08-26T23:06:00Z"/>
  <w16cex:commentExtensible w16cex:durableId="7CEC5055" w16cex:dateUtc="2024-08-26T23:07:00Z"/>
  <w16cex:commentExtensible w16cex:durableId="121E0580" w16cex:dateUtc="2024-08-26T23:10:00Z"/>
  <w16cex:commentExtensible w16cex:durableId="09AE7683" w16cex:dateUtc="2024-08-26T23:12:00Z"/>
  <w16cex:commentExtensible w16cex:durableId="44419123" w16cex:dateUtc="2024-08-26T23:15:00Z"/>
  <w16cex:commentExtensible w16cex:durableId="02CE4BF9" w16cex:dateUtc="2024-08-26T23:17:00Z"/>
  <w16cex:commentExtensible w16cex:durableId="48D14EBB" w16cex:dateUtc="2024-08-26T23:22:00Z"/>
  <w16cex:commentExtensible w16cex:durableId="759D606F" w16cex:dateUtc="2024-08-26T23:24:00Z"/>
  <w16cex:commentExtensible w16cex:durableId="4CA76F19" w16cex:dateUtc="2024-08-26T23:24:00Z"/>
  <w16cex:commentExtensible w16cex:durableId="554E11BB" w16cex:dateUtc="2024-08-26T23:26:00Z"/>
  <w16cex:commentExtensible w16cex:durableId="5D3FB103" w16cex:dateUtc="2024-08-26T23:30:00Z"/>
  <w16cex:commentExtensible w16cex:durableId="461AFEA6" w16cex:dateUtc="2024-08-26T23:31:00Z"/>
  <w16cex:commentExtensible w16cex:durableId="6F660356" w16cex:dateUtc="2024-08-26T23:32:00Z"/>
  <w16cex:commentExtensible w16cex:durableId="3C0DC5D5" w16cex:dateUtc="2024-08-26T23:49:00Z"/>
  <w16cex:commentExtensible w16cex:durableId="4A2E38A6" w16cex:dateUtc="2024-08-27T00:02:00Z"/>
  <w16cex:commentExtensible w16cex:durableId="4CE70789" w16cex:dateUtc="2024-08-27T00:06:00Z"/>
  <w16cex:commentExtensible w16cex:durableId="6FE7B0D9" w16cex:dateUtc="2024-08-27T00:11:00Z"/>
  <w16cex:commentExtensible w16cex:durableId="093A9787" w16cex:dateUtc="2024-08-27T00:14:00Z"/>
  <w16cex:commentExtensible w16cex:durableId="33D13D3A" w16cex:dateUtc="2024-08-26T22:5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7624D" w14:textId="77777777" w:rsidR="00A31204" w:rsidRDefault="00A31204" w:rsidP="00F52750">
      <w:pPr>
        <w:spacing w:after="0" w:line="240" w:lineRule="auto"/>
      </w:pPr>
      <w:r>
        <w:separator/>
      </w:r>
    </w:p>
  </w:endnote>
  <w:endnote w:type="continuationSeparator" w:id="0">
    <w:p w14:paraId="0EBA5668" w14:textId="77777777" w:rsidR="00A31204" w:rsidRDefault="00A31204" w:rsidP="00F52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7636863"/>
      <w:docPartObj>
        <w:docPartGallery w:val="Page Numbers (Bottom of Page)"/>
        <w:docPartUnique/>
      </w:docPartObj>
    </w:sdtPr>
    <w:sdtEndPr>
      <w:rPr>
        <w:noProof/>
      </w:rPr>
    </w:sdtEndPr>
    <w:sdtContent>
      <w:p w14:paraId="2F8E88EB" w14:textId="23D86707" w:rsidR="00C0374D" w:rsidRDefault="00C037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BB936C" w14:textId="77777777" w:rsidR="00E32776" w:rsidRDefault="00E32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214A5" w14:textId="77777777" w:rsidR="00A31204" w:rsidRDefault="00A31204" w:rsidP="00F52750">
      <w:pPr>
        <w:spacing w:after="0" w:line="240" w:lineRule="auto"/>
      </w:pPr>
      <w:r>
        <w:separator/>
      </w:r>
    </w:p>
  </w:footnote>
  <w:footnote w:type="continuationSeparator" w:id="0">
    <w:p w14:paraId="36160575" w14:textId="77777777" w:rsidR="00A31204" w:rsidRDefault="00A31204" w:rsidP="00F52750">
      <w:pPr>
        <w:spacing w:after="0" w:line="240" w:lineRule="auto"/>
      </w:pPr>
      <w:r>
        <w:continuationSeparator/>
      </w:r>
    </w:p>
  </w:footnote>
  <w:footnote w:id="1">
    <w:p w14:paraId="070EDCEC" w14:textId="37FB24CF" w:rsidR="00E32776" w:rsidRDefault="00E32776" w:rsidP="00D7644D">
      <w:pPr>
        <w:pStyle w:val="FootnoteText"/>
      </w:pPr>
      <w:r>
        <w:rPr>
          <w:rStyle w:val="FootnoteReference"/>
        </w:rPr>
        <w:footnoteRef/>
      </w:r>
      <w:r>
        <w:t xml:space="preserve"> The Domestic Abuse Commissioner model in the UK is an effective example of a similar role: </w:t>
      </w:r>
      <w:hyperlink r:id="rId1" w:history="1">
        <w:r w:rsidRPr="001E5B79">
          <w:rPr>
            <w:rStyle w:val="Hyperlink"/>
          </w:rPr>
          <w:t>https://domesticabusecommissioner.uk/</w:t>
        </w:r>
      </w:hyperlink>
      <w:r>
        <w:t xml:space="preserve">.  For Family Court improvement work, see the </w:t>
      </w:r>
      <w:hyperlink r:id="rId2" w:history="1">
        <w:r w:rsidRPr="004A6B30">
          <w:rPr>
            <w:rStyle w:val="Hyperlink"/>
          </w:rPr>
          <w:t>Domestic Abuse Commissioner Family Court Report</w:t>
        </w:r>
      </w:hyperlink>
      <w:r>
        <w:t xml:space="preserve"> (2023).</w:t>
      </w:r>
    </w:p>
  </w:footnote>
  <w:footnote w:id="2">
    <w:p w14:paraId="7C1E5320" w14:textId="3F46F1FE" w:rsidR="00E32776" w:rsidRPr="00A263E8" w:rsidRDefault="00E32776" w:rsidP="00573331">
      <w:pPr>
        <w:pStyle w:val="FootnoteText"/>
        <w:rPr>
          <w:lang w:val="en-GB"/>
        </w:rPr>
      </w:pPr>
      <w:r>
        <w:rPr>
          <w:rStyle w:val="FootnoteReference"/>
        </w:rPr>
        <w:footnoteRef/>
      </w:r>
      <w:r>
        <w:t xml:space="preserve"> Federal Circuit and Family Court of Australia (</w:t>
      </w:r>
      <w:proofErr w:type="spellStart"/>
      <w:r>
        <w:t>n.d</w:t>
      </w:r>
      <w:proofErr w:type="spellEnd"/>
      <w:r>
        <w:t xml:space="preserve">). Lighthouse Overview &gt; Family DOORS Triage. </w:t>
      </w:r>
      <w:hyperlink r:id="rId3" w:anchor="_ftn1" w:history="1">
        <w:r w:rsidRPr="00E452E7">
          <w:rPr>
            <w:rStyle w:val="Hyperlink"/>
          </w:rPr>
          <w:t>https://www.fcfcoa.gov.au/fl/fv/lighthouse#_ftn1</w:t>
        </w:r>
      </w:hyperlink>
      <w:r>
        <w:t xml:space="preserve"> </w:t>
      </w:r>
    </w:p>
  </w:footnote>
  <w:footnote w:id="3">
    <w:p w14:paraId="3B22267C" w14:textId="77777777" w:rsidR="00E32776" w:rsidRPr="004307BF" w:rsidRDefault="00E32776" w:rsidP="00573331">
      <w:pPr>
        <w:pStyle w:val="FootnoteText"/>
        <w:rPr>
          <w:lang w:val="en-GB"/>
        </w:rPr>
      </w:pPr>
      <w:r>
        <w:rPr>
          <w:rStyle w:val="FootnoteReference"/>
        </w:rPr>
        <w:footnoteRef/>
      </w:r>
      <w:r>
        <w:t xml:space="preserve"> </w:t>
      </w:r>
      <w:r>
        <w:rPr>
          <w:lang w:val="en-GB"/>
        </w:rPr>
        <w:t xml:space="preserve">Alsalem, R. (2023.) </w:t>
      </w:r>
      <w:hyperlink r:id="rId4" w:history="1">
        <w:r>
          <w:rPr>
            <w:rStyle w:val="Hyperlink"/>
          </w:rPr>
          <w:t>Custody, violence against women and violence against Children: Report of the Special Rapporteur on violence against women and girls, its causes and consequences</w:t>
        </w:r>
      </w:hyperlink>
      <w:r>
        <w:t>. United Nations.</w:t>
      </w:r>
    </w:p>
  </w:footnote>
  <w:footnote w:id="4">
    <w:p w14:paraId="282B40EF" w14:textId="77777777" w:rsidR="00E32776" w:rsidRPr="005D1F62" w:rsidRDefault="00E32776" w:rsidP="00573331">
      <w:pPr>
        <w:pStyle w:val="FootnoteText"/>
        <w:rPr>
          <w:lang w:val="en-GB"/>
        </w:rPr>
      </w:pPr>
      <w:r>
        <w:rPr>
          <w:rStyle w:val="FootnoteReference"/>
        </w:rPr>
        <w:footnoteRef/>
      </w:r>
      <w:r>
        <w:t xml:space="preserve"> </w:t>
      </w:r>
      <w:r w:rsidRPr="007E2372">
        <w:rPr>
          <w:rFonts w:ascii="Calibri" w:hAnsi="Calibri" w:cs="Calibri"/>
          <w:color w:val="222222"/>
          <w:shd w:val="clear" w:color="auto" w:fill="FFFFFF"/>
        </w:rPr>
        <w:t xml:space="preserve">Boulton, A., </w:t>
      </w:r>
      <w:proofErr w:type="spellStart"/>
      <w:r w:rsidRPr="007E2372">
        <w:rPr>
          <w:rFonts w:ascii="Calibri" w:hAnsi="Calibri" w:cs="Calibri"/>
          <w:color w:val="222222"/>
          <w:shd w:val="clear" w:color="auto" w:fill="FFFFFF"/>
        </w:rPr>
        <w:t>Wikaira</w:t>
      </w:r>
      <w:proofErr w:type="spellEnd"/>
      <w:r w:rsidRPr="007E2372">
        <w:rPr>
          <w:rFonts w:ascii="Calibri" w:hAnsi="Calibri" w:cs="Calibri"/>
          <w:color w:val="222222"/>
          <w:shd w:val="clear" w:color="auto" w:fill="FFFFFF"/>
        </w:rPr>
        <w:t xml:space="preserve">, M., </w:t>
      </w:r>
      <w:proofErr w:type="spellStart"/>
      <w:r w:rsidRPr="007E2372">
        <w:rPr>
          <w:rFonts w:ascii="Calibri" w:hAnsi="Calibri" w:cs="Calibri"/>
          <w:color w:val="222222"/>
          <w:shd w:val="clear" w:color="auto" w:fill="FFFFFF"/>
        </w:rPr>
        <w:t>Cvitanovic</w:t>
      </w:r>
      <w:proofErr w:type="spellEnd"/>
      <w:r w:rsidRPr="007E2372">
        <w:rPr>
          <w:rFonts w:ascii="Calibri" w:hAnsi="Calibri" w:cs="Calibri"/>
          <w:color w:val="222222"/>
          <w:shd w:val="clear" w:color="auto" w:fill="FFFFFF"/>
        </w:rPr>
        <w:t>, L., &amp; Blyth, T. W. (2020). </w:t>
      </w:r>
      <w:hyperlink r:id="rId5" w:history="1">
        <w:r w:rsidRPr="007E2372">
          <w:rPr>
            <w:rStyle w:val="Hyperlink"/>
            <w:rFonts w:ascii="Calibri" w:hAnsi="Calibri" w:cs="Calibri"/>
            <w:i/>
            <w:iCs/>
            <w:shd w:val="clear" w:color="auto" w:fill="FFFFFF"/>
          </w:rPr>
          <w:t xml:space="preserve">Te </w:t>
        </w:r>
        <w:proofErr w:type="spellStart"/>
        <w:r w:rsidRPr="007E2372">
          <w:rPr>
            <w:rStyle w:val="Hyperlink"/>
            <w:rFonts w:ascii="Calibri" w:hAnsi="Calibri" w:cs="Calibri"/>
            <w:i/>
            <w:iCs/>
            <w:shd w:val="clear" w:color="auto" w:fill="FFFFFF"/>
          </w:rPr>
          <w:t>Taniwha</w:t>
        </w:r>
        <w:proofErr w:type="spellEnd"/>
        <w:r w:rsidRPr="007E2372">
          <w:rPr>
            <w:rStyle w:val="Hyperlink"/>
            <w:rFonts w:ascii="Calibri" w:hAnsi="Calibri" w:cs="Calibri"/>
            <w:i/>
            <w:iCs/>
            <w:shd w:val="clear" w:color="auto" w:fill="FFFFFF"/>
          </w:rPr>
          <w:t xml:space="preserve"> i Te Ao Ture-ā-whānau: Whānau Experience of Care and Protection in the Family Court</w:t>
        </w:r>
      </w:hyperlink>
      <w:r w:rsidRPr="007E2372">
        <w:rPr>
          <w:rFonts w:ascii="Calibri" w:hAnsi="Calibri" w:cs="Calibri"/>
          <w:color w:val="222222"/>
          <w:shd w:val="clear" w:color="auto" w:fill="FFFFFF"/>
        </w:rPr>
        <w:t xml:space="preserve">. Te </w:t>
      </w:r>
      <w:proofErr w:type="spellStart"/>
      <w:r w:rsidRPr="007E2372">
        <w:rPr>
          <w:rFonts w:ascii="Calibri" w:hAnsi="Calibri" w:cs="Calibri"/>
          <w:color w:val="222222"/>
          <w:shd w:val="clear" w:color="auto" w:fill="FFFFFF"/>
        </w:rPr>
        <w:t>Kōpū</w:t>
      </w:r>
      <w:proofErr w:type="spellEnd"/>
      <w:r w:rsidRPr="007E2372">
        <w:rPr>
          <w:rFonts w:ascii="Calibri" w:hAnsi="Calibri" w:cs="Calibri"/>
          <w:color w:val="222222"/>
          <w:shd w:val="clear" w:color="auto" w:fill="FFFFFF"/>
        </w:rPr>
        <w:t xml:space="preserve"> Ed.</w:t>
      </w:r>
      <w:r>
        <w:rPr>
          <w:rFonts w:ascii="Calibri" w:hAnsi="Calibri" w:cs="Calibri"/>
          <w:color w:val="222222"/>
          <w:shd w:val="clear" w:color="auto" w:fill="FFFFFF"/>
        </w:rPr>
        <w:t xml:space="preserve"> </w:t>
      </w:r>
    </w:p>
  </w:footnote>
  <w:footnote w:id="5">
    <w:p w14:paraId="01A80EB3" w14:textId="637AE0B2" w:rsidR="0061350C" w:rsidRDefault="0061350C" w:rsidP="0061350C">
      <w:pPr>
        <w:pStyle w:val="FootnoteText"/>
      </w:pPr>
      <w:r>
        <w:rPr>
          <w:rStyle w:val="FootnoteReference"/>
        </w:rPr>
        <w:footnoteRef/>
      </w:r>
      <w:r>
        <w:t xml:space="preserve"> </w:t>
      </w:r>
      <w:r w:rsidRPr="00993042">
        <w:t>NZ Law Commission</w:t>
      </w:r>
      <w:r w:rsidRPr="00993042">
        <w:t xml:space="preserve">. </w:t>
      </w:r>
      <w:hyperlink r:id="rId6" w:history="1">
        <w:r w:rsidRPr="00993042">
          <w:rPr>
            <w:rStyle w:val="Hyperlink"/>
          </w:rPr>
          <w:t>Alternative pre-trial and trial processes possible reforms</w:t>
        </w:r>
      </w:hyperlink>
      <w:r w:rsidRPr="00993042">
        <w:t>:</w:t>
      </w:r>
      <w:r w:rsidR="00993042" w:rsidRPr="00993042">
        <w:t xml:space="preserve"> </w:t>
      </w:r>
      <w:r w:rsidRPr="00993042">
        <w:t>Issues paper no. 30.</w:t>
      </w:r>
      <w:r w:rsidRPr="00993042">
        <w:t xml:space="preserve"> </w:t>
      </w:r>
      <w:proofErr w:type="spellStart"/>
      <w:r w:rsidRPr="00993042">
        <w:rPr>
          <w:rFonts w:ascii="Calibri" w:hAnsi="Calibri" w:cs="Calibri"/>
        </w:rPr>
        <w:t>P</w:t>
      </w:r>
      <w:r w:rsidR="00993042">
        <w:rPr>
          <w:rFonts w:ascii="Calibri" w:hAnsi="Calibri" w:cs="Calibri"/>
        </w:rPr>
        <w:t>g</w:t>
      </w:r>
      <w:r w:rsidRPr="00993042">
        <w:rPr>
          <w:rFonts w:ascii="Calibri" w:hAnsi="Calibri" w:cs="Calibri"/>
        </w:rPr>
        <w:t>s</w:t>
      </w:r>
      <w:proofErr w:type="spellEnd"/>
      <w:r w:rsidRPr="00993042">
        <w:rPr>
          <w:rFonts w:ascii="Calibri" w:hAnsi="Calibri" w:cs="Calibri"/>
        </w:rPr>
        <w:t xml:space="preserve"> 44-47</w:t>
      </w:r>
      <w:r w:rsidRPr="00993042">
        <w:rPr>
          <w:rFonts w:ascii="Calibri" w:hAnsi="Calibri" w:cs="Calibri"/>
        </w:rPr>
        <w:t>.</w:t>
      </w:r>
    </w:p>
  </w:footnote>
  <w:footnote w:id="6">
    <w:p w14:paraId="7B5C2F09" w14:textId="77777777" w:rsidR="00E32776" w:rsidRPr="00BE779F" w:rsidRDefault="00E32776" w:rsidP="00AE67BA">
      <w:pPr>
        <w:spacing w:after="0" w:line="240" w:lineRule="auto"/>
        <w:rPr>
          <w:rFonts w:ascii="Calibri" w:eastAsia="Times New Roman" w:hAnsi="Calibri" w:cs="Calibri"/>
          <w:sz w:val="20"/>
          <w:szCs w:val="20"/>
          <w:lang w:eastAsia="en-NZ"/>
        </w:rPr>
      </w:pPr>
      <w:r w:rsidRPr="00881453">
        <w:rPr>
          <w:rStyle w:val="FootnoteReference"/>
          <w:rFonts w:ascii="Calibri" w:hAnsi="Calibri" w:cs="Calibri"/>
          <w:sz w:val="20"/>
          <w:szCs w:val="20"/>
        </w:rPr>
        <w:footnoteRef/>
      </w:r>
      <w:r w:rsidRPr="00881453">
        <w:rPr>
          <w:rFonts w:ascii="Calibri" w:hAnsi="Calibri" w:cs="Calibri"/>
          <w:sz w:val="20"/>
          <w:szCs w:val="20"/>
        </w:rPr>
        <w:t xml:space="preserve"> </w:t>
      </w:r>
      <w:r w:rsidRPr="00BE779F">
        <w:rPr>
          <w:rFonts w:ascii="Calibri" w:eastAsia="Times New Roman" w:hAnsi="Calibri" w:cs="Calibri"/>
          <w:sz w:val="20"/>
          <w:szCs w:val="20"/>
          <w:lang w:eastAsia="en-NZ"/>
        </w:rPr>
        <w:t xml:space="preserve">For more information, see the Victorian government page on Family Violence Flexible Support </w:t>
      </w:r>
      <w:hyperlink r:id="rId7" w:history="1">
        <w:r w:rsidRPr="00BE779F">
          <w:rPr>
            <w:rStyle w:val="Hyperlink"/>
            <w:rFonts w:ascii="Calibri" w:eastAsia="Times New Roman" w:hAnsi="Calibri" w:cs="Calibri"/>
            <w:sz w:val="20"/>
            <w:szCs w:val="20"/>
            <w:lang w:eastAsia="en-NZ"/>
          </w:rPr>
          <w:t>https://www.vic.gov.au/flexible-support-packages</w:t>
        </w:r>
      </w:hyperlink>
    </w:p>
  </w:footnote>
  <w:footnote w:id="7">
    <w:p w14:paraId="26D9ED06" w14:textId="77777777" w:rsidR="00E32776" w:rsidRPr="004307BF" w:rsidRDefault="00E32776" w:rsidP="001A62C3">
      <w:pPr>
        <w:pStyle w:val="FootnoteText"/>
        <w:rPr>
          <w:lang w:val="en-GB"/>
        </w:rPr>
      </w:pPr>
      <w:r>
        <w:rPr>
          <w:rStyle w:val="FootnoteReference"/>
        </w:rPr>
        <w:footnoteRef/>
      </w:r>
      <w:r>
        <w:t xml:space="preserve"> Ministry of Justice. (2023). </w:t>
      </w:r>
      <w:hyperlink r:id="rId8" w:history="1">
        <w:r w:rsidRPr="004307BF">
          <w:rPr>
            <w:rStyle w:val="Hyperlink"/>
          </w:rPr>
          <w:t>New Zealand Crime and Victims Survey: Key Findings Cycle 5</w:t>
        </w:r>
      </w:hyperlink>
      <w:r>
        <w:t>. NZ</w:t>
      </w:r>
    </w:p>
  </w:footnote>
  <w:footnote w:id="8">
    <w:p w14:paraId="1166B8F4" w14:textId="77777777" w:rsidR="00E32776" w:rsidRDefault="00E32776" w:rsidP="001A62C3">
      <w:pPr>
        <w:pStyle w:val="PRfootnote"/>
      </w:pPr>
      <w:r>
        <w:rPr>
          <w:rStyle w:val="FootnoteReference"/>
        </w:rPr>
        <w:footnoteRef/>
      </w:r>
      <w:r>
        <w:t xml:space="preserve"> </w:t>
      </w:r>
      <w:r w:rsidRPr="00546348">
        <w:t xml:space="preserve">The Backbone Collective (2020) </w:t>
      </w:r>
      <w:hyperlink r:id="rId9" w:history="1">
        <w:r w:rsidRPr="009122C1">
          <w:rPr>
            <w:i/>
            <w:iCs/>
            <w:color w:val="0000FF"/>
            <w:u w:val="single"/>
          </w:rPr>
          <w:t>Victim-Survivor Perspectives on Longer-Term Support After Experiencing Violence and Abuse A report prepared for the Ministry of Social Development</w:t>
        </w:r>
      </w:hyperlink>
      <w:r w:rsidRPr="009A5B9E">
        <w:t xml:space="preserve">. </w:t>
      </w:r>
      <w:r w:rsidRPr="00546348">
        <w:t xml:space="preserve">NZ. </w:t>
      </w:r>
    </w:p>
  </w:footnote>
  <w:footnote w:id="9">
    <w:p w14:paraId="7DC7AB18" w14:textId="06F60832" w:rsidR="00E32776" w:rsidRPr="00D82276" w:rsidRDefault="00E32776">
      <w:pPr>
        <w:pStyle w:val="FootnoteText"/>
        <w:rPr>
          <w:lang w:val="en-GB"/>
        </w:rPr>
      </w:pPr>
      <w:r>
        <w:rPr>
          <w:rStyle w:val="FootnoteReference"/>
        </w:rPr>
        <w:footnoteRef/>
      </w:r>
      <w:r>
        <w:t xml:space="preserve"> </w:t>
      </w:r>
      <w:hyperlink r:id="rId10" w:history="1">
        <w:r w:rsidRPr="00657CE4">
          <w:rPr>
            <w:rStyle w:val="Hyperlink"/>
          </w:rPr>
          <w:t>https://nzfvc.org.nz/news/pre-budget-2024-announcements-impacts-budget-cuts-government-agencies</w:t>
        </w:r>
      </w:hyperlink>
      <w:r>
        <w:t xml:space="preserve"> ; also: </w:t>
      </w:r>
      <w:hyperlink r:id="rId11" w:history="1">
        <w:r w:rsidRPr="00657CE4">
          <w:rPr>
            <w:rStyle w:val="Hyperlink"/>
          </w:rPr>
          <w:t>https://www.rnz.co.nz/news/top/523783/kids-in-south-auckland-to-lose-support-from-frontline-social-workers-due-to-govt-cuts</w:t>
        </w:r>
      </w:hyperlink>
      <w:r>
        <w:t xml:space="preserve"> </w:t>
      </w:r>
    </w:p>
  </w:footnote>
  <w:footnote w:id="10">
    <w:p w14:paraId="041928EC" w14:textId="3AB72D7B" w:rsidR="00E32776" w:rsidRPr="00B523AA" w:rsidRDefault="00E32776">
      <w:pPr>
        <w:pStyle w:val="FootnoteText"/>
        <w:rPr>
          <w:lang w:val="en-GB"/>
        </w:rPr>
      </w:pPr>
      <w:r>
        <w:rPr>
          <w:rStyle w:val="FootnoteReference"/>
        </w:rPr>
        <w:footnoteRef/>
      </w:r>
      <w:r>
        <w:t xml:space="preserve"> </w:t>
      </w:r>
      <w:r w:rsidRPr="0067316C">
        <w:t>https://kaupapamaori.com/2018/08/12/444/</w:t>
      </w:r>
    </w:p>
  </w:footnote>
  <w:footnote w:id="11">
    <w:p w14:paraId="49B23D0D" w14:textId="7F554D2E" w:rsidR="00E32776" w:rsidRDefault="00E32776">
      <w:pPr>
        <w:pStyle w:val="FootnoteText"/>
      </w:pPr>
      <w:r>
        <w:rPr>
          <w:rStyle w:val="FootnoteReference"/>
        </w:rPr>
        <w:footnoteRef/>
      </w:r>
      <w:r>
        <w:t xml:space="preserve"> For examples see previous CEDAW submissions (</w:t>
      </w:r>
      <w:hyperlink r:id="rId12" w:history="1">
        <w:r w:rsidRPr="00F656F8">
          <w:rPr>
            <w:rStyle w:val="Hyperlink"/>
          </w:rPr>
          <w:t>2018</w:t>
        </w:r>
      </w:hyperlink>
      <w:r>
        <w:t xml:space="preserve"> and </w:t>
      </w:r>
      <w:hyperlink r:id="rId13" w:history="1">
        <w:r w:rsidRPr="00F656F8">
          <w:rPr>
            <w:rStyle w:val="Hyperlink"/>
          </w:rPr>
          <w:t>2020</w:t>
        </w:r>
      </w:hyperlink>
      <w:r>
        <w:t xml:space="preserve">, </w:t>
      </w:r>
      <w:hyperlink r:id="rId14" w:history="1">
        <w:r w:rsidRPr="00A3510E">
          <w:rPr>
            <w:rStyle w:val="Hyperlink"/>
          </w:rPr>
          <w:t>2022</w:t>
        </w:r>
      </w:hyperlink>
      <w:r>
        <w:t xml:space="preserve">), </w:t>
      </w:r>
      <w:hyperlink r:id="rId15" w:history="1">
        <w:r w:rsidRPr="00A3510E">
          <w:rPr>
            <w:rStyle w:val="Hyperlink"/>
          </w:rPr>
          <w:t>local submissions</w:t>
        </w:r>
      </w:hyperlink>
      <w:r>
        <w:t xml:space="preserve"> and </w:t>
      </w:r>
      <w:hyperlink r:id="rId16" w:history="1">
        <w:r w:rsidRPr="00A3510E">
          <w:rPr>
            <w:rStyle w:val="Hyperlink"/>
          </w:rPr>
          <w:t>media articles</w:t>
        </w:r>
      </w:hyperlink>
      <w:r>
        <w:t>.</w:t>
      </w:r>
    </w:p>
  </w:footnote>
  <w:footnote w:id="12">
    <w:p w14:paraId="43E4F564" w14:textId="25B73818" w:rsidR="00E32776" w:rsidRDefault="00E32776">
      <w:pPr>
        <w:pStyle w:val="FootnoteText"/>
      </w:pPr>
      <w:r w:rsidRPr="008A1462">
        <w:rPr>
          <w:rStyle w:val="FootnoteReference"/>
        </w:rPr>
        <w:footnoteRef/>
      </w:r>
      <w:r w:rsidRPr="008A1462">
        <w:t xml:space="preserve"> </w:t>
      </w:r>
      <w:hyperlink r:id="rId17" w:history="1">
        <w:r w:rsidRPr="008A1462">
          <w:rPr>
            <w:rStyle w:val="Hyperlink"/>
          </w:rPr>
          <w:t>NZ’s ninth periodic report for CEDAW 2023</w:t>
        </w:r>
      </w:hyperlink>
    </w:p>
  </w:footnote>
  <w:footnote w:id="13">
    <w:p w14:paraId="39DC355A" w14:textId="6DB84000" w:rsidR="00E32776" w:rsidRPr="00D0003E" w:rsidRDefault="00E32776" w:rsidP="00F937C2">
      <w:pPr>
        <w:pStyle w:val="FootnoteText"/>
        <w:rPr>
          <w:lang w:val="en-GB"/>
        </w:rPr>
      </w:pPr>
      <w:r>
        <w:rPr>
          <w:rStyle w:val="FootnoteReference"/>
        </w:rPr>
        <w:footnoteRef/>
      </w:r>
      <w:r>
        <w:t xml:space="preserve"> Research in Australia found that 54% of families in court to make parenting arrangements reported physical violence, and 85% report</w:t>
      </w:r>
      <w:r w:rsidR="007835AB">
        <w:t>ed</w:t>
      </w:r>
      <w:r>
        <w:t xml:space="preserve"> emotional abuse. See </w:t>
      </w:r>
      <w:proofErr w:type="spellStart"/>
      <w:r>
        <w:t>Kaspiew</w:t>
      </w:r>
      <w:proofErr w:type="spellEnd"/>
      <w:r>
        <w:t xml:space="preserve"> et al., (2015) </w:t>
      </w:r>
      <w:hyperlink r:id="rId18" w:history="1">
        <w:r w:rsidRPr="00D71196">
          <w:rPr>
            <w:rStyle w:val="Hyperlink"/>
            <w:i/>
            <w:iCs/>
          </w:rPr>
          <w:t>Experiences of Separated Parents Study (Evaluation of the 2012 Family Violence Amendments)</w:t>
        </w:r>
      </w:hyperlink>
      <w:r w:rsidRPr="00D77329">
        <w:rPr>
          <w:i/>
          <w:iCs/>
        </w:rPr>
        <w:t>.</w:t>
      </w:r>
      <w:r>
        <w:t xml:space="preserve"> Melbourne: Australian Institute of Family Studies. </w:t>
      </w:r>
    </w:p>
  </w:footnote>
  <w:footnote w:id="14">
    <w:p w14:paraId="4FF799A2" w14:textId="45A18BB6" w:rsidR="00E32776" w:rsidRPr="009122C1" w:rsidRDefault="00E32776" w:rsidP="00F937C2">
      <w:pPr>
        <w:pStyle w:val="FootnoteText"/>
        <w:rPr>
          <w:lang w:val="en-GB"/>
        </w:rPr>
      </w:pPr>
      <w:r>
        <w:rPr>
          <w:rStyle w:val="FootnoteReference"/>
        </w:rPr>
        <w:footnoteRef/>
      </w:r>
      <w:r>
        <w:t xml:space="preserve"> </w:t>
      </w:r>
      <w:r>
        <w:rPr>
          <w:lang w:val="en-GB"/>
        </w:rPr>
        <w:t xml:space="preserve">Backbone Collective (2017). </w:t>
      </w:r>
      <w:hyperlink r:id="rId19" w:history="1">
        <w:r w:rsidRPr="00482C6D">
          <w:rPr>
            <w:rStyle w:val="Hyperlink"/>
            <w:i/>
            <w:iCs/>
            <w:lang w:val="en-GB"/>
          </w:rPr>
          <w:t>Out of the Frying Pan and into the Fire: Women’s experiences of the New Zealand Family Court</w:t>
        </w:r>
      </w:hyperlink>
      <w:r>
        <w:rPr>
          <w:lang w:val="en-GB"/>
        </w:rPr>
        <w:t>.NZ</w:t>
      </w:r>
    </w:p>
  </w:footnote>
  <w:footnote w:id="15">
    <w:p w14:paraId="4E16378E" w14:textId="4EAF4B79" w:rsidR="00E32776" w:rsidRPr="00D82276" w:rsidRDefault="00E32776">
      <w:pPr>
        <w:pStyle w:val="FootnoteText"/>
        <w:rPr>
          <w:lang w:val="en-GB"/>
        </w:rPr>
      </w:pPr>
      <w:r w:rsidRPr="00A3510E">
        <w:rPr>
          <w:rStyle w:val="FootnoteReference"/>
        </w:rPr>
        <w:footnoteRef/>
      </w:r>
      <w:r w:rsidRPr="00A3510E">
        <w:t xml:space="preserve"> </w:t>
      </w:r>
      <w:r w:rsidRPr="00A3510E">
        <w:rPr>
          <w:lang w:val="en-GB"/>
        </w:rPr>
        <w:t xml:space="preserve">Backbone Collective (2024). </w:t>
      </w:r>
      <w:hyperlink r:id="rId20" w:history="1">
        <w:r w:rsidRPr="00A3510E">
          <w:rPr>
            <w:rStyle w:val="Hyperlink"/>
            <w:lang w:val="en-GB"/>
          </w:rPr>
          <w:t>Briefing to the incoming Justice Minister</w:t>
        </w:r>
      </w:hyperlink>
      <w:r w:rsidRPr="00A3510E">
        <w:rPr>
          <w:lang w:val="en-GB"/>
        </w:rPr>
        <w:t>.</w:t>
      </w:r>
    </w:p>
  </w:footnote>
  <w:footnote w:id="16">
    <w:p w14:paraId="3F0EB0EC" w14:textId="2F50F4D0" w:rsidR="00E32776" w:rsidRPr="00D82276" w:rsidRDefault="00E32776">
      <w:pPr>
        <w:pStyle w:val="FootnoteText"/>
        <w:rPr>
          <w:lang w:val="en-GB"/>
        </w:rPr>
      </w:pPr>
      <w:r>
        <w:rPr>
          <w:rStyle w:val="FootnoteReference"/>
        </w:rPr>
        <w:footnoteRef/>
      </w:r>
      <w:r>
        <w:t xml:space="preserve"> </w:t>
      </w:r>
      <w:proofErr w:type="spellStart"/>
      <w:r w:rsidRPr="009F460F">
        <w:t>Inder</w:t>
      </w:r>
      <w:proofErr w:type="spellEnd"/>
      <w:r w:rsidRPr="009F460F">
        <w:t xml:space="preserve"> D.</w:t>
      </w:r>
      <w:r w:rsidRPr="009F460F">
        <w:rPr>
          <w:i/>
        </w:rPr>
        <w:t xml:space="preserve"> </w:t>
      </w:r>
      <w:hyperlink r:id="rId21" w:history="1">
        <w:r w:rsidRPr="009F460F">
          <w:rPr>
            <w:rStyle w:val="Hyperlink"/>
          </w:rPr>
          <w:t>Review of Children's Participation in the Family Justice System of Aotearoa New Zealand</w:t>
        </w:r>
      </w:hyperlink>
      <w:r w:rsidRPr="009F460F">
        <w:t>. 2022</w:t>
      </w:r>
    </w:p>
  </w:footnote>
  <w:footnote w:id="17">
    <w:p w14:paraId="10A40298" w14:textId="77777777" w:rsidR="00E32776" w:rsidRPr="009F079E" w:rsidRDefault="00E32776" w:rsidP="009F7A75">
      <w:pPr>
        <w:pStyle w:val="FootnoteText"/>
        <w:rPr>
          <w:lang w:val="en-GB"/>
        </w:rPr>
      </w:pPr>
      <w:r>
        <w:rPr>
          <w:rStyle w:val="FootnoteReference"/>
        </w:rPr>
        <w:footnoteRef/>
      </w:r>
      <w:r>
        <w:t xml:space="preserve"> Herbert, R. and D Mackenzie (2018). </w:t>
      </w:r>
      <w:hyperlink r:id="rId22" w:history="1">
        <w:r w:rsidRPr="009F079E">
          <w:rPr>
            <w:rStyle w:val="Hyperlink"/>
            <w:i/>
            <w:iCs/>
          </w:rPr>
          <w:t>Seen and not Heard: Children in the New Zealand Family Court. Part Two - Lawyer for Child?</w:t>
        </w:r>
      </w:hyperlink>
      <w:r>
        <w:t xml:space="preserve"> Backbone Collective NZ.</w:t>
      </w:r>
    </w:p>
  </w:footnote>
  <w:footnote w:id="18">
    <w:p w14:paraId="193BC4E6" w14:textId="77777777" w:rsidR="00E32776" w:rsidRDefault="00E32776" w:rsidP="00895F48">
      <w:pPr>
        <w:pStyle w:val="FootnoteText"/>
      </w:pPr>
      <w:r>
        <w:rPr>
          <w:rStyle w:val="FootnoteReference"/>
        </w:rPr>
        <w:footnoteRef/>
      </w:r>
      <w:r>
        <w:t xml:space="preserve"> In Backbone’s children in the Family Court survey Māori mothers were more likely to report Oranga Tamariki involvement in their Family Court case (52%) than non-Māori mothers (39%).</w:t>
      </w:r>
    </w:p>
    <w:p w14:paraId="24FD6D6B" w14:textId="0C1B4A93" w:rsidR="00E32776" w:rsidRPr="009F460F" w:rsidRDefault="00E32776" w:rsidP="00895F48">
      <w:pPr>
        <w:pStyle w:val="FootnoteText"/>
        <w:rPr>
          <w:rFonts w:cstheme="minorHAnsi"/>
        </w:rPr>
      </w:pPr>
      <w:r w:rsidRPr="009F460F">
        <w:rPr>
          <w:rFonts w:cstheme="minorHAnsi"/>
        </w:rPr>
        <w:t xml:space="preserve">See </w:t>
      </w:r>
      <w:proofErr w:type="gramStart"/>
      <w:r w:rsidRPr="009F460F">
        <w:rPr>
          <w:rFonts w:cstheme="minorHAnsi"/>
        </w:rPr>
        <w:t>The</w:t>
      </w:r>
      <w:proofErr w:type="gramEnd"/>
      <w:r w:rsidRPr="009F460F">
        <w:rPr>
          <w:rFonts w:cstheme="minorHAnsi"/>
        </w:rPr>
        <w:t xml:space="preserve"> Backbone Collective (2017). </w:t>
      </w:r>
      <w:hyperlink r:id="rId23" w:history="1">
        <w:r w:rsidRPr="009F460F">
          <w:rPr>
            <w:rStyle w:val="Hyperlink"/>
            <w:rFonts w:cstheme="minorHAnsi"/>
            <w:i/>
            <w:iCs/>
          </w:rPr>
          <w:t>Seen and not Heard: Children in the New Zealand Family Court. Part One - Force</w:t>
        </w:r>
      </w:hyperlink>
      <w:r w:rsidR="007835AB">
        <w:rPr>
          <w:rFonts w:cstheme="minorHAnsi"/>
        </w:rPr>
        <w:t xml:space="preserve">. </w:t>
      </w:r>
      <w:r w:rsidRPr="009F460F">
        <w:rPr>
          <w:rFonts w:cstheme="minorHAnsi"/>
        </w:rPr>
        <w:t xml:space="preserve">NZ. P10 </w:t>
      </w:r>
      <w:r w:rsidRPr="009F460F">
        <w:rPr>
          <w:rFonts w:cstheme="minorHAnsi"/>
          <w:lang w:val="en-GB"/>
        </w:rPr>
        <w:t>7</w:t>
      </w:r>
    </w:p>
  </w:footnote>
  <w:footnote w:id="19">
    <w:p w14:paraId="26AF06D4" w14:textId="77777777" w:rsidR="00E32776" w:rsidRPr="009F460F" w:rsidRDefault="00E32776" w:rsidP="009F7A75">
      <w:pPr>
        <w:pStyle w:val="FootnoteText"/>
        <w:rPr>
          <w:rFonts w:cstheme="minorHAnsi"/>
          <w:lang w:val="en-GB"/>
        </w:rPr>
      </w:pPr>
      <w:r w:rsidRPr="009F460F">
        <w:rPr>
          <w:rStyle w:val="FootnoteReference"/>
          <w:rFonts w:cstheme="minorHAnsi"/>
        </w:rPr>
        <w:footnoteRef/>
      </w:r>
      <w:r w:rsidRPr="009F460F">
        <w:rPr>
          <w:rFonts w:cstheme="minorHAnsi"/>
        </w:rPr>
        <w:t xml:space="preserve"> </w:t>
      </w:r>
      <w:proofErr w:type="spellStart"/>
      <w:r w:rsidRPr="009F460F">
        <w:rPr>
          <w:rFonts w:cstheme="minorHAnsi"/>
          <w:lang w:val="en-GB"/>
        </w:rPr>
        <w:t>Alsalem</w:t>
      </w:r>
      <w:proofErr w:type="spellEnd"/>
      <w:r w:rsidRPr="009F460F">
        <w:rPr>
          <w:rFonts w:cstheme="minorHAnsi"/>
          <w:lang w:val="en-GB"/>
        </w:rPr>
        <w:t xml:space="preserve">, R. (2023.) </w:t>
      </w:r>
      <w:hyperlink r:id="rId24" w:history="1">
        <w:r w:rsidRPr="009F460F">
          <w:rPr>
            <w:rStyle w:val="Hyperlink"/>
            <w:rFonts w:cstheme="minorHAnsi"/>
          </w:rPr>
          <w:t>Custody, violence against women and violence against Children: Report of the Special Rapporteur on violence against women and girls, its causes and consequences</w:t>
        </w:r>
      </w:hyperlink>
      <w:r w:rsidRPr="009F460F">
        <w:rPr>
          <w:rFonts w:cstheme="minorHAnsi"/>
        </w:rPr>
        <w:t>. United Nations.</w:t>
      </w:r>
    </w:p>
  </w:footnote>
  <w:footnote w:id="20">
    <w:p w14:paraId="06647B60" w14:textId="0211CB9E" w:rsidR="00E32776" w:rsidRPr="009F460F" w:rsidRDefault="00E32776">
      <w:pPr>
        <w:pStyle w:val="FootnoteText"/>
        <w:rPr>
          <w:rFonts w:cstheme="minorHAnsi"/>
        </w:rPr>
      </w:pPr>
      <w:r w:rsidRPr="009F460F">
        <w:rPr>
          <w:rStyle w:val="FootnoteReference"/>
          <w:rFonts w:cstheme="minorHAnsi"/>
        </w:rPr>
        <w:footnoteRef/>
      </w:r>
      <w:r w:rsidRPr="009F460F">
        <w:rPr>
          <w:rFonts w:cstheme="minorHAnsi"/>
        </w:rPr>
        <w:t xml:space="preserve"> </w:t>
      </w:r>
      <w:r w:rsidRPr="009F460F">
        <w:rPr>
          <w:rFonts w:cstheme="minorHAnsi"/>
          <w:color w:val="222222"/>
          <w:shd w:val="clear" w:color="auto" w:fill="FFFFFF"/>
        </w:rPr>
        <w:t xml:space="preserve">Mackenzie, D., R. Herbert &amp; N. Robertson (2020): “‘It’s Not OK’, but ‘It’ never happened: parental alienation accusations undermine children’s safety in the New Zealand Family Court”, Journal of Social Welfare and Family Law. </w:t>
      </w:r>
    </w:p>
  </w:footnote>
  <w:footnote w:id="21">
    <w:p w14:paraId="23A5B8A0" w14:textId="0E089803" w:rsidR="00E32776" w:rsidRPr="009F460F" w:rsidRDefault="00E32776" w:rsidP="009F7A75">
      <w:pPr>
        <w:pStyle w:val="FootnoteText"/>
        <w:rPr>
          <w:rFonts w:cstheme="minorHAnsi"/>
          <w:lang w:val="en-GB"/>
        </w:rPr>
      </w:pPr>
      <w:r w:rsidRPr="009F460F">
        <w:rPr>
          <w:rStyle w:val="FootnoteReference"/>
          <w:rFonts w:cstheme="minorHAnsi"/>
        </w:rPr>
        <w:footnoteRef/>
      </w:r>
      <w:r w:rsidRPr="009F460F">
        <w:rPr>
          <w:rFonts w:cstheme="minorHAnsi"/>
        </w:rPr>
        <w:t xml:space="preserve"> </w:t>
      </w:r>
      <w:r w:rsidRPr="009F460F">
        <w:rPr>
          <w:rFonts w:cstheme="minorHAnsi"/>
          <w:lang w:val="en-GB"/>
        </w:rPr>
        <w:t xml:space="preserve">Backbone Collective (2017). </w:t>
      </w:r>
      <w:hyperlink r:id="rId25" w:history="1">
        <w:r w:rsidRPr="009F460F">
          <w:rPr>
            <w:rStyle w:val="Hyperlink"/>
            <w:rFonts w:cstheme="minorHAnsi"/>
            <w:i/>
            <w:iCs/>
            <w:lang w:val="en-GB"/>
          </w:rPr>
          <w:t>Out of the Frying Pan and into the Fire: Women’s experiences of the New Zealand Family Court</w:t>
        </w:r>
      </w:hyperlink>
      <w:r w:rsidRPr="009F460F">
        <w:rPr>
          <w:rFonts w:cstheme="minorHAnsi"/>
          <w:lang w:val="en-GB"/>
        </w:rPr>
        <w:t xml:space="preserve">. NZ. </w:t>
      </w:r>
      <w:r w:rsidRPr="009F460F">
        <w:rPr>
          <w:rFonts w:cstheme="minorHAnsi"/>
          <w:color w:val="222222"/>
          <w:shd w:val="clear" w:color="auto" w:fill="FFFFFF"/>
        </w:rPr>
        <w:t xml:space="preserve">For examples of advice </w:t>
      </w:r>
      <w:r>
        <w:rPr>
          <w:rFonts w:cstheme="minorHAnsi"/>
          <w:color w:val="222222"/>
          <w:shd w:val="clear" w:color="auto" w:fill="FFFFFF"/>
        </w:rPr>
        <w:t>VS</w:t>
      </w:r>
      <w:r w:rsidRPr="009F460F">
        <w:rPr>
          <w:rFonts w:cstheme="minorHAnsi"/>
          <w:color w:val="222222"/>
          <w:shd w:val="clear" w:color="auto" w:fill="FFFFFF"/>
        </w:rPr>
        <w:t xml:space="preserve"> have for each other about protecting themselves when dealing with the Family Court, see Backbone’s 2023 guide: </w:t>
      </w:r>
      <w:hyperlink r:id="rId26" w:history="1">
        <w:r w:rsidRPr="009F460F">
          <w:rPr>
            <w:rStyle w:val="Hyperlink"/>
            <w:rFonts w:cstheme="minorHAnsi"/>
          </w:rPr>
          <w:t xml:space="preserve">Reducing risk and harm when going to Family Court An Information Guide for </w:t>
        </w:r>
        <w:r>
          <w:rPr>
            <w:rStyle w:val="Hyperlink"/>
            <w:rFonts w:cstheme="minorHAnsi"/>
          </w:rPr>
          <w:t>VS</w:t>
        </w:r>
      </w:hyperlink>
      <w:r w:rsidRPr="009F460F">
        <w:rPr>
          <w:rFonts w:cstheme="minorHAnsi"/>
        </w:rPr>
        <w:t xml:space="preserve">. </w:t>
      </w:r>
    </w:p>
  </w:footnote>
  <w:footnote w:id="22">
    <w:p w14:paraId="02480635" w14:textId="77777777" w:rsidR="00E32776" w:rsidRPr="009F460F" w:rsidRDefault="00E32776" w:rsidP="00AD56DE">
      <w:pPr>
        <w:pBdr>
          <w:top w:val="nil"/>
          <w:left w:val="nil"/>
          <w:bottom w:val="nil"/>
          <w:right w:val="nil"/>
          <w:between w:val="nil"/>
        </w:pBdr>
        <w:spacing w:after="0" w:line="240" w:lineRule="auto"/>
        <w:rPr>
          <w:rFonts w:eastAsia="Arial" w:cstheme="minorHAnsi"/>
          <w:color w:val="000000"/>
          <w:sz w:val="20"/>
          <w:szCs w:val="20"/>
        </w:rPr>
      </w:pPr>
      <w:r w:rsidRPr="009F460F">
        <w:rPr>
          <w:rFonts w:cstheme="minorHAnsi"/>
          <w:sz w:val="20"/>
          <w:szCs w:val="20"/>
          <w:vertAlign w:val="superscript"/>
        </w:rPr>
        <w:footnoteRef/>
      </w:r>
      <w:r w:rsidRPr="009F460F">
        <w:rPr>
          <w:rFonts w:eastAsia="Arial" w:cstheme="minorHAnsi"/>
          <w:color w:val="000000"/>
          <w:sz w:val="20"/>
          <w:szCs w:val="20"/>
        </w:rPr>
        <w:t> See p</w:t>
      </w:r>
      <w:r w:rsidRPr="009F460F">
        <w:rPr>
          <w:rFonts w:eastAsia="Arial" w:cstheme="minorHAnsi"/>
          <w:sz w:val="20"/>
          <w:szCs w:val="20"/>
        </w:rPr>
        <w:t>p.</w:t>
      </w:r>
      <w:r w:rsidRPr="009F460F">
        <w:rPr>
          <w:rFonts w:eastAsia="Arial" w:cstheme="minorHAnsi"/>
          <w:color w:val="000000"/>
          <w:sz w:val="20"/>
          <w:szCs w:val="20"/>
        </w:rPr>
        <w:t xml:space="preserve"> 25-27 of</w:t>
      </w:r>
      <w:r w:rsidRPr="009F460F">
        <w:rPr>
          <w:rFonts w:eastAsia="Arial" w:cstheme="minorHAnsi"/>
          <w:sz w:val="20"/>
          <w:szCs w:val="20"/>
        </w:rPr>
        <w:t xml:space="preserve"> </w:t>
      </w:r>
      <w:hyperlink r:id="rId27">
        <w:r w:rsidRPr="009F460F">
          <w:rPr>
            <w:rFonts w:eastAsia="Arial" w:cstheme="minorHAnsi"/>
            <w:color w:val="1155CC"/>
            <w:sz w:val="20"/>
            <w:szCs w:val="20"/>
            <w:u w:val="single"/>
          </w:rPr>
          <w:t>https://www.backbone.org.nz/reports/report-four-seen-and-not-heard-force20171214</w:t>
        </w:r>
      </w:hyperlink>
      <w:r w:rsidRPr="009F460F">
        <w:rPr>
          <w:rFonts w:eastAsia="Arial" w:cstheme="minorHAnsi"/>
          <w:sz w:val="20"/>
          <w:szCs w:val="20"/>
        </w:rPr>
        <w:t xml:space="preserve"> </w:t>
      </w:r>
    </w:p>
  </w:footnote>
  <w:footnote w:id="23">
    <w:p w14:paraId="782B3679" w14:textId="7ABC5DD0" w:rsidR="00E32776" w:rsidRDefault="00E32776">
      <w:pPr>
        <w:pStyle w:val="FootnoteText"/>
      </w:pPr>
      <w:r>
        <w:rPr>
          <w:rStyle w:val="FootnoteReference"/>
        </w:rPr>
        <w:footnoteRef/>
      </w:r>
      <w:r>
        <w:t xml:space="preserve"> </w:t>
      </w:r>
      <w:r w:rsidRPr="009F460F">
        <w:rPr>
          <w:rFonts w:cstheme="minorHAnsi"/>
          <w:lang w:val="en-GB"/>
        </w:rPr>
        <w:t xml:space="preserve">Backbone Collective (2017). </w:t>
      </w:r>
      <w:hyperlink r:id="rId28" w:history="1">
        <w:r w:rsidRPr="009F460F">
          <w:rPr>
            <w:rStyle w:val="Hyperlink"/>
            <w:rFonts w:cstheme="minorHAnsi"/>
            <w:i/>
            <w:iCs/>
            <w:lang w:val="en-GB"/>
          </w:rPr>
          <w:t>Out of the Frying Pan and into the Fire: Women’s experiences of the New Zealand Family Court</w:t>
        </w:r>
      </w:hyperlink>
      <w:r w:rsidRPr="009F460F">
        <w:rPr>
          <w:rFonts w:cstheme="minorHAnsi"/>
          <w:lang w:val="en-GB"/>
        </w:rPr>
        <w:t>. NZ.</w:t>
      </w:r>
    </w:p>
  </w:footnote>
  <w:footnote w:id="24">
    <w:p w14:paraId="3EBCA27B" w14:textId="77777777" w:rsidR="00E32776" w:rsidRPr="00C50907" w:rsidRDefault="00E32776" w:rsidP="009F460F">
      <w:pPr>
        <w:pBdr>
          <w:top w:val="nil"/>
          <w:left w:val="nil"/>
          <w:bottom w:val="nil"/>
          <w:right w:val="nil"/>
          <w:between w:val="nil"/>
        </w:pBdr>
        <w:spacing w:after="0" w:line="240" w:lineRule="auto"/>
        <w:rPr>
          <w:rFonts w:eastAsia="Arial" w:cstheme="minorHAnsi"/>
          <w:color w:val="000000"/>
          <w:sz w:val="20"/>
          <w:szCs w:val="20"/>
        </w:rPr>
      </w:pPr>
      <w:r w:rsidRPr="009F460F">
        <w:rPr>
          <w:rFonts w:cstheme="minorHAnsi"/>
          <w:sz w:val="20"/>
          <w:szCs w:val="20"/>
          <w:vertAlign w:val="superscript"/>
        </w:rPr>
        <w:footnoteRef/>
      </w:r>
      <w:r w:rsidRPr="009F460F">
        <w:rPr>
          <w:rFonts w:eastAsia="Arial" w:cstheme="minorHAnsi"/>
          <w:color w:val="000000"/>
          <w:sz w:val="20"/>
          <w:szCs w:val="20"/>
        </w:rPr>
        <w:t xml:space="preserve"> </w:t>
      </w:r>
      <w:r w:rsidRPr="00C50907">
        <w:rPr>
          <w:rFonts w:eastAsia="Arial" w:cstheme="minorHAnsi"/>
          <w:color w:val="000000"/>
          <w:sz w:val="20"/>
          <w:szCs w:val="20"/>
        </w:rPr>
        <w:t xml:space="preserve">Mackenzie, D., </w:t>
      </w:r>
      <w:r w:rsidRPr="00C50907">
        <w:rPr>
          <w:rFonts w:eastAsia="Arial" w:cstheme="minorHAnsi"/>
          <w:sz w:val="20"/>
          <w:szCs w:val="20"/>
        </w:rPr>
        <w:t>et al.</w:t>
      </w:r>
      <w:r w:rsidRPr="00C50907">
        <w:rPr>
          <w:rFonts w:eastAsia="Arial" w:cstheme="minorHAnsi"/>
          <w:color w:val="000000"/>
          <w:sz w:val="20"/>
          <w:szCs w:val="20"/>
        </w:rPr>
        <w:t xml:space="preserve"> (2020) ‘It’s Not OK’, but ‘It’ never happened: parental alienation accusations undermine children’s safety in the New Zealand Family Court</w:t>
      </w:r>
      <w:r w:rsidRPr="00C50907">
        <w:rPr>
          <w:rFonts w:eastAsia="Arial" w:cstheme="minorHAnsi"/>
          <w:sz w:val="20"/>
          <w:szCs w:val="20"/>
        </w:rPr>
        <w:t>.</w:t>
      </w:r>
      <w:r w:rsidRPr="00C50907">
        <w:rPr>
          <w:rFonts w:eastAsia="Arial" w:cstheme="minorHAnsi"/>
          <w:color w:val="000000"/>
          <w:sz w:val="20"/>
          <w:szCs w:val="20"/>
        </w:rPr>
        <w:t xml:space="preserve"> </w:t>
      </w:r>
      <w:r w:rsidRPr="00C50907">
        <w:rPr>
          <w:rFonts w:eastAsia="Arial" w:cstheme="minorHAnsi"/>
          <w:i/>
          <w:color w:val="000000"/>
          <w:sz w:val="20"/>
          <w:szCs w:val="20"/>
        </w:rPr>
        <w:t>Journal of Social Welfare and Family Law</w:t>
      </w:r>
      <w:r w:rsidRPr="00C50907">
        <w:rPr>
          <w:rFonts w:eastAsia="Arial" w:cstheme="minorHAnsi"/>
          <w:sz w:val="20"/>
          <w:szCs w:val="20"/>
        </w:rPr>
        <w:t xml:space="preserve"> 41(1).</w:t>
      </w:r>
    </w:p>
  </w:footnote>
  <w:footnote w:id="25">
    <w:p w14:paraId="65B229DD" w14:textId="4005C555" w:rsidR="00E32776" w:rsidRPr="00C50907" w:rsidRDefault="00E32776" w:rsidP="009F460F">
      <w:pPr>
        <w:pBdr>
          <w:top w:val="nil"/>
          <w:left w:val="nil"/>
          <w:bottom w:val="nil"/>
          <w:right w:val="nil"/>
          <w:between w:val="nil"/>
        </w:pBdr>
        <w:spacing w:after="0" w:line="240" w:lineRule="auto"/>
        <w:rPr>
          <w:rFonts w:eastAsia="Arial" w:cstheme="minorHAnsi"/>
          <w:color w:val="000000"/>
          <w:sz w:val="20"/>
          <w:szCs w:val="20"/>
        </w:rPr>
      </w:pPr>
      <w:r w:rsidRPr="00C50907">
        <w:rPr>
          <w:rFonts w:cstheme="minorHAnsi"/>
          <w:sz w:val="20"/>
          <w:szCs w:val="20"/>
          <w:vertAlign w:val="superscript"/>
        </w:rPr>
        <w:footnoteRef/>
      </w:r>
      <w:r w:rsidRPr="00C50907">
        <w:rPr>
          <w:rFonts w:eastAsia="Arial" w:cstheme="minorHAnsi"/>
          <w:color w:val="000000"/>
          <w:sz w:val="20"/>
          <w:szCs w:val="20"/>
        </w:rPr>
        <w:t xml:space="preserve"> Some children </w:t>
      </w:r>
      <w:r w:rsidRPr="00C50907">
        <w:rPr>
          <w:rFonts w:eastAsia="Arial" w:cstheme="minorHAnsi"/>
          <w:sz w:val="20"/>
          <w:szCs w:val="20"/>
        </w:rPr>
        <w:t xml:space="preserve">are ordered into </w:t>
      </w:r>
      <w:r w:rsidRPr="00C50907">
        <w:rPr>
          <w:rFonts w:eastAsia="Arial" w:cstheme="minorHAnsi"/>
          <w:color w:val="000000"/>
          <w:sz w:val="20"/>
          <w:szCs w:val="20"/>
        </w:rPr>
        <w:t xml:space="preserve">unsupervised contact or increased care </w:t>
      </w:r>
      <w:r w:rsidRPr="00C50907">
        <w:rPr>
          <w:rFonts w:eastAsia="Arial" w:cstheme="minorHAnsi"/>
          <w:sz w:val="20"/>
          <w:szCs w:val="20"/>
        </w:rPr>
        <w:t xml:space="preserve">with the abuser or </w:t>
      </w:r>
      <w:r w:rsidRPr="00C50907">
        <w:rPr>
          <w:rFonts w:eastAsia="Arial" w:cstheme="minorHAnsi"/>
          <w:color w:val="000000"/>
          <w:sz w:val="20"/>
          <w:szCs w:val="20"/>
        </w:rPr>
        <w:t xml:space="preserve">have no contact at all with their </w:t>
      </w:r>
      <w:r w:rsidRPr="00C50907">
        <w:rPr>
          <w:rFonts w:eastAsia="Arial" w:cstheme="minorHAnsi"/>
          <w:sz w:val="20"/>
          <w:szCs w:val="20"/>
        </w:rPr>
        <w:t>protective parent</w:t>
      </w:r>
      <w:r w:rsidRPr="00C50907">
        <w:rPr>
          <w:rFonts w:eastAsia="Arial" w:cstheme="minorHAnsi"/>
          <w:color w:val="000000"/>
          <w:sz w:val="20"/>
          <w:szCs w:val="20"/>
        </w:rPr>
        <w:t xml:space="preserve">. See </w:t>
      </w:r>
      <w:hyperlink r:id="rId29">
        <w:r w:rsidRPr="00C50907">
          <w:rPr>
            <w:rFonts w:eastAsia="Arial" w:cstheme="minorHAnsi"/>
            <w:color w:val="1155CC"/>
            <w:sz w:val="20"/>
            <w:szCs w:val="20"/>
            <w:u w:val="single"/>
          </w:rPr>
          <w:t>https://www.backbone.org.nz/reports/report-two-family-court-survey-report201768</w:t>
        </w:r>
      </w:hyperlink>
      <w:r w:rsidRPr="00C50907">
        <w:rPr>
          <w:rFonts w:eastAsia="Arial" w:cstheme="minorHAnsi"/>
          <w:color w:val="000000"/>
          <w:sz w:val="20"/>
          <w:szCs w:val="20"/>
        </w:rPr>
        <w:t xml:space="preserve"> </w:t>
      </w:r>
      <w:r w:rsidRPr="00C50907">
        <w:rPr>
          <w:rFonts w:eastAsia="Arial" w:cstheme="minorHAnsi"/>
          <w:sz w:val="20"/>
          <w:szCs w:val="20"/>
        </w:rPr>
        <w:t xml:space="preserve">particularly pp. 30-32 on prohibitive orders. </w:t>
      </w:r>
    </w:p>
  </w:footnote>
  <w:footnote w:id="26">
    <w:p w14:paraId="7EFCF3AD" w14:textId="77777777" w:rsidR="00E32776" w:rsidRPr="00C50907" w:rsidRDefault="00E32776" w:rsidP="009F460F">
      <w:pPr>
        <w:spacing w:after="0" w:line="240" w:lineRule="auto"/>
        <w:rPr>
          <w:rFonts w:eastAsia="Arial" w:cstheme="minorHAnsi"/>
          <w:sz w:val="20"/>
          <w:szCs w:val="20"/>
        </w:rPr>
      </w:pPr>
      <w:r w:rsidRPr="00C50907">
        <w:rPr>
          <w:rFonts w:cstheme="minorHAnsi"/>
          <w:sz w:val="20"/>
          <w:szCs w:val="20"/>
          <w:vertAlign w:val="superscript"/>
        </w:rPr>
        <w:footnoteRef/>
      </w:r>
      <w:r w:rsidRPr="00C50907">
        <w:rPr>
          <w:rFonts w:eastAsia="Arial" w:cstheme="minorHAnsi"/>
          <w:sz w:val="20"/>
          <w:szCs w:val="20"/>
        </w:rPr>
        <w:t xml:space="preserve"> See Mazar v Holloway [2019] NZFC 9520, available at </w:t>
      </w:r>
      <w:hyperlink r:id="rId30">
        <w:r w:rsidRPr="00C50907">
          <w:rPr>
            <w:rFonts w:eastAsia="Arial" w:cstheme="minorHAnsi"/>
            <w:color w:val="1155CC"/>
            <w:sz w:val="20"/>
            <w:szCs w:val="20"/>
            <w:u w:val="single"/>
          </w:rPr>
          <w:t>https://www.districtcourts.govt.nz/</w:t>
        </w:r>
      </w:hyperlink>
      <w:r w:rsidRPr="00C50907">
        <w:rPr>
          <w:rFonts w:eastAsia="Arial" w:cstheme="minorHAnsi"/>
          <w:sz w:val="20"/>
          <w:szCs w:val="20"/>
        </w:rPr>
        <w:t xml:space="preserve"> </w:t>
      </w:r>
    </w:p>
  </w:footnote>
  <w:footnote w:id="27">
    <w:p w14:paraId="1AEA5940" w14:textId="77777777" w:rsidR="00E32776" w:rsidRPr="00C50907" w:rsidRDefault="00E32776" w:rsidP="0053419C">
      <w:pPr>
        <w:pBdr>
          <w:top w:val="nil"/>
          <w:left w:val="nil"/>
          <w:bottom w:val="nil"/>
          <w:right w:val="nil"/>
          <w:between w:val="nil"/>
        </w:pBdr>
        <w:spacing w:after="0" w:line="240" w:lineRule="auto"/>
        <w:rPr>
          <w:rFonts w:eastAsia="Arial" w:cstheme="minorHAnsi"/>
          <w:color w:val="000000"/>
          <w:sz w:val="20"/>
          <w:szCs w:val="20"/>
        </w:rPr>
      </w:pPr>
      <w:r w:rsidRPr="00C50907">
        <w:rPr>
          <w:rFonts w:cstheme="minorHAnsi"/>
          <w:sz w:val="20"/>
          <w:szCs w:val="20"/>
          <w:vertAlign w:val="superscript"/>
        </w:rPr>
        <w:footnoteRef/>
      </w:r>
      <w:r w:rsidRPr="00C50907">
        <w:rPr>
          <w:rFonts w:eastAsia="Arial" w:cstheme="minorHAnsi"/>
          <w:color w:val="000000"/>
          <w:sz w:val="20"/>
          <w:szCs w:val="20"/>
        </w:rPr>
        <w:t xml:space="preserve"> Under sections 72</w:t>
      </w:r>
      <w:r w:rsidRPr="00C50907">
        <w:rPr>
          <w:rFonts w:eastAsia="Arial" w:cstheme="minorHAnsi"/>
          <w:sz w:val="20"/>
          <w:szCs w:val="20"/>
        </w:rPr>
        <w:t xml:space="preserve"> and </w:t>
      </w:r>
      <w:r w:rsidRPr="00C50907">
        <w:rPr>
          <w:rFonts w:eastAsia="Arial" w:cstheme="minorHAnsi"/>
          <w:color w:val="000000"/>
          <w:sz w:val="20"/>
          <w:szCs w:val="20"/>
        </w:rPr>
        <w:t xml:space="preserve">73 of the </w:t>
      </w:r>
      <w:proofErr w:type="gramStart"/>
      <w:r w:rsidRPr="00C50907">
        <w:rPr>
          <w:rFonts w:eastAsia="Arial" w:cstheme="minorHAnsi"/>
          <w:sz w:val="20"/>
          <w:szCs w:val="20"/>
        </w:rPr>
        <w:t>COCA</w:t>
      </w:r>
      <w:proofErr w:type="gramEnd"/>
      <w:r w:rsidRPr="00C50907">
        <w:rPr>
          <w:rFonts w:eastAsia="Arial" w:cstheme="minorHAnsi"/>
          <w:color w:val="000000"/>
          <w:sz w:val="20"/>
          <w:szCs w:val="20"/>
        </w:rPr>
        <w:t xml:space="preserve"> the Court can impose a warrant to uplift the child</w:t>
      </w:r>
      <w:r w:rsidRPr="00C50907">
        <w:rPr>
          <w:rFonts w:eastAsia="Arial" w:cstheme="minorHAnsi"/>
          <w:sz w:val="20"/>
          <w:szCs w:val="20"/>
        </w:rPr>
        <w:t>/ren</w:t>
      </w:r>
      <w:r w:rsidRPr="00C50907">
        <w:rPr>
          <w:rFonts w:eastAsia="Arial" w:cstheme="minorHAnsi"/>
          <w:color w:val="000000"/>
          <w:sz w:val="20"/>
          <w:szCs w:val="20"/>
        </w:rPr>
        <w:t xml:space="preserve"> and place them in the care of the parent who under current orders would ordinarily have </w:t>
      </w:r>
      <w:r w:rsidRPr="00C50907">
        <w:rPr>
          <w:rFonts w:eastAsia="Arial" w:cstheme="minorHAnsi"/>
          <w:sz w:val="20"/>
          <w:szCs w:val="20"/>
        </w:rPr>
        <w:t xml:space="preserve">them </w:t>
      </w:r>
      <w:r w:rsidRPr="00C50907">
        <w:rPr>
          <w:rFonts w:eastAsia="Arial" w:cstheme="minorHAnsi"/>
          <w:color w:val="000000"/>
          <w:sz w:val="20"/>
          <w:szCs w:val="20"/>
        </w:rPr>
        <w:t xml:space="preserve">in their care or whom the court now orders should have day to day care. These are separate </w:t>
      </w:r>
      <w:r w:rsidRPr="00C50907">
        <w:rPr>
          <w:rFonts w:eastAsia="Arial" w:cstheme="minorHAnsi"/>
          <w:sz w:val="20"/>
          <w:szCs w:val="20"/>
        </w:rPr>
        <w:t>from uplifts</w:t>
      </w:r>
      <w:r w:rsidRPr="00C50907">
        <w:rPr>
          <w:rFonts w:eastAsia="Arial" w:cstheme="minorHAnsi"/>
          <w:color w:val="000000"/>
          <w:sz w:val="20"/>
          <w:szCs w:val="20"/>
        </w:rPr>
        <w:t xml:space="preserve"> ordered under s39 of the Oranga Tamariki Act 1989.</w:t>
      </w:r>
    </w:p>
  </w:footnote>
  <w:footnote w:id="28">
    <w:p w14:paraId="4F3D055E" w14:textId="77777777" w:rsidR="00E32776" w:rsidRPr="00C50907" w:rsidRDefault="00E32776" w:rsidP="0053419C">
      <w:pPr>
        <w:pBdr>
          <w:top w:val="nil"/>
          <w:left w:val="nil"/>
          <w:bottom w:val="nil"/>
          <w:right w:val="nil"/>
          <w:between w:val="nil"/>
        </w:pBdr>
        <w:spacing w:after="0" w:line="240" w:lineRule="auto"/>
        <w:rPr>
          <w:rFonts w:eastAsia="Arial" w:cstheme="minorHAnsi"/>
          <w:color w:val="000000"/>
          <w:sz w:val="20"/>
          <w:szCs w:val="20"/>
        </w:rPr>
      </w:pPr>
      <w:r w:rsidRPr="00C50907">
        <w:rPr>
          <w:rFonts w:cstheme="minorHAnsi"/>
          <w:sz w:val="20"/>
          <w:szCs w:val="20"/>
          <w:vertAlign w:val="superscript"/>
        </w:rPr>
        <w:footnoteRef/>
      </w:r>
      <w:r w:rsidRPr="00C50907">
        <w:rPr>
          <w:rFonts w:eastAsia="Arial" w:cstheme="minorHAnsi"/>
          <w:color w:val="000000"/>
          <w:sz w:val="20"/>
          <w:szCs w:val="20"/>
        </w:rPr>
        <w:t xml:space="preserve"> </w:t>
      </w:r>
      <w:r w:rsidRPr="00C50907">
        <w:rPr>
          <w:rFonts w:eastAsia="Arial" w:cstheme="minorHAnsi"/>
          <w:sz w:val="20"/>
          <w:szCs w:val="20"/>
        </w:rPr>
        <w:t xml:space="preserve">A short video by </w:t>
      </w:r>
      <w:r w:rsidRPr="00C50907">
        <w:rPr>
          <w:rFonts w:eastAsia="Arial" w:cstheme="minorHAnsi"/>
          <w:color w:val="000000"/>
          <w:sz w:val="20"/>
          <w:szCs w:val="20"/>
        </w:rPr>
        <w:t>NZ media about S72,</w:t>
      </w:r>
      <w:r w:rsidRPr="00C50907">
        <w:rPr>
          <w:rFonts w:eastAsia="Arial" w:cstheme="minorHAnsi"/>
          <w:sz w:val="20"/>
          <w:szCs w:val="20"/>
        </w:rPr>
        <w:t xml:space="preserve"> S</w:t>
      </w:r>
      <w:r w:rsidRPr="00C50907">
        <w:rPr>
          <w:rFonts w:eastAsia="Arial" w:cstheme="minorHAnsi"/>
          <w:color w:val="000000"/>
          <w:sz w:val="20"/>
          <w:szCs w:val="20"/>
        </w:rPr>
        <w:t xml:space="preserve">3 police uplifts </w:t>
      </w:r>
      <w:r w:rsidRPr="00C50907">
        <w:rPr>
          <w:rFonts w:eastAsia="Arial" w:cstheme="minorHAnsi"/>
          <w:sz w:val="20"/>
          <w:szCs w:val="20"/>
        </w:rPr>
        <w:t xml:space="preserve">is available at </w:t>
      </w:r>
      <w:hyperlink r:id="rId31">
        <w:r w:rsidRPr="00C50907">
          <w:rPr>
            <w:rFonts w:eastAsia="Arial" w:cstheme="minorHAnsi"/>
            <w:color w:val="1155CC"/>
            <w:sz w:val="20"/>
            <w:szCs w:val="20"/>
            <w:u w:val="single"/>
          </w:rPr>
          <w:t>https://www.newsroom.co.nz/2017/08/07/41459/taken-by-the-state</w:t>
        </w:r>
      </w:hyperlink>
    </w:p>
  </w:footnote>
  <w:footnote w:id="29">
    <w:p w14:paraId="7303D956" w14:textId="5D95F73D" w:rsidR="00E32776" w:rsidRPr="00C50907" w:rsidRDefault="00E32776" w:rsidP="0053419C">
      <w:pPr>
        <w:pBdr>
          <w:top w:val="nil"/>
          <w:left w:val="nil"/>
          <w:bottom w:val="nil"/>
          <w:right w:val="nil"/>
          <w:between w:val="nil"/>
        </w:pBdr>
        <w:spacing w:after="0" w:line="240" w:lineRule="auto"/>
        <w:rPr>
          <w:rFonts w:eastAsia="Arial" w:cstheme="minorHAnsi"/>
          <w:color w:val="000000"/>
          <w:sz w:val="20"/>
          <w:szCs w:val="20"/>
        </w:rPr>
      </w:pPr>
      <w:r w:rsidRPr="00C50907">
        <w:rPr>
          <w:rFonts w:cstheme="minorHAnsi"/>
          <w:sz w:val="20"/>
          <w:szCs w:val="20"/>
          <w:vertAlign w:val="superscript"/>
        </w:rPr>
        <w:footnoteRef/>
      </w:r>
      <w:r w:rsidRPr="00C50907">
        <w:rPr>
          <w:rFonts w:eastAsia="Arial" w:cstheme="minorHAnsi"/>
          <w:color w:val="000000"/>
          <w:sz w:val="20"/>
          <w:szCs w:val="20"/>
        </w:rPr>
        <w:t xml:space="preserve"> We cannot ascertain from the OIA report </w:t>
      </w:r>
      <w:r w:rsidRPr="00C50907">
        <w:rPr>
          <w:rFonts w:eastAsia="Arial" w:cstheme="minorHAnsi"/>
          <w:sz w:val="20"/>
          <w:szCs w:val="20"/>
        </w:rPr>
        <w:t>which parent filed the application.</w:t>
      </w:r>
      <w:r w:rsidRPr="00C50907">
        <w:rPr>
          <w:rFonts w:eastAsia="Arial" w:cstheme="minorHAnsi"/>
          <w:color w:val="000000"/>
          <w:sz w:val="20"/>
          <w:szCs w:val="20"/>
        </w:rPr>
        <w:t xml:space="preserve"> In some cases, a protective parent will make an application to enforce a parenting order if an abuser refuses to return the child/ren to their care, e.g. as happened during the COVID 19 lockdowns. However, there are other ways to ensure compliance, where appropriate </w:t>
      </w:r>
      <w:hyperlink r:id="rId32" w:history="1">
        <w:r w:rsidRPr="00C50907">
          <w:rPr>
            <w:rStyle w:val="Hyperlink"/>
            <w:rFonts w:eastAsia="Arial" w:cstheme="minorHAnsi"/>
            <w:sz w:val="20"/>
            <w:szCs w:val="20"/>
          </w:rPr>
          <w:t>https://www.1news.co.nz/2022/11/06/petition-calls-to-end-practice-of-child-uplifts-in-custody-battles/</w:t>
        </w:r>
      </w:hyperlink>
      <w:r w:rsidRPr="00C50907">
        <w:rPr>
          <w:rFonts w:eastAsia="Arial" w:cstheme="minorHAnsi"/>
          <w:color w:val="000000"/>
          <w:sz w:val="20"/>
          <w:szCs w:val="20"/>
        </w:rPr>
        <w:t xml:space="preserve"> </w:t>
      </w:r>
    </w:p>
  </w:footnote>
  <w:footnote w:id="30">
    <w:p w14:paraId="37E89874" w14:textId="77777777" w:rsidR="00E32776" w:rsidRPr="009F460F" w:rsidRDefault="00E32776" w:rsidP="0053419C">
      <w:pPr>
        <w:spacing w:after="0" w:line="240" w:lineRule="auto"/>
        <w:rPr>
          <w:rFonts w:eastAsia="Arial" w:cstheme="minorHAnsi"/>
          <w:sz w:val="20"/>
          <w:szCs w:val="20"/>
        </w:rPr>
      </w:pPr>
      <w:r w:rsidRPr="009F460F">
        <w:rPr>
          <w:rFonts w:cstheme="minorHAnsi"/>
          <w:sz w:val="20"/>
          <w:szCs w:val="20"/>
          <w:vertAlign w:val="superscript"/>
        </w:rPr>
        <w:footnoteRef/>
      </w:r>
      <w:r w:rsidRPr="009F460F">
        <w:rPr>
          <w:rFonts w:eastAsia="Arial" w:cstheme="minorHAnsi"/>
          <w:sz w:val="20"/>
          <w:szCs w:val="20"/>
        </w:rPr>
        <w:t xml:space="preserve"> Specifically, Article 13(b): There is grave risk of physical or psychological harm to the child if he or she is returned or the return will place the child in an intolerable situation.</w:t>
      </w:r>
    </w:p>
  </w:footnote>
  <w:footnote w:id="31">
    <w:p w14:paraId="0BC8EDBD" w14:textId="77777777" w:rsidR="00E32776" w:rsidRDefault="00E32776" w:rsidP="00136BB8">
      <w:pPr>
        <w:pStyle w:val="FootnoteText"/>
      </w:pPr>
      <w:r>
        <w:rPr>
          <w:rStyle w:val="FootnoteReference"/>
        </w:rPr>
        <w:footnoteRef/>
      </w:r>
      <w:r>
        <w:t xml:space="preserve"> Also referred to in NZFC as Resist-Refuse, Enmeshment, coaching a child.</w:t>
      </w:r>
    </w:p>
  </w:footnote>
  <w:footnote w:id="32">
    <w:p w14:paraId="21D5CA96" w14:textId="77777777" w:rsidR="00E32776" w:rsidRPr="004307BF" w:rsidRDefault="00E32776" w:rsidP="00EA6361">
      <w:pPr>
        <w:pStyle w:val="FootnoteText"/>
        <w:rPr>
          <w:lang w:val="en-GB"/>
        </w:rPr>
      </w:pPr>
      <w:r>
        <w:rPr>
          <w:rStyle w:val="FootnoteReference"/>
        </w:rPr>
        <w:footnoteRef/>
      </w:r>
      <w:r>
        <w:t xml:space="preserve"> </w:t>
      </w:r>
      <w:r>
        <w:rPr>
          <w:lang w:val="en-GB"/>
        </w:rPr>
        <w:t xml:space="preserve">Alsalem, R. (2023.) </w:t>
      </w:r>
      <w:hyperlink r:id="rId33" w:history="1">
        <w:r>
          <w:rPr>
            <w:rStyle w:val="Hyperlink"/>
          </w:rPr>
          <w:t>Custody, violence against women and violence against Children: Report of the Special Rapporteur on violence against women and girls, its causes and consequences</w:t>
        </w:r>
      </w:hyperlink>
      <w:r>
        <w:t>. United Nations.</w:t>
      </w:r>
    </w:p>
  </w:footnote>
  <w:footnote w:id="33">
    <w:p w14:paraId="6C910F30" w14:textId="6D39BB96" w:rsidR="00E32776" w:rsidRDefault="00E32776" w:rsidP="001B3DC9">
      <w:pPr>
        <w:pStyle w:val="FootnoteText"/>
      </w:pPr>
      <w:r w:rsidRPr="009F460F">
        <w:rPr>
          <w:rStyle w:val="FootnoteReference"/>
        </w:rPr>
        <w:footnoteRef/>
      </w:r>
      <w:r w:rsidRPr="009F460F">
        <w:t xml:space="preserve"> Inder D.</w:t>
      </w:r>
      <w:r w:rsidRPr="009F460F">
        <w:rPr>
          <w:i/>
        </w:rPr>
        <w:t xml:space="preserve"> </w:t>
      </w:r>
      <w:hyperlink r:id="rId34" w:history="1">
        <w:r w:rsidRPr="009F460F">
          <w:rPr>
            <w:rStyle w:val="Hyperlink"/>
          </w:rPr>
          <w:t>Review of Children's Participation in the Family Justice System of Aotearoa New Zealand</w:t>
        </w:r>
      </w:hyperlink>
      <w:r w:rsidRPr="009F460F">
        <w:t>. 2022</w:t>
      </w:r>
      <w:hyperlink w:history="1"/>
    </w:p>
  </w:footnote>
  <w:footnote w:id="34">
    <w:p w14:paraId="7C0A502F" w14:textId="77777777" w:rsidR="00E32776" w:rsidRDefault="00E32776" w:rsidP="00A308CF">
      <w:pPr>
        <w:pStyle w:val="FootnoteText"/>
      </w:pPr>
      <w:r>
        <w:rPr>
          <w:rStyle w:val="FootnoteReference"/>
        </w:rPr>
        <w:footnoteRef/>
      </w:r>
      <w:r>
        <w:t xml:space="preserve"> As per meeting with MoJ policy officials 15 August 2024.</w:t>
      </w:r>
    </w:p>
  </w:footnote>
  <w:footnote w:id="35">
    <w:p w14:paraId="6C385B1D" w14:textId="2E956DA6" w:rsidR="00E32776" w:rsidRPr="00B523AA" w:rsidRDefault="00E32776">
      <w:pPr>
        <w:pStyle w:val="FootnoteText"/>
        <w:rPr>
          <w:lang w:val="en-GB"/>
        </w:rPr>
      </w:pPr>
      <w:r>
        <w:rPr>
          <w:rStyle w:val="FootnoteReference"/>
        </w:rPr>
        <w:footnoteRef/>
      </w:r>
      <w:r>
        <w:t xml:space="preserve"> </w:t>
      </w:r>
      <w:r>
        <w:rPr>
          <w:lang w:val="en-GB"/>
        </w:rPr>
        <w:t>Backbone meeting with MoJ officials, August 2024</w:t>
      </w:r>
    </w:p>
  </w:footnote>
  <w:footnote w:id="36">
    <w:p w14:paraId="4A800F1A" w14:textId="02443A69" w:rsidR="00E32776" w:rsidRDefault="00E32776" w:rsidP="00217657">
      <w:pPr>
        <w:pStyle w:val="FootnoteText"/>
      </w:pPr>
      <w:r>
        <w:rPr>
          <w:rStyle w:val="FootnoteReference"/>
        </w:rPr>
        <w:footnoteRef/>
      </w:r>
      <w:r>
        <w:t xml:space="preserve"> A three-day workshop for L</w:t>
      </w:r>
      <w:r w:rsidR="00EC6002">
        <w:t>awyers for Child</w:t>
      </w:r>
      <w:r>
        <w:t xml:space="preserve"> was held in June 2022. Course material did not include FV/SV dynamics, risk assessment, or reference to Te Aorerekura. However, presenters focussed on parental alienation-based theories and court ordered ‘treatment programmes’ for children who resist contact with a parent even when FV/SV has been disclosed. </w:t>
      </w:r>
      <w:hyperlink r:id="rId35" w:history="1">
        <w:r w:rsidRPr="00E8759D">
          <w:rPr>
            <w:rStyle w:val="Hyperlink"/>
          </w:rPr>
          <w:t>https://www.lawyerseducation.co.nz/shop/Books/Family/Advanced+Lawyer+for+Child.html</w:t>
        </w:r>
      </w:hyperlink>
    </w:p>
  </w:footnote>
  <w:footnote w:id="37">
    <w:p w14:paraId="1C71FB03" w14:textId="65C7FD67" w:rsidR="009069C7" w:rsidRDefault="00E32776" w:rsidP="009069C7">
      <w:pPr>
        <w:pStyle w:val="FootnoteText"/>
      </w:pPr>
      <w:r>
        <w:rPr>
          <w:rStyle w:val="FootnoteReference"/>
        </w:rPr>
        <w:footnoteRef/>
      </w:r>
      <w:r>
        <w:t xml:space="preserve"> </w:t>
      </w:r>
      <w:r w:rsidR="009069C7" w:rsidRPr="009069C7">
        <w:t xml:space="preserve">The </w:t>
      </w:r>
      <w:hyperlink r:id="rId36" w:history="1">
        <w:r w:rsidR="009069C7" w:rsidRPr="009069C7">
          <w:rPr>
            <w:rStyle w:val="Hyperlink"/>
          </w:rPr>
          <w:t>NZ Police Briefing to the Incoming Minister</w:t>
        </w:r>
      </w:hyperlink>
      <w:r w:rsidR="009069C7" w:rsidRPr="009069C7">
        <w:t xml:space="preserve"> (published February 2024) draws attention to a perceived need of “Supporting</w:t>
      </w:r>
      <w:r w:rsidR="009069C7">
        <w:t xml:space="preserve"> Police to re-focus on our core business and away from ‘expanded’ activities, particularly in the social domain…for example, reducing Police’s role in mental health crisis response is a clear opportunity, as is right sizing our response to family harm.” </w:t>
      </w:r>
      <w:proofErr w:type="spellStart"/>
      <w:r w:rsidR="009069C7">
        <w:t>Pg</w:t>
      </w:r>
      <w:proofErr w:type="spellEnd"/>
      <w:r w:rsidR="009069C7">
        <w:t xml:space="preserve"> 9.</w:t>
      </w:r>
    </w:p>
    <w:p w14:paraId="54D1DF77" w14:textId="0E817064" w:rsidR="00E32776" w:rsidRDefault="00E32776" w:rsidP="009069C7">
      <w:pPr>
        <w:pStyle w:val="FootnoteText"/>
      </w:pPr>
      <w:r>
        <w:t xml:space="preserve">The </w:t>
      </w:r>
      <w:hyperlink r:id="rId37" w:history="1">
        <w:r w:rsidRPr="00587C8B">
          <w:rPr>
            <w:rStyle w:val="Hyperlink"/>
          </w:rPr>
          <w:t>most recent media</w:t>
        </w:r>
      </w:hyperlink>
      <w:r>
        <w:t xml:space="preserve"> example is Assistant Commissioner Sam Hoyle, describing the need for a ‘managed withdrawal’ from ‘family harm’ and mental health callouts. One of Hoyle’s examples was the need to stop responding to ‘fighting because there is no food in the cupboard, [and] mum needs a hand with the kids.’</w:t>
      </w:r>
    </w:p>
  </w:footnote>
  <w:footnote w:id="38">
    <w:p w14:paraId="436129B6" w14:textId="4602E1B1" w:rsidR="00E32776" w:rsidRPr="00B523AA" w:rsidRDefault="00E32776" w:rsidP="00E76E3D">
      <w:pPr>
        <w:pStyle w:val="PRfootnote"/>
        <w:rPr>
          <w:lang w:val="en-GB"/>
        </w:rPr>
      </w:pPr>
      <w:r>
        <w:rPr>
          <w:rStyle w:val="FootnoteReference"/>
        </w:rPr>
        <w:footnoteRef/>
      </w:r>
      <w:r>
        <w:t xml:space="preserve"> </w:t>
      </w:r>
      <w:r>
        <w:rPr>
          <w:rStyle w:val="author"/>
        </w:rPr>
        <w:t xml:space="preserve">Evidence Based Policing Centre. </w:t>
      </w:r>
      <w:r>
        <w:t>Family Harm Non-Emergency Triage (FHNT) evaluation report : September 2023.</w:t>
      </w:r>
    </w:p>
  </w:footnote>
  <w:footnote w:id="39">
    <w:p w14:paraId="5BFD9700" w14:textId="42B05F7D" w:rsidR="00E32776" w:rsidRPr="00B523AA" w:rsidRDefault="00E32776">
      <w:pPr>
        <w:pStyle w:val="FootnoteText"/>
        <w:rPr>
          <w:lang w:val="en-GB"/>
        </w:rPr>
      </w:pPr>
      <w:r>
        <w:rPr>
          <w:rStyle w:val="FootnoteReference"/>
        </w:rPr>
        <w:footnoteRef/>
      </w:r>
      <w:r>
        <w:t xml:space="preserve"> </w:t>
      </w:r>
      <w:bookmarkStart w:id="6" w:name="_Hlk176349140"/>
      <w:r w:rsidRPr="004C12FE">
        <w:rPr>
          <w:rFonts w:eastAsia="Times New Roman"/>
          <w:lang w:eastAsia="en-NZ"/>
        </w:rPr>
        <w:t xml:space="preserve">Backbone Collective </w:t>
      </w:r>
      <w:r>
        <w:rPr>
          <w:rFonts w:eastAsia="Times New Roman"/>
          <w:lang w:eastAsia="en-NZ"/>
        </w:rPr>
        <w:t>&amp;</w:t>
      </w:r>
      <w:r w:rsidRPr="004C12FE">
        <w:rPr>
          <w:rFonts w:eastAsia="Times New Roman"/>
          <w:lang w:eastAsia="en-NZ"/>
        </w:rPr>
        <w:t xml:space="preserve"> Hohou Te Rongo Kahukura</w:t>
      </w:r>
      <w:r w:rsidRPr="004C12FE">
        <w:t xml:space="preserve"> </w:t>
      </w:r>
      <w:r>
        <w:t xml:space="preserve">2024, </w:t>
      </w:r>
      <w:hyperlink r:id="rId38" w:history="1">
        <w:r w:rsidRPr="00F81BDE">
          <w:rPr>
            <w:rStyle w:val="Hyperlink"/>
            <w:i/>
            <w:iCs/>
          </w:rPr>
          <w:t xml:space="preserve">Make it about us: </w:t>
        </w:r>
        <w:r>
          <w:rPr>
            <w:rStyle w:val="Hyperlink"/>
            <w:i/>
            <w:iCs/>
          </w:rPr>
          <w:t>V</w:t>
        </w:r>
        <w:r w:rsidR="00C75F52">
          <w:rPr>
            <w:rStyle w:val="Hyperlink"/>
            <w:i/>
            <w:iCs/>
          </w:rPr>
          <w:t xml:space="preserve">ictim </w:t>
        </w:r>
        <w:r>
          <w:rPr>
            <w:rStyle w:val="Hyperlink"/>
            <w:i/>
            <w:iCs/>
          </w:rPr>
          <w:t>S</w:t>
        </w:r>
        <w:r w:rsidR="00C75F52">
          <w:rPr>
            <w:rStyle w:val="Hyperlink"/>
            <w:i/>
            <w:iCs/>
          </w:rPr>
          <w:t>urvivors</w:t>
        </w:r>
        <w:r w:rsidRPr="00F81BDE">
          <w:rPr>
            <w:rStyle w:val="Hyperlink"/>
            <w:i/>
            <w:iCs/>
          </w:rPr>
          <w:t>’ recommendations for building a safer police response to intimate partner violence, family violence and sexual violence in Aotearoa New Zealand.</w:t>
        </w:r>
      </w:hyperlink>
    </w:p>
    <w:bookmarkEnd w:id="6"/>
  </w:footnote>
  <w:footnote w:id="40">
    <w:p w14:paraId="478CC26E" w14:textId="13485C42" w:rsidR="00E32776" w:rsidRPr="00EE521A" w:rsidRDefault="00E32776" w:rsidP="00FD635E">
      <w:pPr>
        <w:pStyle w:val="FootnoteText"/>
        <w:rPr>
          <w:lang w:val="en-GB"/>
        </w:rPr>
      </w:pPr>
      <w:r>
        <w:rPr>
          <w:rStyle w:val="FootnoteReference"/>
        </w:rPr>
        <w:footnoteRef/>
      </w:r>
      <w:r>
        <w:t xml:space="preserve"> </w:t>
      </w:r>
      <w:r>
        <w:rPr>
          <w:rFonts w:eastAsia="Times New Roman"/>
          <w:lang w:eastAsia="en-NZ"/>
        </w:rPr>
        <w:t>Ibid</w:t>
      </w:r>
      <w:r w:rsidRPr="004C12FE">
        <w:rPr>
          <w:i/>
          <w:iCs/>
        </w:rPr>
        <w:t>.</w:t>
      </w:r>
    </w:p>
  </w:footnote>
  <w:footnote w:id="41">
    <w:p w14:paraId="4BA8BA12" w14:textId="4A555D2D" w:rsidR="00E32776" w:rsidRDefault="00E32776">
      <w:pPr>
        <w:pStyle w:val="FootnoteText"/>
      </w:pPr>
      <w:r>
        <w:rPr>
          <w:rStyle w:val="FootnoteReference"/>
        </w:rPr>
        <w:footnoteRef/>
      </w:r>
      <w:r>
        <w:t xml:space="preserve"> The following quotes are from the Make It About Us report (2024).</w:t>
      </w:r>
    </w:p>
  </w:footnote>
  <w:footnote w:id="42">
    <w:p w14:paraId="12325E50" w14:textId="77777777" w:rsidR="00E32776" w:rsidRPr="00165F7A" w:rsidRDefault="00E32776" w:rsidP="003F4A2C">
      <w:pPr>
        <w:pStyle w:val="FootnoteText"/>
        <w:rPr>
          <w:lang w:val="en-GB"/>
        </w:rPr>
      </w:pPr>
      <w:r>
        <w:rPr>
          <w:rStyle w:val="FootnoteReference"/>
        </w:rPr>
        <w:footnoteRef/>
      </w:r>
      <w:r>
        <w:t xml:space="preserve"> </w:t>
      </w:r>
      <w:r w:rsidRPr="00546348">
        <w:t xml:space="preserve">The Backbone Collective (2020) </w:t>
      </w:r>
      <w:hyperlink r:id="rId39" w:history="1">
        <w:r w:rsidRPr="009122C1">
          <w:rPr>
            <w:i/>
            <w:iCs/>
            <w:color w:val="0000FF"/>
            <w:u w:val="single"/>
          </w:rPr>
          <w:t>Victim-Survivor Perspectives on Longer-Term Support After Experiencing Violence and Abuse A report prepared for the Ministry of Social Development</w:t>
        </w:r>
      </w:hyperlink>
      <w:r w:rsidRPr="009A5B9E">
        <w:t xml:space="preserve">. </w:t>
      </w:r>
      <w:r w:rsidRPr="00546348">
        <w:t>NZ.</w:t>
      </w:r>
    </w:p>
  </w:footnote>
  <w:footnote w:id="43">
    <w:p w14:paraId="3158D7AA" w14:textId="77777777" w:rsidR="00E32776" w:rsidRPr="00707195" w:rsidRDefault="00E32776" w:rsidP="003F4A2C">
      <w:pPr>
        <w:pStyle w:val="FootnoteText"/>
        <w:rPr>
          <w:lang w:val="en-GB"/>
        </w:rPr>
      </w:pPr>
      <w:r>
        <w:rPr>
          <w:rStyle w:val="FootnoteReference"/>
        </w:rPr>
        <w:footnoteRef/>
      </w:r>
      <w:r>
        <w:t xml:space="preserve"> </w:t>
      </w:r>
      <w:r>
        <w:rPr>
          <w:lang w:val="en-GB"/>
        </w:rPr>
        <w:t xml:space="preserve">Child Poverty Action Group (2023). </w:t>
      </w:r>
      <w:hyperlink r:id="rId40" w:history="1">
        <w:r w:rsidRPr="00707195">
          <w:rPr>
            <w:rStyle w:val="Hyperlink"/>
          </w:rPr>
          <w:t>Remove the blocks to whānau wellbeing generated by outdated relationship income rules.</w:t>
        </w:r>
      </w:hyperlink>
      <w:r>
        <w:t xml:space="preserve"> Policy Brief, CPAG NZ </w:t>
      </w:r>
    </w:p>
  </w:footnote>
  <w:footnote w:id="44">
    <w:p w14:paraId="668C9E6D" w14:textId="583C65D0" w:rsidR="00E32776" w:rsidRPr="008D00C9" w:rsidRDefault="00E32776" w:rsidP="008D00C9">
      <w:pPr>
        <w:spacing w:after="0" w:line="240" w:lineRule="auto"/>
        <w:rPr>
          <w:sz w:val="20"/>
          <w:szCs w:val="20"/>
        </w:rPr>
      </w:pPr>
      <w:r w:rsidRPr="008D00C9">
        <w:rPr>
          <w:rStyle w:val="FootnoteReference"/>
          <w:sz w:val="20"/>
          <w:szCs w:val="20"/>
        </w:rPr>
        <w:footnoteRef/>
      </w:r>
      <w:r w:rsidRPr="008D00C9">
        <w:rPr>
          <w:sz w:val="20"/>
          <w:szCs w:val="20"/>
        </w:rPr>
        <w:t xml:space="preserve"> </w:t>
      </w:r>
      <w:hyperlink r:id="rId41" w:tgtFrame="_blank" w:history="1">
        <w:r w:rsidRPr="008D00C9">
          <w:rPr>
            <w:rStyle w:val="Hyperlink"/>
            <w:sz w:val="20"/>
            <w:szCs w:val="20"/>
          </w:rPr>
          <w:t>https://www.1news.co.nz/2024/08/12/government-increases-benefit-sanctions/</w:t>
        </w:r>
      </w:hyperlink>
    </w:p>
  </w:footnote>
  <w:footnote w:id="45">
    <w:p w14:paraId="49B66B85" w14:textId="77777777" w:rsidR="00E32776" w:rsidRPr="00165F7A" w:rsidRDefault="00E32776" w:rsidP="008D00C9">
      <w:pPr>
        <w:pStyle w:val="FootnoteText"/>
        <w:rPr>
          <w:lang w:val="en-GB"/>
        </w:rPr>
      </w:pPr>
      <w:r>
        <w:rPr>
          <w:rStyle w:val="FootnoteReference"/>
        </w:rPr>
        <w:footnoteRef/>
      </w:r>
      <w:r>
        <w:t xml:space="preserve"> Domett, T., et al. (2023). </w:t>
      </w:r>
      <w:hyperlink r:id="rId42" w:history="1">
        <w:r w:rsidRPr="00FB2626">
          <w:rPr>
            <w:rStyle w:val="Hyperlink"/>
            <w:i/>
            <w:iCs/>
          </w:rPr>
          <w:t xml:space="preserve">Mako Mama – </w:t>
        </w:r>
        <w:proofErr w:type="spellStart"/>
        <w:r w:rsidRPr="00FB2626">
          <w:rPr>
            <w:rStyle w:val="Hyperlink"/>
            <w:i/>
            <w:iCs/>
          </w:rPr>
          <w:t>Mangopare</w:t>
        </w:r>
        <w:proofErr w:type="spellEnd"/>
        <w:r w:rsidRPr="00FB2626">
          <w:rPr>
            <w:rStyle w:val="Hyperlink"/>
            <w:i/>
            <w:iCs/>
          </w:rPr>
          <w:t xml:space="preserve"> Single Parents Project Final Report</w:t>
        </w:r>
      </w:hyperlink>
      <w:r>
        <w:t xml:space="preserve">. The Peter McKenzie Project and </w:t>
      </w:r>
      <w:proofErr w:type="spellStart"/>
      <w:r>
        <w:t>Ngāti</w:t>
      </w:r>
      <w:proofErr w:type="spellEnd"/>
      <w:r>
        <w:t xml:space="preserve"> </w:t>
      </w:r>
      <w:proofErr w:type="spellStart"/>
      <w:r>
        <w:t>Kahungunu</w:t>
      </w:r>
      <w:proofErr w:type="spellEnd"/>
      <w:r>
        <w:t>.</w:t>
      </w:r>
    </w:p>
  </w:footnote>
  <w:footnote w:id="46">
    <w:p w14:paraId="2D06D865" w14:textId="77777777" w:rsidR="00E32776" w:rsidRPr="004314DF" w:rsidRDefault="00E32776" w:rsidP="003F4A2C">
      <w:pPr>
        <w:pStyle w:val="FootnoteText"/>
        <w:rPr>
          <w:lang w:val="en-GB"/>
        </w:rPr>
      </w:pPr>
      <w:r>
        <w:rPr>
          <w:rStyle w:val="FootnoteReference"/>
        </w:rPr>
        <w:footnoteRef/>
      </w:r>
      <w:r>
        <w:t xml:space="preserve"> </w:t>
      </w:r>
      <w:hyperlink r:id="rId43" w:history="1">
        <w:r w:rsidRPr="006B0271">
          <w:rPr>
            <w:rStyle w:val="Hyperlink"/>
          </w:rPr>
          <w:t>https://www.vic.gov.au/family-violence-recommendations/expand-provision-family-violence-flexible-support-packages</w:t>
        </w:r>
      </w:hyperlink>
      <w:r>
        <w:t xml:space="preserve"> </w:t>
      </w:r>
    </w:p>
  </w:footnote>
  <w:footnote w:id="47">
    <w:p w14:paraId="7AA86B9C" w14:textId="77777777" w:rsidR="00E32776" w:rsidRPr="0083046B" w:rsidRDefault="00E32776" w:rsidP="003F4A2C">
      <w:pPr>
        <w:pStyle w:val="FootnoteText"/>
        <w:rPr>
          <w:lang w:val="en-GB"/>
        </w:rPr>
      </w:pPr>
      <w:r>
        <w:rPr>
          <w:rStyle w:val="FootnoteReference"/>
        </w:rPr>
        <w:footnoteRef/>
      </w:r>
      <w:r>
        <w:t xml:space="preserve"> </w:t>
      </w:r>
      <w:r>
        <w:rPr>
          <w:lang w:val="en-GB"/>
        </w:rPr>
        <w:t xml:space="preserve">FSP program guidelines, available at: </w:t>
      </w:r>
      <w:hyperlink r:id="rId44" w:history="1">
        <w:r w:rsidRPr="006B0271">
          <w:rPr>
            <w:rStyle w:val="Hyperlink"/>
            <w:lang w:val="en-GB"/>
          </w:rPr>
          <w:t>https://providers.dffh.vic.gov.au/program-requirements-delivery-family-violence-flexible-support-packages</w:t>
        </w:r>
      </w:hyperlink>
      <w:r>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D54E4" w14:textId="77777777" w:rsidR="00D56182" w:rsidRPr="00C0374D" w:rsidRDefault="00D56182" w:rsidP="00D56182">
    <w:pPr>
      <w:pStyle w:val="Header"/>
      <w:rPr>
        <w:i/>
      </w:rPr>
    </w:pPr>
    <w:r w:rsidRPr="00C0374D">
      <w:rPr>
        <w:i/>
        <w:lang w:eastAsia="en-NZ"/>
      </w:rPr>
      <w:t xml:space="preserve">The Coalition for the Safety of Women and Children – Alternative report for NZ </w:t>
    </w:r>
    <w:r>
      <w:rPr>
        <w:i/>
      </w:rPr>
      <w:t>examination 2024</w:t>
    </w:r>
    <w:r>
      <w:rPr>
        <w:i/>
      </w:rPr>
      <w:tab/>
    </w:r>
  </w:p>
  <w:p w14:paraId="5E5930B6" w14:textId="77777777" w:rsidR="00D56182" w:rsidRDefault="00D561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263A"/>
    <w:multiLevelType w:val="multilevel"/>
    <w:tmpl w:val="78D0482C"/>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A4046"/>
    <w:multiLevelType w:val="hybridMultilevel"/>
    <w:tmpl w:val="C004F362"/>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32D7482"/>
    <w:multiLevelType w:val="hybridMultilevel"/>
    <w:tmpl w:val="11986ED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04026B6E"/>
    <w:multiLevelType w:val="hybridMultilevel"/>
    <w:tmpl w:val="11986ED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0AD12BDC"/>
    <w:multiLevelType w:val="hybridMultilevel"/>
    <w:tmpl w:val="8866499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0EAE6336"/>
    <w:multiLevelType w:val="hybridMultilevel"/>
    <w:tmpl w:val="D16CCC5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3D57C4A"/>
    <w:multiLevelType w:val="multilevel"/>
    <w:tmpl w:val="CEB8206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151B64CA"/>
    <w:multiLevelType w:val="hybridMultilevel"/>
    <w:tmpl w:val="5E348D8C"/>
    <w:lvl w:ilvl="0" w:tplc="1409000F">
      <w:start w:val="1"/>
      <w:numFmt w:val="decimal"/>
      <w:lvlText w:val="%1."/>
      <w:lvlJc w:val="left"/>
      <w:pPr>
        <w:ind w:left="720" w:hanging="360"/>
      </w:pPr>
      <w:rPr>
        <w:rFonts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8" w15:restartNumberingAfterBreak="0">
    <w:nsid w:val="164B621C"/>
    <w:multiLevelType w:val="multilevel"/>
    <w:tmpl w:val="D4CC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665EA"/>
    <w:multiLevelType w:val="hybridMultilevel"/>
    <w:tmpl w:val="F188848C"/>
    <w:lvl w:ilvl="0" w:tplc="FF2CBE52">
      <w:start w:val="1"/>
      <w:numFmt w:val="decimal"/>
      <w:lvlText w:val="%1."/>
      <w:lvlJc w:val="left"/>
      <w:pPr>
        <w:ind w:left="0" w:firstLine="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1D0751D4"/>
    <w:multiLevelType w:val="hybridMultilevel"/>
    <w:tmpl w:val="11986ED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1F2D4334"/>
    <w:multiLevelType w:val="hybridMultilevel"/>
    <w:tmpl w:val="C136EEB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1FCE6392"/>
    <w:multiLevelType w:val="multilevel"/>
    <w:tmpl w:val="3A26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1C5774"/>
    <w:multiLevelType w:val="hybridMultilevel"/>
    <w:tmpl w:val="F892803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23971EA7"/>
    <w:multiLevelType w:val="hybridMultilevel"/>
    <w:tmpl w:val="674A0B9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15:restartNumberingAfterBreak="0">
    <w:nsid w:val="265D7A78"/>
    <w:multiLevelType w:val="hybridMultilevel"/>
    <w:tmpl w:val="1BD632F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2D1B26CE"/>
    <w:multiLevelType w:val="multilevel"/>
    <w:tmpl w:val="AECEA0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E7923C8"/>
    <w:multiLevelType w:val="hybridMultilevel"/>
    <w:tmpl w:val="E5CC3E6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4C10BED"/>
    <w:multiLevelType w:val="multilevel"/>
    <w:tmpl w:val="5948B6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6F466B"/>
    <w:multiLevelType w:val="hybridMultilevel"/>
    <w:tmpl w:val="BC548F7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15:restartNumberingAfterBreak="0">
    <w:nsid w:val="3D471197"/>
    <w:multiLevelType w:val="hybridMultilevel"/>
    <w:tmpl w:val="EC007D1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42724BF3"/>
    <w:multiLevelType w:val="hybridMultilevel"/>
    <w:tmpl w:val="22D25E5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452310C9"/>
    <w:multiLevelType w:val="hybridMultilevel"/>
    <w:tmpl w:val="90C2FBD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4EB537E2"/>
    <w:multiLevelType w:val="hybridMultilevel"/>
    <w:tmpl w:val="2C66AFF6"/>
    <w:lvl w:ilvl="0" w:tplc="54F004C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50B160AA"/>
    <w:multiLevelType w:val="hybridMultilevel"/>
    <w:tmpl w:val="816A68EA"/>
    <w:lvl w:ilvl="0" w:tplc="14090003">
      <w:start w:val="1"/>
      <w:numFmt w:val="bullet"/>
      <w:lvlText w:val="o"/>
      <w:lvlJc w:val="left"/>
      <w:pPr>
        <w:ind w:left="720" w:hanging="360"/>
      </w:pPr>
      <w:rPr>
        <w:rFonts w:ascii="Courier New" w:hAnsi="Courier New" w:cs="Courier New"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5" w15:restartNumberingAfterBreak="0">
    <w:nsid w:val="52112782"/>
    <w:multiLevelType w:val="hybridMultilevel"/>
    <w:tmpl w:val="E59C1A8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528D230A"/>
    <w:multiLevelType w:val="multilevel"/>
    <w:tmpl w:val="D4CC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2B5512"/>
    <w:multiLevelType w:val="hybridMultilevel"/>
    <w:tmpl w:val="822EC012"/>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537A4710"/>
    <w:multiLevelType w:val="hybridMultilevel"/>
    <w:tmpl w:val="0118450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9" w15:restartNumberingAfterBreak="0">
    <w:nsid w:val="566C4198"/>
    <w:multiLevelType w:val="multilevel"/>
    <w:tmpl w:val="275C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84E6022"/>
    <w:multiLevelType w:val="hybridMultilevel"/>
    <w:tmpl w:val="987446F6"/>
    <w:lvl w:ilvl="0" w:tplc="ECECCA1E">
      <w:start w:val="2"/>
      <w:numFmt w:val="bullet"/>
      <w:lvlText w:val="-"/>
      <w:lvlJc w:val="left"/>
      <w:pPr>
        <w:ind w:left="720" w:hanging="360"/>
      </w:pPr>
      <w:rPr>
        <w:rFonts w:ascii="Calibri" w:eastAsiaTheme="minorHAns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58C3096B"/>
    <w:multiLevelType w:val="hybridMultilevel"/>
    <w:tmpl w:val="D93C75C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5ABB04B6"/>
    <w:multiLevelType w:val="hybridMultilevel"/>
    <w:tmpl w:val="2C66AFF6"/>
    <w:lvl w:ilvl="0" w:tplc="54F004C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3" w15:restartNumberingAfterBreak="0">
    <w:nsid w:val="5D6B1D1D"/>
    <w:multiLevelType w:val="hybridMultilevel"/>
    <w:tmpl w:val="4BBCD1BE"/>
    <w:lvl w:ilvl="0" w:tplc="4D6A4CD8">
      <w:start w:val="1"/>
      <w:numFmt w:val="lowerLetter"/>
      <w:lvlText w:val="%1)"/>
      <w:lvlJc w:val="left"/>
      <w:pPr>
        <w:ind w:left="927" w:hanging="36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34" w15:restartNumberingAfterBreak="0">
    <w:nsid w:val="623E2193"/>
    <w:multiLevelType w:val="hybridMultilevel"/>
    <w:tmpl w:val="17FEF05E"/>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15:restartNumberingAfterBreak="0">
    <w:nsid w:val="69BB01FF"/>
    <w:multiLevelType w:val="hybridMultilevel"/>
    <w:tmpl w:val="848EDEF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6FA6152D"/>
    <w:multiLevelType w:val="multilevel"/>
    <w:tmpl w:val="78D0482C"/>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5E0D50"/>
    <w:multiLevelType w:val="hybridMultilevel"/>
    <w:tmpl w:val="31D65214"/>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8" w15:restartNumberingAfterBreak="0">
    <w:nsid w:val="79F50251"/>
    <w:multiLevelType w:val="hybridMultilevel"/>
    <w:tmpl w:val="1610E30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9" w15:restartNumberingAfterBreak="0">
    <w:nsid w:val="7B651DC5"/>
    <w:multiLevelType w:val="hybridMultilevel"/>
    <w:tmpl w:val="11986ED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37"/>
  </w:num>
  <w:num w:numId="2">
    <w:abstractNumId w:val="24"/>
  </w:num>
  <w:num w:numId="3">
    <w:abstractNumId w:val="27"/>
  </w:num>
  <w:num w:numId="4">
    <w:abstractNumId w:val="6"/>
    <w:lvlOverride w:ilvl="0">
      <w:lvl w:ilvl="0">
        <w:numFmt w:val="lowerLetter"/>
        <w:lvlText w:val="%1."/>
        <w:lvlJc w:val="left"/>
      </w:lvl>
    </w:lvlOverride>
  </w:num>
  <w:num w:numId="5">
    <w:abstractNumId w:val="28"/>
  </w:num>
  <w:num w:numId="6">
    <w:abstractNumId w:val="1"/>
  </w:num>
  <w:num w:numId="7">
    <w:abstractNumId w:val="17"/>
  </w:num>
  <w:num w:numId="8">
    <w:abstractNumId w:val="29"/>
  </w:num>
  <w:num w:numId="9">
    <w:abstractNumId w:val="16"/>
  </w:num>
  <w:num w:numId="10">
    <w:abstractNumId w:val="22"/>
  </w:num>
  <w:num w:numId="11">
    <w:abstractNumId w:val="18"/>
    <w:lvlOverride w:ilvl="1">
      <w:lvl w:ilvl="1">
        <w:numFmt w:val="bullet"/>
        <w:lvlText w:val=""/>
        <w:lvlJc w:val="left"/>
        <w:pPr>
          <w:tabs>
            <w:tab w:val="num" w:pos="1440"/>
          </w:tabs>
          <w:ind w:left="1440" w:hanging="360"/>
        </w:pPr>
        <w:rPr>
          <w:rFonts w:ascii="Symbol" w:hAnsi="Symbol" w:hint="default"/>
          <w:sz w:val="20"/>
        </w:rPr>
      </w:lvl>
    </w:lvlOverride>
  </w:num>
  <w:num w:numId="12">
    <w:abstractNumId w:val="18"/>
    <w:lvlOverride w:ilvl="1">
      <w:lvl w:ilvl="1">
        <w:numFmt w:val="bullet"/>
        <w:lvlText w:val=""/>
        <w:lvlJc w:val="left"/>
        <w:pPr>
          <w:tabs>
            <w:tab w:val="num" w:pos="1440"/>
          </w:tabs>
          <w:ind w:left="1440" w:hanging="360"/>
        </w:pPr>
        <w:rPr>
          <w:rFonts w:ascii="Symbol" w:hAnsi="Symbol" w:hint="default"/>
          <w:sz w:val="20"/>
        </w:rPr>
      </w:lvl>
    </w:lvlOverride>
  </w:num>
  <w:num w:numId="13">
    <w:abstractNumId w:val="18"/>
    <w:lvlOverride w:ilvl="1">
      <w:lvl w:ilvl="1">
        <w:numFmt w:val="bullet"/>
        <w:lvlText w:val=""/>
        <w:lvlJc w:val="left"/>
        <w:pPr>
          <w:tabs>
            <w:tab w:val="num" w:pos="1440"/>
          </w:tabs>
          <w:ind w:left="1440" w:hanging="360"/>
        </w:pPr>
        <w:rPr>
          <w:rFonts w:ascii="Symbol" w:hAnsi="Symbol" w:hint="default"/>
          <w:sz w:val="20"/>
        </w:rPr>
      </w:lvl>
    </w:lvlOverride>
  </w:num>
  <w:num w:numId="14">
    <w:abstractNumId w:val="18"/>
    <w:lvlOverride w:ilvl="1">
      <w:lvl w:ilvl="1">
        <w:numFmt w:val="bullet"/>
        <w:lvlText w:val=""/>
        <w:lvlJc w:val="left"/>
        <w:pPr>
          <w:tabs>
            <w:tab w:val="num" w:pos="1440"/>
          </w:tabs>
          <w:ind w:left="1440" w:hanging="360"/>
        </w:pPr>
        <w:rPr>
          <w:rFonts w:ascii="Symbol" w:hAnsi="Symbol" w:hint="default"/>
          <w:sz w:val="20"/>
        </w:rPr>
      </w:lvl>
    </w:lvlOverride>
  </w:num>
  <w:num w:numId="15">
    <w:abstractNumId w:val="18"/>
    <w:lvlOverride w:ilvl="1">
      <w:lvl w:ilvl="1">
        <w:numFmt w:val="bullet"/>
        <w:lvlText w:val=""/>
        <w:lvlJc w:val="left"/>
        <w:pPr>
          <w:tabs>
            <w:tab w:val="num" w:pos="1440"/>
          </w:tabs>
          <w:ind w:left="1440" w:hanging="360"/>
        </w:pPr>
        <w:rPr>
          <w:rFonts w:ascii="Symbol" w:hAnsi="Symbol" w:hint="default"/>
          <w:sz w:val="20"/>
        </w:rPr>
      </w:lvl>
    </w:lvlOverride>
  </w:num>
  <w:num w:numId="16">
    <w:abstractNumId w:val="18"/>
    <w:lvlOverride w:ilvl="1">
      <w:lvl w:ilvl="1">
        <w:numFmt w:val="bullet"/>
        <w:lvlText w:val=""/>
        <w:lvlJc w:val="left"/>
        <w:pPr>
          <w:tabs>
            <w:tab w:val="num" w:pos="1440"/>
          </w:tabs>
          <w:ind w:left="1440" w:hanging="360"/>
        </w:pPr>
        <w:rPr>
          <w:rFonts w:ascii="Symbol" w:hAnsi="Symbol" w:hint="default"/>
          <w:sz w:val="20"/>
        </w:rPr>
      </w:lvl>
    </w:lvlOverride>
  </w:num>
  <w:num w:numId="17">
    <w:abstractNumId w:val="4"/>
  </w:num>
  <w:num w:numId="18">
    <w:abstractNumId w:val="26"/>
  </w:num>
  <w:num w:numId="19">
    <w:abstractNumId w:val="12"/>
  </w:num>
  <w:num w:numId="20">
    <w:abstractNumId w:val="33"/>
  </w:num>
  <w:num w:numId="21">
    <w:abstractNumId w:val="36"/>
  </w:num>
  <w:num w:numId="22">
    <w:abstractNumId w:val="0"/>
  </w:num>
  <w:num w:numId="23">
    <w:abstractNumId w:val="34"/>
  </w:num>
  <w:num w:numId="24">
    <w:abstractNumId w:val="11"/>
  </w:num>
  <w:num w:numId="25">
    <w:abstractNumId w:val="23"/>
  </w:num>
  <w:num w:numId="26">
    <w:abstractNumId w:val="35"/>
  </w:num>
  <w:num w:numId="27">
    <w:abstractNumId w:val="31"/>
  </w:num>
  <w:num w:numId="28">
    <w:abstractNumId w:val="32"/>
  </w:num>
  <w:num w:numId="29">
    <w:abstractNumId w:val="5"/>
  </w:num>
  <w:num w:numId="30">
    <w:abstractNumId w:val="14"/>
  </w:num>
  <w:num w:numId="31">
    <w:abstractNumId w:val="3"/>
  </w:num>
  <w:num w:numId="32">
    <w:abstractNumId w:val="30"/>
  </w:num>
  <w:num w:numId="33">
    <w:abstractNumId w:val="19"/>
  </w:num>
  <w:num w:numId="34">
    <w:abstractNumId w:val="9"/>
  </w:num>
  <w:num w:numId="35">
    <w:abstractNumId w:val="38"/>
  </w:num>
  <w:num w:numId="36">
    <w:abstractNumId w:val="13"/>
  </w:num>
  <w:num w:numId="37">
    <w:abstractNumId w:val="20"/>
  </w:num>
  <w:num w:numId="38">
    <w:abstractNumId w:val="25"/>
  </w:num>
  <w:num w:numId="39">
    <w:abstractNumId w:val="2"/>
  </w:num>
  <w:num w:numId="40">
    <w:abstractNumId w:val="10"/>
  </w:num>
  <w:num w:numId="41">
    <w:abstractNumId w:val="39"/>
  </w:num>
  <w:num w:numId="42">
    <w:abstractNumId w:val="15"/>
  </w:num>
  <w:num w:numId="43">
    <w:abstractNumId w:val="7"/>
  </w:num>
  <w:num w:numId="44">
    <w:abstractNumId w:val="21"/>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543"/>
    <w:rsid w:val="00025385"/>
    <w:rsid w:val="00025938"/>
    <w:rsid w:val="00061DEB"/>
    <w:rsid w:val="00061FA7"/>
    <w:rsid w:val="000726F2"/>
    <w:rsid w:val="000A0245"/>
    <w:rsid w:val="000C769C"/>
    <w:rsid w:val="000D35E8"/>
    <w:rsid w:val="000D7A7A"/>
    <w:rsid w:val="0012136D"/>
    <w:rsid w:val="00136BB8"/>
    <w:rsid w:val="001775A3"/>
    <w:rsid w:val="0018398B"/>
    <w:rsid w:val="0018596B"/>
    <w:rsid w:val="001A3FF0"/>
    <w:rsid w:val="001A57E3"/>
    <w:rsid w:val="001A62C3"/>
    <w:rsid w:val="001A6D2B"/>
    <w:rsid w:val="001B0431"/>
    <w:rsid w:val="001B3DC9"/>
    <w:rsid w:val="001D22AE"/>
    <w:rsid w:val="001D6BA7"/>
    <w:rsid w:val="001D6DD2"/>
    <w:rsid w:val="001E4035"/>
    <w:rsid w:val="001E7CB3"/>
    <w:rsid w:val="002106CA"/>
    <w:rsid w:val="00217657"/>
    <w:rsid w:val="00234E09"/>
    <w:rsid w:val="00246452"/>
    <w:rsid w:val="002666F0"/>
    <w:rsid w:val="0027415B"/>
    <w:rsid w:val="002767CC"/>
    <w:rsid w:val="002804E7"/>
    <w:rsid w:val="002816F1"/>
    <w:rsid w:val="002A5D47"/>
    <w:rsid w:val="002C6371"/>
    <w:rsid w:val="00303297"/>
    <w:rsid w:val="00306208"/>
    <w:rsid w:val="0034775B"/>
    <w:rsid w:val="00377158"/>
    <w:rsid w:val="003A0894"/>
    <w:rsid w:val="003A13D3"/>
    <w:rsid w:val="003A43D4"/>
    <w:rsid w:val="003B46B4"/>
    <w:rsid w:val="003B6B4E"/>
    <w:rsid w:val="003C54BD"/>
    <w:rsid w:val="003D5960"/>
    <w:rsid w:val="003D7D26"/>
    <w:rsid w:val="003F27AC"/>
    <w:rsid w:val="003F2F9B"/>
    <w:rsid w:val="003F4A2C"/>
    <w:rsid w:val="004369C8"/>
    <w:rsid w:val="0044305A"/>
    <w:rsid w:val="00477779"/>
    <w:rsid w:val="0048587B"/>
    <w:rsid w:val="004A1922"/>
    <w:rsid w:val="004B4A9E"/>
    <w:rsid w:val="004D6840"/>
    <w:rsid w:val="004E0868"/>
    <w:rsid w:val="0053419C"/>
    <w:rsid w:val="005712F7"/>
    <w:rsid w:val="00573331"/>
    <w:rsid w:val="00596D3F"/>
    <w:rsid w:val="005A15F8"/>
    <w:rsid w:val="005A26C0"/>
    <w:rsid w:val="005A2C5E"/>
    <w:rsid w:val="005C2CDA"/>
    <w:rsid w:val="005D179A"/>
    <w:rsid w:val="005D6A9F"/>
    <w:rsid w:val="005F1E34"/>
    <w:rsid w:val="005F6DF0"/>
    <w:rsid w:val="005F710E"/>
    <w:rsid w:val="005F7A31"/>
    <w:rsid w:val="00603056"/>
    <w:rsid w:val="00605332"/>
    <w:rsid w:val="00610F47"/>
    <w:rsid w:val="0061262E"/>
    <w:rsid w:val="0061350C"/>
    <w:rsid w:val="00616894"/>
    <w:rsid w:val="006342D8"/>
    <w:rsid w:val="00635F21"/>
    <w:rsid w:val="0065192A"/>
    <w:rsid w:val="00652967"/>
    <w:rsid w:val="006573BF"/>
    <w:rsid w:val="00665E41"/>
    <w:rsid w:val="00667CA2"/>
    <w:rsid w:val="0067316C"/>
    <w:rsid w:val="00673541"/>
    <w:rsid w:val="006A148A"/>
    <w:rsid w:val="006A1CC2"/>
    <w:rsid w:val="006A1E5C"/>
    <w:rsid w:val="006A399D"/>
    <w:rsid w:val="006B54F1"/>
    <w:rsid w:val="006C6B24"/>
    <w:rsid w:val="006D5C31"/>
    <w:rsid w:val="0071510C"/>
    <w:rsid w:val="00726BF1"/>
    <w:rsid w:val="00733C00"/>
    <w:rsid w:val="007415ED"/>
    <w:rsid w:val="007477F0"/>
    <w:rsid w:val="00752A37"/>
    <w:rsid w:val="007617A9"/>
    <w:rsid w:val="00772283"/>
    <w:rsid w:val="00780CD1"/>
    <w:rsid w:val="007835AB"/>
    <w:rsid w:val="00790980"/>
    <w:rsid w:val="007A4790"/>
    <w:rsid w:val="007B47A7"/>
    <w:rsid w:val="007C0D02"/>
    <w:rsid w:val="007D6347"/>
    <w:rsid w:val="007D781E"/>
    <w:rsid w:val="007E7431"/>
    <w:rsid w:val="007F25EA"/>
    <w:rsid w:val="00811B71"/>
    <w:rsid w:val="008303B8"/>
    <w:rsid w:val="00840CE8"/>
    <w:rsid w:val="0084452C"/>
    <w:rsid w:val="00850EDE"/>
    <w:rsid w:val="00895F48"/>
    <w:rsid w:val="008A1462"/>
    <w:rsid w:val="008A25EF"/>
    <w:rsid w:val="008D00C9"/>
    <w:rsid w:val="008D1F66"/>
    <w:rsid w:val="008D45BD"/>
    <w:rsid w:val="008E687A"/>
    <w:rsid w:val="008F17DA"/>
    <w:rsid w:val="00901EB1"/>
    <w:rsid w:val="009069C7"/>
    <w:rsid w:val="009167B7"/>
    <w:rsid w:val="00934F5F"/>
    <w:rsid w:val="00936855"/>
    <w:rsid w:val="00954E74"/>
    <w:rsid w:val="0097093C"/>
    <w:rsid w:val="00974EF0"/>
    <w:rsid w:val="00993042"/>
    <w:rsid w:val="00994686"/>
    <w:rsid w:val="0099797A"/>
    <w:rsid w:val="009A7E04"/>
    <w:rsid w:val="009F460F"/>
    <w:rsid w:val="009F649F"/>
    <w:rsid w:val="009F7A75"/>
    <w:rsid w:val="00A2170D"/>
    <w:rsid w:val="00A261C6"/>
    <w:rsid w:val="00A308CF"/>
    <w:rsid w:val="00A31204"/>
    <w:rsid w:val="00A3510E"/>
    <w:rsid w:val="00A528BF"/>
    <w:rsid w:val="00A603DC"/>
    <w:rsid w:val="00A66953"/>
    <w:rsid w:val="00A87D8A"/>
    <w:rsid w:val="00A93823"/>
    <w:rsid w:val="00AA13B0"/>
    <w:rsid w:val="00AB118C"/>
    <w:rsid w:val="00AC2E4B"/>
    <w:rsid w:val="00AC5DE4"/>
    <w:rsid w:val="00AD56DE"/>
    <w:rsid w:val="00AE67BA"/>
    <w:rsid w:val="00B01F52"/>
    <w:rsid w:val="00B031DF"/>
    <w:rsid w:val="00B12C48"/>
    <w:rsid w:val="00B21C7A"/>
    <w:rsid w:val="00B31F9F"/>
    <w:rsid w:val="00B34417"/>
    <w:rsid w:val="00B4194F"/>
    <w:rsid w:val="00B523AA"/>
    <w:rsid w:val="00B7407C"/>
    <w:rsid w:val="00B84688"/>
    <w:rsid w:val="00BA423C"/>
    <w:rsid w:val="00BA4814"/>
    <w:rsid w:val="00BC5DF8"/>
    <w:rsid w:val="00BE406C"/>
    <w:rsid w:val="00BE779F"/>
    <w:rsid w:val="00C0374D"/>
    <w:rsid w:val="00C106DA"/>
    <w:rsid w:val="00C26485"/>
    <w:rsid w:val="00C50907"/>
    <w:rsid w:val="00C605CD"/>
    <w:rsid w:val="00C663B6"/>
    <w:rsid w:val="00C71FA7"/>
    <w:rsid w:val="00C75F52"/>
    <w:rsid w:val="00CA3021"/>
    <w:rsid w:val="00CA706B"/>
    <w:rsid w:val="00CC3579"/>
    <w:rsid w:val="00CD2ADA"/>
    <w:rsid w:val="00CE008F"/>
    <w:rsid w:val="00CE2525"/>
    <w:rsid w:val="00D30100"/>
    <w:rsid w:val="00D33543"/>
    <w:rsid w:val="00D357A3"/>
    <w:rsid w:val="00D46722"/>
    <w:rsid w:val="00D5071E"/>
    <w:rsid w:val="00D520F9"/>
    <w:rsid w:val="00D53D0F"/>
    <w:rsid w:val="00D56182"/>
    <w:rsid w:val="00D6101C"/>
    <w:rsid w:val="00D71969"/>
    <w:rsid w:val="00D7644D"/>
    <w:rsid w:val="00D8091F"/>
    <w:rsid w:val="00D82276"/>
    <w:rsid w:val="00D85385"/>
    <w:rsid w:val="00DA4823"/>
    <w:rsid w:val="00DA558B"/>
    <w:rsid w:val="00DB7146"/>
    <w:rsid w:val="00DC592F"/>
    <w:rsid w:val="00DF77F4"/>
    <w:rsid w:val="00E2798B"/>
    <w:rsid w:val="00E32776"/>
    <w:rsid w:val="00E40B15"/>
    <w:rsid w:val="00E4533E"/>
    <w:rsid w:val="00E517C4"/>
    <w:rsid w:val="00E60E3C"/>
    <w:rsid w:val="00E76E3D"/>
    <w:rsid w:val="00E83149"/>
    <w:rsid w:val="00E91418"/>
    <w:rsid w:val="00EA6361"/>
    <w:rsid w:val="00EC6002"/>
    <w:rsid w:val="00EC6B5A"/>
    <w:rsid w:val="00ED333E"/>
    <w:rsid w:val="00EF48BD"/>
    <w:rsid w:val="00F52750"/>
    <w:rsid w:val="00F656F8"/>
    <w:rsid w:val="00F81BDE"/>
    <w:rsid w:val="00F937C2"/>
    <w:rsid w:val="00F93AB1"/>
    <w:rsid w:val="00F95110"/>
    <w:rsid w:val="00FB33B3"/>
    <w:rsid w:val="00FC6B20"/>
    <w:rsid w:val="00FC6C7A"/>
    <w:rsid w:val="00FD635E"/>
    <w:rsid w:val="00FE3379"/>
    <w:rsid w:val="00FE360F"/>
    <w:rsid w:val="00FF68E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F31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3543"/>
    <w:pPr>
      <w:spacing w:after="200" w:line="276" w:lineRule="auto"/>
    </w:pPr>
  </w:style>
  <w:style w:type="paragraph" w:styleId="Heading1">
    <w:name w:val="heading 1"/>
    <w:basedOn w:val="Normal"/>
    <w:next w:val="Normal"/>
    <w:link w:val="Heading1Char"/>
    <w:uiPriority w:val="99"/>
    <w:qFormat/>
    <w:rsid w:val="00D33543"/>
    <w:pPr>
      <w:keepNext/>
      <w:keepLines/>
      <w:spacing w:before="240" w:after="0"/>
      <w:outlineLvl w:val="0"/>
    </w:pPr>
    <w:rPr>
      <w:rFonts w:asciiTheme="majorHAnsi" w:eastAsiaTheme="majorEastAsia" w:hAnsiTheme="majorHAnsi" w:cstheme="majorBidi"/>
      <w:color w:val="2A7D7D" w:themeColor="accent1" w:themeShade="BF"/>
      <w:sz w:val="32"/>
      <w:szCs w:val="32"/>
      <w:lang w:eastAsia="zh-TW"/>
    </w:rPr>
  </w:style>
  <w:style w:type="paragraph" w:styleId="Heading2">
    <w:name w:val="heading 2"/>
    <w:basedOn w:val="Normal"/>
    <w:next w:val="Normal"/>
    <w:link w:val="Heading2Char"/>
    <w:uiPriority w:val="99"/>
    <w:unhideWhenUsed/>
    <w:qFormat/>
    <w:rsid w:val="00D33543"/>
    <w:pPr>
      <w:keepNext/>
      <w:keepLines/>
      <w:spacing w:before="40" w:after="0"/>
      <w:outlineLvl w:val="1"/>
    </w:pPr>
    <w:rPr>
      <w:rFonts w:asciiTheme="majorHAnsi" w:eastAsiaTheme="majorEastAsia" w:hAnsiTheme="majorHAnsi" w:cstheme="majorBidi"/>
      <w:color w:val="2A7D7D" w:themeColor="accent1" w:themeShade="BF"/>
      <w:sz w:val="26"/>
      <w:szCs w:val="26"/>
      <w:lang w:eastAsia="zh-TW"/>
    </w:rPr>
  </w:style>
  <w:style w:type="paragraph" w:styleId="Heading3">
    <w:name w:val="heading 3"/>
    <w:basedOn w:val="Normal"/>
    <w:next w:val="Normal"/>
    <w:link w:val="Heading3Char"/>
    <w:uiPriority w:val="99"/>
    <w:unhideWhenUsed/>
    <w:qFormat/>
    <w:rsid w:val="00D33543"/>
    <w:pPr>
      <w:keepNext/>
      <w:keepLines/>
      <w:spacing w:before="40" w:after="0"/>
      <w:outlineLvl w:val="2"/>
    </w:pPr>
    <w:rPr>
      <w:rFonts w:asciiTheme="majorHAnsi" w:eastAsiaTheme="majorEastAsia" w:hAnsiTheme="majorHAnsi" w:cstheme="majorBidi"/>
      <w:color w:val="1B5353" w:themeColor="accent1" w:themeShade="7F"/>
      <w:sz w:val="24"/>
      <w:szCs w:val="24"/>
      <w:lang w:eastAsia="zh-TW"/>
    </w:rPr>
  </w:style>
  <w:style w:type="paragraph" w:styleId="Heading4">
    <w:name w:val="heading 4"/>
    <w:basedOn w:val="Normal"/>
    <w:next w:val="Normal"/>
    <w:link w:val="Heading4Char"/>
    <w:uiPriority w:val="9"/>
    <w:semiHidden/>
    <w:unhideWhenUsed/>
    <w:qFormat/>
    <w:rsid w:val="003F4A2C"/>
    <w:pPr>
      <w:keepNext/>
      <w:keepLines/>
      <w:spacing w:before="40" w:after="0"/>
      <w:outlineLvl w:val="3"/>
    </w:pPr>
    <w:rPr>
      <w:rFonts w:asciiTheme="majorHAnsi" w:eastAsiaTheme="majorEastAsia" w:hAnsiTheme="majorHAnsi" w:cstheme="majorBidi"/>
      <w:i/>
      <w:iCs/>
      <w:color w:val="2A7D7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33543"/>
    <w:rPr>
      <w:rFonts w:asciiTheme="majorHAnsi" w:eastAsiaTheme="majorEastAsia" w:hAnsiTheme="majorHAnsi" w:cstheme="majorBidi"/>
      <w:color w:val="2A7D7D" w:themeColor="accent1" w:themeShade="BF"/>
      <w:sz w:val="32"/>
      <w:szCs w:val="32"/>
      <w:lang w:eastAsia="zh-TW"/>
    </w:rPr>
  </w:style>
  <w:style w:type="character" w:customStyle="1" w:styleId="Heading2Char">
    <w:name w:val="Heading 2 Char"/>
    <w:basedOn w:val="DefaultParagraphFont"/>
    <w:link w:val="Heading2"/>
    <w:uiPriority w:val="99"/>
    <w:rsid w:val="00D33543"/>
    <w:rPr>
      <w:rFonts w:asciiTheme="majorHAnsi" w:eastAsiaTheme="majorEastAsia" w:hAnsiTheme="majorHAnsi" w:cstheme="majorBidi"/>
      <w:color w:val="2A7D7D" w:themeColor="accent1" w:themeShade="BF"/>
      <w:sz w:val="26"/>
      <w:szCs w:val="26"/>
      <w:lang w:eastAsia="zh-TW"/>
    </w:rPr>
  </w:style>
  <w:style w:type="character" w:customStyle="1" w:styleId="Heading3Char">
    <w:name w:val="Heading 3 Char"/>
    <w:basedOn w:val="DefaultParagraphFont"/>
    <w:link w:val="Heading3"/>
    <w:uiPriority w:val="99"/>
    <w:rsid w:val="00D33543"/>
    <w:rPr>
      <w:rFonts w:asciiTheme="majorHAnsi" w:eastAsiaTheme="majorEastAsia" w:hAnsiTheme="majorHAnsi" w:cstheme="majorBidi"/>
      <w:color w:val="1B5353" w:themeColor="accent1" w:themeShade="7F"/>
      <w:sz w:val="24"/>
      <w:szCs w:val="24"/>
      <w:lang w:eastAsia="zh-TW"/>
    </w:rPr>
  </w:style>
  <w:style w:type="paragraph" w:styleId="NormalWeb">
    <w:name w:val="Normal (Web)"/>
    <w:basedOn w:val="Normal"/>
    <w:uiPriority w:val="99"/>
    <w:unhideWhenUsed/>
    <w:rsid w:val="002804E7"/>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Title">
    <w:name w:val="Title"/>
    <w:basedOn w:val="Normal"/>
    <w:next w:val="Normal"/>
    <w:link w:val="TitleChar"/>
    <w:uiPriority w:val="10"/>
    <w:qFormat/>
    <w:rsid w:val="002804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4E7"/>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4D6840"/>
    <w:rPr>
      <w:i/>
      <w:iCs/>
    </w:rPr>
  </w:style>
  <w:style w:type="character" w:styleId="IntenseEmphasis">
    <w:name w:val="Intense Emphasis"/>
    <w:basedOn w:val="DefaultParagraphFont"/>
    <w:uiPriority w:val="21"/>
    <w:qFormat/>
    <w:rsid w:val="004D6840"/>
    <w:rPr>
      <w:i/>
      <w:iCs/>
      <w:color w:val="38A8A8" w:themeColor="accent1"/>
    </w:rPr>
  </w:style>
  <w:style w:type="character" w:styleId="CommentReference">
    <w:name w:val="annotation reference"/>
    <w:basedOn w:val="DefaultParagraphFont"/>
    <w:uiPriority w:val="99"/>
    <w:semiHidden/>
    <w:unhideWhenUsed/>
    <w:rsid w:val="00850EDE"/>
    <w:rPr>
      <w:sz w:val="16"/>
      <w:szCs w:val="16"/>
    </w:rPr>
  </w:style>
  <w:style w:type="paragraph" w:styleId="CommentText">
    <w:name w:val="annotation text"/>
    <w:basedOn w:val="Normal"/>
    <w:link w:val="CommentTextChar"/>
    <w:uiPriority w:val="99"/>
    <w:unhideWhenUsed/>
    <w:rsid w:val="00850EDE"/>
    <w:pPr>
      <w:spacing w:line="240" w:lineRule="auto"/>
    </w:pPr>
    <w:rPr>
      <w:sz w:val="20"/>
      <w:szCs w:val="20"/>
    </w:rPr>
  </w:style>
  <w:style w:type="character" w:customStyle="1" w:styleId="CommentTextChar">
    <w:name w:val="Comment Text Char"/>
    <w:basedOn w:val="DefaultParagraphFont"/>
    <w:link w:val="CommentText"/>
    <w:uiPriority w:val="99"/>
    <w:rsid w:val="00850EDE"/>
    <w:rPr>
      <w:sz w:val="20"/>
      <w:szCs w:val="20"/>
    </w:rPr>
  </w:style>
  <w:style w:type="paragraph" w:styleId="CommentSubject">
    <w:name w:val="annotation subject"/>
    <w:basedOn w:val="CommentText"/>
    <w:next w:val="CommentText"/>
    <w:link w:val="CommentSubjectChar"/>
    <w:uiPriority w:val="99"/>
    <w:semiHidden/>
    <w:unhideWhenUsed/>
    <w:rsid w:val="00850EDE"/>
    <w:rPr>
      <w:b/>
      <w:bCs/>
    </w:rPr>
  </w:style>
  <w:style w:type="character" w:customStyle="1" w:styleId="CommentSubjectChar">
    <w:name w:val="Comment Subject Char"/>
    <w:basedOn w:val="CommentTextChar"/>
    <w:link w:val="CommentSubject"/>
    <w:uiPriority w:val="99"/>
    <w:semiHidden/>
    <w:rsid w:val="00850EDE"/>
    <w:rPr>
      <w:b/>
      <w:bCs/>
      <w:sz w:val="20"/>
      <w:szCs w:val="20"/>
    </w:rPr>
  </w:style>
  <w:style w:type="paragraph" w:styleId="BalloonText">
    <w:name w:val="Balloon Text"/>
    <w:basedOn w:val="Normal"/>
    <w:link w:val="BalloonTextChar"/>
    <w:uiPriority w:val="99"/>
    <w:semiHidden/>
    <w:unhideWhenUsed/>
    <w:rsid w:val="00850E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0EDE"/>
    <w:rPr>
      <w:rFonts w:ascii="Segoe UI" w:hAnsi="Segoe UI" w:cs="Segoe UI"/>
      <w:sz w:val="18"/>
      <w:szCs w:val="18"/>
    </w:rPr>
  </w:style>
  <w:style w:type="character" w:customStyle="1" w:styleId="cosearchterm">
    <w:name w:val="co_searchterm"/>
    <w:basedOn w:val="DefaultParagraphFont"/>
    <w:rsid w:val="00F52750"/>
  </w:style>
  <w:style w:type="paragraph" w:styleId="Header">
    <w:name w:val="header"/>
    <w:basedOn w:val="Normal"/>
    <w:link w:val="HeaderChar"/>
    <w:uiPriority w:val="99"/>
    <w:unhideWhenUsed/>
    <w:rsid w:val="00F52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750"/>
  </w:style>
  <w:style w:type="paragraph" w:styleId="Footer">
    <w:name w:val="footer"/>
    <w:basedOn w:val="Normal"/>
    <w:link w:val="FooterChar"/>
    <w:uiPriority w:val="99"/>
    <w:unhideWhenUsed/>
    <w:rsid w:val="00F52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750"/>
  </w:style>
  <w:style w:type="character" w:styleId="Hyperlink">
    <w:name w:val="Hyperlink"/>
    <w:basedOn w:val="DefaultParagraphFont"/>
    <w:uiPriority w:val="99"/>
    <w:unhideWhenUsed/>
    <w:rsid w:val="001A62C3"/>
    <w:rPr>
      <w:color w:val="0000FF"/>
      <w:u w:val="single"/>
    </w:rPr>
  </w:style>
  <w:style w:type="paragraph" w:styleId="FootnoteText">
    <w:name w:val="footnote text"/>
    <w:basedOn w:val="Normal"/>
    <w:link w:val="FootnoteTextChar"/>
    <w:uiPriority w:val="99"/>
    <w:unhideWhenUsed/>
    <w:rsid w:val="001A62C3"/>
    <w:pPr>
      <w:spacing w:after="0" w:line="240" w:lineRule="auto"/>
    </w:pPr>
    <w:rPr>
      <w:sz w:val="20"/>
      <w:szCs w:val="20"/>
    </w:rPr>
  </w:style>
  <w:style w:type="character" w:customStyle="1" w:styleId="FootnoteTextChar">
    <w:name w:val="Footnote Text Char"/>
    <w:basedOn w:val="DefaultParagraphFont"/>
    <w:link w:val="FootnoteText"/>
    <w:uiPriority w:val="99"/>
    <w:rsid w:val="001A62C3"/>
    <w:rPr>
      <w:sz w:val="20"/>
      <w:szCs w:val="20"/>
    </w:rPr>
  </w:style>
  <w:style w:type="character" w:styleId="FootnoteReference">
    <w:name w:val="footnote reference"/>
    <w:basedOn w:val="DefaultParagraphFont"/>
    <w:uiPriority w:val="99"/>
    <w:semiHidden/>
    <w:unhideWhenUsed/>
    <w:rsid w:val="001A62C3"/>
    <w:rPr>
      <w:vertAlign w:val="superscript"/>
    </w:rPr>
  </w:style>
  <w:style w:type="paragraph" w:customStyle="1" w:styleId="PRfootnote">
    <w:name w:val="PRfootnote"/>
    <w:basedOn w:val="FootnoteText"/>
    <w:link w:val="PRfootnoteChar"/>
    <w:qFormat/>
    <w:rsid w:val="001A62C3"/>
    <w:pPr>
      <w:ind w:left="284" w:hanging="284"/>
    </w:pPr>
    <w:rPr>
      <w:rFonts w:ascii="Calibri" w:eastAsia="Calibri" w:hAnsi="Calibri" w:cs="Calibri"/>
      <w:lang w:eastAsia="en-NZ"/>
    </w:rPr>
  </w:style>
  <w:style w:type="character" w:customStyle="1" w:styleId="PRfootnoteChar">
    <w:name w:val="PRfootnote Char"/>
    <w:basedOn w:val="FootnoteTextChar"/>
    <w:link w:val="PRfootnote"/>
    <w:rsid w:val="001A62C3"/>
    <w:rPr>
      <w:rFonts w:ascii="Calibri" w:eastAsia="Calibri" w:hAnsi="Calibri" w:cs="Calibri"/>
      <w:sz w:val="20"/>
      <w:szCs w:val="20"/>
      <w:lang w:eastAsia="en-NZ"/>
    </w:rPr>
  </w:style>
  <w:style w:type="paragraph" w:customStyle="1" w:styleId="header2">
    <w:name w:val="header 2*"/>
    <w:basedOn w:val="Heading3"/>
    <w:link w:val="header2Char"/>
    <w:qFormat/>
    <w:rsid w:val="009F7A75"/>
    <w:pPr>
      <w:keepNext w:val="0"/>
      <w:keepLines w:val="0"/>
      <w:spacing w:before="240" w:after="240" w:line="240" w:lineRule="auto"/>
    </w:pPr>
    <w:rPr>
      <w:b/>
      <w:color w:val="40395F"/>
      <w:sz w:val="36"/>
      <w:lang w:val="en-US"/>
    </w:rPr>
  </w:style>
  <w:style w:type="character" w:customStyle="1" w:styleId="header2Char">
    <w:name w:val="header 2* Char"/>
    <w:basedOn w:val="Heading3Char"/>
    <w:link w:val="header2"/>
    <w:rsid w:val="009F7A75"/>
    <w:rPr>
      <w:rFonts w:asciiTheme="majorHAnsi" w:eastAsiaTheme="majorEastAsia" w:hAnsiTheme="majorHAnsi" w:cstheme="majorBidi"/>
      <w:b/>
      <w:color w:val="40395F"/>
      <w:sz w:val="36"/>
      <w:szCs w:val="24"/>
      <w:lang w:val="en-US" w:eastAsia="zh-TW"/>
    </w:rPr>
  </w:style>
  <w:style w:type="character" w:customStyle="1" w:styleId="cf01">
    <w:name w:val="cf01"/>
    <w:basedOn w:val="DefaultParagraphFont"/>
    <w:rsid w:val="009F7A75"/>
    <w:rPr>
      <w:rFonts w:ascii="Segoe UI" w:hAnsi="Segoe UI" w:cs="Segoe UI" w:hint="default"/>
      <w:sz w:val="18"/>
      <w:szCs w:val="18"/>
    </w:rPr>
  </w:style>
  <w:style w:type="paragraph" w:customStyle="1" w:styleId="header1">
    <w:name w:val="header 1*"/>
    <w:basedOn w:val="Normal"/>
    <w:link w:val="header1Char"/>
    <w:qFormat/>
    <w:rsid w:val="009F7A75"/>
    <w:pPr>
      <w:spacing w:before="120" w:after="120" w:line="240" w:lineRule="auto"/>
      <w:outlineLvl w:val="1"/>
    </w:pPr>
    <w:rPr>
      <w:rFonts w:asciiTheme="majorHAnsi" w:hAnsiTheme="majorHAnsi"/>
      <w:b/>
      <w:color w:val="2C9AA0"/>
      <w:sz w:val="48"/>
      <w:szCs w:val="24"/>
      <w:lang w:val="en-US"/>
    </w:rPr>
  </w:style>
  <w:style w:type="character" w:customStyle="1" w:styleId="header1Char">
    <w:name w:val="header 1* Char"/>
    <w:basedOn w:val="DefaultParagraphFont"/>
    <w:link w:val="header1"/>
    <w:rsid w:val="009F7A75"/>
    <w:rPr>
      <w:rFonts w:asciiTheme="majorHAnsi" w:hAnsiTheme="majorHAnsi"/>
      <w:b/>
      <w:color w:val="2C9AA0"/>
      <w:sz w:val="48"/>
      <w:szCs w:val="24"/>
      <w:lang w:val="en-US"/>
    </w:rPr>
  </w:style>
  <w:style w:type="paragraph" w:styleId="ListParagraph">
    <w:name w:val="List Paragraph"/>
    <w:basedOn w:val="Normal"/>
    <w:uiPriority w:val="34"/>
    <w:qFormat/>
    <w:rsid w:val="009F7A75"/>
    <w:pPr>
      <w:spacing w:after="160" w:line="259" w:lineRule="auto"/>
      <w:ind w:left="720"/>
      <w:contextualSpacing/>
    </w:pPr>
  </w:style>
  <w:style w:type="character" w:customStyle="1" w:styleId="markedcontent">
    <w:name w:val="markedcontent"/>
    <w:basedOn w:val="DefaultParagraphFont"/>
    <w:rsid w:val="009F7A75"/>
  </w:style>
  <w:style w:type="paragraph" w:customStyle="1" w:styleId="Header3">
    <w:name w:val="Header 3*"/>
    <w:basedOn w:val="Heading4"/>
    <w:link w:val="Header3Char"/>
    <w:qFormat/>
    <w:rsid w:val="003F4A2C"/>
    <w:pPr>
      <w:keepNext w:val="0"/>
      <w:keepLines w:val="0"/>
      <w:spacing w:before="120" w:after="120" w:line="240" w:lineRule="auto"/>
    </w:pPr>
    <w:rPr>
      <w:b/>
      <w:iCs w:val="0"/>
      <w:sz w:val="32"/>
      <w:szCs w:val="24"/>
      <w:lang w:val="en-US"/>
    </w:rPr>
  </w:style>
  <w:style w:type="character" w:customStyle="1" w:styleId="Header3Char">
    <w:name w:val="Header 3* Char"/>
    <w:basedOn w:val="Heading4Char"/>
    <w:link w:val="Header3"/>
    <w:rsid w:val="003F4A2C"/>
    <w:rPr>
      <w:rFonts w:asciiTheme="majorHAnsi" w:eastAsiaTheme="majorEastAsia" w:hAnsiTheme="majorHAnsi" w:cstheme="majorBidi"/>
      <w:b/>
      <w:i/>
      <w:iCs w:val="0"/>
      <w:color w:val="2A7D7D" w:themeColor="accent1" w:themeShade="BF"/>
      <w:sz w:val="32"/>
      <w:szCs w:val="24"/>
      <w:lang w:val="en-US"/>
    </w:rPr>
  </w:style>
  <w:style w:type="character" w:customStyle="1" w:styleId="Heading4Char">
    <w:name w:val="Heading 4 Char"/>
    <w:basedOn w:val="DefaultParagraphFont"/>
    <w:link w:val="Heading4"/>
    <w:uiPriority w:val="9"/>
    <w:semiHidden/>
    <w:rsid w:val="003F4A2C"/>
    <w:rPr>
      <w:rFonts w:asciiTheme="majorHAnsi" w:eastAsiaTheme="majorEastAsia" w:hAnsiTheme="majorHAnsi" w:cstheme="majorBidi"/>
      <w:i/>
      <w:iCs/>
      <w:color w:val="2A7D7D" w:themeColor="accent1" w:themeShade="BF"/>
    </w:rPr>
  </w:style>
  <w:style w:type="character" w:styleId="UnresolvedMention">
    <w:name w:val="Unresolved Mention"/>
    <w:basedOn w:val="DefaultParagraphFont"/>
    <w:uiPriority w:val="99"/>
    <w:semiHidden/>
    <w:unhideWhenUsed/>
    <w:rsid w:val="006342D8"/>
    <w:rPr>
      <w:color w:val="605E5C"/>
      <w:shd w:val="clear" w:color="auto" w:fill="E1DFDD"/>
    </w:rPr>
  </w:style>
  <w:style w:type="paragraph" w:customStyle="1" w:styleId="August">
    <w:name w:val="August"/>
    <w:basedOn w:val="Normal"/>
    <w:link w:val="AugustChar"/>
    <w:qFormat/>
    <w:rsid w:val="00EA6361"/>
    <w:pPr>
      <w:pBdr>
        <w:top w:val="nil"/>
        <w:left w:val="nil"/>
        <w:bottom w:val="nil"/>
        <w:right w:val="nil"/>
        <w:between w:val="nil"/>
      </w:pBdr>
      <w:spacing w:before="120" w:after="120" w:line="240" w:lineRule="auto"/>
    </w:pPr>
    <w:rPr>
      <w:rFonts w:ascii="Arial" w:eastAsia="Arial" w:hAnsi="Arial" w:cs="Arial"/>
      <w:b/>
      <w:i/>
      <w:color w:val="000000"/>
      <w:sz w:val="32"/>
      <w:szCs w:val="32"/>
      <w:lang w:eastAsia="en-NZ"/>
    </w:rPr>
  </w:style>
  <w:style w:type="character" w:customStyle="1" w:styleId="AugustChar">
    <w:name w:val="August Char"/>
    <w:basedOn w:val="DefaultParagraphFont"/>
    <w:link w:val="August"/>
    <w:rsid w:val="00EA6361"/>
    <w:rPr>
      <w:rFonts w:ascii="Arial" w:eastAsia="Arial" w:hAnsi="Arial" w:cs="Arial"/>
      <w:b/>
      <w:i/>
      <w:color w:val="000000"/>
      <w:sz w:val="32"/>
      <w:szCs w:val="32"/>
      <w:lang w:eastAsia="en-NZ"/>
    </w:rPr>
  </w:style>
  <w:style w:type="paragraph" w:customStyle="1" w:styleId="August4">
    <w:name w:val="August 4"/>
    <w:basedOn w:val="Heading4"/>
    <w:link w:val="August4Char"/>
    <w:qFormat/>
    <w:rsid w:val="00EA6361"/>
    <w:pPr>
      <w:spacing w:line="259" w:lineRule="auto"/>
    </w:pPr>
    <w:rPr>
      <w:rFonts w:ascii="Arial" w:eastAsia="Arial" w:hAnsi="Arial" w:cs="Arial"/>
      <w:b/>
      <w:iCs w:val="0"/>
      <w:color w:val="297D7D"/>
      <w:sz w:val="28"/>
      <w:szCs w:val="28"/>
      <w:lang w:eastAsia="en-NZ"/>
    </w:rPr>
  </w:style>
  <w:style w:type="character" w:customStyle="1" w:styleId="August4Char">
    <w:name w:val="August 4 Char"/>
    <w:basedOn w:val="Heading4Char"/>
    <w:link w:val="August4"/>
    <w:rsid w:val="00EA6361"/>
    <w:rPr>
      <w:rFonts w:ascii="Arial" w:eastAsia="Arial" w:hAnsi="Arial" w:cs="Arial"/>
      <w:b/>
      <w:i/>
      <w:iCs w:val="0"/>
      <w:color w:val="297D7D"/>
      <w:sz w:val="28"/>
      <w:szCs w:val="28"/>
      <w:lang w:eastAsia="en-NZ"/>
    </w:rPr>
  </w:style>
  <w:style w:type="character" w:customStyle="1" w:styleId="il">
    <w:name w:val="il"/>
    <w:basedOn w:val="DefaultParagraphFont"/>
    <w:rsid w:val="00CA3021"/>
  </w:style>
  <w:style w:type="paragraph" w:styleId="Revision">
    <w:name w:val="Revision"/>
    <w:hidden/>
    <w:uiPriority w:val="99"/>
    <w:semiHidden/>
    <w:rsid w:val="00FB33B3"/>
    <w:pPr>
      <w:spacing w:after="0" w:line="240" w:lineRule="auto"/>
    </w:pPr>
  </w:style>
  <w:style w:type="paragraph" w:styleId="TOCHeading">
    <w:name w:val="TOC Heading"/>
    <w:basedOn w:val="Heading1"/>
    <w:next w:val="Normal"/>
    <w:uiPriority w:val="39"/>
    <w:unhideWhenUsed/>
    <w:qFormat/>
    <w:rsid w:val="00B4194F"/>
    <w:pPr>
      <w:spacing w:line="259" w:lineRule="auto"/>
      <w:outlineLvl w:val="9"/>
    </w:pPr>
    <w:rPr>
      <w:lang w:val="en-US" w:eastAsia="en-US"/>
    </w:rPr>
  </w:style>
  <w:style w:type="paragraph" w:styleId="TOC2">
    <w:name w:val="toc 2"/>
    <w:basedOn w:val="Normal"/>
    <w:next w:val="Normal"/>
    <w:autoRedefine/>
    <w:uiPriority w:val="39"/>
    <w:unhideWhenUsed/>
    <w:rsid w:val="00B4194F"/>
    <w:pPr>
      <w:spacing w:after="100"/>
      <w:ind w:left="220"/>
    </w:pPr>
  </w:style>
  <w:style w:type="paragraph" w:styleId="TOC3">
    <w:name w:val="toc 3"/>
    <w:basedOn w:val="Normal"/>
    <w:next w:val="Normal"/>
    <w:autoRedefine/>
    <w:uiPriority w:val="39"/>
    <w:unhideWhenUsed/>
    <w:rsid w:val="00B4194F"/>
    <w:pPr>
      <w:spacing w:after="100"/>
      <w:ind w:left="440"/>
    </w:pPr>
  </w:style>
  <w:style w:type="character" w:customStyle="1" w:styleId="author">
    <w:name w:val="author"/>
    <w:basedOn w:val="DefaultParagraphFont"/>
    <w:rsid w:val="00E76E3D"/>
  </w:style>
  <w:style w:type="table" w:styleId="TableGrid">
    <w:name w:val="Table Grid"/>
    <w:basedOn w:val="TableNormal"/>
    <w:uiPriority w:val="39"/>
    <w:rsid w:val="00274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573331"/>
    <w:pPr>
      <w:spacing w:before="100" w:beforeAutospacing="1" w:after="100" w:afterAutospacing="1" w:line="240" w:lineRule="auto"/>
    </w:pPr>
    <w:rPr>
      <w:rFonts w:ascii="Times New Roman" w:eastAsia="Times New Roman" w:hAnsi="Times New Roman" w:cs="Times New Roman"/>
      <w:sz w:val="24"/>
      <w:szCs w:val="24"/>
      <w:lang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560682">
      <w:bodyDiv w:val="1"/>
      <w:marLeft w:val="0"/>
      <w:marRight w:val="0"/>
      <w:marTop w:val="0"/>
      <w:marBottom w:val="0"/>
      <w:divBdr>
        <w:top w:val="none" w:sz="0" w:space="0" w:color="auto"/>
        <w:left w:val="none" w:sz="0" w:space="0" w:color="auto"/>
        <w:bottom w:val="none" w:sz="0" w:space="0" w:color="auto"/>
        <w:right w:val="none" w:sz="0" w:space="0" w:color="auto"/>
      </w:divBdr>
    </w:div>
    <w:div w:id="381170585">
      <w:bodyDiv w:val="1"/>
      <w:marLeft w:val="0"/>
      <w:marRight w:val="0"/>
      <w:marTop w:val="0"/>
      <w:marBottom w:val="0"/>
      <w:divBdr>
        <w:top w:val="none" w:sz="0" w:space="0" w:color="auto"/>
        <w:left w:val="none" w:sz="0" w:space="0" w:color="auto"/>
        <w:bottom w:val="none" w:sz="0" w:space="0" w:color="auto"/>
        <w:right w:val="none" w:sz="0" w:space="0" w:color="auto"/>
      </w:divBdr>
    </w:div>
    <w:div w:id="742408210">
      <w:bodyDiv w:val="1"/>
      <w:marLeft w:val="0"/>
      <w:marRight w:val="0"/>
      <w:marTop w:val="0"/>
      <w:marBottom w:val="0"/>
      <w:divBdr>
        <w:top w:val="none" w:sz="0" w:space="0" w:color="auto"/>
        <w:left w:val="none" w:sz="0" w:space="0" w:color="auto"/>
        <w:bottom w:val="none" w:sz="0" w:space="0" w:color="auto"/>
        <w:right w:val="none" w:sz="0" w:space="0" w:color="auto"/>
      </w:divBdr>
      <w:divsChild>
        <w:div w:id="1206482108">
          <w:marLeft w:val="0"/>
          <w:marRight w:val="0"/>
          <w:marTop w:val="0"/>
          <w:marBottom w:val="0"/>
          <w:divBdr>
            <w:top w:val="none" w:sz="0" w:space="0" w:color="auto"/>
            <w:left w:val="none" w:sz="0" w:space="0" w:color="auto"/>
            <w:bottom w:val="none" w:sz="0" w:space="0" w:color="auto"/>
            <w:right w:val="none" w:sz="0" w:space="0" w:color="auto"/>
          </w:divBdr>
        </w:div>
        <w:div w:id="1957827430">
          <w:marLeft w:val="0"/>
          <w:marRight w:val="0"/>
          <w:marTop w:val="0"/>
          <w:marBottom w:val="0"/>
          <w:divBdr>
            <w:top w:val="none" w:sz="0" w:space="0" w:color="auto"/>
            <w:left w:val="none" w:sz="0" w:space="0" w:color="auto"/>
            <w:bottom w:val="none" w:sz="0" w:space="0" w:color="auto"/>
            <w:right w:val="none" w:sz="0" w:space="0" w:color="auto"/>
          </w:divBdr>
        </w:div>
        <w:div w:id="951782967">
          <w:marLeft w:val="0"/>
          <w:marRight w:val="0"/>
          <w:marTop w:val="0"/>
          <w:marBottom w:val="0"/>
          <w:divBdr>
            <w:top w:val="none" w:sz="0" w:space="0" w:color="auto"/>
            <w:left w:val="none" w:sz="0" w:space="0" w:color="auto"/>
            <w:bottom w:val="none" w:sz="0" w:space="0" w:color="auto"/>
            <w:right w:val="none" w:sz="0" w:space="0" w:color="auto"/>
          </w:divBdr>
        </w:div>
        <w:div w:id="1695225005">
          <w:marLeft w:val="0"/>
          <w:marRight w:val="0"/>
          <w:marTop w:val="0"/>
          <w:marBottom w:val="0"/>
          <w:divBdr>
            <w:top w:val="none" w:sz="0" w:space="0" w:color="auto"/>
            <w:left w:val="none" w:sz="0" w:space="0" w:color="auto"/>
            <w:bottom w:val="none" w:sz="0" w:space="0" w:color="auto"/>
            <w:right w:val="none" w:sz="0" w:space="0" w:color="auto"/>
          </w:divBdr>
        </w:div>
      </w:divsChild>
    </w:div>
    <w:div w:id="802113842">
      <w:bodyDiv w:val="1"/>
      <w:marLeft w:val="0"/>
      <w:marRight w:val="0"/>
      <w:marTop w:val="0"/>
      <w:marBottom w:val="0"/>
      <w:divBdr>
        <w:top w:val="none" w:sz="0" w:space="0" w:color="auto"/>
        <w:left w:val="none" w:sz="0" w:space="0" w:color="auto"/>
        <w:bottom w:val="none" w:sz="0" w:space="0" w:color="auto"/>
        <w:right w:val="none" w:sz="0" w:space="0" w:color="auto"/>
      </w:divBdr>
    </w:div>
    <w:div w:id="838810923">
      <w:bodyDiv w:val="1"/>
      <w:marLeft w:val="0"/>
      <w:marRight w:val="0"/>
      <w:marTop w:val="0"/>
      <w:marBottom w:val="0"/>
      <w:divBdr>
        <w:top w:val="none" w:sz="0" w:space="0" w:color="auto"/>
        <w:left w:val="none" w:sz="0" w:space="0" w:color="auto"/>
        <w:bottom w:val="none" w:sz="0" w:space="0" w:color="auto"/>
        <w:right w:val="none" w:sz="0" w:space="0" w:color="auto"/>
      </w:divBdr>
      <w:divsChild>
        <w:div w:id="1287202057">
          <w:marLeft w:val="0"/>
          <w:marRight w:val="0"/>
          <w:marTop w:val="0"/>
          <w:marBottom w:val="0"/>
          <w:divBdr>
            <w:top w:val="none" w:sz="0" w:space="0" w:color="auto"/>
            <w:left w:val="none" w:sz="0" w:space="0" w:color="auto"/>
            <w:bottom w:val="none" w:sz="0" w:space="0" w:color="auto"/>
            <w:right w:val="none" w:sz="0" w:space="0" w:color="auto"/>
          </w:divBdr>
        </w:div>
        <w:div w:id="1736973026">
          <w:marLeft w:val="0"/>
          <w:marRight w:val="0"/>
          <w:marTop w:val="0"/>
          <w:marBottom w:val="0"/>
          <w:divBdr>
            <w:top w:val="none" w:sz="0" w:space="0" w:color="auto"/>
            <w:left w:val="none" w:sz="0" w:space="0" w:color="auto"/>
            <w:bottom w:val="none" w:sz="0" w:space="0" w:color="auto"/>
            <w:right w:val="none" w:sz="0" w:space="0" w:color="auto"/>
          </w:divBdr>
        </w:div>
        <w:div w:id="1643801972">
          <w:marLeft w:val="0"/>
          <w:marRight w:val="0"/>
          <w:marTop w:val="0"/>
          <w:marBottom w:val="0"/>
          <w:divBdr>
            <w:top w:val="none" w:sz="0" w:space="0" w:color="auto"/>
            <w:left w:val="none" w:sz="0" w:space="0" w:color="auto"/>
            <w:bottom w:val="none" w:sz="0" w:space="0" w:color="auto"/>
            <w:right w:val="none" w:sz="0" w:space="0" w:color="auto"/>
          </w:divBdr>
        </w:div>
      </w:divsChild>
    </w:div>
    <w:div w:id="1644002202">
      <w:bodyDiv w:val="1"/>
      <w:marLeft w:val="0"/>
      <w:marRight w:val="0"/>
      <w:marTop w:val="0"/>
      <w:marBottom w:val="0"/>
      <w:divBdr>
        <w:top w:val="none" w:sz="0" w:space="0" w:color="auto"/>
        <w:left w:val="none" w:sz="0" w:space="0" w:color="auto"/>
        <w:bottom w:val="none" w:sz="0" w:space="0" w:color="auto"/>
        <w:right w:val="none" w:sz="0" w:space="0" w:color="auto"/>
      </w:divBdr>
    </w:div>
    <w:div w:id="179891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espinoff.co.nz/media/17-08-2024/can-you-be-a-human-rights-commissioner-and-transphobic-at-the-same-tim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tuff.co.nz/nz-news/350302273/former-dia-worker-warns-thousands-children-could-continue-be-exploited-under"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1.xm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punaaonui.govt.nz/tangata-whenua-ministerial-advisory-group/resources-and-tools/litany-of-sound-revisited/" TargetMode="External"/><Relationship Id="rId5" Type="http://schemas.openxmlformats.org/officeDocument/2006/relationships/webSettings" Target="webSettings.xml"/><Relationship Id="rId15" Type="http://schemas.openxmlformats.org/officeDocument/2006/relationships/hyperlink" Target="https://our.actionstation.org.nz/petitions/protect-women-make-stalking-illegal-1" TargetMode="External"/><Relationship Id="rId23" Type="http://schemas.openxmlformats.org/officeDocument/2006/relationships/theme" Target="theme/theme1.xml"/><Relationship Id="rId28" Type="http://schemas.openxmlformats.org/officeDocument/2006/relationships/customXml" Target="../customXml/item2.xml"/><Relationship Id="rId10" Type="http://schemas.openxmlformats.org/officeDocument/2006/relationships/hyperlink" Target="https://tbinternet.ohchr.org/_layouts/15/treatybodyexternal/Download.aspx?symbolno=INT%2FCEDAW%2FNGO%2FNZL%2F49217&amp;Lang=en" TargetMode="External"/><Relationship Id="rId19" Type="http://schemas.openxmlformats.org/officeDocument/2006/relationships/hyperlink" Target="https://www.makomamamangopare.nz/"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epunaaonui.govt.nz/assets/Uploads/Outcomes-and-Measurement-Framework.pdf" TargetMode="External"/><Relationship Id="rId22" Type="http://schemas.openxmlformats.org/officeDocument/2006/relationships/fontTable" Target="fontTable.xml"/><Relationship Id="rId27"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3" Type="http://schemas.openxmlformats.org/officeDocument/2006/relationships/hyperlink" Target="https://www.backbone.org.nz/s/Backbone-Collective-shadow-report-for-NZ-mid-term-August-20.pdf" TargetMode="External"/><Relationship Id="rId18" Type="http://schemas.openxmlformats.org/officeDocument/2006/relationships/hyperlink" Target="https://aifs.gov.au/research/research-reports/evaluation-2012-family-violence-amendments" TargetMode="External"/><Relationship Id="rId26" Type="http://schemas.openxmlformats.org/officeDocument/2006/relationships/hyperlink" Target="https://www.backbone.org.nz/s/Reducing-risk-and-harm-when-you-go-to-Family-Court-The-Backbone-Collective-FINAL.pdf" TargetMode="External"/><Relationship Id="rId39" Type="http://schemas.openxmlformats.org/officeDocument/2006/relationships/hyperlink" Target="https://static1.squarespace.com/static/57d898ef8419c2ef50f63405/t/5f29217f4f222031501a82c5/1596531111262/Victim+Survivor+Perspectives+on+Longer+Term+Support+Backbone+report+for+MSD+2020+FINAL.pdf" TargetMode="External"/><Relationship Id="rId21" Type="http://schemas.openxmlformats.org/officeDocument/2006/relationships/hyperlink" Target="https://www.justice.govt.nz/assets/Documents/Publications/OIA-109706-v2.pdf" TargetMode="External"/><Relationship Id="rId34" Type="http://schemas.openxmlformats.org/officeDocument/2006/relationships/hyperlink" Target="https://www.justice.govt.nz/assets/Documents/Publications/OIA-109706-v2.pdf" TargetMode="External"/><Relationship Id="rId42" Type="http://schemas.openxmlformats.org/officeDocument/2006/relationships/hyperlink" Target="https://static1.squarespace.com/static/637c447d2717400f5ee685d4/t/644efe535c662603884660c0/1682898528976/Single+Parents+PMP+Report_FINAL_1+May.pdf" TargetMode="External"/><Relationship Id="rId7" Type="http://schemas.openxmlformats.org/officeDocument/2006/relationships/hyperlink" Target="https://www.vic.gov.au/flexible-support-packages" TargetMode="External"/><Relationship Id="rId2" Type="http://schemas.openxmlformats.org/officeDocument/2006/relationships/hyperlink" Target="https://domesticabusecommissioner.uk/wp-content/uploads/2023/07/DAC_Family-court-report_Exec-Summary_2023_Digital.pdf" TargetMode="External"/><Relationship Id="rId16" Type="http://schemas.openxmlformats.org/officeDocument/2006/relationships/hyperlink" Target="https://newsroom.co.nz/2023/08/25/family-court-is-an-unsafe-space-for-victims-of-family-violence/" TargetMode="External"/><Relationship Id="rId20" Type="http://schemas.openxmlformats.org/officeDocument/2006/relationships/hyperlink" Target="https://www.backbone.org.nz/s/BACKBONE-BIM-Justice-7-March-2024.pdf" TargetMode="External"/><Relationship Id="rId29" Type="http://schemas.openxmlformats.org/officeDocument/2006/relationships/hyperlink" Target="https://www.backbone.org.nz/reports/report-two-family-court-survey-report201768" TargetMode="External"/><Relationship Id="rId41" Type="http://schemas.openxmlformats.org/officeDocument/2006/relationships/hyperlink" Target="https://www.1news.co.nz/2024/08/12/government-increases-benefit-sanctions/" TargetMode="External"/><Relationship Id="rId1" Type="http://schemas.openxmlformats.org/officeDocument/2006/relationships/hyperlink" Target="https://domesticabusecommissioner.uk/" TargetMode="External"/><Relationship Id="rId6" Type="http://schemas.openxmlformats.org/officeDocument/2006/relationships/hyperlink" Target="https://www.lawcom.govt.nz/assets/Publications/IssuesPapers/NZLC-IP30.pdf" TargetMode="External"/><Relationship Id="rId11" Type="http://schemas.openxmlformats.org/officeDocument/2006/relationships/hyperlink" Target="https://www.rnz.co.nz/news/top/523783/kids-in-south-auckland-to-lose-support-from-frontline-social-workers-due-to-govt-cuts" TargetMode="External"/><Relationship Id="rId24" Type="http://schemas.openxmlformats.org/officeDocument/2006/relationships/hyperlink" Target="https://www.ohchr.org/en/documents/thematic-reports/ahrc5336-custody-violence-against-women-and-violence-against-children" TargetMode="External"/><Relationship Id="rId32" Type="http://schemas.openxmlformats.org/officeDocument/2006/relationships/hyperlink" Target="https://www.1news.co.nz/2022/11/06/petition-calls-to-end-practice-of-child-uplifts-in-custody-battles/" TargetMode="External"/><Relationship Id="rId37" Type="http://schemas.openxmlformats.org/officeDocument/2006/relationships/hyperlink" Target="https://www.thepost.co.nz/nz-news/350341247/you-cant-be-two-places-once-police-attendance-family-harm-events-falls-focus" TargetMode="External"/><Relationship Id="rId40" Type="http://schemas.openxmlformats.org/officeDocument/2006/relationships/hyperlink" Target="https://static1.squarespace.com/static/60189fe639b6d67b861cf5c4/t/64a4bdbc76e52f4f8b57d5e7/1688518078872/CPAG+2023+Policy+Brief+Relationship+Rules.pdf" TargetMode="External"/><Relationship Id="rId5" Type="http://schemas.openxmlformats.org/officeDocument/2006/relationships/hyperlink" Target="https://www.whakauae.co.nz/uploads/publications/publication320.pdf?1707281804" TargetMode="External"/><Relationship Id="rId15" Type="http://schemas.openxmlformats.org/officeDocument/2006/relationships/hyperlink" Target="https://www.backbone.org.nz/s/Submission-Supporting-Children-in-Court-Bil" TargetMode="External"/><Relationship Id="rId23" Type="http://schemas.openxmlformats.org/officeDocument/2006/relationships/hyperlink" Target="https://static1.squarespace.com/static/57d898ef8419c2ef50f63405/t/5a3171c59140b743f5abbe36/1513189837189/Seen+and+not+Heard+Children+in+the+Family+Court+%281%29.pdf" TargetMode="External"/><Relationship Id="rId28" Type="http://schemas.openxmlformats.org/officeDocument/2006/relationships/hyperlink" Target="https://static1.squarespace.com/static/57d898ef8419c2ef50f63405/t/5949a425a5790a3989f7e74e/1497998414103/Family+Court+Survey+report+final+080617.pdf" TargetMode="External"/><Relationship Id="rId36" Type="http://schemas.openxmlformats.org/officeDocument/2006/relationships/hyperlink" Target="https://www.police.govt.nz/sites/default/files/publications/briefing-to-the-incoming-minister-2023-mark-mitchell.pdf" TargetMode="External"/><Relationship Id="rId10" Type="http://schemas.openxmlformats.org/officeDocument/2006/relationships/hyperlink" Target="https://nzfvc.org.nz/news/pre-budget-2024-announcements-impacts-budget-cuts-government-agencies" TargetMode="External"/><Relationship Id="rId19" Type="http://schemas.openxmlformats.org/officeDocument/2006/relationships/hyperlink" Target="https://static1.squarespace.com/static/57d898ef8419c2ef50f63405/t/5949a425a5790a3989f7e74e/1497998414103/Family+Court+Survey+report+final+080617.pdf" TargetMode="External"/><Relationship Id="rId31" Type="http://schemas.openxmlformats.org/officeDocument/2006/relationships/hyperlink" Target="https://www.newsroom.co.nz/2017/08/07/41459/taken-by-the-state" TargetMode="External"/><Relationship Id="rId44" Type="http://schemas.openxmlformats.org/officeDocument/2006/relationships/hyperlink" Target="https://providers.dffh.vic.gov.au/program-requirements-delivery-family-violence-flexible-support-packages" TargetMode="External"/><Relationship Id="rId4" Type="http://schemas.openxmlformats.org/officeDocument/2006/relationships/hyperlink" Target="https://www.ohchr.org/en/documents/thematic-reports/ahrc5336-custody-violence-against-women-and-violence-against-children" TargetMode="External"/><Relationship Id="rId9" Type="http://schemas.openxmlformats.org/officeDocument/2006/relationships/hyperlink" Target="https://static1.squarespace.com/static/57d898ef8419c2ef50f63405/t/5f29217f4f222031501a82c5/1596531111262/Victim+Survivor+Perspectives+on+Longer+Term+Support+Backbone+report+for+MSD+2020+FINAL.pdf" TargetMode="External"/><Relationship Id="rId14" Type="http://schemas.openxmlformats.org/officeDocument/2006/relationships/hyperlink" Target="https://www.backbone.org.nz/s/Special-Rapporteur_submission_FINAL-Backbone-Collective.pdf" TargetMode="External"/><Relationship Id="rId22" Type="http://schemas.openxmlformats.org/officeDocument/2006/relationships/hyperlink" Target="https://www.backbone.org.nz/reports/report-five-seen-and-not-heard-lawyer-for-child" TargetMode="External"/><Relationship Id="rId27" Type="http://schemas.openxmlformats.org/officeDocument/2006/relationships/hyperlink" Target="https://www.backbone.org.nz/reports/report-four-seen-and-not-heard-force20171214" TargetMode="External"/><Relationship Id="rId30" Type="http://schemas.openxmlformats.org/officeDocument/2006/relationships/hyperlink" Target="https://www.districtcourts.govt.nz/" TargetMode="External"/><Relationship Id="rId35" Type="http://schemas.openxmlformats.org/officeDocument/2006/relationships/hyperlink" Target="https://www.lawyerseducation.co.nz/shop/Books/Family/Advanced+Lawyer+for+Child.html" TargetMode="External"/><Relationship Id="rId43" Type="http://schemas.openxmlformats.org/officeDocument/2006/relationships/hyperlink" Target="https://www.vic.gov.au/family-violence-recommendations/expand-provision-family-violence-flexible-support-packages" TargetMode="External"/><Relationship Id="rId8" Type="http://schemas.openxmlformats.org/officeDocument/2006/relationships/hyperlink" Target="https://www.justice.govt.nz/assets/Documents/Publications/Cycle-5-key-findings-report-v3.0-FIN.pdf" TargetMode="External"/><Relationship Id="rId3" Type="http://schemas.openxmlformats.org/officeDocument/2006/relationships/hyperlink" Target="https://www.fcfcoa.gov.au/fl/fv/lighthouse" TargetMode="External"/><Relationship Id="rId12" Type="http://schemas.openxmlformats.org/officeDocument/2006/relationships/hyperlink" Target="https://www.backbone.org.nz/s/The-Backbone-Collective-NGO-report-to-CEDAW-100618.pdf" TargetMode="External"/><Relationship Id="rId17" Type="http://schemas.openxmlformats.org/officeDocument/2006/relationships/hyperlink" Target="https://www.women.govt.nz/library/new-zealands-ninth-periodic-report-cedaw-2023" TargetMode="External"/><Relationship Id="rId25" Type="http://schemas.openxmlformats.org/officeDocument/2006/relationships/hyperlink" Target="https://static1.squarespace.com/static/57d898ef8419c2ef50f63405/t/5949a425a5790a3989f7e74e/1497998414103/Family+Court+Survey+report+final+080617.pdf" TargetMode="External"/><Relationship Id="rId33" Type="http://schemas.openxmlformats.org/officeDocument/2006/relationships/hyperlink" Target="https://www.ohchr.org/en/documents/thematic-reports/ahrc5336-custody-violence-against-women-and-violence-against-children" TargetMode="External"/><Relationship Id="rId38" Type="http://schemas.openxmlformats.org/officeDocument/2006/relationships/hyperlink" Target="https://static1.squarespace.com/static/57d898ef8419c2ef50f63405/t/65f8eed1185ef3237d2d4b49/1710812939514/Make+it+about+us+-+Main+report+FINAL.pdf" TargetMode="Externa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373545"/>
      </a:dk2>
      <a:lt2>
        <a:srgbClr val="D2F0F0"/>
      </a:lt2>
      <a:accent1>
        <a:srgbClr val="38A8A8"/>
      </a:accent1>
      <a:accent2>
        <a:srgbClr val="7DD3D3"/>
      </a:accent2>
      <a:accent3>
        <a:srgbClr val="F6CDC2"/>
      </a:accent3>
      <a:accent4>
        <a:srgbClr val="C4BEB2"/>
      </a:accent4>
      <a:accent5>
        <a:srgbClr val="096B58"/>
      </a:accent5>
      <a:accent6>
        <a:srgbClr val="40395F"/>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8CE724-6D88-47F4-AD7D-500AADB3351C}">
  <ds:schemaRefs>
    <ds:schemaRef ds:uri="http://schemas.openxmlformats.org/officeDocument/2006/bibliography"/>
  </ds:schemaRefs>
</ds:datastoreItem>
</file>

<file path=customXml/itemProps2.xml><?xml version="1.0" encoding="utf-8"?>
<ds:datastoreItem xmlns:ds="http://schemas.openxmlformats.org/officeDocument/2006/customXml" ds:itemID="{D3F1E143-2A5E-486B-83E6-C3CC6BF0E1C1}"/>
</file>

<file path=customXml/itemProps3.xml><?xml version="1.0" encoding="utf-8"?>
<ds:datastoreItem xmlns:ds="http://schemas.openxmlformats.org/officeDocument/2006/customXml" ds:itemID="{0C54C88A-8E0E-4E40-B96A-F98D6217AEA6}"/>
</file>

<file path=docProps/app.xml><?xml version="1.0" encoding="utf-8"?>
<Properties xmlns="http://schemas.openxmlformats.org/officeDocument/2006/extended-properties" xmlns:vt="http://schemas.openxmlformats.org/officeDocument/2006/docPropsVTypes">
  <Template>Normal</Template>
  <TotalTime>0</TotalTime>
  <Pages>19</Pages>
  <Words>5600</Words>
  <Characters>29630</Characters>
  <Application>Microsoft Office Word</Application>
  <DocSecurity>0</DocSecurity>
  <Lines>510</Lines>
  <Paragraphs>194</Paragraphs>
  <ScaleCrop>false</ScaleCrop>
  <Company/>
  <LinksUpToDate>false</LinksUpToDate>
  <CharactersWithSpaces>35036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2024-09-04T02:19:00Z</dcterms:created>
  <dcterms:modified xsi:type="dcterms:W3CDTF">2024-09-04T02:22:00Z</dcterms:modified>
</cp:coreProperties>
</file>