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459232" w14:textId="6FAC987D" w:rsidR="00251276" w:rsidRPr="008219F2" w:rsidRDefault="002E36DE">
      <w:pPr>
        <w:spacing w:before="120" w:after="120"/>
        <w:jc w:val="right"/>
        <w:rPr>
          <w:rFonts w:ascii="Times New Roman" w:hAnsi="Times New Roman"/>
          <w:lang w:val="es-US"/>
        </w:rPr>
      </w:pPr>
      <w:bookmarkStart w:id="0" w:name="_GoBack"/>
      <w:bookmarkEnd w:id="0"/>
      <w:r w:rsidRPr="008219F2">
        <w:rPr>
          <w:rFonts w:ascii="Times New Roman" w:hAnsi="Times New Roman"/>
          <w:lang w:val="es-US"/>
        </w:rPr>
        <w:t xml:space="preserve">Bogotá, </w:t>
      </w:r>
      <w:r w:rsidR="00AD1181" w:rsidRPr="008219F2">
        <w:rPr>
          <w:rFonts w:ascii="Times New Roman" w:hAnsi="Times New Roman"/>
          <w:lang w:val="es-US"/>
        </w:rPr>
        <w:t xml:space="preserve">29 de </w:t>
      </w:r>
      <w:r w:rsidR="00B911C4" w:rsidRPr="008219F2">
        <w:rPr>
          <w:rFonts w:ascii="Times New Roman" w:hAnsi="Times New Roman"/>
          <w:lang w:val="es-US"/>
        </w:rPr>
        <w:t>agosto</w:t>
      </w:r>
      <w:r w:rsidR="00AD1181" w:rsidRPr="008219F2">
        <w:rPr>
          <w:rFonts w:ascii="Times New Roman" w:hAnsi="Times New Roman"/>
          <w:lang w:val="es-US"/>
        </w:rPr>
        <w:t xml:space="preserve"> 2022</w:t>
      </w:r>
    </w:p>
    <w:p w14:paraId="7D0688F6" w14:textId="77777777" w:rsidR="00251276" w:rsidRPr="008219F2" w:rsidRDefault="002E36DE">
      <w:pPr>
        <w:spacing w:before="120" w:after="120"/>
        <w:rPr>
          <w:rFonts w:ascii="Times New Roman" w:hAnsi="Times New Roman"/>
          <w:bCs/>
          <w:lang w:val="es-US"/>
        </w:rPr>
      </w:pPr>
      <w:r w:rsidRPr="008219F2">
        <w:rPr>
          <w:rFonts w:ascii="Times New Roman" w:hAnsi="Times New Roman"/>
          <w:b/>
          <w:lang w:val="es-US"/>
        </w:rPr>
        <w:t xml:space="preserve">Secretaría del </w:t>
      </w:r>
      <w:r w:rsidRPr="008219F2">
        <w:rPr>
          <w:rFonts w:ascii="Times New Roman" w:hAnsi="Times New Roman"/>
          <w:b/>
          <w:bCs/>
          <w:lang w:val="es-US"/>
        </w:rPr>
        <w:t>Comité de Derechos Económicos, Sociales y Culturales (CESCR)</w:t>
      </w:r>
      <w:r w:rsidRPr="008219F2">
        <w:rPr>
          <w:rFonts w:ascii="Times New Roman" w:hAnsi="Times New Roman"/>
          <w:b/>
          <w:bCs/>
          <w:lang w:val="es-US"/>
        </w:rPr>
        <w:br/>
      </w:r>
      <w:r w:rsidRPr="008219F2">
        <w:rPr>
          <w:rFonts w:ascii="Times New Roman" w:hAnsi="Times New Roman"/>
          <w:bCs/>
          <w:lang w:val="es-US"/>
        </w:rPr>
        <w:t xml:space="preserve">División de Tratados de Derechos Humanos (HRTD) </w:t>
      </w:r>
      <w:r w:rsidRPr="008219F2">
        <w:rPr>
          <w:rFonts w:ascii="Times New Roman" w:hAnsi="Times New Roman"/>
          <w:bCs/>
          <w:lang w:val="es-US"/>
        </w:rPr>
        <w:br/>
        <w:t xml:space="preserve">Oficina del Alto Comisionado de las Naciones Unidas para los Derechos Humanos (OACDH) </w:t>
      </w:r>
      <w:r w:rsidRPr="008219F2">
        <w:rPr>
          <w:rFonts w:ascii="Times New Roman" w:hAnsi="Times New Roman"/>
          <w:bCs/>
          <w:lang w:val="es-US"/>
        </w:rPr>
        <w:br/>
        <w:t xml:space="preserve">Palais Wilson </w:t>
      </w:r>
      <w:r w:rsidR="007D5E7C" w:rsidRPr="008219F2">
        <w:rPr>
          <w:rFonts w:ascii="Times New Roman" w:hAnsi="Times New Roman"/>
          <w:bCs/>
          <w:lang w:val="es-US"/>
        </w:rPr>
        <w:t xml:space="preserve">- </w:t>
      </w:r>
      <w:r w:rsidRPr="008219F2">
        <w:rPr>
          <w:rFonts w:ascii="Times New Roman" w:hAnsi="Times New Roman"/>
          <w:bCs/>
          <w:lang w:val="es-US"/>
        </w:rPr>
        <w:t xml:space="preserve">52, rue des Pâquis </w:t>
      </w:r>
      <w:r w:rsidRPr="008219F2">
        <w:rPr>
          <w:rFonts w:ascii="Times New Roman" w:hAnsi="Times New Roman"/>
          <w:bCs/>
          <w:lang w:val="es-US"/>
        </w:rPr>
        <w:br/>
        <w:t xml:space="preserve">CH-1201 Ginebra (Suiza) </w:t>
      </w:r>
      <w:r w:rsidRPr="008219F2">
        <w:rPr>
          <w:rFonts w:ascii="Times New Roman" w:hAnsi="Times New Roman"/>
          <w:bCs/>
          <w:lang w:val="es-US"/>
        </w:rPr>
        <w:br/>
        <w:t>Email: cescr@ohchr.org</w:t>
      </w:r>
    </w:p>
    <w:p w14:paraId="7EC14EDB" w14:textId="77777777" w:rsidR="00251276" w:rsidRPr="008219F2" w:rsidRDefault="002E36DE">
      <w:pPr>
        <w:pStyle w:val="Heading1"/>
        <w:numPr>
          <w:ilvl w:val="0"/>
          <w:numId w:val="0"/>
        </w:numPr>
        <w:spacing w:before="120" w:after="120"/>
        <w:ind w:left="3510"/>
        <w:jc w:val="both"/>
        <w:rPr>
          <w:b w:val="0"/>
          <w:sz w:val="22"/>
          <w:szCs w:val="22"/>
          <w:lang w:val="es-US"/>
        </w:rPr>
      </w:pPr>
      <w:r w:rsidRPr="008219F2">
        <w:rPr>
          <w:sz w:val="22"/>
          <w:szCs w:val="22"/>
          <w:lang w:val="es-US"/>
        </w:rPr>
        <w:t xml:space="preserve">Re: </w:t>
      </w:r>
      <w:r w:rsidR="006A5102" w:rsidRPr="008219F2">
        <w:rPr>
          <w:sz w:val="22"/>
          <w:szCs w:val="22"/>
          <w:lang w:val="es-US"/>
        </w:rPr>
        <w:t xml:space="preserve">Informe paralelo sobre </w:t>
      </w:r>
      <w:r w:rsidRPr="008219F2">
        <w:rPr>
          <w:sz w:val="22"/>
          <w:szCs w:val="22"/>
          <w:lang w:val="es-US"/>
        </w:rPr>
        <w:t xml:space="preserve">El Salvador, </w:t>
      </w:r>
      <w:r w:rsidR="006A5102" w:rsidRPr="008219F2">
        <w:rPr>
          <w:sz w:val="22"/>
          <w:szCs w:val="22"/>
          <w:lang w:val="es-US"/>
        </w:rPr>
        <w:t>presentado para la 72</w:t>
      </w:r>
      <w:r w:rsidR="006A5102" w:rsidRPr="008219F2">
        <w:rPr>
          <w:sz w:val="22"/>
          <w:szCs w:val="22"/>
          <w:vertAlign w:val="superscript"/>
          <w:lang w:val="es-US"/>
        </w:rPr>
        <w:t>th</w:t>
      </w:r>
      <w:r w:rsidR="006A5102" w:rsidRPr="008219F2">
        <w:rPr>
          <w:sz w:val="22"/>
          <w:szCs w:val="22"/>
          <w:lang w:val="es-US"/>
        </w:rPr>
        <w:t xml:space="preserve"> Sesión</w:t>
      </w:r>
    </w:p>
    <w:p w14:paraId="58FB33C0" w14:textId="77777777" w:rsidR="00251276" w:rsidRPr="008219F2" w:rsidRDefault="002E36DE">
      <w:pPr>
        <w:spacing w:before="120" w:after="120"/>
        <w:jc w:val="both"/>
        <w:rPr>
          <w:rFonts w:ascii="Times New Roman" w:hAnsi="Times New Roman"/>
          <w:bCs/>
          <w:lang w:val="es-US"/>
        </w:rPr>
      </w:pPr>
      <w:r w:rsidRPr="008219F2">
        <w:rPr>
          <w:rFonts w:ascii="Times New Roman" w:hAnsi="Times New Roman"/>
          <w:bCs/>
          <w:lang w:val="es-US"/>
        </w:rPr>
        <w:t>Distinguidos miembros del Comité:</w:t>
      </w:r>
    </w:p>
    <w:p w14:paraId="37FD20E5" w14:textId="0C38374B" w:rsidR="00251276" w:rsidRPr="008219F2" w:rsidRDefault="002E36DE">
      <w:pPr>
        <w:spacing w:before="120" w:after="120"/>
        <w:jc w:val="both"/>
        <w:rPr>
          <w:rFonts w:ascii="Times New Roman" w:hAnsi="Times New Roman"/>
          <w:bCs/>
          <w:lang w:val="es-US"/>
        </w:rPr>
      </w:pPr>
      <w:r w:rsidRPr="008219F2">
        <w:rPr>
          <w:rFonts w:ascii="Times New Roman" w:hAnsi="Times New Roman"/>
          <w:bCs/>
          <w:lang w:val="es-US"/>
        </w:rPr>
        <w:t>El Centro de Derechos Reproductivos ("</w:t>
      </w:r>
      <w:r w:rsidRPr="008219F2">
        <w:rPr>
          <w:rFonts w:ascii="Times New Roman" w:hAnsi="Times New Roman"/>
          <w:b/>
          <w:bCs/>
          <w:lang w:val="es-US"/>
        </w:rPr>
        <w:t>CRR</w:t>
      </w:r>
      <w:r w:rsidRPr="008219F2">
        <w:rPr>
          <w:rFonts w:ascii="Times New Roman" w:hAnsi="Times New Roman"/>
          <w:bCs/>
          <w:lang w:val="es-US"/>
        </w:rPr>
        <w:t xml:space="preserve">") es una organización no gubernamental independiente que promueve la igualdad de género y el cumplimiento de los derechos reproductivos de las mujeres.  </w:t>
      </w:r>
      <w:r w:rsidR="00163403" w:rsidRPr="008219F2">
        <w:rPr>
          <w:rFonts w:ascii="Times New Roman" w:hAnsi="Times New Roman"/>
          <w:bCs/>
          <w:lang w:val="es-US"/>
        </w:rPr>
        <w:t xml:space="preserve">El CRR </w:t>
      </w:r>
      <w:r w:rsidRPr="008219F2">
        <w:rPr>
          <w:rFonts w:ascii="Times New Roman" w:hAnsi="Times New Roman"/>
          <w:bCs/>
          <w:lang w:val="es-US"/>
        </w:rPr>
        <w:t xml:space="preserve">pretende contribuir a la labor del Comité proporcionando información independiente sobre el </w:t>
      </w:r>
      <w:r w:rsidR="00CB4168" w:rsidRPr="008219F2">
        <w:rPr>
          <w:rFonts w:ascii="Times New Roman" w:hAnsi="Times New Roman"/>
          <w:bCs/>
          <w:lang w:val="es-US"/>
        </w:rPr>
        <w:t xml:space="preserve">cumplimiento </w:t>
      </w:r>
      <w:r w:rsidRPr="008219F2">
        <w:rPr>
          <w:rFonts w:ascii="Times New Roman" w:hAnsi="Times New Roman"/>
          <w:bCs/>
          <w:lang w:val="es-US"/>
        </w:rPr>
        <w:t xml:space="preserve">por parte de </w:t>
      </w:r>
      <w:r w:rsidR="000E1B4A" w:rsidRPr="008219F2">
        <w:rPr>
          <w:rFonts w:ascii="Times New Roman" w:hAnsi="Times New Roman"/>
          <w:bCs/>
          <w:lang w:val="es-US"/>
        </w:rPr>
        <w:t xml:space="preserve">El Salvador de sus </w:t>
      </w:r>
      <w:r w:rsidRPr="008219F2">
        <w:rPr>
          <w:rFonts w:ascii="Times New Roman" w:hAnsi="Times New Roman"/>
          <w:bCs/>
          <w:lang w:val="es-US"/>
        </w:rPr>
        <w:t xml:space="preserve">obligaciones de </w:t>
      </w:r>
      <w:r w:rsidR="00CB4168" w:rsidRPr="008219F2">
        <w:rPr>
          <w:rFonts w:ascii="Times New Roman" w:hAnsi="Times New Roman"/>
          <w:bCs/>
          <w:lang w:val="es-US"/>
        </w:rPr>
        <w:t xml:space="preserve">protección, respeto y cumplimiento de </w:t>
      </w:r>
      <w:r w:rsidRPr="008219F2">
        <w:rPr>
          <w:rFonts w:ascii="Times New Roman" w:hAnsi="Times New Roman"/>
          <w:bCs/>
          <w:lang w:val="es-US"/>
        </w:rPr>
        <w:t xml:space="preserve">los derechos protegidos por el Pacto Internacional </w:t>
      </w:r>
      <w:r w:rsidR="000E1B4A" w:rsidRPr="008219F2">
        <w:rPr>
          <w:rFonts w:ascii="Times New Roman" w:hAnsi="Times New Roman"/>
          <w:bCs/>
          <w:lang w:val="es-US"/>
        </w:rPr>
        <w:t xml:space="preserve">de Derechos Económicos, Sociales y Culturales </w:t>
      </w:r>
      <w:r w:rsidRPr="008219F2">
        <w:rPr>
          <w:rFonts w:ascii="Times New Roman" w:hAnsi="Times New Roman"/>
          <w:bCs/>
          <w:lang w:val="es-US"/>
        </w:rPr>
        <w:t>(el "</w:t>
      </w:r>
      <w:r w:rsidRPr="008219F2">
        <w:rPr>
          <w:rFonts w:ascii="Times New Roman" w:hAnsi="Times New Roman"/>
          <w:b/>
          <w:bCs/>
          <w:lang w:val="es-US"/>
        </w:rPr>
        <w:t>PIDESC"</w:t>
      </w:r>
      <w:r w:rsidRPr="008219F2">
        <w:rPr>
          <w:rFonts w:ascii="Times New Roman" w:hAnsi="Times New Roman"/>
          <w:bCs/>
          <w:lang w:val="es-US"/>
        </w:rPr>
        <w:t>)</w:t>
      </w:r>
      <w:r w:rsidR="0047345C" w:rsidRPr="008219F2">
        <w:rPr>
          <w:rFonts w:ascii="Times New Roman" w:hAnsi="Times New Roman"/>
          <w:bCs/>
          <w:lang w:val="es-US"/>
        </w:rPr>
        <w:t xml:space="preserve">.  La </w:t>
      </w:r>
      <w:r w:rsidR="00BB622E" w:rsidRPr="008219F2">
        <w:rPr>
          <w:rFonts w:ascii="Times New Roman" w:hAnsi="Times New Roman"/>
          <w:bCs/>
          <w:lang w:val="es-US"/>
        </w:rPr>
        <w:t xml:space="preserve">Agrupación </w:t>
      </w:r>
      <w:r w:rsidR="00B223A8">
        <w:rPr>
          <w:rFonts w:ascii="Times New Roman" w:hAnsi="Times New Roman"/>
          <w:bCs/>
          <w:lang w:val="es-US"/>
        </w:rPr>
        <w:t>C</w:t>
      </w:r>
      <w:r w:rsidR="00B223A8" w:rsidRPr="008219F2">
        <w:rPr>
          <w:rFonts w:ascii="Times New Roman" w:hAnsi="Times New Roman"/>
          <w:bCs/>
          <w:lang w:val="es-US"/>
        </w:rPr>
        <w:t xml:space="preserve">iudadana </w:t>
      </w:r>
      <w:r w:rsidR="00BB622E" w:rsidRPr="008219F2">
        <w:rPr>
          <w:rFonts w:ascii="Times New Roman" w:hAnsi="Times New Roman"/>
          <w:bCs/>
          <w:lang w:val="es-US"/>
        </w:rPr>
        <w:t>para</w:t>
      </w:r>
      <w:r w:rsidR="00B223A8">
        <w:rPr>
          <w:rFonts w:ascii="Times New Roman" w:hAnsi="Times New Roman"/>
          <w:bCs/>
          <w:lang w:val="es-US"/>
        </w:rPr>
        <w:t xml:space="preserve"> </w:t>
      </w:r>
      <w:r w:rsidR="00BB622E" w:rsidRPr="008219F2">
        <w:rPr>
          <w:rFonts w:ascii="Times New Roman" w:hAnsi="Times New Roman"/>
          <w:bCs/>
          <w:lang w:val="es-US"/>
        </w:rPr>
        <w:t xml:space="preserve">la </w:t>
      </w:r>
      <w:r w:rsidR="00B223A8">
        <w:rPr>
          <w:rFonts w:ascii="Times New Roman" w:hAnsi="Times New Roman"/>
          <w:bCs/>
          <w:lang w:val="es-US"/>
        </w:rPr>
        <w:t>D</w:t>
      </w:r>
      <w:r w:rsidR="00B223A8" w:rsidRPr="008219F2">
        <w:rPr>
          <w:rFonts w:ascii="Times New Roman" w:hAnsi="Times New Roman"/>
          <w:bCs/>
          <w:lang w:val="es-US"/>
        </w:rPr>
        <w:t xml:space="preserve">espenalización </w:t>
      </w:r>
      <w:r w:rsidR="00BB622E" w:rsidRPr="008219F2">
        <w:rPr>
          <w:rFonts w:ascii="Times New Roman" w:hAnsi="Times New Roman"/>
          <w:bCs/>
          <w:lang w:val="es-US"/>
        </w:rPr>
        <w:t xml:space="preserve">del </w:t>
      </w:r>
      <w:r w:rsidR="00B223A8">
        <w:rPr>
          <w:rFonts w:ascii="Times New Roman" w:hAnsi="Times New Roman"/>
          <w:bCs/>
          <w:lang w:val="es-US"/>
        </w:rPr>
        <w:t>A</w:t>
      </w:r>
      <w:r w:rsidR="00B223A8" w:rsidRPr="008219F2">
        <w:rPr>
          <w:rFonts w:ascii="Times New Roman" w:hAnsi="Times New Roman"/>
          <w:bCs/>
          <w:lang w:val="es-US"/>
        </w:rPr>
        <w:t>borto</w:t>
      </w:r>
      <w:r w:rsidR="00BB622E" w:rsidRPr="008219F2">
        <w:rPr>
          <w:rFonts w:ascii="Times New Roman" w:hAnsi="Times New Roman"/>
          <w:bCs/>
          <w:lang w:val="es-US"/>
        </w:rPr>
        <w:t xml:space="preserve"> es una ONG salvadoreña que defiende los derechos reproductivos en el país </w:t>
      </w:r>
      <w:r w:rsidR="00493D78" w:rsidRPr="008219F2">
        <w:rPr>
          <w:rFonts w:ascii="Times New Roman" w:hAnsi="Times New Roman"/>
          <w:bCs/>
          <w:lang w:val="es-US"/>
        </w:rPr>
        <w:t xml:space="preserve">y que también aboga por la libertad </w:t>
      </w:r>
      <w:r w:rsidR="00BB647B" w:rsidRPr="008219F2">
        <w:rPr>
          <w:rFonts w:ascii="Times New Roman" w:hAnsi="Times New Roman"/>
          <w:bCs/>
          <w:lang w:val="es-US"/>
        </w:rPr>
        <w:t xml:space="preserve">de las mujeres encarceladas </w:t>
      </w:r>
      <w:r w:rsidR="00BB69FD">
        <w:rPr>
          <w:rFonts w:ascii="Times New Roman" w:hAnsi="Times New Roman"/>
          <w:bCs/>
          <w:lang w:val="es-US"/>
        </w:rPr>
        <w:t>como consecuencia de enfrentar</w:t>
      </w:r>
      <w:r w:rsidR="00BB647B" w:rsidRPr="008219F2">
        <w:rPr>
          <w:rFonts w:ascii="Times New Roman" w:hAnsi="Times New Roman"/>
          <w:bCs/>
          <w:lang w:val="es-US"/>
        </w:rPr>
        <w:t xml:space="preserve"> emergencias obstétricas. </w:t>
      </w:r>
      <w:r w:rsidR="0047345C" w:rsidRPr="008219F2">
        <w:rPr>
          <w:rFonts w:ascii="Times New Roman" w:hAnsi="Times New Roman"/>
          <w:bCs/>
          <w:lang w:val="es-US"/>
        </w:rPr>
        <w:t xml:space="preserve">Por ello, CRR </w:t>
      </w:r>
      <w:r w:rsidR="00AD1181" w:rsidRPr="008219F2">
        <w:rPr>
          <w:rFonts w:ascii="Times New Roman" w:hAnsi="Times New Roman"/>
          <w:bCs/>
          <w:lang w:val="es-US"/>
        </w:rPr>
        <w:t xml:space="preserve">y la Agrupación Ciudadana </w:t>
      </w:r>
      <w:r w:rsidR="00CB4168" w:rsidRPr="008219F2">
        <w:rPr>
          <w:rFonts w:ascii="Times New Roman" w:hAnsi="Times New Roman"/>
          <w:bCs/>
          <w:lang w:val="es-US"/>
        </w:rPr>
        <w:t xml:space="preserve">presentan este informe paralelo </w:t>
      </w:r>
      <w:r w:rsidR="005E74E2" w:rsidRPr="008219F2">
        <w:rPr>
          <w:rFonts w:ascii="Times New Roman" w:hAnsi="Times New Roman"/>
          <w:bCs/>
          <w:lang w:val="es-US"/>
        </w:rPr>
        <w:t xml:space="preserve">en virtud de </w:t>
      </w:r>
      <w:r w:rsidR="00CB4168" w:rsidRPr="008219F2">
        <w:rPr>
          <w:rFonts w:ascii="Times New Roman" w:hAnsi="Times New Roman"/>
          <w:bCs/>
          <w:lang w:val="es-US"/>
        </w:rPr>
        <w:t xml:space="preserve">la </w:t>
      </w:r>
      <w:r w:rsidR="00BB647B" w:rsidRPr="008219F2">
        <w:rPr>
          <w:rFonts w:ascii="Times New Roman" w:hAnsi="Times New Roman"/>
          <w:bCs/>
          <w:lang w:val="es-US"/>
        </w:rPr>
        <w:t xml:space="preserve">72ª Sesión del Comité en la que se examinará El Salvador.  </w:t>
      </w:r>
      <w:r w:rsidR="00CB4168" w:rsidRPr="008219F2">
        <w:rPr>
          <w:rFonts w:ascii="Times New Roman" w:hAnsi="Times New Roman"/>
          <w:bCs/>
          <w:lang w:val="es-US"/>
        </w:rPr>
        <w:t xml:space="preserve">Este informe se centra </w:t>
      </w:r>
      <w:r w:rsidRPr="008219F2">
        <w:rPr>
          <w:rFonts w:ascii="Times New Roman" w:hAnsi="Times New Roman"/>
          <w:bCs/>
          <w:lang w:val="es-US"/>
        </w:rPr>
        <w:t xml:space="preserve">en particular </w:t>
      </w:r>
      <w:r w:rsidR="00CB4168" w:rsidRPr="008219F2">
        <w:rPr>
          <w:rFonts w:ascii="Times New Roman" w:hAnsi="Times New Roman"/>
          <w:bCs/>
          <w:lang w:val="es-US"/>
        </w:rPr>
        <w:t xml:space="preserve">en el </w:t>
      </w:r>
      <w:r w:rsidR="006D1375" w:rsidRPr="008219F2">
        <w:rPr>
          <w:rFonts w:ascii="Times New Roman" w:hAnsi="Times New Roman"/>
          <w:bCs/>
          <w:lang w:val="es-US"/>
        </w:rPr>
        <w:t>continuo fracaso de El Salvador para reformar sus leyes sobre el aborto</w:t>
      </w:r>
      <w:r w:rsidR="00CB4168" w:rsidRPr="008219F2">
        <w:rPr>
          <w:rFonts w:ascii="Times New Roman" w:hAnsi="Times New Roman"/>
          <w:bCs/>
          <w:lang w:val="es-US"/>
        </w:rPr>
        <w:t xml:space="preserve">, para prevenir la </w:t>
      </w:r>
      <w:r w:rsidR="006D1375" w:rsidRPr="008219F2">
        <w:rPr>
          <w:rFonts w:ascii="Times New Roman" w:hAnsi="Times New Roman"/>
          <w:bCs/>
          <w:lang w:val="es-US"/>
        </w:rPr>
        <w:t xml:space="preserve">violencia sexual </w:t>
      </w:r>
      <w:r w:rsidR="00CB4168" w:rsidRPr="008219F2">
        <w:rPr>
          <w:rFonts w:ascii="Times New Roman" w:hAnsi="Times New Roman"/>
          <w:bCs/>
          <w:lang w:val="es-US"/>
        </w:rPr>
        <w:t xml:space="preserve">y </w:t>
      </w:r>
      <w:r w:rsidR="0047345C" w:rsidRPr="008219F2">
        <w:rPr>
          <w:rFonts w:ascii="Times New Roman" w:hAnsi="Times New Roman"/>
          <w:bCs/>
          <w:lang w:val="es-US"/>
        </w:rPr>
        <w:t xml:space="preserve">el continuo y arbitrario encarcelamiento de </w:t>
      </w:r>
      <w:r w:rsidR="00CB4168" w:rsidRPr="008219F2">
        <w:rPr>
          <w:rFonts w:ascii="Times New Roman" w:hAnsi="Times New Roman"/>
          <w:bCs/>
          <w:lang w:val="es-US"/>
        </w:rPr>
        <w:t xml:space="preserve">mujeres que sufren emergencias </w:t>
      </w:r>
      <w:r w:rsidR="008219F2" w:rsidRPr="008219F2">
        <w:rPr>
          <w:rFonts w:ascii="Times New Roman" w:hAnsi="Times New Roman"/>
          <w:bCs/>
          <w:lang w:val="es-US"/>
        </w:rPr>
        <w:t>obstétricas.</w:t>
      </w:r>
      <w:r w:rsidR="009A0691" w:rsidRPr="008219F2">
        <w:rPr>
          <w:rFonts w:ascii="Times New Roman" w:hAnsi="Times New Roman"/>
          <w:bCs/>
          <w:lang w:val="es-US"/>
        </w:rPr>
        <w:t xml:space="preserve">  </w:t>
      </w:r>
    </w:p>
    <w:p w14:paraId="04E3CA5C" w14:textId="77777777" w:rsidR="00251276" w:rsidRDefault="002E36DE">
      <w:pPr>
        <w:pStyle w:val="Heading1"/>
        <w:spacing w:before="120" w:after="120"/>
        <w:ind w:left="426" w:hanging="426"/>
        <w:jc w:val="both"/>
        <w:rPr>
          <w:sz w:val="22"/>
          <w:szCs w:val="22"/>
          <w:lang w:val="en-GB"/>
        </w:rPr>
      </w:pPr>
      <w:r w:rsidRPr="00F36A0E">
        <w:rPr>
          <w:sz w:val="22"/>
          <w:szCs w:val="22"/>
          <w:lang w:val="en-GB"/>
        </w:rPr>
        <w:t xml:space="preserve">Introducción / Resumen ejecutivo </w:t>
      </w:r>
    </w:p>
    <w:p w14:paraId="31D6E4BE" w14:textId="77777777" w:rsidR="00251276" w:rsidRPr="008219F2" w:rsidRDefault="002E36DE">
      <w:pPr>
        <w:pStyle w:val="Heading2"/>
        <w:spacing w:before="120" w:after="120"/>
        <w:ind w:left="0" w:hanging="426"/>
        <w:jc w:val="both"/>
        <w:rPr>
          <w:rFonts w:hAnsi="Times New Roman"/>
          <w:sz w:val="22"/>
          <w:szCs w:val="22"/>
          <w:lang w:val="es-US"/>
        </w:rPr>
      </w:pPr>
      <w:r w:rsidRPr="008219F2">
        <w:rPr>
          <w:rFonts w:hAnsi="Times New Roman"/>
          <w:sz w:val="22"/>
          <w:szCs w:val="22"/>
          <w:lang w:val="es-US"/>
        </w:rPr>
        <w:t>El Salvador está incurriendo en continuas violaciones del PIDESC como resultado de los siguientes factores (no exhaustivos) (</w:t>
      </w:r>
      <w:r w:rsidRPr="008219F2">
        <w:rPr>
          <w:rFonts w:hAnsi="Times New Roman"/>
          <w:i/>
          <w:sz w:val="22"/>
          <w:szCs w:val="22"/>
          <w:lang w:val="es-US"/>
        </w:rPr>
        <w:t>i</w:t>
      </w:r>
      <w:r w:rsidRPr="008219F2">
        <w:rPr>
          <w:rFonts w:hAnsi="Times New Roman"/>
          <w:sz w:val="22"/>
          <w:szCs w:val="22"/>
          <w:lang w:val="es-US"/>
        </w:rPr>
        <w:t>) su total criminalización del aborto; (</w:t>
      </w:r>
      <w:r w:rsidRPr="008219F2">
        <w:rPr>
          <w:rFonts w:hAnsi="Times New Roman"/>
          <w:i/>
          <w:sz w:val="22"/>
          <w:szCs w:val="22"/>
          <w:lang w:val="es-US"/>
        </w:rPr>
        <w:t>ii</w:t>
      </w:r>
      <w:r w:rsidRPr="008219F2">
        <w:rPr>
          <w:rFonts w:hAnsi="Times New Roman"/>
          <w:sz w:val="22"/>
          <w:szCs w:val="22"/>
          <w:lang w:val="es-US"/>
        </w:rPr>
        <w:t>) su sistemática persecución de mujeres y niñas por delitos relacionados con el aborto y cargos de homicidio agravado tras emergencias obstétricas u otras complicaciones de salud reproductiva; (</w:t>
      </w:r>
      <w:r w:rsidRPr="008219F2">
        <w:rPr>
          <w:rFonts w:hAnsi="Times New Roman"/>
          <w:i/>
          <w:sz w:val="22"/>
          <w:szCs w:val="22"/>
          <w:lang w:val="es-US"/>
        </w:rPr>
        <w:t xml:space="preserve">iii) </w:t>
      </w:r>
      <w:r w:rsidRPr="008219F2">
        <w:rPr>
          <w:rFonts w:hAnsi="Times New Roman"/>
          <w:sz w:val="22"/>
          <w:szCs w:val="22"/>
          <w:lang w:val="es-US"/>
        </w:rPr>
        <w:t>la resultante y continua privación arbitraria de la libertad en contravención de los derechos de las mujeres y niñas bajo el PIDESC, incluyendo las normas básicas del debido proceso; (</w:t>
      </w:r>
      <w:r w:rsidRPr="008219F2">
        <w:rPr>
          <w:rFonts w:hAnsi="Times New Roman"/>
          <w:i/>
          <w:sz w:val="22"/>
          <w:szCs w:val="22"/>
          <w:lang w:val="es-US"/>
        </w:rPr>
        <w:t xml:space="preserve">iv) </w:t>
      </w:r>
      <w:r w:rsidRPr="008219F2">
        <w:rPr>
          <w:rFonts w:hAnsi="Times New Roman"/>
          <w:sz w:val="22"/>
          <w:szCs w:val="22"/>
          <w:lang w:val="es-US"/>
        </w:rPr>
        <w:t>la exigencia, sujeta a sanciones penales, de que los profesionales de la medicina informen sobre presuntos abortos, lo que confunde y compromete los deberes médicos profesionales de confidencialidad y atención, y disuade a las mujeres y las niñas de buscar asistencia médica en relación con las complicaciones del embarazo; (</w:t>
      </w:r>
      <w:r w:rsidRPr="008219F2">
        <w:rPr>
          <w:rFonts w:hAnsi="Times New Roman"/>
          <w:i/>
          <w:sz w:val="22"/>
          <w:szCs w:val="22"/>
          <w:lang w:val="es-US"/>
        </w:rPr>
        <w:t xml:space="preserve">v) el hecho de que no se </w:t>
      </w:r>
      <w:r w:rsidRPr="008219F2">
        <w:rPr>
          <w:rFonts w:hAnsi="Times New Roman"/>
          <w:sz w:val="22"/>
          <w:szCs w:val="22"/>
          <w:lang w:val="es-US"/>
        </w:rPr>
        <w:t>proporcionen servicios adecuados de salud sexual y reproductiva ni educación; (</w:t>
      </w:r>
      <w:r w:rsidRPr="008219F2">
        <w:rPr>
          <w:rFonts w:hAnsi="Times New Roman"/>
          <w:i/>
          <w:sz w:val="22"/>
          <w:szCs w:val="22"/>
          <w:lang w:val="es-US"/>
        </w:rPr>
        <w:t xml:space="preserve">vi) el hecho </w:t>
      </w:r>
      <w:r w:rsidRPr="008219F2">
        <w:rPr>
          <w:rFonts w:hAnsi="Times New Roman"/>
          <w:sz w:val="22"/>
          <w:szCs w:val="22"/>
          <w:lang w:val="es-US"/>
        </w:rPr>
        <w:t xml:space="preserve">de que no se proteja a las mujeres, y en particular a las niñas, contra la violencia sexual; </w:t>
      </w:r>
      <w:r w:rsidR="006F6B06" w:rsidRPr="008219F2">
        <w:rPr>
          <w:rFonts w:hAnsi="Times New Roman"/>
          <w:sz w:val="22"/>
          <w:szCs w:val="22"/>
          <w:lang w:val="es-US"/>
        </w:rPr>
        <w:t xml:space="preserve">y </w:t>
      </w:r>
      <w:r w:rsidRPr="008219F2">
        <w:rPr>
          <w:rFonts w:hAnsi="Times New Roman"/>
          <w:sz w:val="22"/>
          <w:szCs w:val="22"/>
          <w:lang w:val="es-US"/>
        </w:rPr>
        <w:t>(</w:t>
      </w:r>
      <w:r w:rsidRPr="008219F2">
        <w:rPr>
          <w:rFonts w:hAnsi="Times New Roman"/>
          <w:i/>
          <w:sz w:val="22"/>
          <w:szCs w:val="22"/>
          <w:lang w:val="es-US"/>
        </w:rPr>
        <w:t>vii</w:t>
      </w:r>
      <w:r w:rsidRPr="008219F2">
        <w:rPr>
          <w:rFonts w:hAnsi="Times New Roman"/>
          <w:sz w:val="22"/>
          <w:szCs w:val="22"/>
          <w:lang w:val="es-US"/>
        </w:rPr>
        <w:t>) el fomento y la perpetuación de la discriminación por motivos de género</w:t>
      </w:r>
      <w:r w:rsidR="006F6B06" w:rsidRPr="008219F2">
        <w:rPr>
          <w:rFonts w:hAnsi="Times New Roman"/>
          <w:sz w:val="22"/>
          <w:szCs w:val="22"/>
          <w:lang w:val="es-US"/>
        </w:rPr>
        <w:t>.</w:t>
      </w:r>
    </w:p>
    <w:p w14:paraId="1C122524" w14:textId="273DFBD7" w:rsidR="00251276" w:rsidRPr="008219F2" w:rsidRDefault="002E36DE">
      <w:pPr>
        <w:pStyle w:val="Heading2"/>
        <w:spacing w:before="120" w:after="120"/>
        <w:ind w:left="0" w:hanging="426"/>
        <w:jc w:val="both"/>
        <w:rPr>
          <w:rFonts w:hAnsi="Times New Roman"/>
          <w:sz w:val="22"/>
          <w:szCs w:val="22"/>
          <w:lang w:val="es-US"/>
        </w:rPr>
      </w:pPr>
      <w:r w:rsidRPr="008219F2">
        <w:rPr>
          <w:rFonts w:hAnsi="Times New Roman"/>
          <w:sz w:val="22"/>
          <w:szCs w:val="22"/>
          <w:lang w:val="es-US"/>
        </w:rPr>
        <w:t xml:space="preserve">Las </w:t>
      </w:r>
      <w:r w:rsidR="009A0691" w:rsidRPr="008219F2">
        <w:rPr>
          <w:rFonts w:hAnsi="Times New Roman"/>
          <w:sz w:val="22"/>
          <w:szCs w:val="22"/>
          <w:lang w:val="es-US"/>
        </w:rPr>
        <w:t xml:space="preserve">consecuencias de estas violaciones alteran la vida, provocando un grave sufrimiento físico, mental y emocional.  Las violaciones de El Salvador perjudican a mujeres y niñas de todos los orígenes, pero sus impactos se dejan sentir de forma desproporcionada en las mujeres y niñas de las zonas rurales y socioeconómicamente desfavorecidas, perpetuando una discriminación de varios niveles contra ciertos sectores de la sociedad.  El marco legal </w:t>
      </w:r>
      <w:r w:rsidR="00BD11DA">
        <w:rPr>
          <w:rFonts w:hAnsi="Times New Roman"/>
          <w:sz w:val="22"/>
          <w:szCs w:val="22"/>
          <w:lang w:val="es-US"/>
        </w:rPr>
        <w:t xml:space="preserve">y demás políticas públicas </w:t>
      </w:r>
      <w:r w:rsidR="009A0691" w:rsidRPr="008219F2">
        <w:rPr>
          <w:rFonts w:hAnsi="Times New Roman"/>
          <w:sz w:val="22"/>
          <w:szCs w:val="22"/>
          <w:lang w:val="es-US"/>
        </w:rPr>
        <w:t xml:space="preserve">de El Salvador </w:t>
      </w:r>
      <w:r w:rsidR="00BD11DA">
        <w:rPr>
          <w:rFonts w:hAnsi="Times New Roman"/>
          <w:sz w:val="22"/>
          <w:szCs w:val="22"/>
          <w:lang w:val="es-US"/>
        </w:rPr>
        <w:t>sobre</w:t>
      </w:r>
      <w:r w:rsidR="009A0691" w:rsidRPr="008219F2">
        <w:rPr>
          <w:rFonts w:hAnsi="Times New Roman"/>
          <w:sz w:val="22"/>
          <w:szCs w:val="22"/>
          <w:lang w:val="es-US"/>
        </w:rPr>
        <w:t xml:space="preserve"> los derechos sexuales y reproductivos son típicos de las jurisdicciones que llevaron </w:t>
      </w:r>
      <w:r w:rsidR="009A0691" w:rsidRPr="008219F2">
        <w:rPr>
          <w:rFonts w:hAnsi="Times New Roman"/>
          <w:bCs/>
          <w:sz w:val="22"/>
          <w:szCs w:val="22"/>
          <w:lang w:val="es-US"/>
        </w:rPr>
        <w:t xml:space="preserve">al Comité </w:t>
      </w:r>
      <w:r w:rsidR="009A0691" w:rsidRPr="008219F2">
        <w:rPr>
          <w:rFonts w:hAnsi="Times New Roman"/>
          <w:sz w:val="22"/>
          <w:szCs w:val="22"/>
          <w:lang w:val="es-US"/>
        </w:rPr>
        <w:t>a concluir que "...el pleno disfrute del derecho a la salud sexual y reproductiva sigue siendo un objetivo lejano para millones de personas, especialmente para las mujeres y las niñas, en todo el mundo".</w:t>
      </w:r>
      <w:r w:rsidR="009A0691" w:rsidRPr="00F36A0E">
        <w:rPr>
          <w:rStyle w:val="EndnoteReference"/>
          <w:rFonts w:hAnsi="Times New Roman"/>
          <w:sz w:val="22"/>
          <w:szCs w:val="22"/>
          <w:lang w:val="en-GB"/>
        </w:rPr>
        <w:endnoteReference w:id="1"/>
      </w:r>
    </w:p>
    <w:p w14:paraId="29307168" w14:textId="0065E8BB" w:rsidR="00251276" w:rsidRPr="008219F2" w:rsidRDefault="002E36DE">
      <w:pPr>
        <w:pStyle w:val="Heading2"/>
        <w:spacing w:before="120" w:after="120"/>
        <w:ind w:left="0" w:hanging="426"/>
        <w:jc w:val="both"/>
        <w:rPr>
          <w:rFonts w:hAnsi="Times New Roman"/>
          <w:sz w:val="22"/>
          <w:szCs w:val="22"/>
          <w:lang w:val="es-US"/>
        </w:rPr>
      </w:pPr>
      <w:r w:rsidRPr="008219F2">
        <w:rPr>
          <w:rFonts w:hAnsi="Times New Roman"/>
          <w:sz w:val="22"/>
          <w:szCs w:val="22"/>
          <w:lang w:val="es-US"/>
        </w:rPr>
        <w:lastRenderedPageBreak/>
        <w:t xml:space="preserve">Las anteriores Observaciones Finales del Comité han exigido la reforma de la ley </w:t>
      </w:r>
      <w:r w:rsidR="008D5F50">
        <w:rPr>
          <w:rFonts w:hAnsi="Times New Roman"/>
          <w:sz w:val="22"/>
          <w:szCs w:val="22"/>
          <w:lang w:val="es-US"/>
        </w:rPr>
        <w:t>que criminaliza el</w:t>
      </w:r>
      <w:r w:rsidR="008D5F50" w:rsidRPr="008219F2">
        <w:rPr>
          <w:rFonts w:hAnsi="Times New Roman"/>
          <w:sz w:val="22"/>
          <w:szCs w:val="22"/>
          <w:lang w:val="es-US"/>
        </w:rPr>
        <w:t xml:space="preserve"> </w:t>
      </w:r>
      <w:r w:rsidRPr="008219F2">
        <w:rPr>
          <w:rFonts w:hAnsi="Times New Roman"/>
          <w:sz w:val="22"/>
          <w:szCs w:val="22"/>
          <w:lang w:val="es-US"/>
        </w:rPr>
        <w:t>aborto de El Salvador, ya que es claramente incompatible con el PIDESC.</w:t>
      </w:r>
      <w:r w:rsidRPr="00F36A0E">
        <w:rPr>
          <w:rStyle w:val="EndnoteReference"/>
          <w:rFonts w:hAnsi="Times New Roman"/>
          <w:sz w:val="22"/>
          <w:szCs w:val="22"/>
          <w:lang w:val="en-GB"/>
        </w:rPr>
        <w:endnoteReference w:id="2"/>
      </w:r>
      <w:r w:rsidRPr="008219F2">
        <w:rPr>
          <w:rFonts w:hAnsi="Times New Roman"/>
          <w:sz w:val="22"/>
          <w:szCs w:val="22"/>
          <w:lang w:val="es-US"/>
        </w:rPr>
        <w:t xml:space="preserve">  Sin embargo, como se aborda en la siguiente sección, el Sexto Informe Periódico de El Salvador no muestra </w:t>
      </w:r>
      <w:r w:rsidRPr="008219F2">
        <w:rPr>
          <w:rFonts w:hAnsi="Times New Roman"/>
          <w:i/>
          <w:sz w:val="22"/>
          <w:szCs w:val="22"/>
          <w:lang w:val="es-US"/>
        </w:rPr>
        <w:t xml:space="preserve">ninguna </w:t>
      </w:r>
      <w:r w:rsidRPr="008219F2">
        <w:rPr>
          <w:rFonts w:hAnsi="Times New Roman"/>
          <w:sz w:val="22"/>
          <w:szCs w:val="22"/>
          <w:lang w:val="es-US"/>
        </w:rPr>
        <w:t>medida material para abordar las preocupaciones del Comité.  En sus Observaciones Finales de 2014, el Comité también expresó su preocupación por los niveles de violencia de género e instó a El Salvador a tomar medidas para reducirla.  También recomendó a El Salvador que mejorara la accesibilidad y la disponibilidad de los servicios de salud sexual y reproductiva y la educación integral y apropiada para la edad. Las continuas violaciones del PIDESC por parte de El Salvador demuestran que no ha atendido satisfactoriamente las recomendaciones del Comité.</w:t>
      </w:r>
      <w:r w:rsidRPr="00F36A0E">
        <w:rPr>
          <w:rStyle w:val="EndnoteReference"/>
          <w:rFonts w:hAnsi="Times New Roman"/>
          <w:sz w:val="22"/>
          <w:szCs w:val="22"/>
          <w:lang w:val="en-GB"/>
        </w:rPr>
        <w:endnoteReference w:id="3"/>
      </w:r>
      <w:r w:rsidRPr="008219F2">
        <w:rPr>
          <w:rFonts w:hAnsi="Times New Roman"/>
          <w:sz w:val="22"/>
          <w:szCs w:val="22"/>
          <w:lang w:val="es-US"/>
        </w:rPr>
        <w:t xml:space="preserve">  </w:t>
      </w:r>
    </w:p>
    <w:p w14:paraId="6DB8C0AE" w14:textId="09211D51" w:rsidR="00251276" w:rsidRPr="008219F2" w:rsidRDefault="002E36DE">
      <w:pPr>
        <w:pStyle w:val="Heading2"/>
        <w:spacing w:before="120" w:after="120"/>
        <w:ind w:left="0" w:hanging="426"/>
        <w:jc w:val="both"/>
        <w:rPr>
          <w:rFonts w:hAnsi="Times New Roman"/>
          <w:sz w:val="22"/>
          <w:szCs w:val="22"/>
          <w:lang w:val="es-US"/>
        </w:rPr>
      </w:pPr>
      <w:r w:rsidRPr="008219F2">
        <w:rPr>
          <w:rFonts w:hAnsi="Times New Roman"/>
          <w:sz w:val="22"/>
          <w:szCs w:val="22"/>
          <w:lang w:val="es-US"/>
        </w:rPr>
        <w:t xml:space="preserve">En consecuencia, </w:t>
      </w:r>
      <w:r w:rsidR="00E94AAB">
        <w:rPr>
          <w:rFonts w:hAnsi="Times New Roman"/>
          <w:sz w:val="22"/>
          <w:szCs w:val="22"/>
          <w:lang w:val="es-US"/>
        </w:rPr>
        <w:t>el</w:t>
      </w:r>
      <w:r w:rsidR="00E94AAB" w:rsidRPr="008219F2">
        <w:rPr>
          <w:rFonts w:hAnsi="Times New Roman"/>
          <w:sz w:val="22"/>
          <w:szCs w:val="22"/>
          <w:lang w:val="es-US"/>
        </w:rPr>
        <w:t xml:space="preserve"> </w:t>
      </w:r>
      <w:r w:rsidRPr="008219F2">
        <w:rPr>
          <w:rFonts w:hAnsi="Times New Roman"/>
          <w:sz w:val="22"/>
          <w:szCs w:val="22"/>
          <w:lang w:val="es-US"/>
        </w:rPr>
        <w:t xml:space="preserve">CRR </w:t>
      </w:r>
      <w:r w:rsidR="007F7D65" w:rsidRPr="008219F2">
        <w:rPr>
          <w:rFonts w:hAnsi="Times New Roman"/>
          <w:sz w:val="22"/>
          <w:szCs w:val="22"/>
          <w:lang w:val="es-US"/>
        </w:rPr>
        <w:t xml:space="preserve">y la Agrupación </w:t>
      </w:r>
      <w:r w:rsidR="008F31EB" w:rsidRPr="008219F2">
        <w:rPr>
          <w:rFonts w:hAnsi="Times New Roman"/>
          <w:sz w:val="22"/>
          <w:szCs w:val="22"/>
          <w:lang w:val="es-US"/>
        </w:rPr>
        <w:t xml:space="preserve">Ciudadana </w:t>
      </w:r>
      <w:r w:rsidRPr="008219F2">
        <w:rPr>
          <w:rFonts w:hAnsi="Times New Roman"/>
          <w:sz w:val="22"/>
          <w:szCs w:val="22"/>
          <w:lang w:val="es-US"/>
        </w:rPr>
        <w:t>solicitan que el Comité haga recomendaciones para poner fin a estas violaciones, para ofrecer una reparación efectiva a las mujeres y niñas que están soportando el impacto de estas violaciones, y para garantizar la no repetición</w:t>
      </w:r>
      <w:r w:rsidR="005627A5">
        <w:rPr>
          <w:rFonts w:hAnsi="Times New Roman"/>
          <w:sz w:val="22"/>
          <w:szCs w:val="22"/>
          <w:lang w:val="es-US"/>
        </w:rPr>
        <w:t>, todo con aras de asegurar justicia reproductiva para las mujeres víctimas de las violaciones a sus derechos reproductivos</w:t>
      </w:r>
      <w:r w:rsidRPr="008219F2">
        <w:rPr>
          <w:rFonts w:hAnsi="Times New Roman"/>
          <w:sz w:val="22"/>
          <w:szCs w:val="22"/>
          <w:lang w:val="es-US"/>
        </w:rPr>
        <w:t xml:space="preserve">. Dado que El Salvador no ha abordado las recomendaciones anteriores del Comité de manera satisfactoria, </w:t>
      </w:r>
      <w:r w:rsidR="005627A5">
        <w:rPr>
          <w:rFonts w:hAnsi="Times New Roman"/>
          <w:sz w:val="22"/>
          <w:szCs w:val="22"/>
          <w:lang w:val="es-US"/>
        </w:rPr>
        <w:t>el</w:t>
      </w:r>
      <w:r w:rsidR="005627A5" w:rsidRPr="008219F2">
        <w:rPr>
          <w:rFonts w:hAnsi="Times New Roman"/>
          <w:sz w:val="22"/>
          <w:szCs w:val="22"/>
          <w:lang w:val="es-US"/>
        </w:rPr>
        <w:t xml:space="preserve"> </w:t>
      </w:r>
      <w:r w:rsidRPr="008219F2">
        <w:rPr>
          <w:rFonts w:hAnsi="Times New Roman"/>
          <w:sz w:val="22"/>
          <w:szCs w:val="22"/>
          <w:lang w:val="es-US"/>
        </w:rPr>
        <w:t xml:space="preserve">CRR y </w:t>
      </w:r>
      <w:r w:rsidR="005627A5">
        <w:rPr>
          <w:rFonts w:hAnsi="Times New Roman"/>
          <w:sz w:val="22"/>
          <w:szCs w:val="22"/>
          <w:lang w:val="es-US"/>
        </w:rPr>
        <w:t>l</w:t>
      </w:r>
      <w:r w:rsidR="008F31EB" w:rsidRPr="008219F2">
        <w:rPr>
          <w:rFonts w:hAnsi="Times New Roman"/>
          <w:sz w:val="22"/>
          <w:szCs w:val="22"/>
          <w:lang w:val="es-US"/>
        </w:rPr>
        <w:t xml:space="preserve">a </w:t>
      </w:r>
      <w:r w:rsidR="005627A5">
        <w:rPr>
          <w:rFonts w:hAnsi="Times New Roman"/>
          <w:sz w:val="22"/>
          <w:szCs w:val="22"/>
          <w:lang w:val="es-US"/>
        </w:rPr>
        <w:t>A</w:t>
      </w:r>
      <w:r w:rsidR="005627A5" w:rsidRPr="008219F2">
        <w:rPr>
          <w:rFonts w:hAnsi="Times New Roman"/>
          <w:sz w:val="22"/>
          <w:szCs w:val="22"/>
          <w:lang w:val="es-US"/>
        </w:rPr>
        <w:t>grupación</w:t>
      </w:r>
      <w:r w:rsidR="008F31EB" w:rsidRPr="008219F2">
        <w:rPr>
          <w:rFonts w:hAnsi="Times New Roman"/>
          <w:sz w:val="22"/>
          <w:szCs w:val="22"/>
          <w:lang w:val="es-US"/>
        </w:rPr>
        <w:t xml:space="preserve"> </w:t>
      </w:r>
      <w:r w:rsidRPr="008219F2">
        <w:rPr>
          <w:rFonts w:hAnsi="Times New Roman"/>
          <w:sz w:val="22"/>
          <w:szCs w:val="22"/>
          <w:lang w:val="es-US"/>
        </w:rPr>
        <w:t xml:space="preserve">también solicitan que el Comité ponga en marcha un mecanismo de información o seguimiento para comprobar los avances de manera periódica antes del próximo examen de El Salvador.  </w:t>
      </w:r>
    </w:p>
    <w:p w14:paraId="63C4B60A" w14:textId="77777777" w:rsidR="00251276" w:rsidRDefault="002E36DE">
      <w:pPr>
        <w:pStyle w:val="Heading1"/>
        <w:spacing w:before="120" w:after="120"/>
        <w:ind w:left="426" w:hanging="426"/>
        <w:jc w:val="both"/>
        <w:rPr>
          <w:sz w:val="22"/>
          <w:szCs w:val="22"/>
          <w:lang w:val="en-GB"/>
        </w:rPr>
      </w:pPr>
      <w:r w:rsidRPr="00F36A0E">
        <w:rPr>
          <w:sz w:val="22"/>
          <w:szCs w:val="22"/>
          <w:lang w:val="en-GB"/>
        </w:rPr>
        <w:t xml:space="preserve">Antecedentes jurídicos y fácticos </w:t>
      </w:r>
    </w:p>
    <w:p w14:paraId="0C888DF4" w14:textId="77777777" w:rsidR="00251276" w:rsidRPr="008219F2" w:rsidRDefault="002E36DE">
      <w:pPr>
        <w:pStyle w:val="Heading2"/>
        <w:spacing w:before="120" w:after="120"/>
        <w:ind w:left="0" w:hanging="426"/>
        <w:jc w:val="both"/>
        <w:rPr>
          <w:rFonts w:hAnsi="Times New Roman"/>
          <w:color w:val="000000"/>
          <w:sz w:val="22"/>
          <w:szCs w:val="22"/>
          <w:lang w:val="es-US"/>
        </w:rPr>
      </w:pPr>
      <w:r w:rsidRPr="008219F2">
        <w:rPr>
          <w:rFonts w:hAnsi="Times New Roman"/>
          <w:sz w:val="22"/>
          <w:szCs w:val="22"/>
          <w:lang w:val="es-US"/>
        </w:rPr>
        <w:t>En 1998 entró en vigor el Código Penal de El Salvador (el "</w:t>
      </w:r>
      <w:r w:rsidRPr="008219F2">
        <w:rPr>
          <w:rFonts w:hAnsi="Times New Roman"/>
          <w:b/>
          <w:sz w:val="22"/>
          <w:szCs w:val="22"/>
          <w:lang w:val="es-US"/>
        </w:rPr>
        <w:t>Código Penal"</w:t>
      </w:r>
      <w:r w:rsidRPr="008219F2">
        <w:rPr>
          <w:rFonts w:hAnsi="Times New Roman"/>
          <w:sz w:val="22"/>
          <w:szCs w:val="22"/>
          <w:lang w:val="es-US"/>
        </w:rPr>
        <w:t>), que penaliza el aborto en todas las circunstancias.</w:t>
      </w:r>
      <w:r w:rsidRPr="00F36A0E">
        <w:rPr>
          <w:rStyle w:val="EndnoteReference"/>
          <w:rFonts w:hAnsi="Times New Roman"/>
          <w:sz w:val="22"/>
          <w:szCs w:val="22"/>
          <w:lang w:val="en-GB"/>
        </w:rPr>
        <w:endnoteReference w:id="4"/>
      </w:r>
      <w:r w:rsidRPr="008219F2">
        <w:rPr>
          <w:rFonts w:hAnsi="Times New Roman"/>
          <w:sz w:val="22"/>
          <w:szCs w:val="22"/>
          <w:lang w:val="es-US"/>
        </w:rPr>
        <w:t xml:space="preserve">   Además, la Constitución Política de 1999 reconoce "al ser humano como toda persona desde el momento de la concepción".</w:t>
      </w:r>
      <w:r w:rsidRPr="00F36A0E">
        <w:rPr>
          <w:rFonts w:hAnsi="Times New Roman"/>
          <w:sz w:val="22"/>
          <w:szCs w:val="22"/>
          <w:vertAlign w:val="superscript"/>
          <w:lang w:val="en-GB"/>
        </w:rPr>
        <w:endnoteReference w:id="5"/>
      </w:r>
      <w:r w:rsidRPr="008219F2">
        <w:rPr>
          <w:rFonts w:hAnsi="Times New Roman"/>
          <w:sz w:val="22"/>
          <w:szCs w:val="22"/>
          <w:lang w:val="es-US"/>
        </w:rPr>
        <w:t xml:space="preserve">       </w:t>
      </w:r>
    </w:p>
    <w:p w14:paraId="345715DF" w14:textId="771073C9" w:rsidR="00251276" w:rsidRPr="008219F2" w:rsidRDefault="002E36DE">
      <w:pPr>
        <w:pStyle w:val="Heading2"/>
        <w:spacing w:before="120" w:after="120"/>
        <w:ind w:left="0" w:hanging="426"/>
        <w:jc w:val="both"/>
        <w:rPr>
          <w:rFonts w:hAnsi="Times New Roman"/>
          <w:sz w:val="22"/>
          <w:szCs w:val="22"/>
          <w:lang w:val="es-US"/>
        </w:rPr>
      </w:pPr>
      <w:r w:rsidRPr="008219F2">
        <w:rPr>
          <w:rFonts w:hAnsi="Times New Roman"/>
          <w:sz w:val="22"/>
          <w:szCs w:val="22"/>
          <w:lang w:val="es-US"/>
        </w:rPr>
        <w:t xml:space="preserve">El Salvador persigue activamente </w:t>
      </w:r>
      <w:r w:rsidR="008144D8">
        <w:rPr>
          <w:rFonts w:hAnsi="Times New Roman"/>
          <w:sz w:val="22"/>
          <w:szCs w:val="22"/>
          <w:lang w:val="es-US"/>
        </w:rPr>
        <w:t>a</w:t>
      </w:r>
      <w:r w:rsidRPr="008219F2">
        <w:rPr>
          <w:rFonts w:hAnsi="Times New Roman"/>
          <w:sz w:val="22"/>
          <w:szCs w:val="22"/>
          <w:lang w:val="es-US"/>
        </w:rPr>
        <w:t xml:space="preserve"> las mujeres en casos de sospecha de aborto, incluidas las mujeres que sufren emergencias obstétricas y otras complicaciones de salud reproductiva durante el embarazo y buscan atención médica. De forma alarmante, las mujeres sospechosas de haber abortado suelen ser procesadas por homicidio agravado, que tiene una pena de prisión significativamente mayor que los delitos específicos de aborto.</w:t>
      </w:r>
      <w:r w:rsidRPr="00F36A0E">
        <w:rPr>
          <w:rFonts w:hAnsi="Times New Roman"/>
          <w:sz w:val="22"/>
          <w:szCs w:val="22"/>
          <w:vertAlign w:val="superscript"/>
          <w:lang w:val="en-GB"/>
        </w:rPr>
        <w:endnoteReference w:id="6"/>
      </w:r>
      <w:r w:rsidRPr="008219F2">
        <w:rPr>
          <w:rFonts w:hAnsi="Times New Roman"/>
          <w:sz w:val="22"/>
          <w:szCs w:val="22"/>
          <w:lang w:val="es-US"/>
        </w:rPr>
        <w:t xml:space="preserve">  Múltiples organismos y organizaciones internacionales de derechos humanos han informado y expresado su preocupación por las atroces violaciones que se derivan de estas acciones:  </w:t>
      </w:r>
    </w:p>
    <w:p w14:paraId="03B3819B" w14:textId="77777777" w:rsidR="00251276" w:rsidRPr="008219F2" w:rsidRDefault="002E36DE">
      <w:pPr>
        <w:pStyle w:val="Heading3"/>
        <w:ind w:left="426" w:hanging="426"/>
        <w:jc w:val="both"/>
        <w:rPr>
          <w:rFonts w:hAnsi="Times New Roman"/>
          <w:sz w:val="22"/>
          <w:szCs w:val="22"/>
          <w:lang w:val="es-US"/>
        </w:rPr>
      </w:pPr>
      <w:r w:rsidRPr="008219F2">
        <w:rPr>
          <w:rFonts w:hAnsi="Times New Roman"/>
          <w:sz w:val="22"/>
          <w:szCs w:val="22"/>
          <w:lang w:val="es-US"/>
        </w:rPr>
        <w:t>Por ejemplo, en 2019, la Comisión Interamericana de Derechos Humanos (la "</w:t>
      </w:r>
      <w:r w:rsidRPr="008219F2">
        <w:rPr>
          <w:rFonts w:hAnsi="Times New Roman"/>
          <w:b/>
          <w:sz w:val="22"/>
          <w:szCs w:val="22"/>
          <w:lang w:val="es-US"/>
        </w:rPr>
        <w:t>CIDH"</w:t>
      </w:r>
      <w:r w:rsidRPr="008219F2">
        <w:rPr>
          <w:rFonts w:hAnsi="Times New Roman"/>
          <w:sz w:val="22"/>
          <w:szCs w:val="22"/>
          <w:lang w:val="es-US"/>
        </w:rPr>
        <w:t>) encontró que al menos 74 mujeres que habían sufrido complicaciones o emergencias obstétricas habían sido condenadas por homicidio agravado y sentenciadas a hasta 40 años de prisión, a pesar de que el aborto tiene una sanción penal máxima de 12 años según el Código Penal.  También señaló que "[d]urante su visita a [El Salvador], la CIDH se reunió con 15 mujeres que habían sido condenadas en tales circunstancias y que luego fueron liberadas después de que sus sentencias fueron revisadas o conmutadas, incluyendo una mujer que pasó 17 años en prisión. Además, la delegación escuchó testimonios de primera mano de otras 13 mujeres que se encuentran encarceladas tras ser condenadas en relación con emergencias obstétricas, incluyendo el caso de una mujer que fue condenada a 30 años de prisión por asesinato agravado tras dar a luz fuera de un hospital cuando los servicios de emergencia no respondieron a su llamada al 911".</w:t>
      </w:r>
      <w:r w:rsidRPr="00F36A0E">
        <w:rPr>
          <w:rStyle w:val="EndnoteReference"/>
          <w:rFonts w:hAnsi="Times New Roman"/>
          <w:sz w:val="22"/>
          <w:szCs w:val="22"/>
          <w:lang w:val="en-GB"/>
        </w:rPr>
        <w:endnoteReference w:id="7"/>
      </w:r>
      <w:r w:rsidRPr="008219F2">
        <w:rPr>
          <w:rFonts w:hAnsi="Times New Roman"/>
          <w:sz w:val="22"/>
          <w:szCs w:val="22"/>
          <w:lang w:val="es-US"/>
        </w:rPr>
        <w:t xml:space="preserve">  La CIDH y otros estudios han encontrado un patrón en las víctimas que son perseguidas: son mujeres jóvenes socioeconómicamente vulnerables que buscaron atención médica durante el embarazo y que posteriormente fueron denunciadas por los profesionales de la salud, perpetuando así una problemática tendencia de doble victimización.</w:t>
      </w:r>
      <w:r w:rsidRPr="00F36A0E">
        <w:rPr>
          <w:rStyle w:val="EndnoteReference"/>
          <w:rFonts w:hAnsi="Times New Roman"/>
          <w:sz w:val="22"/>
          <w:szCs w:val="22"/>
          <w:lang w:val="en-GB"/>
        </w:rPr>
        <w:endnoteReference w:id="8"/>
      </w:r>
      <w:r w:rsidRPr="008219F2">
        <w:rPr>
          <w:rFonts w:hAnsi="Times New Roman"/>
          <w:sz w:val="22"/>
          <w:szCs w:val="22"/>
          <w:lang w:val="es-US"/>
        </w:rPr>
        <w:t xml:space="preserve">  </w:t>
      </w:r>
    </w:p>
    <w:p w14:paraId="024BE18A" w14:textId="4BA147AE" w:rsidR="00251276" w:rsidRPr="008219F2" w:rsidRDefault="002E36DE">
      <w:pPr>
        <w:pStyle w:val="Heading3"/>
        <w:ind w:left="426" w:hanging="426"/>
        <w:jc w:val="both"/>
        <w:rPr>
          <w:rFonts w:hAnsi="Times New Roman"/>
          <w:sz w:val="22"/>
          <w:szCs w:val="22"/>
          <w:lang w:val="es-US"/>
        </w:rPr>
      </w:pPr>
      <w:r w:rsidRPr="008219F2">
        <w:rPr>
          <w:rFonts w:hAnsi="Times New Roman"/>
          <w:sz w:val="22"/>
          <w:szCs w:val="22"/>
          <w:lang w:val="es-US"/>
        </w:rPr>
        <w:t xml:space="preserve">Estos hallazgos se alinean con estadísticas anteriores presentadas por </w:t>
      </w:r>
      <w:r w:rsidRPr="008219F2">
        <w:rPr>
          <w:rFonts w:hAnsi="Times New Roman"/>
          <w:i/>
          <w:sz w:val="22"/>
          <w:szCs w:val="22"/>
          <w:lang w:val="es-US"/>
        </w:rPr>
        <w:t>La Agrupación Ciudadana</w:t>
      </w:r>
      <w:r w:rsidRPr="008219F2">
        <w:rPr>
          <w:rFonts w:hAnsi="Times New Roman"/>
          <w:sz w:val="22"/>
          <w:szCs w:val="22"/>
          <w:lang w:val="es-US"/>
        </w:rPr>
        <w:t>, que identificó 1</w:t>
      </w:r>
      <w:r w:rsidR="00A06612">
        <w:rPr>
          <w:rFonts w:hAnsi="Times New Roman"/>
          <w:sz w:val="22"/>
          <w:szCs w:val="22"/>
          <w:lang w:val="es-US"/>
        </w:rPr>
        <w:t>81</w:t>
      </w:r>
      <w:r w:rsidRPr="008219F2">
        <w:rPr>
          <w:rFonts w:hAnsi="Times New Roman"/>
          <w:sz w:val="22"/>
          <w:szCs w:val="22"/>
          <w:lang w:val="es-US"/>
        </w:rPr>
        <w:t xml:space="preserve"> casos de juicios entre 2000 y 2014 que se iniciaron contra mujeres a las que se les produjo la muerte del feto en el último mes de embarazo, 74 de los cuales fueron por homicidio agravado.</w:t>
      </w:r>
      <w:r w:rsidRPr="00F36A0E">
        <w:rPr>
          <w:rStyle w:val="EndnoteReference"/>
          <w:rFonts w:hAnsi="Times New Roman"/>
          <w:sz w:val="22"/>
          <w:szCs w:val="22"/>
          <w:lang w:val="en-GB"/>
        </w:rPr>
        <w:endnoteReference w:id="9"/>
      </w:r>
      <w:r w:rsidRPr="008219F2">
        <w:rPr>
          <w:rFonts w:hAnsi="Times New Roman"/>
          <w:sz w:val="22"/>
          <w:szCs w:val="22"/>
          <w:lang w:val="es-US"/>
        </w:rPr>
        <w:t xml:space="preserve">  Además, los condenados son </w:t>
      </w:r>
      <w:r w:rsidRPr="008219F2">
        <w:rPr>
          <w:rFonts w:hAnsi="Times New Roman"/>
          <w:sz w:val="22"/>
          <w:szCs w:val="22"/>
          <w:lang w:val="es-US"/>
        </w:rPr>
        <w:lastRenderedPageBreak/>
        <w:t>desproporcionadamente jóvenes, pobres y procedende comunidades rurales: El 68% tiene entre 18 y 25 años, el 22% tiene un bajo nivel de educación y el 82% tiene pocos o ningún ingreso.</w:t>
      </w:r>
      <w:r w:rsidRPr="00F36A0E">
        <w:rPr>
          <w:rStyle w:val="EndnoteReference"/>
          <w:rFonts w:hAnsi="Times New Roman"/>
          <w:sz w:val="22"/>
          <w:szCs w:val="22"/>
          <w:lang w:val="en-GB"/>
        </w:rPr>
        <w:endnoteReference w:id="10"/>
      </w:r>
      <w:r w:rsidRPr="008219F2">
        <w:rPr>
          <w:rFonts w:hAnsi="Times New Roman"/>
          <w:sz w:val="22"/>
          <w:szCs w:val="22"/>
          <w:lang w:val="es-US"/>
        </w:rPr>
        <w:t xml:space="preserve">  </w:t>
      </w:r>
    </w:p>
    <w:p w14:paraId="6FA8BC6C" w14:textId="0547C936" w:rsidR="00251276" w:rsidRPr="008219F2" w:rsidRDefault="002E36DE">
      <w:pPr>
        <w:pStyle w:val="Heading3"/>
        <w:ind w:left="426" w:hanging="426"/>
        <w:jc w:val="both"/>
        <w:rPr>
          <w:rFonts w:hAnsi="Times New Roman"/>
          <w:sz w:val="22"/>
          <w:szCs w:val="22"/>
          <w:lang w:val="es-US"/>
        </w:rPr>
      </w:pPr>
      <w:r w:rsidRPr="008219F2">
        <w:rPr>
          <w:rFonts w:hAnsi="Times New Roman"/>
          <w:sz w:val="22"/>
          <w:szCs w:val="22"/>
          <w:lang w:val="es-US"/>
        </w:rPr>
        <w:t>En 2019 y 2020, el Grupo de Trabajo de la ONU contra la Detención Arbitraria ("</w:t>
      </w:r>
      <w:r w:rsidRPr="008219F2">
        <w:rPr>
          <w:rFonts w:hAnsi="Times New Roman"/>
          <w:b/>
          <w:sz w:val="22"/>
          <w:szCs w:val="22"/>
          <w:lang w:val="es-US"/>
        </w:rPr>
        <w:t>UNWGAD", por sus siglas en inglés</w:t>
      </w:r>
      <w:r w:rsidRPr="008219F2">
        <w:rPr>
          <w:rFonts w:hAnsi="Times New Roman"/>
          <w:sz w:val="22"/>
          <w:szCs w:val="22"/>
          <w:lang w:val="es-US"/>
        </w:rPr>
        <w:t>) determinó que la detención y/o condena de cuatro mujeres salvadoreñas por homicidio agravado o tentativa de homicidio agravado tras haber sufrido emergencias obstétricas era arbitraria y contravenía el derecho internacional.</w:t>
      </w:r>
      <w:r w:rsidRPr="00F36A0E">
        <w:rPr>
          <w:rStyle w:val="EndnoteReference"/>
          <w:rFonts w:hAnsi="Times New Roman"/>
          <w:sz w:val="22"/>
          <w:szCs w:val="22"/>
          <w:lang w:val="en-GB"/>
        </w:rPr>
        <w:endnoteReference w:id="11"/>
      </w:r>
      <w:r w:rsidRPr="008219F2">
        <w:rPr>
          <w:rFonts w:hAnsi="Times New Roman"/>
          <w:sz w:val="22"/>
          <w:szCs w:val="22"/>
          <w:lang w:val="es-US"/>
        </w:rPr>
        <w:t xml:space="preserve"> En estos casos, el UNWGAD puso de manifiesto la discriminación sistémica y estructural que sufren las mujeres en el ejercicio de sus derechos fundamentales, incluida la igualdad de acceso a los servicios de salud, y recomendó a las autoridades que reformaran, reinterpretaran y/o derogaran la legislación penal pertinente.</w:t>
      </w:r>
      <w:r w:rsidRPr="00F36A0E">
        <w:rPr>
          <w:rStyle w:val="EndnoteReference"/>
          <w:rFonts w:hAnsi="Times New Roman"/>
          <w:sz w:val="22"/>
          <w:szCs w:val="22"/>
          <w:lang w:val="en-GB"/>
        </w:rPr>
        <w:endnoteReference w:id="12"/>
      </w:r>
      <w:r w:rsidRPr="008219F2">
        <w:rPr>
          <w:rFonts w:hAnsi="Times New Roman"/>
          <w:sz w:val="22"/>
          <w:szCs w:val="22"/>
          <w:lang w:val="es-US"/>
        </w:rPr>
        <w:t xml:space="preserve">  El UNWGAD ha pedido la liberación inmediata de las cuatro mujeres, pero, en el momento de redactar este informe, </w:t>
      </w:r>
      <w:r w:rsidR="00E07296">
        <w:rPr>
          <w:rFonts w:hAnsi="Times New Roman"/>
          <w:sz w:val="22"/>
          <w:szCs w:val="22"/>
          <w:lang w:val="es-US"/>
        </w:rPr>
        <w:t>Berta Arana sigue encarcelada</w:t>
      </w:r>
      <w:r w:rsidR="001C3A56" w:rsidRPr="00F36A0E">
        <w:rPr>
          <w:rStyle w:val="EndnoteReference"/>
          <w:rFonts w:hAnsi="Times New Roman"/>
          <w:sz w:val="22"/>
          <w:szCs w:val="22"/>
          <w:lang w:val="en-GB"/>
        </w:rPr>
        <w:endnoteReference w:id="13"/>
      </w:r>
      <w:r w:rsidRPr="008219F2">
        <w:rPr>
          <w:rFonts w:hAnsi="Times New Roman"/>
          <w:sz w:val="22"/>
          <w:szCs w:val="22"/>
          <w:lang w:val="es-US"/>
        </w:rPr>
        <w:t xml:space="preserve"> .   </w:t>
      </w:r>
    </w:p>
    <w:p w14:paraId="422C7B37" w14:textId="77777777" w:rsidR="00251276" w:rsidRPr="008219F2" w:rsidRDefault="002E36DE">
      <w:pPr>
        <w:pStyle w:val="Heading3"/>
        <w:ind w:left="426" w:hanging="426"/>
        <w:jc w:val="both"/>
        <w:rPr>
          <w:rFonts w:hAnsi="Times New Roman"/>
          <w:color w:val="000000"/>
          <w:sz w:val="22"/>
          <w:szCs w:val="22"/>
          <w:lang w:val="es-US"/>
        </w:rPr>
      </w:pPr>
      <w:r w:rsidRPr="008219F2">
        <w:rPr>
          <w:rFonts w:hAnsi="Times New Roman"/>
          <w:color w:val="000000"/>
          <w:sz w:val="22"/>
          <w:szCs w:val="22"/>
          <w:lang w:val="es-US"/>
        </w:rPr>
        <w:t xml:space="preserve">Asimismo, en 2018, </w:t>
      </w:r>
      <w:r w:rsidR="00217C46" w:rsidRPr="008219F2">
        <w:rPr>
          <w:rFonts w:hAnsi="Times New Roman"/>
          <w:color w:val="000000"/>
          <w:sz w:val="22"/>
          <w:szCs w:val="22"/>
          <w:lang w:val="es-US"/>
        </w:rPr>
        <w:t xml:space="preserve">el Comité de Derechos Humanos </w:t>
      </w:r>
      <w:r w:rsidRPr="008219F2">
        <w:rPr>
          <w:rFonts w:hAnsi="Times New Roman"/>
          <w:color w:val="000000"/>
          <w:sz w:val="22"/>
          <w:szCs w:val="22"/>
          <w:lang w:val="es-US"/>
        </w:rPr>
        <w:t>("</w:t>
      </w:r>
      <w:r w:rsidRPr="008219F2">
        <w:rPr>
          <w:rFonts w:hAnsi="Times New Roman"/>
          <w:b/>
          <w:bCs/>
          <w:color w:val="000000"/>
          <w:sz w:val="22"/>
          <w:szCs w:val="22"/>
          <w:lang w:val="es-US"/>
        </w:rPr>
        <w:t>CDH</w:t>
      </w:r>
      <w:r w:rsidRPr="008219F2">
        <w:rPr>
          <w:rFonts w:hAnsi="Times New Roman"/>
          <w:color w:val="000000"/>
          <w:sz w:val="22"/>
          <w:szCs w:val="22"/>
          <w:lang w:val="es-US"/>
        </w:rPr>
        <w:t xml:space="preserve">") </w:t>
      </w:r>
      <w:r w:rsidR="009F4409" w:rsidRPr="008219F2">
        <w:rPr>
          <w:rFonts w:hAnsi="Times New Roman"/>
          <w:color w:val="000000"/>
          <w:sz w:val="22"/>
          <w:szCs w:val="22"/>
          <w:lang w:val="es-US"/>
        </w:rPr>
        <w:t xml:space="preserve">expresó su </w:t>
      </w:r>
      <w:r w:rsidRPr="008219F2">
        <w:rPr>
          <w:rFonts w:hAnsi="Times New Roman"/>
          <w:color w:val="000000"/>
          <w:sz w:val="22"/>
          <w:szCs w:val="22"/>
          <w:lang w:val="es-US"/>
        </w:rPr>
        <w:t>preocupación por las desproporcionadas sentencias de hasta 40 años de prisión impuestas, por cargos de homicidio agravado, no sólo a las mujeres que buscan un aborto, sino también a las mujeres que han sufrido un aborto espontáneo, e instó al Estado parte a suspender inmediatamente la criminalización de las mujeres por el delito de aborto y a revisar todos los casos de mujeres que han sido encarceladas por delitos relacionados con el aborto, con el objetivo de garantizar su liberación</w:t>
      </w:r>
      <w:r w:rsidR="009F4409" w:rsidRPr="00F36A0E">
        <w:rPr>
          <w:rStyle w:val="EndnoteReference"/>
          <w:rFonts w:hAnsi="Times New Roman"/>
          <w:sz w:val="22"/>
          <w:szCs w:val="22"/>
          <w:lang w:val="en-GB"/>
        </w:rPr>
        <w:endnoteReference w:id="14"/>
      </w:r>
      <w:r w:rsidRPr="008219F2">
        <w:rPr>
          <w:rFonts w:hAnsi="Times New Roman"/>
          <w:color w:val="000000"/>
          <w:sz w:val="22"/>
          <w:szCs w:val="22"/>
          <w:lang w:val="es-US"/>
        </w:rPr>
        <w:t xml:space="preserve"> . Estas recomendaciones específicas fueron consideradas además como </w:t>
      </w:r>
      <w:r w:rsidRPr="008219F2">
        <w:rPr>
          <w:rFonts w:hAnsi="Times New Roman"/>
          <w:b/>
          <w:bCs/>
          <w:color w:val="000000"/>
          <w:sz w:val="22"/>
          <w:szCs w:val="22"/>
          <w:lang w:val="es-US"/>
        </w:rPr>
        <w:t xml:space="preserve">una recomendación prioritaria </w:t>
      </w:r>
      <w:r w:rsidRPr="008219F2">
        <w:rPr>
          <w:rFonts w:hAnsi="Times New Roman"/>
          <w:color w:val="000000"/>
          <w:sz w:val="22"/>
          <w:szCs w:val="22"/>
          <w:lang w:val="es-US"/>
        </w:rPr>
        <w:t>para el CDH</w:t>
      </w:r>
      <w:r w:rsidRPr="00F36A0E">
        <w:rPr>
          <w:rStyle w:val="EndnoteReference"/>
          <w:rFonts w:hAnsi="Times New Roman"/>
          <w:color w:val="000000"/>
          <w:sz w:val="22"/>
          <w:szCs w:val="22"/>
          <w:lang w:val="en-GB"/>
        </w:rPr>
        <w:endnoteReference w:id="15"/>
      </w:r>
      <w:r w:rsidRPr="008219F2">
        <w:rPr>
          <w:rFonts w:hAnsi="Times New Roman"/>
          <w:color w:val="000000"/>
          <w:sz w:val="22"/>
          <w:szCs w:val="22"/>
          <w:lang w:val="es-US"/>
        </w:rPr>
        <w:t xml:space="preserve"> . En una línea similar, </w:t>
      </w:r>
      <w:r w:rsidR="009A0691" w:rsidRPr="008219F2">
        <w:rPr>
          <w:rFonts w:hAnsi="Times New Roman"/>
          <w:color w:val="000000"/>
          <w:sz w:val="22"/>
          <w:szCs w:val="22"/>
          <w:lang w:val="es-US"/>
        </w:rPr>
        <w:t>el Comité para la Eliminación de la Discriminación contra la Mujer ("</w:t>
      </w:r>
      <w:r w:rsidR="009A0691" w:rsidRPr="008219F2">
        <w:rPr>
          <w:rFonts w:hAnsi="Times New Roman"/>
          <w:b/>
          <w:color w:val="000000"/>
          <w:sz w:val="22"/>
          <w:szCs w:val="22"/>
          <w:lang w:val="es-US"/>
        </w:rPr>
        <w:t>Comité CEDAW</w:t>
      </w:r>
      <w:r w:rsidR="009A0691" w:rsidRPr="008219F2">
        <w:rPr>
          <w:rFonts w:hAnsi="Times New Roman"/>
          <w:color w:val="000000"/>
          <w:sz w:val="22"/>
          <w:szCs w:val="22"/>
          <w:lang w:val="es-US"/>
        </w:rPr>
        <w:t xml:space="preserve">") expresó su preocupación por la criminalización absoluta del aborto en El Salvador, incluyendo el enjuiciamiento de </w:t>
      </w:r>
      <w:r w:rsidR="009A0691" w:rsidRPr="008219F2">
        <w:rPr>
          <w:rFonts w:hAnsi="Times New Roman"/>
          <w:sz w:val="22"/>
          <w:szCs w:val="22"/>
          <w:lang w:val="es-US"/>
        </w:rPr>
        <w:t xml:space="preserve">mujeres </w:t>
      </w:r>
      <w:r w:rsidR="009A0691" w:rsidRPr="008219F2">
        <w:rPr>
          <w:rFonts w:hAnsi="Times New Roman"/>
          <w:color w:val="000000"/>
          <w:sz w:val="22"/>
          <w:szCs w:val="22"/>
          <w:lang w:val="es-US"/>
        </w:rPr>
        <w:t xml:space="preserve">por abortar, el encarcelamiento de mujeres después de acudir a un hospital y ser denunciadas por el personal sanitario, los largos periodos de detención preventiva y las penas desproporcionadas aplicadas a las mujeres en estas circunstancias. </w:t>
      </w:r>
    </w:p>
    <w:p w14:paraId="48E14A43" w14:textId="3A58BA4A" w:rsidR="00251276" w:rsidRPr="008219F2" w:rsidRDefault="002E36DE">
      <w:pPr>
        <w:pStyle w:val="Heading3"/>
        <w:ind w:left="426" w:hanging="426"/>
        <w:jc w:val="both"/>
        <w:rPr>
          <w:rFonts w:hAnsi="Times New Roman"/>
          <w:sz w:val="22"/>
          <w:szCs w:val="22"/>
          <w:lang w:val="es-US"/>
        </w:rPr>
      </w:pPr>
      <w:r w:rsidRPr="008219F2">
        <w:rPr>
          <w:rFonts w:hAnsi="Times New Roman"/>
          <w:sz w:val="22"/>
          <w:szCs w:val="22"/>
          <w:lang w:val="es-US"/>
        </w:rPr>
        <w:t xml:space="preserve">En </w:t>
      </w:r>
      <w:r w:rsidR="008F3EEA" w:rsidRPr="008219F2">
        <w:rPr>
          <w:rFonts w:hAnsi="Times New Roman"/>
          <w:sz w:val="22"/>
          <w:szCs w:val="22"/>
          <w:lang w:val="es-US"/>
        </w:rPr>
        <w:t xml:space="preserve">noviembre de 2021, la Corte Interamericana de Derechos Humanos emitió una decisión sobre el caso de Manuela, una mujer campesina de El Salvador, que sufrió una emergencia obstétrica en su casa, lejos de cualquier hospital. Cuando Manuela se despertó, fue esposada y descubrió que el personal del centro médico decidió denunciarla y las autoridades pidieron a su padre que firmara un documento </w:t>
      </w:r>
      <w:r w:rsidR="004102AA" w:rsidRPr="008219F2">
        <w:rPr>
          <w:rFonts w:hAnsi="Times New Roman"/>
          <w:sz w:val="22"/>
          <w:szCs w:val="22"/>
          <w:lang w:val="es-US"/>
        </w:rPr>
        <w:t xml:space="preserve">que se utilizó como denuncia penal contra ella. </w:t>
      </w:r>
      <w:r w:rsidR="00870654">
        <w:rPr>
          <w:rFonts w:hAnsi="Times New Roman"/>
          <w:sz w:val="22"/>
          <w:szCs w:val="22"/>
          <w:lang w:val="es-US"/>
        </w:rPr>
        <w:t xml:space="preserve">Manuela fue condenada a 30 años de prisión por el delito de homicidio agravado, en un juicio plagado por estereotipos de género. </w:t>
      </w:r>
      <w:r w:rsidR="004102AA" w:rsidRPr="008219F2">
        <w:rPr>
          <w:rFonts w:hAnsi="Times New Roman"/>
          <w:sz w:val="22"/>
          <w:szCs w:val="22"/>
          <w:lang w:val="es-US"/>
        </w:rPr>
        <w:t xml:space="preserve">Manuela estuvo encarcelada durante 10 años, en los que sufrió varias afecciones médicas no atendidas que la llevaron a la muerte. Manuela </w:t>
      </w:r>
      <w:r w:rsidR="0091144B" w:rsidRPr="008219F2">
        <w:rPr>
          <w:rFonts w:hAnsi="Times New Roman"/>
          <w:sz w:val="22"/>
          <w:szCs w:val="22"/>
          <w:lang w:val="es-US"/>
        </w:rPr>
        <w:t xml:space="preserve">dejó </w:t>
      </w:r>
      <w:r w:rsidR="004102AA" w:rsidRPr="008219F2">
        <w:rPr>
          <w:rFonts w:hAnsi="Times New Roman"/>
          <w:sz w:val="22"/>
          <w:szCs w:val="22"/>
          <w:lang w:val="es-US"/>
        </w:rPr>
        <w:t xml:space="preserve">dos hijos menores de edad, y nunca consiguió su libertad. La Corte Interamericana de Derechos Humanos declaró a El Salvador </w:t>
      </w:r>
      <w:r w:rsidR="007B2FCD">
        <w:rPr>
          <w:rFonts w:hAnsi="Times New Roman"/>
          <w:sz w:val="22"/>
          <w:szCs w:val="22"/>
          <w:lang w:val="es-US"/>
        </w:rPr>
        <w:t>responsable</w:t>
      </w:r>
      <w:r w:rsidR="007B2FCD" w:rsidRPr="008219F2">
        <w:rPr>
          <w:rFonts w:hAnsi="Times New Roman"/>
          <w:sz w:val="22"/>
          <w:szCs w:val="22"/>
          <w:lang w:val="es-US"/>
        </w:rPr>
        <w:t xml:space="preserve"> </w:t>
      </w:r>
      <w:r w:rsidR="004102AA" w:rsidRPr="008219F2">
        <w:rPr>
          <w:rFonts w:hAnsi="Times New Roman"/>
          <w:sz w:val="22"/>
          <w:szCs w:val="22"/>
          <w:lang w:val="es-US"/>
        </w:rPr>
        <w:t xml:space="preserve">de violar derechos </w:t>
      </w:r>
      <w:r w:rsidR="00870654">
        <w:rPr>
          <w:rFonts w:hAnsi="Times New Roman"/>
          <w:sz w:val="22"/>
          <w:szCs w:val="22"/>
          <w:lang w:val="es-US"/>
        </w:rPr>
        <w:t>humanos</w:t>
      </w:r>
      <w:r w:rsidR="00870654" w:rsidRPr="008219F2">
        <w:rPr>
          <w:rFonts w:hAnsi="Times New Roman"/>
          <w:sz w:val="22"/>
          <w:szCs w:val="22"/>
          <w:lang w:val="es-US"/>
        </w:rPr>
        <w:t xml:space="preserve"> </w:t>
      </w:r>
      <w:r w:rsidR="004102AA" w:rsidRPr="008219F2">
        <w:rPr>
          <w:rFonts w:hAnsi="Times New Roman"/>
          <w:sz w:val="22"/>
          <w:szCs w:val="22"/>
          <w:lang w:val="es-US"/>
        </w:rPr>
        <w:t>de Manuela, como</w:t>
      </w:r>
      <w:r w:rsidR="00870654">
        <w:rPr>
          <w:rFonts w:hAnsi="Times New Roman"/>
          <w:sz w:val="22"/>
          <w:szCs w:val="22"/>
          <w:lang w:val="es-US"/>
        </w:rPr>
        <w:t xml:space="preserve"> la liberta personal,</w:t>
      </w:r>
      <w:r w:rsidR="004102AA" w:rsidRPr="008219F2">
        <w:rPr>
          <w:rFonts w:hAnsi="Times New Roman"/>
          <w:sz w:val="22"/>
          <w:szCs w:val="22"/>
          <w:lang w:val="es-US"/>
        </w:rPr>
        <w:t xml:space="preserve"> el debido proceso y el </w:t>
      </w:r>
      <w:r w:rsidR="00F70362" w:rsidRPr="008219F2">
        <w:rPr>
          <w:rFonts w:hAnsi="Times New Roman"/>
          <w:sz w:val="22"/>
          <w:szCs w:val="22"/>
          <w:lang w:val="es-US"/>
        </w:rPr>
        <w:t xml:space="preserve">acceso a </w:t>
      </w:r>
      <w:r w:rsidR="007A3F1C" w:rsidRPr="008219F2">
        <w:rPr>
          <w:rFonts w:hAnsi="Times New Roman"/>
          <w:sz w:val="22"/>
          <w:szCs w:val="22"/>
          <w:lang w:val="es-US"/>
        </w:rPr>
        <w:t xml:space="preserve">servicios de salud </w:t>
      </w:r>
      <w:r w:rsidR="00F70362" w:rsidRPr="008219F2">
        <w:rPr>
          <w:rFonts w:hAnsi="Times New Roman"/>
          <w:sz w:val="22"/>
          <w:szCs w:val="22"/>
          <w:lang w:val="es-US"/>
        </w:rPr>
        <w:t>integrales</w:t>
      </w:r>
      <w:r w:rsidR="007A3F1C" w:rsidRPr="008219F2">
        <w:rPr>
          <w:rFonts w:hAnsi="Times New Roman"/>
          <w:sz w:val="22"/>
          <w:szCs w:val="22"/>
          <w:lang w:val="es-US"/>
        </w:rPr>
        <w:t xml:space="preserve">, entre otros. </w:t>
      </w:r>
      <w:r w:rsidR="007A3F1C" w:rsidRPr="00F36A0E">
        <w:rPr>
          <w:rStyle w:val="EndnoteReference"/>
          <w:rFonts w:hAnsi="Times New Roman"/>
          <w:sz w:val="22"/>
          <w:szCs w:val="22"/>
          <w:lang w:val="en-GB"/>
        </w:rPr>
        <w:endnoteReference w:id="16"/>
      </w:r>
      <w:r w:rsidR="008F425E">
        <w:rPr>
          <w:rFonts w:hAnsi="Times New Roman"/>
          <w:sz w:val="22"/>
          <w:szCs w:val="22"/>
          <w:lang w:val="es-US"/>
        </w:rPr>
        <w:t xml:space="preserve"> Otras de las ordenes que dio la Corte, y que son de relevancia para el análisis del cumplimiento del Pacto de Derechos Civiles, son: A. Incorporar educación sexual integral en curriculums, B. Capacitar operadores/as de justicia. C. Diseñar un protocolo de manejo de violencias obstétricas, y D. Ajustar la regulación de Secreto Profesional y abstenerse de </w:t>
      </w:r>
      <w:r w:rsidR="002A1ADE">
        <w:rPr>
          <w:rFonts w:hAnsi="Times New Roman"/>
          <w:sz w:val="22"/>
          <w:szCs w:val="22"/>
          <w:lang w:val="es-US"/>
        </w:rPr>
        <w:t xml:space="preserve">levantarlo mientras se diseña la legislación conforme a los estándares señalados por la Corte. </w:t>
      </w:r>
      <w:r w:rsidR="002A1ADE">
        <w:rPr>
          <w:rStyle w:val="EndnoteReference"/>
          <w:rFonts w:hAnsi="Times New Roman"/>
          <w:sz w:val="22"/>
          <w:szCs w:val="22"/>
          <w:lang w:val="es-US"/>
        </w:rPr>
        <w:endnoteReference w:id="17"/>
      </w:r>
    </w:p>
    <w:p w14:paraId="1A996632" w14:textId="78EF73CF" w:rsidR="00251276" w:rsidRPr="008219F2" w:rsidRDefault="002E36DE">
      <w:pPr>
        <w:pStyle w:val="Heading3"/>
        <w:ind w:left="426" w:hanging="426"/>
        <w:jc w:val="both"/>
        <w:rPr>
          <w:rFonts w:hAnsi="Times New Roman"/>
          <w:sz w:val="22"/>
          <w:szCs w:val="22"/>
          <w:lang w:val="es-US"/>
        </w:rPr>
      </w:pPr>
      <w:r w:rsidRPr="008219F2">
        <w:rPr>
          <w:rFonts w:hAnsi="Times New Roman"/>
          <w:sz w:val="22"/>
          <w:szCs w:val="22"/>
          <w:lang w:val="es-US"/>
        </w:rPr>
        <w:t>La Corte IDH fue específica al</w:t>
      </w:r>
      <w:r w:rsidR="00630E58">
        <w:rPr>
          <w:rFonts w:hAnsi="Times New Roman"/>
          <w:sz w:val="22"/>
          <w:szCs w:val="22"/>
          <w:lang w:val="es-US"/>
        </w:rPr>
        <w:t xml:space="preserve"> reconocer el derecho al secreto profesional médico, y</w:t>
      </w:r>
      <w:r w:rsidRPr="008219F2">
        <w:rPr>
          <w:rFonts w:hAnsi="Times New Roman"/>
          <w:sz w:val="22"/>
          <w:szCs w:val="22"/>
          <w:lang w:val="es-US"/>
        </w:rPr>
        <w:t xml:space="preserve"> asegurar que utilizar la historia clínica y los documentos para criminalizar a los pacientes es una violación al derecho a la salud y </w:t>
      </w:r>
      <w:r w:rsidR="0091144B" w:rsidRPr="008219F2">
        <w:rPr>
          <w:rFonts w:hAnsi="Times New Roman"/>
          <w:sz w:val="22"/>
          <w:szCs w:val="22"/>
          <w:lang w:val="es-US"/>
        </w:rPr>
        <w:t xml:space="preserve">dificulta el acceso adecuado a la atención médica. El </w:t>
      </w:r>
      <w:r w:rsidR="00A75CA4" w:rsidRPr="008219F2">
        <w:rPr>
          <w:rFonts w:hAnsi="Times New Roman"/>
          <w:sz w:val="22"/>
          <w:szCs w:val="22"/>
          <w:lang w:val="es-US"/>
        </w:rPr>
        <w:t xml:space="preserve">Tribunal </w:t>
      </w:r>
      <w:r w:rsidR="00B44015" w:rsidRPr="008219F2">
        <w:rPr>
          <w:rFonts w:hAnsi="Times New Roman"/>
          <w:sz w:val="22"/>
          <w:szCs w:val="22"/>
          <w:lang w:val="es-US"/>
        </w:rPr>
        <w:t xml:space="preserve">dijo: </w:t>
      </w:r>
      <w:r w:rsidR="00A75CA4" w:rsidRPr="008219F2">
        <w:rPr>
          <w:rFonts w:hAnsi="Times New Roman"/>
          <w:sz w:val="22"/>
          <w:szCs w:val="22"/>
          <w:lang w:val="es-US"/>
        </w:rPr>
        <w:t xml:space="preserve">"Para </w:t>
      </w:r>
      <w:r w:rsidR="00542C51" w:rsidRPr="008219F2">
        <w:rPr>
          <w:rFonts w:hAnsi="Times New Roman"/>
          <w:sz w:val="22"/>
          <w:szCs w:val="22"/>
          <w:lang w:val="es-US"/>
        </w:rPr>
        <w:t xml:space="preserve">que sea aceptable, los servicios de atención sanitaria deben estar diseñados de forma confidencial". </w:t>
      </w:r>
      <w:r w:rsidR="00B44015" w:rsidRPr="00F36A0E">
        <w:rPr>
          <w:rStyle w:val="EndnoteReference"/>
          <w:rFonts w:hAnsi="Times New Roman"/>
          <w:sz w:val="22"/>
          <w:szCs w:val="22"/>
          <w:lang w:val="en-GB"/>
        </w:rPr>
        <w:endnoteReference w:id="18"/>
      </w:r>
      <w:r w:rsidR="00B44015" w:rsidRPr="008219F2">
        <w:rPr>
          <w:rFonts w:hAnsi="Times New Roman"/>
          <w:sz w:val="22"/>
          <w:szCs w:val="22"/>
          <w:lang w:val="es-US"/>
        </w:rPr>
        <w:t xml:space="preserve"> </w:t>
      </w:r>
      <w:r w:rsidR="00630E58">
        <w:rPr>
          <w:rFonts w:hAnsi="Times New Roman"/>
          <w:sz w:val="22"/>
          <w:szCs w:val="22"/>
          <w:lang w:val="es-US"/>
        </w:rPr>
        <w:t xml:space="preserve">La Corte ordenó al Estado adoptar medidas para adecuar su </w:t>
      </w:r>
      <w:r w:rsidR="00630E58">
        <w:rPr>
          <w:rFonts w:hAnsi="Times New Roman"/>
          <w:sz w:val="22"/>
          <w:szCs w:val="22"/>
          <w:lang w:val="es-US"/>
        </w:rPr>
        <w:lastRenderedPageBreak/>
        <w:t xml:space="preserve">regulación sobre secreto profesional a los estándares internacionales en materia de derechos humanos. </w:t>
      </w:r>
      <w:r w:rsidR="00B44015" w:rsidRPr="008219F2">
        <w:rPr>
          <w:rFonts w:hAnsi="Times New Roman"/>
          <w:sz w:val="22"/>
          <w:szCs w:val="22"/>
          <w:lang w:val="es-US"/>
        </w:rPr>
        <w:t xml:space="preserve">Esto creó una norma para el continente </w:t>
      </w:r>
      <w:r w:rsidR="008D09F6" w:rsidRPr="008219F2">
        <w:rPr>
          <w:rFonts w:hAnsi="Times New Roman"/>
          <w:sz w:val="22"/>
          <w:szCs w:val="22"/>
          <w:lang w:val="es-US"/>
        </w:rPr>
        <w:t xml:space="preserve">que puede servir de ejemplo de norma </w:t>
      </w:r>
      <w:r w:rsidR="0071082C" w:rsidRPr="008219F2">
        <w:rPr>
          <w:rFonts w:hAnsi="Times New Roman"/>
          <w:sz w:val="22"/>
          <w:szCs w:val="22"/>
          <w:lang w:val="es-US"/>
        </w:rPr>
        <w:t>sobre el derecho a la salud.</w:t>
      </w:r>
    </w:p>
    <w:p w14:paraId="3054A7A9" w14:textId="76F86EC0" w:rsidR="00251276" w:rsidRPr="008219F2" w:rsidRDefault="002E36DE">
      <w:pPr>
        <w:pStyle w:val="Heading3"/>
        <w:ind w:left="426" w:hanging="426"/>
        <w:jc w:val="both"/>
        <w:rPr>
          <w:rFonts w:hAnsi="Times New Roman"/>
          <w:sz w:val="22"/>
          <w:szCs w:val="22"/>
          <w:lang w:val="es-US"/>
        </w:rPr>
      </w:pPr>
      <w:r w:rsidRPr="008219F2">
        <w:rPr>
          <w:rFonts w:hAnsi="Times New Roman"/>
          <w:sz w:val="22"/>
          <w:szCs w:val="22"/>
          <w:lang w:val="es-US"/>
        </w:rPr>
        <w:t xml:space="preserve">Tres </w:t>
      </w:r>
      <w:r w:rsidR="00630E58">
        <w:rPr>
          <w:rFonts w:hAnsi="Times New Roman"/>
          <w:sz w:val="22"/>
          <w:szCs w:val="22"/>
          <w:lang w:val="es-US"/>
        </w:rPr>
        <w:t xml:space="preserve">otros </w:t>
      </w:r>
      <w:r w:rsidRPr="008219F2">
        <w:rPr>
          <w:rFonts w:hAnsi="Times New Roman"/>
          <w:sz w:val="22"/>
          <w:szCs w:val="22"/>
          <w:lang w:val="es-US"/>
        </w:rPr>
        <w:t>ejemplos de experiencias de mujeres procesadas erróneamente tras una emergencia obstétrica son:</w:t>
      </w:r>
    </w:p>
    <w:p w14:paraId="4E9FC249" w14:textId="68B8D393" w:rsidR="00630E58" w:rsidRPr="0060193F" w:rsidRDefault="00630E58" w:rsidP="00630E58">
      <w:pPr>
        <w:pStyle w:val="Heading4"/>
        <w:ind w:left="851" w:hanging="425"/>
        <w:jc w:val="both"/>
        <w:rPr>
          <w:rFonts w:hAnsi="Times New Roman"/>
          <w:sz w:val="22"/>
          <w:szCs w:val="22"/>
          <w:lang w:val="es-US"/>
        </w:rPr>
      </w:pPr>
      <w:r w:rsidRPr="0060193F">
        <w:rPr>
          <w:rFonts w:hAnsi="Times New Roman"/>
          <w:i/>
          <w:sz w:val="22"/>
          <w:szCs w:val="22"/>
          <w:lang w:val="es-US"/>
        </w:rPr>
        <w:t>Berta Arana</w:t>
      </w:r>
      <w:r w:rsidRPr="0060193F">
        <w:rPr>
          <w:rFonts w:hAnsi="Times New Roman"/>
          <w:sz w:val="22"/>
          <w:szCs w:val="22"/>
          <w:lang w:val="es-US"/>
        </w:rPr>
        <w:t>, que fue condenada por tentativa de homicidio agravado tras sufrir una emergencia obstétrica en su domicilio que le provocó el parto en septiembre de 2013.  La familia de la Sra. Arana buscó atención médica cuando ella sufrió la emergencia y dio a luz, y posteriormente fue acusada y condenada por tentativa de homicidio agravado, a pesar de la falta de documentación que respaldara esta acusación.</w:t>
      </w:r>
      <w:r w:rsidRPr="00F36A0E">
        <w:rPr>
          <w:rStyle w:val="EndnoteReference"/>
          <w:rFonts w:hAnsi="Times New Roman"/>
          <w:sz w:val="22"/>
          <w:szCs w:val="22"/>
          <w:lang w:val="en-GB"/>
        </w:rPr>
        <w:endnoteReference w:id="19"/>
      </w:r>
      <w:r w:rsidRPr="0060193F">
        <w:rPr>
          <w:rFonts w:hAnsi="Times New Roman"/>
          <w:sz w:val="22"/>
          <w:szCs w:val="22"/>
          <w:lang w:val="es-US"/>
        </w:rPr>
        <w:t xml:space="preserve">  El UNWGAD también determinó que la detención de la Sra. Arana y su posterior condena fueron arbitrarias y contrarias al derecho internacional.</w:t>
      </w:r>
      <w:r w:rsidRPr="00F36A0E">
        <w:rPr>
          <w:rStyle w:val="EndnoteReference"/>
          <w:rFonts w:hAnsi="Times New Roman"/>
          <w:sz w:val="22"/>
          <w:szCs w:val="22"/>
          <w:lang w:val="en-GB"/>
        </w:rPr>
        <w:endnoteReference w:id="20"/>
      </w:r>
      <w:r w:rsidRPr="0060193F">
        <w:rPr>
          <w:rFonts w:hAnsi="Times New Roman"/>
          <w:sz w:val="22"/>
          <w:szCs w:val="22"/>
          <w:lang w:val="es-US"/>
        </w:rPr>
        <w:t xml:space="preserve"> Sin embargo, la Sra. Arana tampoco ha sido puesta en libertad</w:t>
      </w:r>
      <w:r w:rsidR="005B16E2">
        <w:rPr>
          <w:rFonts w:hAnsi="Times New Roman"/>
          <w:sz w:val="22"/>
          <w:szCs w:val="22"/>
          <w:lang w:val="es-US"/>
        </w:rPr>
        <w:t>, dado que no ha podido pedir alguna forma de beneficio penitenciario por ser guatemalteca y no tener documentos de identidad</w:t>
      </w:r>
      <w:r w:rsidRPr="0060193F">
        <w:rPr>
          <w:rFonts w:hAnsi="Times New Roman"/>
          <w:sz w:val="22"/>
          <w:szCs w:val="22"/>
          <w:lang w:val="es-US"/>
        </w:rPr>
        <w:t>.</w:t>
      </w:r>
    </w:p>
    <w:p w14:paraId="3AB0D516" w14:textId="078ADFBF" w:rsidR="00251276" w:rsidRPr="008219F2" w:rsidRDefault="002E36DE">
      <w:pPr>
        <w:pStyle w:val="Heading4"/>
        <w:ind w:left="851" w:hanging="425"/>
        <w:jc w:val="both"/>
        <w:rPr>
          <w:rFonts w:hAnsi="Times New Roman"/>
          <w:sz w:val="22"/>
          <w:szCs w:val="22"/>
          <w:lang w:val="es-US"/>
        </w:rPr>
      </w:pPr>
      <w:r w:rsidRPr="008219F2">
        <w:rPr>
          <w:rFonts w:hAnsi="Times New Roman"/>
          <w:i/>
          <w:sz w:val="22"/>
          <w:szCs w:val="22"/>
          <w:lang w:val="es-US"/>
        </w:rPr>
        <w:t>Lesly</w:t>
      </w:r>
      <w:r w:rsidRPr="00F36A0E">
        <w:rPr>
          <w:rStyle w:val="EndnoteReference"/>
          <w:rFonts w:hAnsi="Times New Roman"/>
          <w:i/>
          <w:sz w:val="22"/>
          <w:szCs w:val="22"/>
          <w:lang w:val="en-GB"/>
        </w:rPr>
        <w:endnoteReference w:id="21"/>
      </w:r>
      <w:r w:rsidRPr="008219F2">
        <w:rPr>
          <w:rFonts w:hAnsi="Times New Roman"/>
          <w:i/>
          <w:sz w:val="22"/>
          <w:szCs w:val="22"/>
          <w:lang w:val="es-US"/>
        </w:rPr>
        <w:t xml:space="preserve"> .  Lesly </w:t>
      </w:r>
      <w:r w:rsidRPr="008219F2">
        <w:rPr>
          <w:rFonts w:hAnsi="Times New Roman"/>
          <w:sz w:val="22"/>
          <w:szCs w:val="22"/>
          <w:lang w:val="es-US"/>
        </w:rPr>
        <w:t xml:space="preserve">es una </w:t>
      </w:r>
      <w:r w:rsidR="002F7532" w:rsidRPr="008219F2">
        <w:rPr>
          <w:rFonts w:hAnsi="Times New Roman"/>
          <w:sz w:val="22"/>
          <w:szCs w:val="22"/>
          <w:lang w:val="es-US"/>
        </w:rPr>
        <w:t>mujer</w:t>
      </w:r>
      <w:r w:rsidRPr="008219F2">
        <w:rPr>
          <w:rFonts w:hAnsi="Times New Roman"/>
          <w:sz w:val="22"/>
          <w:szCs w:val="22"/>
          <w:lang w:val="es-US"/>
        </w:rPr>
        <w:t xml:space="preserve">, actualmente condenada por homicidio, tras sufrir una emergencia obstétrica. Todas las pruebas que presentó en su caso fueron desestimadas y se le </w:t>
      </w:r>
      <w:r w:rsidR="006262FE">
        <w:rPr>
          <w:rFonts w:hAnsi="Times New Roman"/>
          <w:sz w:val="22"/>
          <w:szCs w:val="22"/>
          <w:lang w:val="es-US"/>
        </w:rPr>
        <w:t>impusieron</w:t>
      </w:r>
      <w:r w:rsidR="006262FE" w:rsidRPr="008219F2">
        <w:rPr>
          <w:rFonts w:hAnsi="Times New Roman"/>
          <w:sz w:val="22"/>
          <w:szCs w:val="22"/>
          <w:lang w:val="es-US"/>
        </w:rPr>
        <w:t xml:space="preserve"> </w:t>
      </w:r>
      <w:r w:rsidR="00ED6E9F" w:rsidRPr="008219F2">
        <w:rPr>
          <w:rFonts w:hAnsi="Times New Roman"/>
          <w:sz w:val="22"/>
          <w:szCs w:val="22"/>
          <w:lang w:val="es-US"/>
        </w:rPr>
        <w:t>50 años de prisión</w:t>
      </w:r>
      <w:r w:rsidR="006262FE">
        <w:rPr>
          <w:rFonts w:hAnsi="Times New Roman"/>
          <w:sz w:val="22"/>
          <w:szCs w:val="22"/>
          <w:lang w:val="es-US"/>
        </w:rPr>
        <w:t xml:space="preserve"> mediante sentencia de primera instancia dictada en 2022</w:t>
      </w:r>
      <w:r w:rsidR="00ED6E9F" w:rsidRPr="008219F2">
        <w:rPr>
          <w:rFonts w:hAnsi="Times New Roman"/>
          <w:sz w:val="22"/>
          <w:szCs w:val="22"/>
          <w:lang w:val="es-US"/>
        </w:rPr>
        <w:t xml:space="preserve">. Su caso está actualmente en fase de apelación. </w:t>
      </w:r>
    </w:p>
    <w:p w14:paraId="65E13A7B" w14:textId="2CCEFAA2" w:rsidR="00251276" w:rsidRPr="008219F2" w:rsidRDefault="002E36DE">
      <w:pPr>
        <w:pStyle w:val="Heading4"/>
        <w:ind w:left="851" w:hanging="425"/>
        <w:jc w:val="both"/>
        <w:rPr>
          <w:rFonts w:hAnsi="Times New Roman"/>
          <w:iCs/>
          <w:sz w:val="22"/>
          <w:szCs w:val="22"/>
          <w:lang w:val="es-US"/>
        </w:rPr>
      </w:pPr>
      <w:r w:rsidRPr="008219F2">
        <w:rPr>
          <w:rFonts w:hAnsi="Times New Roman"/>
          <w:i/>
          <w:sz w:val="22"/>
          <w:szCs w:val="22"/>
          <w:lang w:val="es-US"/>
        </w:rPr>
        <w:t>Esme</w:t>
      </w:r>
      <w:r w:rsidR="00ED6E9F" w:rsidRPr="008219F2">
        <w:rPr>
          <w:rFonts w:hAnsi="Times New Roman"/>
          <w:i/>
          <w:sz w:val="22"/>
          <w:szCs w:val="22"/>
          <w:lang w:val="es-US"/>
        </w:rPr>
        <w:t xml:space="preserve">. Esme </w:t>
      </w:r>
      <w:r w:rsidR="00E0056A" w:rsidRPr="008219F2">
        <w:rPr>
          <w:rFonts w:hAnsi="Times New Roman"/>
          <w:iCs/>
          <w:sz w:val="22"/>
          <w:szCs w:val="22"/>
          <w:lang w:val="es-US"/>
        </w:rPr>
        <w:t xml:space="preserve">tuvo una </w:t>
      </w:r>
      <w:r w:rsidR="002F7532" w:rsidRPr="008219F2">
        <w:rPr>
          <w:rFonts w:hAnsi="Times New Roman"/>
          <w:iCs/>
          <w:sz w:val="22"/>
          <w:szCs w:val="22"/>
          <w:lang w:val="es-US"/>
        </w:rPr>
        <w:t xml:space="preserve">hemorragia </w:t>
      </w:r>
      <w:r w:rsidR="00CA3091" w:rsidRPr="008219F2">
        <w:rPr>
          <w:rFonts w:hAnsi="Times New Roman"/>
          <w:iCs/>
          <w:sz w:val="22"/>
          <w:szCs w:val="22"/>
          <w:lang w:val="es-US"/>
        </w:rPr>
        <w:t xml:space="preserve">en su casa, estando embarazada. Esta situación médica le provocó un aborto. El personal médico que </w:t>
      </w:r>
      <w:r w:rsidR="00320EE4" w:rsidRPr="008219F2">
        <w:rPr>
          <w:rFonts w:hAnsi="Times New Roman"/>
          <w:iCs/>
          <w:sz w:val="22"/>
          <w:szCs w:val="22"/>
          <w:lang w:val="es-US"/>
        </w:rPr>
        <w:t>atendió su caso decidió denunciarla ante las autoridades, que iniciaron un proceso contra ella. Fue condenada a 30 años de prisión</w:t>
      </w:r>
      <w:r w:rsidR="006262FE">
        <w:rPr>
          <w:rFonts w:hAnsi="Times New Roman"/>
          <w:iCs/>
          <w:sz w:val="22"/>
          <w:szCs w:val="22"/>
          <w:lang w:val="es-US"/>
        </w:rPr>
        <w:t xml:space="preserve"> en 2022</w:t>
      </w:r>
      <w:r w:rsidR="00320EE4" w:rsidRPr="008219F2">
        <w:rPr>
          <w:rFonts w:hAnsi="Times New Roman"/>
          <w:iCs/>
          <w:sz w:val="22"/>
          <w:szCs w:val="22"/>
          <w:lang w:val="es-US"/>
        </w:rPr>
        <w:t xml:space="preserve"> y apartada de su hija, que tenía 7 años en el momento </w:t>
      </w:r>
      <w:r w:rsidR="006262FE">
        <w:rPr>
          <w:rFonts w:hAnsi="Times New Roman"/>
          <w:iCs/>
          <w:sz w:val="22"/>
          <w:szCs w:val="22"/>
          <w:lang w:val="es-US"/>
        </w:rPr>
        <w:t>de la emergencia obstétrica</w:t>
      </w:r>
      <w:r w:rsidR="00320EE4" w:rsidRPr="008219F2">
        <w:rPr>
          <w:rFonts w:hAnsi="Times New Roman"/>
          <w:iCs/>
          <w:sz w:val="22"/>
          <w:szCs w:val="22"/>
          <w:lang w:val="es-US"/>
        </w:rPr>
        <w:t xml:space="preserve">. Esme se encuentra actualmente </w:t>
      </w:r>
      <w:r w:rsidR="002A1ADE">
        <w:rPr>
          <w:rFonts w:hAnsi="Times New Roman"/>
          <w:iCs/>
          <w:sz w:val="22"/>
          <w:szCs w:val="22"/>
          <w:lang w:val="es-US"/>
        </w:rPr>
        <w:t xml:space="preserve">libertad esperando la apelación de la sentencia. </w:t>
      </w:r>
      <w:r w:rsidR="00320EE4" w:rsidRPr="008219F2">
        <w:rPr>
          <w:rFonts w:hAnsi="Times New Roman"/>
          <w:iCs/>
          <w:sz w:val="22"/>
          <w:szCs w:val="22"/>
          <w:lang w:val="es-US"/>
        </w:rPr>
        <w:t xml:space="preserve">. </w:t>
      </w:r>
    </w:p>
    <w:p w14:paraId="0B48496C" w14:textId="77777777" w:rsidR="00097823" w:rsidRPr="008219F2" w:rsidRDefault="00097823" w:rsidP="00097823">
      <w:pPr>
        <w:pStyle w:val="BodyText"/>
        <w:rPr>
          <w:rFonts w:ascii="Times New Roman" w:hAnsi="Times New Roman"/>
          <w:szCs w:val="22"/>
          <w:lang w:val="es-US"/>
        </w:rPr>
      </w:pPr>
    </w:p>
    <w:p w14:paraId="0C8D5F9F" w14:textId="1B71EA27" w:rsidR="00251276" w:rsidRPr="008219F2" w:rsidRDefault="002E36DE">
      <w:pPr>
        <w:pStyle w:val="Heading2"/>
        <w:spacing w:before="120" w:after="120"/>
        <w:ind w:left="0" w:hanging="426"/>
        <w:jc w:val="both"/>
        <w:rPr>
          <w:rFonts w:hAnsi="Times New Roman"/>
          <w:sz w:val="22"/>
          <w:szCs w:val="22"/>
          <w:lang w:val="es-US"/>
        </w:rPr>
      </w:pPr>
      <w:r w:rsidRPr="008219F2">
        <w:rPr>
          <w:rFonts w:hAnsi="Times New Roman"/>
          <w:sz w:val="22"/>
          <w:szCs w:val="22"/>
          <w:lang w:val="es-US"/>
        </w:rPr>
        <w:t>Aun cuando el Estado salvadoreño ha liberado a mujeres encarceladas bajo cargos de aborto y homicidio relacionados con el aborto</w:t>
      </w:r>
      <w:r w:rsidR="00A32450" w:rsidRPr="008219F2">
        <w:rPr>
          <w:rFonts w:hAnsi="Times New Roman"/>
          <w:sz w:val="22"/>
          <w:szCs w:val="22"/>
          <w:lang w:val="es-US"/>
        </w:rPr>
        <w:t xml:space="preserve">, esto no cambia el marco legal que permite la criminalización, como se comprobó en </w:t>
      </w:r>
      <w:r w:rsidR="00870654">
        <w:rPr>
          <w:rFonts w:hAnsi="Times New Roman"/>
          <w:sz w:val="22"/>
          <w:szCs w:val="22"/>
          <w:lang w:val="es-US"/>
        </w:rPr>
        <w:t>los</w:t>
      </w:r>
      <w:r w:rsidR="00870654" w:rsidRPr="008219F2">
        <w:rPr>
          <w:rFonts w:hAnsi="Times New Roman"/>
          <w:sz w:val="22"/>
          <w:szCs w:val="22"/>
          <w:lang w:val="es-US"/>
        </w:rPr>
        <w:t xml:space="preserve"> </w:t>
      </w:r>
      <w:r w:rsidR="00A32450" w:rsidRPr="008219F2">
        <w:rPr>
          <w:rFonts w:hAnsi="Times New Roman"/>
          <w:sz w:val="22"/>
          <w:szCs w:val="22"/>
          <w:lang w:val="es-US"/>
        </w:rPr>
        <w:t>caso</w:t>
      </w:r>
      <w:r w:rsidR="00870654">
        <w:rPr>
          <w:rFonts w:hAnsi="Times New Roman"/>
          <w:sz w:val="22"/>
          <w:szCs w:val="22"/>
          <w:lang w:val="es-US"/>
        </w:rPr>
        <w:t>s</w:t>
      </w:r>
      <w:r w:rsidR="00A32450" w:rsidRPr="008219F2">
        <w:rPr>
          <w:rFonts w:hAnsi="Times New Roman"/>
          <w:sz w:val="22"/>
          <w:szCs w:val="22"/>
          <w:lang w:val="es-US"/>
        </w:rPr>
        <w:t xml:space="preserve"> de</w:t>
      </w:r>
      <w:r w:rsidR="00870654">
        <w:rPr>
          <w:rFonts w:hAnsi="Times New Roman"/>
          <w:sz w:val="22"/>
          <w:szCs w:val="22"/>
          <w:lang w:val="es-US"/>
        </w:rPr>
        <w:t xml:space="preserve"> Esme y</w:t>
      </w:r>
      <w:r w:rsidR="00A32450" w:rsidRPr="008219F2">
        <w:rPr>
          <w:rFonts w:hAnsi="Times New Roman"/>
          <w:sz w:val="22"/>
          <w:szCs w:val="22"/>
          <w:lang w:val="es-US"/>
        </w:rPr>
        <w:t xml:space="preserve"> Lesly, recientemente procesada</w:t>
      </w:r>
      <w:r w:rsidR="00870654">
        <w:rPr>
          <w:rFonts w:hAnsi="Times New Roman"/>
          <w:sz w:val="22"/>
          <w:szCs w:val="22"/>
          <w:lang w:val="es-US"/>
        </w:rPr>
        <w:t>s</w:t>
      </w:r>
      <w:r w:rsidR="00A32450" w:rsidRPr="008219F2">
        <w:rPr>
          <w:rFonts w:hAnsi="Times New Roman"/>
          <w:sz w:val="22"/>
          <w:szCs w:val="22"/>
          <w:lang w:val="es-US"/>
        </w:rPr>
        <w:t xml:space="preserve">. Hasta que El Salvador no haga cambios profundos en sus leyes, cultura institucional y procedimientos de atención médica, las mujeres y niñas del país seguirán estando en riesgo. </w:t>
      </w:r>
    </w:p>
    <w:p w14:paraId="4825CBD0" w14:textId="77777777" w:rsidR="00A32450" w:rsidRPr="008219F2" w:rsidRDefault="00A32450" w:rsidP="00A32450">
      <w:pPr>
        <w:pStyle w:val="BodyText"/>
        <w:rPr>
          <w:rFonts w:ascii="Times New Roman" w:hAnsi="Times New Roman"/>
          <w:szCs w:val="22"/>
          <w:lang w:val="es-US"/>
        </w:rPr>
      </w:pPr>
    </w:p>
    <w:p w14:paraId="269A0F8F" w14:textId="129FDB44" w:rsidR="00251276" w:rsidRPr="008219F2" w:rsidRDefault="002E36DE">
      <w:pPr>
        <w:pStyle w:val="Heading2"/>
        <w:spacing w:before="120" w:after="120"/>
        <w:ind w:left="0" w:hanging="426"/>
        <w:jc w:val="both"/>
        <w:rPr>
          <w:rFonts w:hAnsi="Times New Roman"/>
          <w:sz w:val="22"/>
          <w:szCs w:val="22"/>
          <w:lang w:val="es-US"/>
        </w:rPr>
      </w:pPr>
      <w:r w:rsidRPr="008219F2">
        <w:rPr>
          <w:rFonts w:hAnsi="Times New Roman"/>
          <w:sz w:val="22"/>
          <w:szCs w:val="22"/>
          <w:lang w:val="es-US"/>
        </w:rPr>
        <w:t>Además de las sanciones penales a las que se arriesgan las mujeres que acuden a los servicios de salud sexual y reproductiva en casos de emergencia, los médicos que reciben y practican abortos y los empleados públicos o funcionarios de cualquier autoridad pública (incluidos los hospitales y las clínicas) que no denuncian presuntos casos de aborto pueden ser procesados y multados.</w:t>
      </w:r>
      <w:r w:rsidRPr="00F36A0E">
        <w:rPr>
          <w:rFonts w:hAnsi="Times New Roman"/>
          <w:sz w:val="22"/>
          <w:szCs w:val="22"/>
          <w:vertAlign w:val="superscript"/>
          <w:lang w:val="en-GB"/>
        </w:rPr>
        <w:endnoteReference w:id="22"/>
      </w:r>
      <w:r w:rsidRPr="008219F2">
        <w:rPr>
          <w:rFonts w:hAnsi="Times New Roman"/>
          <w:sz w:val="22"/>
          <w:szCs w:val="22"/>
          <w:lang w:val="es-US"/>
        </w:rPr>
        <w:t xml:space="preserve"> La amenaza de sanciones por no denunciar presuntos casos de aborto actúa como un fuerte incentivo para denunciar a las mujeres y niñas que han sufrido emergencias obstétricas. Además, </w:t>
      </w:r>
      <w:r w:rsidRPr="008219F2">
        <w:rPr>
          <w:rFonts w:hAnsi="Times New Roman"/>
          <w:i/>
          <w:sz w:val="22"/>
          <w:szCs w:val="22"/>
          <w:lang w:val="es-US"/>
        </w:rPr>
        <w:t xml:space="preserve">La Agrupación </w:t>
      </w:r>
      <w:r w:rsidRPr="008219F2">
        <w:rPr>
          <w:rFonts w:hAnsi="Times New Roman"/>
          <w:i/>
          <w:iCs/>
          <w:sz w:val="22"/>
          <w:szCs w:val="22"/>
          <w:lang w:val="es-US"/>
        </w:rPr>
        <w:t xml:space="preserve">Ciudadana </w:t>
      </w:r>
      <w:r w:rsidRPr="008219F2">
        <w:rPr>
          <w:rFonts w:hAnsi="Times New Roman"/>
          <w:sz w:val="22"/>
          <w:szCs w:val="22"/>
          <w:lang w:val="es-US"/>
        </w:rPr>
        <w:t>informó</w:t>
      </w:r>
      <w:r w:rsidR="00A20B9A">
        <w:rPr>
          <w:rFonts w:hAnsi="Times New Roman"/>
          <w:sz w:val="22"/>
          <w:szCs w:val="22"/>
          <w:lang w:val="es-US"/>
        </w:rPr>
        <w:t xml:space="preserve"> en la versión más reciente de su informe “Del hospital a la Cárcel” que el 50% de las denuncias </w:t>
      </w:r>
      <w:r w:rsidRPr="008219F2">
        <w:rPr>
          <w:rFonts w:hAnsi="Times New Roman"/>
          <w:sz w:val="22"/>
          <w:szCs w:val="22"/>
          <w:lang w:val="es-US"/>
        </w:rPr>
        <w:t xml:space="preserve"> formales ante las autoridades por posibles incumplimientos de la legislación antiaborto procedían del personal de los hospitales </w:t>
      </w:r>
      <w:r w:rsidRPr="008219F2">
        <w:rPr>
          <w:rFonts w:hAnsi="Times New Roman"/>
          <w:i/>
          <w:sz w:val="22"/>
          <w:szCs w:val="22"/>
          <w:lang w:val="es-US"/>
        </w:rPr>
        <w:t xml:space="preserve">públicos </w:t>
      </w:r>
      <w:r w:rsidRPr="008219F2">
        <w:rPr>
          <w:rFonts w:hAnsi="Times New Roman"/>
          <w:sz w:val="22"/>
          <w:szCs w:val="22"/>
          <w:lang w:val="es-US"/>
        </w:rPr>
        <w:t>y del Instituto Salvadoreño del Seguro Social,</w:t>
      </w:r>
      <w:r w:rsidRPr="00F36A0E">
        <w:rPr>
          <w:rStyle w:val="EndnoteReference"/>
          <w:rFonts w:hAnsi="Times New Roman"/>
          <w:sz w:val="22"/>
          <w:szCs w:val="22"/>
          <w:lang w:val="en-GB"/>
        </w:rPr>
        <w:endnoteReference w:id="23"/>
      </w:r>
      <w:r w:rsidRPr="008219F2">
        <w:rPr>
          <w:rFonts w:hAnsi="Times New Roman"/>
          <w:sz w:val="22"/>
          <w:szCs w:val="22"/>
          <w:lang w:val="es-US"/>
        </w:rPr>
        <w:t xml:space="preserve"> que atienden a las mujeres más pobres que dependen de los sistemas públicos de salud.  Esto da lugar a una aplicación y ejecución discriminatoria de la ley penal.  El riesgo de ser denunciadas hace que las mujeres, incluidas las que sufren emergencias obstétricas, teman buscar asistencia sanitaria, y muchas han muerto o han sufrido consecuencias de salud a largo plazo como resultado.</w:t>
      </w:r>
      <w:r w:rsidRPr="00F36A0E">
        <w:rPr>
          <w:rStyle w:val="EndnoteReference"/>
          <w:rFonts w:hAnsi="Times New Roman"/>
          <w:sz w:val="22"/>
          <w:szCs w:val="22"/>
          <w:lang w:val="en-GB"/>
        </w:rPr>
        <w:endnoteReference w:id="24"/>
      </w:r>
    </w:p>
    <w:p w14:paraId="12F0F0B3" w14:textId="77777777" w:rsidR="00251276" w:rsidRPr="008219F2" w:rsidRDefault="002E36DE">
      <w:pPr>
        <w:pStyle w:val="Heading2"/>
        <w:spacing w:before="120" w:after="120"/>
        <w:ind w:left="0" w:hanging="426"/>
        <w:jc w:val="both"/>
        <w:rPr>
          <w:rFonts w:hAnsi="Times New Roman"/>
          <w:sz w:val="22"/>
          <w:szCs w:val="22"/>
          <w:lang w:val="es-US"/>
        </w:rPr>
      </w:pPr>
      <w:r w:rsidRPr="008219F2">
        <w:rPr>
          <w:rFonts w:hAnsi="Times New Roman"/>
          <w:sz w:val="22"/>
          <w:szCs w:val="22"/>
          <w:lang w:val="es-US"/>
        </w:rPr>
        <w:lastRenderedPageBreak/>
        <w:t>La prohibición general del aborto obliga a las mujeres a recurrir a abortos ilegales, poniendo en peligro su salud física y mental, y a menudo su vida.</w:t>
      </w:r>
      <w:r w:rsidRPr="00F36A0E">
        <w:rPr>
          <w:rStyle w:val="EndnoteReference"/>
          <w:rFonts w:hAnsi="Times New Roman"/>
          <w:color w:val="000000"/>
          <w:sz w:val="22"/>
          <w:szCs w:val="22"/>
          <w:lang w:val="en-GB"/>
        </w:rPr>
        <w:endnoteReference w:id="25"/>
      </w:r>
      <w:r w:rsidRPr="008219F2">
        <w:rPr>
          <w:rFonts w:hAnsi="Times New Roman"/>
          <w:sz w:val="22"/>
          <w:szCs w:val="22"/>
          <w:lang w:val="es-US"/>
        </w:rPr>
        <w:t xml:space="preserve"> Además, un embarazo no deseado y la maternidad forzada conllevan luchas sociales, físicas y mentales, especialmente para las adolescentes.</w:t>
      </w:r>
      <w:r w:rsidRPr="00F36A0E">
        <w:rPr>
          <w:rStyle w:val="EndnoteReference"/>
          <w:rFonts w:hAnsi="Times New Roman"/>
          <w:sz w:val="22"/>
          <w:szCs w:val="22"/>
          <w:lang w:val="en-GB"/>
        </w:rPr>
        <w:endnoteReference w:id="26"/>
      </w:r>
      <w:r w:rsidRPr="008219F2">
        <w:rPr>
          <w:rFonts w:hAnsi="Times New Roman"/>
          <w:sz w:val="22"/>
          <w:szCs w:val="22"/>
          <w:lang w:val="es-US"/>
        </w:rPr>
        <w:t xml:space="preserve">   A nivel mundial, los abortos inseguros son la tercera causa de mortalidad materna y, a partir de 2014, se estima que representaron el 10% de las muertes por mortalidad materna en América Latina.</w:t>
      </w:r>
      <w:r w:rsidRPr="00F36A0E">
        <w:rPr>
          <w:rStyle w:val="EndnoteReference"/>
          <w:rFonts w:hAnsi="Times New Roman"/>
          <w:sz w:val="22"/>
          <w:szCs w:val="22"/>
          <w:lang w:val="en-GB"/>
        </w:rPr>
        <w:endnoteReference w:id="27"/>
      </w:r>
      <w:r w:rsidRPr="008219F2">
        <w:rPr>
          <w:rFonts w:hAnsi="Times New Roman"/>
          <w:sz w:val="22"/>
          <w:szCs w:val="22"/>
          <w:lang w:val="es-US"/>
        </w:rPr>
        <w:t xml:space="preserve">  En 2015, la Organización Panamericana de la Salud ("</w:t>
      </w:r>
      <w:r w:rsidRPr="008219F2">
        <w:rPr>
          <w:rFonts w:hAnsi="Times New Roman"/>
          <w:b/>
          <w:sz w:val="22"/>
          <w:szCs w:val="22"/>
          <w:lang w:val="es-US"/>
        </w:rPr>
        <w:t>OPS"</w:t>
      </w:r>
      <w:r w:rsidRPr="008219F2">
        <w:rPr>
          <w:rFonts w:hAnsi="Times New Roman"/>
          <w:sz w:val="22"/>
          <w:szCs w:val="22"/>
          <w:lang w:val="es-US"/>
        </w:rPr>
        <w:t>) encontró que las muertes maternas de niñas y adolescentes representaban el 19% del total en El Salvador,</w:t>
      </w:r>
      <w:r w:rsidRPr="00F36A0E">
        <w:rPr>
          <w:rStyle w:val="EndnoteReference"/>
          <w:rFonts w:hAnsi="Times New Roman"/>
          <w:sz w:val="22"/>
          <w:szCs w:val="22"/>
          <w:lang w:val="en-GB"/>
        </w:rPr>
        <w:endnoteReference w:id="28"/>
      </w:r>
      <w:r w:rsidRPr="008219F2">
        <w:rPr>
          <w:rFonts w:hAnsi="Times New Roman"/>
          <w:sz w:val="22"/>
          <w:szCs w:val="22"/>
          <w:lang w:val="es-US"/>
        </w:rPr>
        <w:t xml:space="preserve"> y en 2018, </w:t>
      </w:r>
      <w:r w:rsidR="00CD5E51" w:rsidRPr="008219F2">
        <w:rPr>
          <w:rFonts w:hAnsi="Times New Roman"/>
          <w:sz w:val="22"/>
          <w:szCs w:val="22"/>
          <w:lang w:val="es-US"/>
        </w:rPr>
        <w:t xml:space="preserve">el CDH </w:t>
      </w:r>
      <w:r w:rsidRPr="008219F2">
        <w:rPr>
          <w:rFonts w:hAnsi="Times New Roman"/>
          <w:sz w:val="22"/>
          <w:szCs w:val="22"/>
          <w:lang w:val="es-US"/>
        </w:rPr>
        <w:t>y la CIDH expresaron su preocupación por el hecho de que la criminalización completa del aborto en El Salvador tiene un impacto directo y exacerbado en la mortalidad materna, particularmente para las niñas y mujeres vulnerables.</w:t>
      </w:r>
      <w:r w:rsidRPr="00F36A0E">
        <w:rPr>
          <w:rStyle w:val="EndnoteReference"/>
          <w:rFonts w:hAnsi="Times New Roman"/>
          <w:sz w:val="22"/>
          <w:szCs w:val="22"/>
          <w:lang w:val="en-GB"/>
        </w:rPr>
        <w:endnoteReference w:id="29"/>
      </w:r>
      <w:r w:rsidRPr="008219F2">
        <w:rPr>
          <w:rFonts w:hAnsi="Times New Roman"/>
          <w:sz w:val="22"/>
          <w:szCs w:val="22"/>
          <w:lang w:val="es-US"/>
        </w:rPr>
        <w:t xml:space="preserve">  No es posible obtener datos fiables sobre los abortos ilegales en El Salvador,</w:t>
      </w:r>
      <w:r w:rsidRPr="00F36A0E">
        <w:rPr>
          <w:rFonts w:hAnsi="Times New Roman"/>
          <w:sz w:val="22"/>
          <w:szCs w:val="22"/>
          <w:vertAlign w:val="superscript"/>
        </w:rPr>
        <w:endnoteReference w:id="30"/>
      </w:r>
      <w:r w:rsidRPr="008219F2">
        <w:rPr>
          <w:rFonts w:hAnsi="Times New Roman"/>
          <w:sz w:val="22"/>
          <w:szCs w:val="22"/>
          <w:lang w:val="es-US"/>
        </w:rPr>
        <w:t xml:space="preserve"> , pero las estadísticas relativas al aborto inseguro en Centroamérica sugieren que en El Salvador se producen unos 35.089 abortos inseguros al año.</w:t>
      </w:r>
      <w:r w:rsidRPr="00F36A0E">
        <w:rPr>
          <w:rStyle w:val="EndnoteReference"/>
          <w:rFonts w:hAnsi="Times New Roman"/>
          <w:sz w:val="22"/>
          <w:szCs w:val="22"/>
          <w:lang w:val="en-GB"/>
        </w:rPr>
        <w:endnoteReference w:id="31"/>
      </w:r>
      <w:r w:rsidRPr="008219F2">
        <w:rPr>
          <w:rFonts w:hAnsi="Times New Roman"/>
          <w:sz w:val="22"/>
          <w:szCs w:val="22"/>
          <w:lang w:val="es-US"/>
        </w:rPr>
        <w:t xml:space="preserve">  Además, muchas mujeres y niñas se suicidan asociadas a embarazos no deseados.  El Sistema de Monitoreo de la Mortalidad Materna del Ministerio de Salud incluyó el suicidio de las mujeres embarazadas como la tercera causa de muerte materna en 2011,</w:t>
      </w:r>
      <w:r w:rsidRPr="00F36A0E">
        <w:rPr>
          <w:rStyle w:val="EndnoteReference"/>
          <w:rFonts w:hAnsi="Times New Roman"/>
          <w:color w:val="000000"/>
          <w:sz w:val="22"/>
          <w:szCs w:val="22"/>
          <w:lang w:val="en-GB"/>
        </w:rPr>
        <w:endnoteReference w:id="32"/>
      </w:r>
      <w:r w:rsidRPr="008219F2">
        <w:rPr>
          <w:rFonts w:hAnsi="Times New Roman"/>
          <w:sz w:val="22"/>
          <w:szCs w:val="22"/>
          <w:lang w:val="es-US"/>
        </w:rPr>
        <w:t xml:space="preserve"> y se ha observado que el suicidio representa el 57% de las muertes entre las niñas embarazadas de 10 a 19 años.</w:t>
      </w:r>
      <w:r w:rsidRPr="00F36A0E">
        <w:rPr>
          <w:rStyle w:val="EndnoteReference"/>
          <w:rFonts w:hAnsi="Times New Roman"/>
          <w:color w:val="000000"/>
          <w:sz w:val="22"/>
          <w:szCs w:val="22"/>
          <w:lang w:val="en-GB"/>
        </w:rPr>
        <w:endnoteReference w:id="33"/>
      </w:r>
    </w:p>
    <w:p w14:paraId="53FF865C" w14:textId="77777777" w:rsidR="00251276" w:rsidRPr="008219F2" w:rsidRDefault="002E36DE">
      <w:pPr>
        <w:pStyle w:val="Heading2"/>
        <w:spacing w:before="120" w:after="120"/>
        <w:ind w:left="0" w:hanging="426"/>
        <w:jc w:val="both"/>
        <w:rPr>
          <w:rFonts w:hAnsi="Times New Roman"/>
          <w:sz w:val="22"/>
          <w:szCs w:val="22"/>
          <w:lang w:val="es-US"/>
        </w:rPr>
      </w:pPr>
      <w:r w:rsidRPr="008219F2">
        <w:rPr>
          <w:rFonts w:hAnsi="Times New Roman"/>
          <w:sz w:val="22"/>
          <w:szCs w:val="22"/>
          <w:lang w:val="es-US"/>
        </w:rPr>
        <w:t>El acceso a otros servicios de salud sexual y reproductiva y a la educación también es inadecuado, especialmente para las mujeres con recursos económicos más limitados y para las mujeres jóvenes y las niñas.  Amnistía Internacional informa de que "para muchas, el acceso a los anticonceptivos y a otros servicios de salud reproductiva se ve comprometido por las actitudes sociales, culturales y religiosas y por las normas de género restrictivas que asocian la sexualidad femenina con la vergüenza y el pudor y refuerzan el papel de las mujeres como esposas y madres principalmente".</w:t>
      </w:r>
      <w:r w:rsidRPr="00F36A0E">
        <w:rPr>
          <w:rStyle w:val="EndnoteReference"/>
          <w:rFonts w:hAnsi="Times New Roman"/>
          <w:sz w:val="22"/>
          <w:szCs w:val="22"/>
          <w:lang w:val="en-GB"/>
        </w:rPr>
        <w:endnoteReference w:id="34"/>
      </w:r>
      <w:r w:rsidRPr="008219F2">
        <w:rPr>
          <w:rFonts w:hAnsi="Times New Roman"/>
          <w:sz w:val="22"/>
          <w:szCs w:val="22"/>
          <w:lang w:val="es-US"/>
        </w:rPr>
        <w:t xml:space="preserve"> </w:t>
      </w:r>
    </w:p>
    <w:p w14:paraId="7D2AD5FF" w14:textId="77777777" w:rsidR="00251276" w:rsidRPr="008219F2" w:rsidRDefault="002E36DE">
      <w:pPr>
        <w:pStyle w:val="Heading2"/>
        <w:spacing w:before="120" w:after="120"/>
        <w:ind w:left="0" w:hanging="426"/>
        <w:jc w:val="both"/>
        <w:rPr>
          <w:rFonts w:hAnsi="Times New Roman"/>
          <w:i/>
          <w:sz w:val="22"/>
          <w:szCs w:val="22"/>
          <w:lang w:val="es-US"/>
        </w:rPr>
      </w:pPr>
      <w:r w:rsidRPr="008219F2">
        <w:rPr>
          <w:rFonts w:hAnsi="Times New Roman"/>
          <w:sz w:val="22"/>
          <w:szCs w:val="22"/>
          <w:lang w:val="es-US"/>
        </w:rPr>
        <w:t>La prohibición generalizada del aborto, la presión sobre los profesionales para que denuncien a las mujeres y la criminalización activa de las mujeres sospechosas de haber abortado se aplican en un clima generalizado de violencia sexual contra las mujeres y las niñas en El Salvador, y de impunidad para sus agresores:</w:t>
      </w:r>
    </w:p>
    <w:p w14:paraId="6F609F67" w14:textId="77777777" w:rsidR="00251276" w:rsidRPr="008219F2" w:rsidRDefault="002E36DE">
      <w:pPr>
        <w:pStyle w:val="Heading3"/>
        <w:ind w:left="426" w:hanging="426"/>
        <w:jc w:val="both"/>
        <w:rPr>
          <w:rFonts w:hAnsi="Times New Roman"/>
          <w:sz w:val="22"/>
          <w:szCs w:val="22"/>
          <w:lang w:val="es-US"/>
        </w:rPr>
      </w:pPr>
      <w:r w:rsidRPr="008219F2">
        <w:rPr>
          <w:rFonts w:hAnsi="Times New Roman"/>
          <w:sz w:val="22"/>
          <w:szCs w:val="22"/>
          <w:lang w:val="es-US"/>
        </w:rPr>
        <w:t xml:space="preserve">Según datos del Instituto de Medicina Legal, alrededor del 90% (3.634) de las denuncias penales presentadas en El Salvador en 2009 sobre violencia sexual fueron por casos de violencia cometidos contra mujeres de todas las edades. </w:t>
      </w:r>
      <w:r w:rsidRPr="00F36A0E">
        <w:rPr>
          <w:rStyle w:val="EndnoteReference"/>
          <w:rFonts w:hAnsi="Times New Roman"/>
          <w:color w:val="121212"/>
          <w:sz w:val="22"/>
          <w:szCs w:val="22"/>
          <w:lang w:val="en-GB"/>
        </w:rPr>
        <w:endnoteReference w:id="35"/>
      </w:r>
    </w:p>
    <w:p w14:paraId="16F646B8" w14:textId="77777777" w:rsidR="00251276" w:rsidRPr="008219F2" w:rsidRDefault="002E36DE">
      <w:pPr>
        <w:pStyle w:val="Heading3"/>
        <w:ind w:left="426" w:hanging="426"/>
        <w:jc w:val="both"/>
        <w:rPr>
          <w:rFonts w:hAnsi="Times New Roman"/>
          <w:sz w:val="22"/>
          <w:szCs w:val="22"/>
          <w:lang w:val="es-US"/>
        </w:rPr>
      </w:pPr>
      <w:r w:rsidRPr="008219F2">
        <w:rPr>
          <w:rFonts w:hAnsi="Times New Roman"/>
          <w:sz w:val="22"/>
          <w:szCs w:val="22"/>
          <w:lang w:val="es-US"/>
        </w:rPr>
        <w:t>En 2013, la Policía Nacional Civil registró 1.346 violaciones de mujeres y niñas.  En casi dos tercios de estos casos (967), la víctima fue clasificada oficialmente como "menor de edad o incapacitada mentalmente".</w:t>
      </w:r>
      <w:r w:rsidRPr="00F36A0E">
        <w:rPr>
          <w:rStyle w:val="EndnoteReference"/>
          <w:rFonts w:hAnsi="Times New Roman"/>
          <w:sz w:val="22"/>
          <w:szCs w:val="22"/>
          <w:lang w:val="en-GB"/>
        </w:rPr>
        <w:endnoteReference w:id="36"/>
      </w:r>
      <w:r w:rsidRPr="008219F2">
        <w:rPr>
          <w:rFonts w:hAnsi="Times New Roman"/>
          <w:sz w:val="22"/>
          <w:szCs w:val="22"/>
          <w:lang w:val="es-US"/>
        </w:rPr>
        <w:t xml:space="preserve">  Según el Código Penal, esto significa que eran menores de 15 años o que no podían dar su consentimiento informado.</w:t>
      </w:r>
      <w:r w:rsidRPr="00F36A0E">
        <w:rPr>
          <w:rStyle w:val="EndnoteReference"/>
          <w:rFonts w:hAnsi="Times New Roman"/>
          <w:sz w:val="22"/>
          <w:szCs w:val="22"/>
          <w:lang w:val="en-GB"/>
        </w:rPr>
        <w:endnoteReference w:id="37"/>
      </w:r>
      <w:r w:rsidRPr="008219F2">
        <w:rPr>
          <w:rFonts w:hAnsi="Times New Roman"/>
          <w:sz w:val="22"/>
          <w:szCs w:val="22"/>
          <w:lang w:val="es-US"/>
        </w:rPr>
        <w:t xml:space="preserve">   </w:t>
      </w:r>
    </w:p>
    <w:p w14:paraId="481120CD" w14:textId="77777777" w:rsidR="00251276" w:rsidRPr="008219F2" w:rsidRDefault="002E36DE">
      <w:pPr>
        <w:pStyle w:val="Heading3"/>
        <w:ind w:left="426" w:hanging="426"/>
        <w:jc w:val="both"/>
        <w:rPr>
          <w:rFonts w:hAnsi="Times New Roman"/>
          <w:sz w:val="22"/>
          <w:szCs w:val="22"/>
          <w:lang w:val="es-US"/>
        </w:rPr>
      </w:pPr>
      <w:r w:rsidRPr="008219F2">
        <w:rPr>
          <w:rFonts w:hAnsi="Times New Roman"/>
          <w:sz w:val="22"/>
          <w:szCs w:val="22"/>
          <w:lang w:val="es-US"/>
        </w:rPr>
        <w:t>Según la Organización Mundial de la Salud ("</w:t>
      </w:r>
      <w:r w:rsidRPr="008219F2">
        <w:rPr>
          <w:rFonts w:hAnsi="Times New Roman"/>
          <w:b/>
          <w:sz w:val="22"/>
          <w:szCs w:val="22"/>
          <w:lang w:val="es-US"/>
        </w:rPr>
        <w:t>OMS"</w:t>
      </w:r>
      <w:r w:rsidRPr="008219F2">
        <w:rPr>
          <w:rFonts w:hAnsi="Times New Roman"/>
          <w:sz w:val="22"/>
          <w:szCs w:val="22"/>
          <w:lang w:val="es-US"/>
        </w:rPr>
        <w:t>), si bien ha habido una tendencia a la baja en la tasa de natalidad en El Salvador desde el año 2000, hubo un aumento en la tasa de natalidad adolescente entre 2010 y 2013.</w:t>
      </w:r>
      <w:r w:rsidRPr="00F36A0E">
        <w:rPr>
          <w:rStyle w:val="EndnoteReference"/>
          <w:rFonts w:hAnsi="Times New Roman"/>
          <w:sz w:val="22"/>
          <w:szCs w:val="22"/>
          <w:lang w:val="en-GB"/>
        </w:rPr>
        <w:endnoteReference w:id="38"/>
      </w:r>
      <w:r w:rsidRPr="008219F2">
        <w:rPr>
          <w:rFonts w:hAnsi="Times New Roman"/>
          <w:sz w:val="22"/>
          <w:szCs w:val="22"/>
          <w:lang w:val="es-US"/>
        </w:rPr>
        <w:t xml:space="preserve">  Esto debe leerse junto con las estadísticas de violencia sexual contra los adolescentes, incluidos los que son menores de edad: en 2018, se denunciaron 4.304 casos de violencia sexual (un aumento del 30% con respecto a 2017) y de esos casos, más del 60% involucró a jóvenes de 12 a 17 años.</w:t>
      </w:r>
      <w:r w:rsidRPr="00F36A0E">
        <w:rPr>
          <w:rStyle w:val="EndnoteReference"/>
          <w:rFonts w:hAnsi="Times New Roman"/>
          <w:color w:val="121212"/>
          <w:sz w:val="22"/>
          <w:szCs w:val="22"/>
          <w:lang w:val="en-GB"/>
        </w:rPr>
        <w:endnoteReference w:id="39"/>
      </w:r>
      <w:r w:rsidRPr="008219F2">
        <w:rPr>
          <w:rFonts w:hAnsi="Times New Roman"/>
          <w:sz w:val="22"/>
          <w:szCs w:val="22"/>
          <w:lang w:val="es-US"/>
        </w:rPr>
        <w:t xml:space="preserve">  Un reciente informe del Portal de Transparencia del Hospital Nacional de las Mujeres reveló que, en el primer trimestre de 2020, se registraron 3.835 embarazos de niñas o mujeres de 15 a 19 años, y 144 de niñas de 10 a 14 años. </w:t>
      </w:r>
      <w:r w:rsidRPr="00F36A0E">
        <w:rPr>
          <w:rStyle w:val="EndnoteReference"/>
          <w:rFonts w:hAnsi="Times New Roman"/>
          <w:sz w:val="22"/>
          <w:szCs w:val="22"/>
          <w:lang w:val="en-GB"/>
        </w:rPr>
        <w:endnoteReference w:id="40"/>
      </w:r>
    </w:p>
    <w:p w14:paraId="1637CCCD" w14:textId="77777777" w:rsidR="00251276" w:rsidRPr="008219F2" w:rsidRDefault="002E36DE">
      <w:pPr>
        <w:pStyle w:val="Heading3"/>
        <w:ind w:left="426" w:hanging="426"/>
        <w:jc w:val="both"/>
        <w:rPr>
          <w:rFonts w:hAnsi="Times New Roman"/>
          <w:sz w:val="22"/>
          <w:szCs w:val="22"/>
          <w:lang w:val="es-US"/>
        </w:rPr>
      </w:pPr>
      <w:r w:rsidRPr="008219F2">
        <w:rPr>
          <w:rFonts w:hAnsi="Times New Roman"/>
          <w:sz w:val="22"/>
          <w:szCs w:val="22"/>
          <w:lang w:val="es-US" w:eastAsia="zh-CN"/>
        </w:rPr>
        <w:t xml:space="preserve">Entre 2014 y 2018, la Fiscalía General del Estado reportó un promedio de 14,395 denuncias penales por violencia contra las mujeres al año. 5.482 de ellas estaban relacionadas con la violencia sexual.  Sin embargo, durante este periodo, solo se dictaron 3.605 sentencias en casos de violencia sexual: 2.423 condenas y 1.182 absoluciones. </w:t>
      </w:r>
      <w:r w:rsidRPr="00F36A0E">
        <w:rPr>
          <w:rStyle w:val="EndnoteReference"/>
          <w:rFonts w:hAnsi="Times New Roman"/>
          <w:color w:val="000000"/>
          <w:sz w:val="22"/>
          <w:szCs w:val="22"/>
          <w:lang w:val="en-GB" w:eastAsia="zh-CN"/>
        </w:rPr>
        <w:endnoteReference w:id="41"/>
      </w:r>
    </w:p>
    <w:p w14:paraId="45DF28F2" w14:textId="77777777" w:rsidR="00251276" w:rsidRDefault="002E36DE">
      <w:pPr>
        <w:pStyle w:val="Heading2"/>
        <w:spacing w:before="120" w:after="120"/>
        <w:ind w:left="0" w:hanging="426"/>
        <w:jc w:val="both"/>
        <w:rPr>
          <w:rFonts w:hAnsi="Times New Roman"/>
          <w:sz w:val="22"/>
          <w:szCs w:val="22"/>
          <w:lang w:val="en-GB"/>
        </w:rPr>
      </w:pPr>
      <w:r w:rsidRPr="008219F2">
        <w:rPr>
          <w:rFonts w:hAnsi="Times New Roman"/>
          <w:sz w:val="22"/>
          <w:szCs w:val="22"/>
          <w:lang w:val="es-US"/>
        </w:rPr>
        <w:lastRenderedPageBreak/>
        <w:t xml:space="preserve">La criminalización total del aborto sin excepción, así como la criminalización arbitraria en caso de sospecha de aborto, se basa y perpetúa el contexto más amplio de los estereotipos de género y la discriminación basada en el género, y compromete aún más las oportunidades de educación y empleo para las mujeres y las niñas.  El </w:t>
      </w:r>
      <w:r w:rsidRPr="008219F2">
        <w:rPr>
          <w:rFonts w:hAnsi="Times New Roman"/>
          <w:bCs/>
          <w:sz w:val="22"/>
          <w:szCs w:val="22"/>
          <w:lang w:val="es-US"/>
        </w:rPr>
        <w:t xml:space="preserve">Comité </w:t>
      </w:r>
      <w:r w:rsidRPr="008219F2">
        <w:rPr>
          <w:rFonts w:hAnsi="Times New Roman"/>
          <w:sz w:val="22"/>
          <w:szCs w:val="22"/>
          <w:lang w:val="es-US"/>
        </w:rPr>
        <w:t xml:space="preserve">y otros expertos en derechos humanos han constatado que la discriminación en la sociedad salvadoreña es sistémica y endémica.  </w:t>
      </w:r>
      <w:r w:rsidRPr="00F36A0E">
        <w:rPr>
          <w:rFonts w:hAnsi="Times New Roman"/>
          <w:sz w:val="22"/>
          <w:szCs w:val="22"/>
          <w:lang w:val="en-GB"/>
        </w:rPr>
        <w:t xml:space="preserve">Por ejemplo: </w:t>
      </w:r>
    </w:p>
    <w:p w14:paraId="1D32A874" w14:textId="77777777" w:rsidR="00251276" w:rsidRPr="008219F2" w:rsidRDefault="002E36DE">
      <w:pPr>
        <w:pStyle w:val="Heading3"/>
        <w:ind w:left="426" w:hanging="426"/>
        <w:jc w:val="both"/>
        <w:rPr>
          <w:rFonts w:hAnsi="Times New Roman"/>
          <w:sz w:val="22"/>
          <w:szCs w:val="22"/>
          <w:lang w:val="es-US"/>
        </w:rPr>
      </w:pPr>
      <w:r w:rsidRPr="008219F2">
        <w:rPr>
          <w:rFonts w:hAnsi="Times New Roman"/>
          <w:sz w:val="22"/>
          <w:szCs w:val="22"/>
          <w:lang w:val="es-US"/>
        </w:rPr>
        <w:t>En 2014, el Comité expresó su preocupación por la "persistencia de ciertos estereotipos que impiden a las mujeres disfrutar del derecho al trabajo en igualdad de condiciones que los hombres" en El Salvador y recomendó a este país "redoblar sus esfuerzos para combatir la discriminación en la familia y en la sociedad".</w:t>
      </w:r>
      <w:r w:rsidRPr="00F36A0E">
        <w:rPr>
          <w:rStyle w:val="EndnoteReference"/>
          <w:rFonts w:hAnsi="Times New Roman"/>
          <w:sz w:val="22"/>
          <w:szCs w:val="22"/>
          <w:lang w:val="en-GB"/>
        </w:rPr>
        <w:endnoteReference w:id="42"/>
      </w:r>
      <w:r w:rsidRPr="008219F2">
        <w:rPr>
          <w:rFonts w:hAnsi="Times New Roman"/>
          <w:sz w:val="22"/>
          <w:szCs w:val="22"/>
          <w:lang w:val="es-US"/>
        </w:rPr>
        <w:t xml:space="preserve">  </w:t>
      </w:r>
    </w:p>
    <w:p w14:paraId="18DE127A" w14:textId="77777777" w:rsidR="00251276" w:rsidRPr="008219F2" w:rsidRDefault="002E36DE">
      <w:pPr>
        <w:pStyle w:val="Heading3"/>
        <w:ind w:left="426" w:hanging="426"/>
        <w:jc w:val="both"/>
        <w:rPr>
          <w:rFonts w:hAnsi="Times New Roman"/>
          <w:sz w:val="22"/>
          <w:szCs w:val="22"/>
          <w:lang w:val="es-US"/>
        </w:rPr>
      </w:pPr>
      <w:r w:rsidRPr="008219F2">
        <w:rPr>
          <w:rFonts w:hAnsi="Times New Roman"/>
          <w:sz w:val="22"/>
          <w:szCs w:val="22"/>
          <w:lang w:val="es-US"/>
        </w:rPr>
        <w:t>La Relatora Especial de la ONU sobre la Violencia contra la Mujer ha caracterizado el problema de la desigualdad de género en El Salvador como profundamente arraigado en las actitudes patriarcales, lo que constituye un grave obstáculo para el derecho de las mujeres a estar libres de toda forma de violencia.</w:t>
      </w:r>
      <w:r w:rsidRPr="00F36A0E">
        <w:rPr>
          <w:rStyle w:val="EndnoteReference"/>
          <w:rFonts w:hAnsi="Times New Roman"/>
          <w:sz w:val="22"/>
          <w:szCs w:val="22"/>
          <w:lang w:val="en-GB"/>
        </w:rPr>
        <w:endnoteReference w:id="43"/>
      </w:r>
      <w:r w:rsidRPr="008219F2">
        <w:rPr>
          <w:rFonts w:hAnsi="Times New Roman"/>
          <w:sz w:val="22"/>
          <w:szCs w:val="22"/>
          <w:lang w:val="es-US"/>
        </w:rPr>
        <w:t xml:space="preserve">  La Relatora Especial señaló además que las desventajas a las que se enfrentan las mujeres son evidentes en toda la sociedad salvadoreña: en la educación, el empleo y las esferas políticas.</w:t>
      </w:r>
    </w:p>
    <w:p w14:paraId="769C918C" w14:textId="77777777" w:rsidR="00251276" w:rsidRPr="008219F2" w:rsidRDefault="002E36DE">
      <w:pPr>
        <w:pStyle w:val="Heading3"/>
        <w:ind w:left="426" w:hanging="426"/>
        <w:jc w:val="both"/>
        <w:rPr>
          <w:rFonts w:hAnsi="Times New Roman"/>
          <w:sz w:val="22"/>
          <w:szCs w:val="22"/>
          <w:lang w:val="es-US"/>
        </w:rPr>
      </w:pPr>
      <w:r w:rsidRPr="008219F2">
        <w:rPr>
          <w:rFonts w:hAnsi="Times New Roman"/>
          <w:sz w:val="22"/>
          <w:szCs w:val="22"/>
          <w:lang w:val="es-US"/>
        </w:rPr>
        <w:t>El Comité de la CEDAW ha observado con preocupación la escasa asistencia de las niñas a la escuela, en particular debido a los embarazos en la adolescencia, y las persistentes discrepancias en las tasas de alfabetización entre hombres y mujeres,</w:t>
      </w:r>
      <w:r w:rsidRPr="00F36A0E">
        <w:rPr>
          <w:rStyle w:val="EndnoteReference"/>
          <w:rFonts w:hAnsi="Times New Roman"/>
          <w:sz w:val="22"/>
          <w:szCs w:val="22"/>
          <w:lang w:val="en-GB"/>
        </w:rPr>
        <w:endnoteReference w:id="44"/>
      </w:r>
      <w:r w:rsidRPr="008219F2">
        <w:rPr>
          <w:rFonts w:hAnsi="Times New Roman"/>
          <w:sz w:val="22"/>
          <w:szCs w:val="22"/>
          <w:lang w:val="es-US"/>
        </w:rPr>
        <w:t xml:space="preserve"> agravadas estas últimas por las primeras. </w:t>
      </w:r>
    </w:p>
    <w:p w14:paraId="64A20DCD" w14:textId="0EBB98E8" w:rsidR="00251276" w:rsidRPr="008219F2" w:rsidRDefault="002E36DE">
      <w:pPr>
        <w:pStyle w:val="Heading2"/>
        <w:spacing w:before="120" w:after="120"/>
        <w:ind w:left="0" w:hanging="426"/>
        <w:jc w:val="both"/>
        <w:rPr>
          <w:rFonts w:hAnsi="Times New Roman"/>
          <w:sz w:val="22"/>
          <w:szCs w:val="22"/>
          <w:lang w:val="es-US"/>
        </w:rPr>
      </w:pPr>
      <w:r w:rsidRPr="008219F2">
        <w:rPr>
          <w:rFonts w:hAnsi="Times New Roman"/>
          <w:sz w:val="22"/>
          <w:szCs w:val="22"/>
          <w:lang w:val="es-US"/>
        </w:rPr>
        <w:t xml:space="preserve">A pesar de las recomendaciones del Comité en 2014, </w:t>
      </w:r>
      <w:r w:rsidRPr="008219F2">
        <w:rPr>
          <w:rFonts w:hAnsi="Times New Roman"/>
          <w:bCs/>
          <w:sz w:val="22"/>
          <w:szCs w:val="22"/>
          <w:lang w:val="es-US"/>
        </w:rPr>
        <w:t xml:space="preserve">el Sexto Informe Periódico de El Salvador </w:t>
      </w:r>
      <w:r w:rsidRPr="008219F2">
        <w:rPr>
          <w:rFonts w:hAnsi="Times New Roman"/>
          <w:sz w:val="22"/>
          <w:szCs w:val="22"/>
          <w:lang w:val="es-US"/>
        </w:rPr>
        <w:t xml:space="preserve">no registra ningún intento de reformar su ley de aborto o de combatir la violencia sexual en respuesta a esas recomendaciones.  El informe de El Salvador sólo hace referencia a </w:t>
      </w:r>
      <w:r w:rsidRPr="008219F2">
        <w:rPr>
          <w:rFonts w:hAnsi="Times New Roman"/>
          <w:i/>
          <w:sz w:val="22"/>
          <w:szCs w:val="22"/>
          <w:lang w:val="es-US"/>
        </w:rPr>
        <w:t>propuestas de reforma</w:t>
      </w:r>
      <w:r w:rsidRPr="008219F2">
        <w:rPr>
          <w:rFonts w:hAnsi="Times New Roman"/>
          <w:sz w:val="22"/>
          <w:szCs w:val="22"/>
          <w:lang w:val="es-US"/>
        </w:rPr>
        <w:t>, incluida una propuesta que de hecho refuerza las sentencias penales que se aplican a la prohibición del aborto, sin ninguna explicación sobre el progreso de las propuestas de reforma o sobre cuándo podría modificarse la ley para abordar las recomendaciones del Comité.</w:t>
      </w:r>
      <w:r w:rsidRPr="00F36A0E">
        <w:rPr>
          <w:rStyle w:val="EndnoteReference"/>
          <w:rFonts w:hAnsi="Times New Roman"/>
          <w:sz w:val="22"/>
          <w:szCs w:val="22"/>
          <w:lang w:val="en-GB"/>
        </w:rPr>
        <w:endnoteReference w:id="45"/>
      </w:r>
      <w:r w:rsidRPr="008219F2">
        <w:rPr>
          <w:rFonts w:hAnsi="Times New Roman"/>
          <w:sz w:val="22"/>
          <w:szCs w:val="22"/>
          <w:lang w:val="es-US"/>
        </w:rPr>
        <w:t xml:space="preserve">  En 2018, una propuesta de reforma para establecer excepciones a la penalización del aborto fue introducida por grupos de derechos de las mujeres y apoyada por una petición internacional,</w:t>
      </w:r>
      <w:r w:rsidRPr="00F36A0E">
        <w:rPr>
          <w:rStyle w:val="EndnoteReference"/>
          <w:rFonts w:hAnsi="Times New Roman"/>
          <w:sz w:val="22"/>
          <w:szCs w:val="22"/>
          <w:lang w:val="en-GB"/>
        </w:rPr>
        <w:endnoteReference w:id="46"/>
      </w:r>
      <w:r w:rsidRPr="008219F2">
        <w:rPr>
          <w:rFonts w:hAnsi="Times New Roman"/>
          <w:sz w:val="22"/>
          <w:szCs w:val="22"/>
          <w:lang w:val="es-US"/>
        </w:rPr>
        <w:t xml:space="preserve"> pero no se ha adoptado ningún cambio.  El informe menciona que el Ministerio de Salud se centra en garantizar una atención de calidad para quienes han abortado, pero no reconoce que la penalización del aborto pone a las mujeres que buscan atención postaborto, o incluso atención obstétrica de emergencia, en riesgo de ser procesadas y detenidas sin el debido proceso.</w:t>
      </w:r>
      <w:r w:rsidRPr="00F36A0E">
        <w:rPr>
          <w:rStyle w:val="EndnoteReference"/>
          <w:rFonts w:hAnsi="Times New Roman"/>
          <w:sz w:val="22"/>
          <w:szCs w:val="22"/>
          <w:lang w:val="en-GB"/>
        </w:rPr>
        <w:endnoteReference w:id="47"/>
      </w:r>
      <w:r w:rsidRPr="008219F2">
        <w:rPr>
          <w:rFonts w:hAnsi="Times New Roman"/>
          <w:sz w:val="22"/>
          <w:szCs w:val="22"/>
          <w:lang w:val="es-US"/>
        </w:rPr>
        <w:t xml:space="preserve">  </w:t>
      </w:r>
      <w:r w:rsidR="00DC3674">
        <w:rPr>
          <w:rFonts w:hAnsi="Times New Roman"/>
          <w:sz w:val="22"/>
          <w:szCs w:val="22"/>
          <w:lang w:val="es-US"/>
        </w:rPr>
        <w:t xml:space="preserve"> El informe además </w:t>
      </w:r>
      <w:r w:rsidR="00DC3674">
        <w:rPr>
          <w:rFonts w:hAnsi="Times New Roman"/>
          <w:b/>
          <w:bCs/>
          <w:sz w:val="22"/>
          <w:szCs w:val="22"/>
          <w:u w:val="single"/>
          <w:lang w:val="es-US"/>
        </w:rPr>
        <w:t>no</w:t>
      </w:r>
      <w:r w:rsidR="00DC3674">
        <w:rPr>
          <w:rFonts w:hAnsi="Times New Roman"/>
          <w:sz w:val="22"/>
          <w:szCs w:val="22"/>
          <w:lang w:val="es-US"/>
        </w:rPr>
        <w:t xml:space="preserve"> refleja medida alguna que el Estado pretenda adoptar para dar cumplimiento a las medidas dispuestas en la sentencia del caso Manuela.</w:t>
      </w:r>
    </w:p>
    <w:p w14:paraId="5F1DFD28" w14:textId="77777777" w:rsidR="00251276" w:rsidRPr="008219F2" w:rsidRDefault="002E36DE">
      <w:pPr>
        <w:pStyle w:val="Heading2"/>
        <w:spacing w:before="120" w:after="120"/>
        <w:ind w:left="0" w:hanging="426"/>
        <w:jc w:val="both"/>
        <w:rPr>
          <w:rFonts w:hAnsi="Times New Roman"/>
          <w:b/>
          <w:sz w:val="22"/>
          <w:szCs w:val="22"/>
          <w:lang w:val="es-US"/>
        </w:rPr>
      </w:pPr>
      <w:r w:rsidRPr="008219F2">
        <w:rPr>
          <w:rFonts w:hAnsi="Times New Roman"/>
          <w:sz w:val="22"/>
          <w:szCs w:val="22"/>
          <w:lang w:val="es-US"/>
        </w:rPr>
        <w:t xml:space="preserve">Aunque el CRR </w:t>
      </w:r>
      <w:r w:rsidR="002279ED" w:rsidRPr="008219F2">
        <w:rPr>
          <w:rFonts w:hAnsi="Times New Roman"/>
          <w:sz w:val="22"/>
          <w:szCs w:val="22"/>
          <w:lang w:val="es-US"/>
        </w:rPr>
        <w:t xml:space="preserve">señala </w:t>
      </w:r>
      <w:r w:rsidRPr="008219F2">
        <w:rPr>
          <w:rFonts w:hAnsi="Times New Roman"/>
          <w:sz w:val="22"/>
          <w:szCs w:val="22"/>
          <w:lang w:val="es-US"/>
        </w:rPr>
        <w:t xml:space="preserve">que El Salvador se ha </w:t>
      </w:r>
      <w:r w:rsidR="000800B6" w:rsidRPr="008219F2">
        <w:rPr>
          <w:rFonts w:hAnsi="Times New Roman"/>
          <w:sz w:val="22"/>
          <w:szCs w:val="22"/>
          <w:lang w:val="es-US"/>
        </w:rPr>
        <w:t xml:space="preserve">referido a una serie de iniciativas </w:t>
      </w:r>
      <w:r w:rsidR="00650E83" w:rsidRPr="008219F2">
        <w:rPr>
          <w:rFonts w:hAnsi="Times New Roman"/>
          <w:sz w:val="22"/>
          <w:szCs w:val="22"/>
          <w:lang w:val="es-US"/>
        </w:rPr>
        <w:t xml:space="preserve">supuestamente </w:t>
      </w:r>
      <w:r w:rsidR="00CD4EE2" w:rsidRPr="008219F2">
        <w:rPr>
          <w:rFonts w:hAnsi="Times New Roman"/>
          <w:sz w:val="22"/>
          <w:szCs w:val="22"/>
          <w:lang w:val="es-US"/>
        </w:rPr>
        <w:t xml:space="preserve">destinadas a </w:t>
      </w:r>
      <w:r w:rsidRPr="008219F2">
        <w:rPr>
          <w:rFonts w:hAnsi="Times New Roman"/>
          <w:sz w:val="22"/>
          <w:szCs w:val="22"/>
          <w:lang w:val="es-US"/>
        </w:rPr>
        <w:t xml:space="preserve">promover la salud y la educación sexual y reproductiva y a abordar la violencia de género, estas iniciativas </w:t>
      </w:r>
      <w:r w:rsidR="000800B6" w:rsidRPr="008219F2">
        <w:rPr>
          <w:rFonts w:hAnsi="Times New Roman"/>
          <w:sz w:val="22"/>
          <w:szCs w:val="22"/>
          <w:lang w:val="es-US"/>
        </w:rPr>
        <w:t xml:space="preserve">no se han </w:t>
      </w:r>
      <w:r w:rsidR="00650E83" w:rsidRPr="008219F2">
        <w:rPr>
          <w:rFonts w:hAnsi="Times New Roman"/>
          <w:sz w:val="22"/>
          <w:szCs w:val="22"/>
          <w:lang w:val="es-US"/>
        </w:rPr>
        <w:t xml:space="preserve">ejecutado </w:t>
      </w:r>
      <w:r w:rsidR="00CD4EE2" w:rsidRPr="008219F2">
        <w:rPr>
          <w:rFonts w:hAnsi="Times New Roman"/>
          <w:sz w:val="22"/>
          <w:szCs w:val="22"/>
          <w:lang w:val="es-US"/>
        </w:rPr>
        <w:t xml:space="preserve">en realidad </w:t>
      </w:r>
      <w:r w:rsidR="00650E83" w:rsidRPr="008219F2">
        <w:rPr>
          <w:rFonts w:hAnsi="Times New Roman"/>
          <w:sz w:val="22"/>
          <w:szCs w:val="22"/>
          <w:lang w:val="es-US"/>
        </w:rPr>
        <w:t xml:space="preserve">y están </w:t>
      </w:r>
      <w:r w:rsidRPr="008219F2">
        <w:rPr>
          <w:rFonts w:hAnsi="Times New Roman"/>
          <w:sz w:val="22"/>
          <w:szCs w:val="22"/>
          <w:lang w:val="es-US"/>
        </w:rPr>
        <w:t xml:space="preserve">lejos de ser suficientes en cuanto a su alcance y enfoque para abordar las experiencias de las mujeres y las niñas descritas anteriormente.  </w:t>
      </w:r>
      <w:r w:rsidR="00247BB4" w:rsidRPr="008219F2">
        <w:rPr>
          <w:rFonts w:hAnsi="Times New Roman"/>
          <w:b/>
          <w:sz w:val="22"/>
          <w:szCs w:val="22"/>
          <w:lang w:val="es-US"/>
        </w:rPr>
        <w:t xml:space="preserve">Además, </w:t>
      </w:r>
      <w:r w:rsidRPr="008219F2">
        <w:rPr>
          <w:rFonts w:hAnsi="Times New Roman"/>
          <w:b/>
          <w:sz w:val="22"/>
          <w:szCs w:val="22"/>
          <w:lang w:val="es-US"/>
        </w:rPr>
        <w:t xml:space="preserve">la eficacia de estas iniciativas siempre se verá comprometida por la prohibición general del aborto, la criminalización activa de las mujeres y las niñas que sufren presuntos abortos y emergencias obstétricas, el fracaso en la prevención de la violencia sexual y de género y en el acceso de las mujeres a la justicia cuando han sufrido dicha violencia, y la omnipresente discriminación de género que impregna el respeto a la dignidad de las mujeres y socava sus oportunidades.   </w:t>
      </w:r>
    </w:p>
    <w:p w14:paraId="1C85D7DA" w14:textId="77777777" w:rsidR="00251276" w:rsidRDefault="002E36DE">
      <w:pPr>
        <w:pStyle w:val="Heading1"/>
        <w:spacing w:before="120" w:after="120"/>
        <w:ind w:left="426" w:hanging="426"/>
        <w:jc w:val="both"/>
        <w:rPr>
          <w:sz w:val="22"/>
          <w:szCs w:val="22"/>
          <w:lang w:val="en-GB"/>
        </w:rPr>
      </w:pPr>
      <w:r w:rsidRPr="00F36A0E">
        <w:rPr>
          <w:sz w:val="22"/>
          <w:szCs w:val="22"/>
          <w:lang w:val="en-GB"/>
        </w:rPr>
        <w:lastRenderedPageBreak/>
        <w:t>Incumplimiento del PIDESC</w:t>
      </w:r>
    </w:p>
    <w:p w14:paraId="55B68463" w14:textId="77777777" w:rsidR="00251276" w:rsidRPr="008219F2" w:rsidRDefault="002E36DE" w:rsidP="008219F2">
      <w:pPr>
        <w:pStyle w:val="Heading2"/>
        <w:spacing w:before="120" w:after="120"/>
        <w:ind w:left="0" w:hanging="426"/>
        <w:jc w:val="both"/>
        <w:rPr>
          <w:rFonts w:hAnsi="Times New Roman"/>
          <w:sz w:val="22"/>
          <w:szCs w:val="22"/>
          <w:lang w:val="es-US"/>
        </w:rPr>
      </w:pPr>
      <w:r w:rsidRPr="008219F2">
        <w:rPr>
          <w:rFonts w:hAnsi="Times New Roman"/>
          <w:sz w:val="22"/>
          <w:szCs w:val="22"/>
          <w:lang w:val="es-US"/>
        </w:rPr>
        <w:t>Las acciones y omisiones de El Salvador descritas en la sección 2 dan lugar a múltiples y atroces violaciones del PIDESC, como se detalla en esta sección.</w:t>
      </w:r>
    </w:p>
    <w:p w14:paraId="56019AA9" w14:textId="77777777" w:rsidR="00251276" w:rsidRPr="008219F2" w:rsidRDefault="002E36DE">
      <w:pPr>
        <w:pStyle w:val="Heading2"/>
        <w:numPr>
          <w:ilvl w:val="0"/>
          <w:numId w:val="0"/>
        </w:numPr>
        <w:spacing w:before="120" w:after="120"/>
        <w:jc w:val="center"/>
        <w:rPr>
          <w:rFonts w:hAnsi="Times New Roman"/>
          <w:iCs/>
          <w:sz w:val="22"/>
          <w:szCs w:val="22"/>
          <w:lang w:val="es-US"/>
        </w:rPr>
      </w:pPr>
      <w:r w:rsidRPr="008219F2">
        <w:rPr>
          <w:rFonts w:hAnsi="Times New Roman"/>
          <w:b/>
          <w:i/>
          <w:sz w:val="22"/>
          <w:szCs w:val="22"/>
          <w:lang w:val="es-US"/>
        </w:rPr>
        <w:t xml:space="preserve">Artículo 12: </w:t>
      </w:r>
      <w:r w:rsidRPr="008219F2">
        <w:rPr>
          <w:rFonts w:hAnsi="Times New Roman"/>
          <w:i/>
          <w:sz w:val="22"/>
          <w:szCs w:val="22"/>
          <w:lang w:val="es-US"/>
        </w:rPr>
        <w:t xml:space="preserve">Derecho al más alto nivel de salud física y mental (junto </w:t>
      </w:r>
      <w:r w:rsidRPr="008219F2">
        <w:rPr>
          <w:rFonts w:hAnsi="Times New Roman"/>
          <w:i/>
          <w:sz w:val="22"/>
          <w:szCs w:val="22"/>
          <w:lang w:val="es-US"/>
        </w:rPr>
        <w:br/>
        <w:t xml:space="preserve">con las </w:t>
      </w:r>
      <w:r w:rsidR="007D7290" w:rsidRPr="008219F2">
        <w:rPr>
          <w:rFonts w:hAnsi="Times New Roman"/>
          <w:b/>
          <w:bCs/>
          <w:i/>
          <w:sz w:val="22"/>
          <w:szCs w:val="22"/>
          <w:lang w:val="es-US"/>
        </w:rPr>
        <w:t xml:space="preserve">Observaciones Generales </w:t>
      </w:r>
      <w:r w:rsidRPr="008219F2">
        <w:rPr>
          <w:rFonts w:hAnsi="Times New Roman"/>
          <w:b/>
          <w:i/>
          <w:sz w:val="22"/>
          <w:szCs w:val="22"/>
          <w:lang w:val="es-US"/>
        </w:rPr>
        <w:t>14 y 22</w:t>
      </w:r>
      <w:r w:rsidRPr="008219F2">
        <w:rPr>
          <w:rFonts w:hAnsi="Times New Roman"/>
          <w:i/>
          <w:sz w:val="22"/>
          <w:szCs w:val="22"/>
          <w:lang w:val="es-US"/>
        </w:rPr>
        <w:t xml:space="preserve">) </w:t>
      </w:r>
      <w:r w:rsidR="0050232D" w:rsidRPr="008219F2">
        <w:rPr>
          <w:rFonts w:hAnsi="Times New Roman"/>
          <w:iCs/>
          <w:sz w:val="22"/>
          <w:szCs w:val="22"/>
          <w:lang w:val="es-US"/>
        </w:rPr>
        <w:t xml:space="preserve">y </w:t>
      </w:r>
      <w:r w:rsidR="0050232D" w:rsidRPr="008219F2">
        <w:rPr>
          <w:rFonts w:hAnsi="Times New Roman"/>
          <w:b/>
          <w:bCs/>
          <w:i/>
          <w:sz w:val="22"/>
          <w:szCs w:val="22"/>
          <w:lang w:val="es-US"/>
        </w:rPr>
        <w:t xml:space="preserve">Artículo 15 (b) </w:t>
      </w:r>
      <w:r w:rsidR="0050232D" w:rsidRPr="008219F2">
        <w:rPr>
          <w:rFonts w:hAnsi="Times New Roman"/>
          <w:i/>
          <w:sz w:val="22"/>
          <w:szCs w:val="22"/>
          <w:lang w:val="es-US"/>
        </w:rPr>
        <w:t xml:space="preserve">el Derecho a disfrutar de los beneficios del progreso científico y sus aplicaciones </w:t>
      </w:r>
      <w:r w:rsidR="007D7290" w:rsidRPr="008219F2">
        <w:rPr>
          <w:rFonts w:hAnsi="Times New Roman"/>
          <w:i/>
          <w:sz w:val="22"/>
          <w:szCs w:val="22"/>
          <w:lang w:val="es-US"/>
        </w:rPr>
        <w:t xml:space="preserve">(junto con </w:t>
      </w:r>
      <w:r w:rsidR="007D7290" w:rsidRPr="008219F2">
        <w:rPr>
          <w:rFonts w:hAnsi="Times New Roman"/>
          <w:b/>
          <w:bCs/>
          <w:i/>
          <w:sz w:val="22"/>
          <w:szCs w:val="22"/>
          <w:lang w:val="es-US"/>
        </w:rPr>
        <w:t xml:space="preserve">la Observación General </w:t>
      </w:r>
      <w:r w:rsidR="00F11C3C" w:rsidRPr="008219F2">
        <w:rPr>
          <w:rFonts w:hAnsi="Times New Roman"/>
          <w:b/>
          <w:bCs/>
          <w:i/>
          <w:sz w:val="22"/>
          <w:szCs w:val="22"/>
          <w:lang w:val="es-US"/>
        </w:rPr>
        <w:t>25</w:t>
      </w:r>
      <w:r w:rsidR="00F11C3C" w:rsidRPr="008219F2">
        <w:rPr>
          <w:rFonts w:hAnsi="Times New Roman"/>
          <w:i/>
          <w:sz w:val="22"/>
          <w:szCs w:val="22"/>
          <w:lang w:val="es-US"/>
        </w:rPr>
        <w:t>)</w:t>
      </w:r>
    </w:p>
    <w:p w14:paraId="1697374A" w14:textId="77777777" w:rsidR="00251276" w:rsidRPr="008219F2" w:rsidRDefault="002E36DE">
      <w:pPr>
        <w:pStyle w:val="Heading2"/>
        <w:spacing w:before="120" w:after="120"/>
        <w:ind w:left="0" w:hanging="426"/>
        <w:jc w:val="both"/>
        <w:rPr>
          <w:rFonts w:hAnsi="Times New Roman"/>
          <w:sz w:val="22"/>
          <w:szCs w:val="22"/>
          <w:lang w:val="es-US"/>
        </w:rPr>
      </w:pPr>
      <w:r w:rsidRPr="008219F2">
        <w:rPr>
          <w:rFonts w:hAnsi="Times New Roman"/>
          <w:sz w:val="22"/>
          <w:szCs w:val="22"/>
          <w:lang w:val="es-US"/>
        </w:rPr>
        <w:t>El derecho a la salud, incluido el derecho a la salud sexual y reproductiva, conlleva ciertas libertades y derechos, como el derecho a tomar "decisiones libres y responsables" sin discriminación y el derecho a "acceder sin trabas a toda una serie de instalaciones, bienes, servicios e información en materia de salud".</w:t>
      </w:r>
      <w:r w:rsidRPr="00F36A0E">
        <w:rPr>
          <w:rStyle w:val="EndnoteReference"/>
          <w:rFonts w:hAnsi="Times New Roman"/>
          <w:sz w:val="22"/>
          <w:szCs w:val="22"/>
          <w:lang w:val="en-GB"/>
        </w:rPr>
        <w:endnoteReference w:id="48"/>
      </w:r>
      <w:r w:rsidRPr="008219F2">
        <w:rPr>
          <w:rFonts w:hAnsi="Times New Roman"/>
          <w:sz w:val="22"/>
          <w:szCs w:val="22"/>
          <w:lang w:val="es-US"/>
        </w:rPr>
        <w:t xml:space="preserve">  El Comité ha dejado claro que no respetar "el derecho de las mujeres a tomar decisiones autónomas sobre su salud sexual y reproductiva" interfiere en la integridad personal de cada individuo y constituye una violación del derecho a la salud.</w:t>
      </w:r>
      <w:r w:rsidRPr="00F36A0E">
        <w:rPr>
          <w:rStyle w:val="EndnoteReference"/>
          <w:rFonts w:hAnsi="Times New Roman"/>
          <w:color w:val="000000"/>
          <w:sz w:val="22"/>
          <w:szCs w:val="22"/>
          <w:lang w:val="en-GB"/>
        </w:rPr>
        <w:endnoteReference w:id="49"/>
      </w:r>
    </w:p>
    <w:p w14:paraId="08AC48DD" w14:textId="77777777" w:rsidR="00251276" w:rsidRPr="008219F2" w:rsidRDefault="002E36DE">
      <w:pPr>
        <w:pStyle w:val="Heading2"/>
        <w:spacing w:before="120" w:after="120"/>
        <w:ind w:left="0" w:hanging="426"/>
        <w:jc w:val="both"/>
        <w:rPr>
          <w:rFonts w:hAnsi="Times New Roman"/>
          <w:sz w:val="22"/>
          <w:szCs w:val="22"/>
          <w:lang w:val="es-US"/>
        </w:rPr>
      </w:pPr>
      <w:r w:rsidRPr="008219F2">
        <w:rPr>
          <w:rFonts w:hAnsi="Times New Roman"/>
          <w:sz w:val="22"/>
          <w:szCs w:val="22"/>
          <w:lang w:val="es-US"/>
        </w:rPr>
        <w:t>Los Estados tienen la obligación de respetar, proteger y cumplir el derecho a la salud,</w:t>
      </w:r>
      <w:r w:rsidRPr="00F36A0E">
        <w:rPr>
          <w:rStyle w:val="EndnoteReference"/>
          <w:rFonts w:hAnsi="Times New Roman"/>
          <w:sz w:val="22"/>
          <w:szCs w:val="22"/>
          <w:lang w:val="en-GB"/>
        </w:rPr>
        <w:endnoteReference w:id="50"/>
      </w:r>
      <w:r w:rsidRPr="008219F2">
        <w:rPr>
          <w:rFonts w:hAnsi="Times New Roman"/>
          <w:sz w:val="22"/>
          <w:szCs w:val="22"/>
          <w:lang w:val="es-US"/>
        </w:rPr>
        <w:t xml:space="preserve"> del que el derecho a la salud sexual y reproductiva es "parte integrante".</w:t>
      </w:r>
      <w:r w:rsidRPr="00F36A0E">
        <w:rPr>
          <w:rStyle w:val="EndnoteReference"/>
          <w:rFonts w:hAnsi="Times New Roman"/>
          <w:sz w:val="22"/>
          <w:szCs w:val="22"/>
          <w:lang w:val="en-GB"/>
        </w:rPr>
        <w:endnoteReference w:id="51"/>
      </w:r>
      <w:r w:rsidRPr="008219F2">
        <w:rPr>
          <w:rFonts w:hAnsi="Times New Roman"/>
          <w:sz w:val="22"/>
          <w:szCs w:val="22"/>
          <w:lang w:val="es-US"/>
        </w:rPr>
        <w:t xml:space="preserve">  En conjunto, la naturaleza tripartita de las obligaciones de los Estados con respecto al derecho a la salud, exige a los Estados (</w:t>
      </w:r>
      <w:r w:rsidRPr="008219F2">
        <w:rPr>
          <w:rFonts w:hAnsi="Times New Roman"/>
          <w:i/>
          <w:sz w:val="22"/>
          <w:szCs w:val="22"/>
          <w:lang w:val="es-US"/>
        </w:rPr>
        <w:t xml:space="preserve">i) </w:t>
      </w:r>
      <w:r w:rsidRPr="008219F2">
        <w:rPr>
          <w:rFonts w:hAnsi="Times New Roman"/>
          <w:sz w:val="22"/>
          <w:szCs w:val="22"/>
          <w:lang w:val="es-US"/>
        </w:rPr>
        <w:t xml:space="preserve">abstenerse de interferir en el disfrute de la salud sexual y reproductiva e impedir que terceros hagan lo mismo; </w:t>
      </w:r>
      <w:r w:rsidRPr="008219F2">
        <w:rPr>
          <w:rFonts w:hAnsi="Times New Roman"/>
          <w:i/>
          <w:sz w:val="22"/>
          <w:szCs w:val="22"/>
          <w:lang w:val="es-US"/>
        </w:rPr>
        <w:t xml:space="preserve">(ii) </w:t>
      </w:r>
      <w:r w:rsidRPr="008219F2">
        <w:rPr>
          <w:rFonts w:hAnsi="Times New Roman"/>
          <w:sz w:val="22"/>
          <w:szCs w:val="22"/>
          <w:lang w:val="es-US"/>
        </w:rPr>
        <w:t xml:space="preserve">derogar las leyes y políticas que crean obstáculos a los servicios de salud sexual y reproductiva, y garantizar que terceros no creen obstáculos al acceso; y </w:t>
      </w:r>
      <w:r w:rsidRPr="008219F2">
        <w:rPr>
          <w:rFonts w:hAnsi="Times New Roman"/>
          <w:i/>
          <w:sz w:val="22"/>
          <w:szCs w:val="22"/>
          <w:lang w:val="es-US"/>
        </w:rPr>
        <w:t xml:space="preserve">(iii) </w:t>
      </w:r>
      <w:r w:rsidRPr="008219F2">
        <w:rPr>
          <w:rFonts w:hAnsi="Times New Roman"/>
          <w:sz w:val="22"/>
          <w:szCs w:val="22"/>
          <w:lang w:val="es-US"/>
        </w:rPr>
        <w:t>adoptar medidas para garantizar la realización del derecho a la salud sexual y reproductiva, incluido "el acceso universal sin discriminación...incluyendo [a] las personas de grupos desfavorecidos y marginados, a una gama completa de servicios de salud sexual y reproductiva de calidad, incluida la atención a la salud materna; información y servicios de anticoncepción; atención al aborto en condiciones de seguridad".</w:t>
      </w:r>
      <w:r w:rsidRPr="008219F2">
        <w:rPr>
          <w:rStyle w:val="EndnoteReference"/>
          <w:rFonts w:hAnsi="Times New Roman"/>
          <w:sz w:val="22"/>
          <w:szCs w:val="22"/>
          <w:lang w:val="es-US"/>
        </w:rPr>
        <w:t xml:space="preserve"> </w:t>
      </w:r>
      <w:r w:rsidRPr="00F36A0E">
        <w:rPr>
          <w:rStyle w:val="EndnoteReference"/>
          <w:rFonts w:hAnsi="Times New Roman"/>
          <w:sz w:val="22"/>
          <w:szCs w:val="22"/>
          <w:lang w:val="en-GB"/>
        </w:rPr>
        <w:endnoteReference w:id="52"/>
      </w:r>
    </w:p>
    <w:p w14:paraId="2FA115A5" w14:textId="77777777" w:rsidR="00251276" w:rsidRPr="008219F2" w:rsidRDefault="002E36DE">
      <w:pPr>
        <w:pStyle w:val="Heading2"/>
        <w:spacing w:before="120" w:after="120"/>
        <w:ind w:left="0" w:hanging="426"/>
        <w:jc w:val="both"/>
        <w:rPr>
          <w:rFonts w:hAnsi="Times New Roman"/>
          <w:sz w:val="22"/>
          <w:szCs w:val="22"/>
          <w:lang w:val="es-US"/>
        </w:rPr>
      </w:pPr>
      <w:r w:rsidRPr="008219F2">
        <w:rPr>
          <w:rFonts w:hAnsi="Times New Roman"/>
          <w:sz w:val="22"/>
          <w:szCs w:val="22"/>
          <w:lang w:val="es-US"/>
        </w:rPr>
        <w:t>Por lo tanto, los Estados Partes están obligados específicamente a derogar o reformar una amplia gama de leyes que socavan el pleno disfrute de este derecho, incluida la "penalización del aborto o las leyes restrictivas del aborto"</w:t>
      </w:r>
      <w:r w:rsidRPr="00F36A0E">
        <w:rPr>
          <w:rStyle w:val="EndnoteReference"/>
          <w:rFonts w:hAnsi="Times New Roman"/>
          <w:sz w:val="22"/>
          <w:szCs w:val="22"/>
          <w:lang w:val="en-GB"/>
        </w:rPr>
        <w:endnoteReference w:id="53"/>
      </w:r>
      <w:r w:rsidRPr="008219F2">
        <w:rPr>
          <w:rFonts w:hAnsi="Times New Roman"/>
          <w:sz w:val="22"/>
          <w:szCs w:val="22"/>
          <w:lang w:val="es-US"/>
        </w:rPr>
        <w:t xml:space="preserve"> y los Estados Partes tampoco deben "exigir a los profesionales de la salud que denuncien a las mujeres por atención relacionada con el aborto ante las autoridades policiales o judiciales". </w:t>
      </w:r>
      <w:r w:rsidRPr="00F36A0E">
        <w:rPr>
          <w:rStyle w:val="EndnoteReference"/>
          <w:rFonts w:hAnsi="Times New Roman"/>
          <w:sz w:val="22"/>
          <w:szCs w:val="22"/>
          <w:lang w:val="en-GB"/>
        </w:rPr>
        <w:endnoteReference w:id="54"/>
      </w:r>
    </w:p>
    <w:p w14:paraId="498027AC" w14:textId="77777777" w:rsidR="00251276" w:rsidRPr="008219F2" w:rsidRDefault="002E36DE">
      <w:pPr>
        <w:pStyle w:val="Heading2"/>
        <w:spacing w:before="120" w:after="120"/>
        <w:ind w:left="0" w:hanging="426"/>
        <w:jc w:val="both"/>
        <w:rPr>
          <w:rFonts w:hAnsi="Times New Roman"/>
          <w:sz w:val="22"/>
          <w:szCs w:val="22"/>
          <w:lang w:val="es-US"/>
        </w:rPr>
      </w:pPr>
      <w:r w:rsidRPr="008219F2">
        <w:rPr>
          <w:rFonts w:hAnsi="Times New Roman"/>
          <w:sz w:val="22"/>
          <w:szCs w:val="22"/>
          <w:lang w:val="es-US"/>
        </w:rPr>
        <w:t>Las personas también tienen derecho a servicios de salud sexual y reproductiva, así como a la información y educación pertinentes, que estén disponibles, sean accesibles, aceptables y de calidad suficiente.</w:t>
      </w:r>
      <w:r w:rsidRPr="00F36A0E">
        <w:rPr>
          <w:rStyle w:val="EndnoteReference"/>
          <w:rFonts w:hAnsi="Times New Roman"/>
          <w:sz w:val="22"/>
          <w:szCs w:val="22"/>
          <w:lang w:val="en-GB"/>
        </w:rPr>
        <w:endnoteReference w:id="55"/>
      </w:r>
      <w:r w:rsidRPr="008219F2">
        <w:rPr>
          <w:rFonts w:hAnsi="Times New Roman"/>
          <w:sz w:val="22"/>
          <w:szCs w:val="22"/>
          <w:lang w:val="es-US"/>
        </w:rPr>
        <w:t xml:space="preserve">  Los servicios de calidad incluyen una atención sanitaria "basada en pruebas y científica y médicamente apropiada y actualizada". En concreto, la negativa a incorporar los avances tecnológicos, como la medicación para el aborto, "pone en peligro la calidad de la atención".</w:t>
      </w:r>
      <w:r w:rsidRPr="00F36A0E">
        <w:rPr>
          <w:rStyle w:val="EndnoteReference"/>
          <w:rFonts w:hAnsi="Times New Roman"/>
          <w:sz w:val="22"/>
          <w:szCs w:val="22"/>
          <w:lang w:val="en-GB"/>
        </w:rPr>
        <w:endnoteReference w:id="56"/>
      </w:r>
      <w:r w:rsidRPr="008219F2">
        <w:rPr>
          <w:rFonts w:hAnsi="Times New Roman"/>
          <w:sz w:val="22"/>
          <w:szCs w:val="22"/>
          <w:lang w:val="es-US"/>
        </w:rPr>
        <w:t xml:space="preserve">  En este contexto, </w:t>
      </w:r>
      <w:r w:rsidRPr="008219F2">
        <w:rPr>
          <w:rFonts w:hAnsi="Times New Roman"/>
          <w:b/>
          <w:sz w:val="22"/>
          <w:szCs w:val="22"/>
          <w:lang w:val="es-US"/>
        </w:rPr>
        <w:t xml:space="preserve">el artículo 12(2)(a) </w:t>
      </w:r>
      <w:r w:rsidRPr="008219F2">
        <w:rPr>
          <w:rFonts w:hAnsi="Times New Roman"/>
          <w:sz w:val="22"/>
          <w:szCs w:val="22"/>
          <w:lang w:val="es-US"/>
        </w:rPr>
        <w:t>"puede entenderse como la exigencia de medidas para mejorar la salud infantil y materna, los servicios de salud sexual y reproductiva, incluido el acceso a la planificación familiar, la atención prenatal y postnatal, los servicios obstétricos de urgencia y el acceso a la información, así como a los recursos necesarios para actuar en función de esa información".</w:t>
      </w:r>
      <w:r w:rsidRPr="00F36A0E">
        <w:rPr>
          <w:rStyle w:val="EndnoteReference"/>
          <w:rFonts w:hAnsi="Times New Roman"/>
          <w:sz w:val="22"/>
          <w:szCs w:val="22"/>
          <w:lang w:val="en-GB"/>
        </w:rPr>
        <w:endnoteReference w:id="57"/>
      </w:r>
      <w:r w:rsidR="002B5AF5" w:rsidRPr="008219F2">
        <w:rPr>
          <w:rFonts w:hAnsi="Times New Roman"/>
          <w:sz w:val="22"/>
          <w:szCs w:val="22"/>
          <w:lang w:val="es-US"/>
        </w:rPr>
        <w:t xml:space="preserve"> Además, este Comité </w:t>
      </w:r>
      <w:r w:rsidR="00ED7441" w:rsidRPr="008219F2">
        <w:rPr>
          <w:rFonts w:hAnsi="Times New Roman"/>
          <w:sz w:val="22"/>
          <w:szCs w:val="22"/>
          <w:lang w:val="es-US"/>
        </w:rPr>
        <w:t xml:space="preserve">estableció </w:t>
      </w:r>
      <w:r w:rsidR="00396DE8" w:rsidRPr="008219F2">
        <w:rPr>
          <w:rFonts w:hAnsi="Times New Roman"/>
          <w:sz w:val="22"/>
          <w:szCs w:val="22"/>
          <w:lang w:val="es-US"/>
        </w:rPr>
        <w:t xml:space="preserve">en la Observación General nº 25, </w:t>
      </w:r>
      <w:r w:rsidR="00ED7441" w:rsidRPr="008219F2">
        <w:rPr>
          <w:rFonts w:hAnsi="Times New Roman"/>
          <w:sz w:val="22"/>
          <w:szCs w:val="22"/>
          <w:lang w:val="es-US"/>
        </w:rPr>
        <w:t xml:space="preserve">que </w:t>
      </w:r>
      <w:r w:rsidR="002B5AF5" w:rsidRPr="008219F2">
        <w:rPr>
          <w:rFonts w:hAnsi="Times New Roman"/>
          <w:sz w:val="22"/>
          <w:szCs w:val="22"/>
          <w:lang w:val="es-US"/>
        </w:rPr>
        <w:t xml:space="preserve">los Estados partes deben </w:t>
      </w:r>
      <w:r w:rsidR="00ED7441" w:rsidRPr="008219F2">
        <w:rPr>
          <w:rFonts w:hAnsi="Times New Roman"/>
          <w:sz w:val="22"/>
          <w:szCs w:val="22"/>
          <w:lang w:val="es-US"/>
        </w:rPr>
        <w:t xml:space="preserve">asegurar un enfoque sensible al género y el </w:t>
      </w:r>
      <w:r w:rsidR="002B5AF5" w:rsidRPr="008219F2">
        <w:rPr>
          <w:rFonts w:hAnsi="Times New Roman"/>
          <w:sz w:val="22"/>
          <w:szCs w:val="22"/>
          <w:lang w:val="es-US"/>
        </w:rPr>
        <w:t xml:space="preserve">acceso a tecnologías científicas actualizadas para </w:t>
      </w:r>
      <w:r w:rsidR="00ED7441" w:rsidRPr="008219F2">
        <w:rPr>
          <w:rFonts w:hAnsi="Times New Roman"/>
          <w:sz w:val="22"/>
          <w:szCs w:val="22"/>
          <w:lang w:val="es-US"/>
        </w:rPr>
        <w:t xml:space="preserve">garantizar el derecho de </w:t>
      </w:r>
      <w:r w:rsidR="002B5AF5" w:rsidRPr="008219F2">
        <w:rPr>
          <w:rFonts w:hAnsi="Times New Roman"/>
          <w:sz w:val="22"/>
          <w:szCs w:val="22"/>
          <w:lang w:val="es-US"/>
        </w:rPr>
        <w:t xml:space="preserve">las mujeres </w:t>
      </w:r>
      <w:r w:rsidR="00ED7441" w:rsidRPr="008219F2">
        <w:rPr>
          <w:rFonts w:hAnsi="Times New Roman"/>
          <w:sz w:val="22"/>
          <w:szCs w:val="22"/>
          <w:lang w:val="es-US"/>
        </w:rPr>
        <w:t>y las niñas a la salud sexual y reproductiva</w:t>
      </w:r>
      <w:r w:rsidR="00453302" w:rsidRPr="00F36A0E">
        <w:rPr>
          <w:rStyle w:val="EndnoteReference"/>
          <w:rFonts w:hAnsi="Times New Roman"/>
          <w:sz w:val="22"/>
          <w:szCs w:val="22"/>
          <w:lang w:val="en-GB"/>
        </w:rPr>
        <w:endnoteReference w:id="58"/>
      </w:r>
      <w:r w:rsidR="00ED7441" w:rsidRPr="008219F2">
        <w:rPr>
          <w:rFonts w:hAnsi="Times New Roman"/>
          <w:sz w:val="22"/>
          <w:szCs w:val="22"/>
          <w:lang w:val="es-US"/>
        </w:rPr>
        <w:t xml:space="preserve"> . </w:t>
      </w:r>
      <w:r w:rsidR="002B5AF5" w:rsidRPr="008219F2">
        <w:rPr>
          <w:rFonts w:hAnsi="Times New Roman"/>
          <w:sz w:val="22"/>
          <w:szCs w:val="22"/>
          <w:lang w:val="es-US"/>
        </w:rPr>
        <w:t xml:space="preserve">En particular, el Comité </w:t>
      </w:r>
      <w:r w:rsidR="00396DE8" w:rsidRPr="008219F2">
        <w:rPr>
          <w:rFonts w:hAnsi="Times New Roman"/>
          <w:sz w:val="22"/>
          <w:szCs w:val="22"/>
          <w:lang w:val="es-US"/>
        </w:rPr>
        <w:t xml:space="preserve">destacó que, en el </w:t>
      </w:r>
      <w:r w:rsidR="00247F3D" w:rsidRPr="008219F2">
        <w:rPr>
          <w:rFonts w:hAnsi="Times New Roman"/>
          <w:sz w:val="22"/>
          <w:szCs w:val="22"/>
          <w:lang w:val="es-US"/>
        </w:rPr>
        <w:t xml:space="preserve">contexto </w:t>
      </w:r>
      <w:r w:rsidR="00247F3D" w:rsidRPr="008219F2">
        <w:rPr>
          <w:rFonts w:hAnsi="Times New Roman"/>
          <w:b/>
          <w:bCs/>
          <w:sz w:val="22"/>
          <w:szCs w:val="22"/>
          <w:lang w:val="es-US"/>
        </w:rPr>
        <w:t xml:space="preserve">del artículo 15(b) </w:t>
      </w:r>
      <w:r w:rsidR="00247F3D" w:rsidRPr="008219F2">
        <w:rPr>
          <w:rFonts w:hAnsi="Times New Roman"/>
          <w:sz w:val="22"/>
          <w:szCs w:val="22"/>
          <w:lang w:val="es-US"/>
        </w:rPr>
        <w:t xml:space="preserve">y de la Observación General No. 22, </w:t>
      </w:r>
      <w:r w:rsidR="00396DE8" w:rsidRPr="008219F2">
        <w:rPr>
          <w:rFonts w:hAnsi="Times New Roman"/>
          <w:sz w:val="22"/>
          <w:szCs w:val="22"/>
          <w:lang w:val="es-US"/>
        </w:rPr>
        <w:t xml:space="preserve">los Estados </w:t>
      </w:r>
      <w:r w:rsidR="002B5AF5" w:rsidRPr="008219F2">
        <w:rPr>
          <w:rFonts w:hAnsi="Times New Roman"/>
          <w:sz w:val="22"/>
          <w:szCs w:val="22"/>
          <w:lang w:val="es-US"/>
        </w:rPr>
        <w:t xml:space="preserve">Partes </w:t>
      </w:r>
      <w:r w:rsidR="00396DE8" w:rsidRPr="008219F2">
        <w:rPr>
          <w:rFonts w:hAnsi="Times New Roman"/>
          <w:sz w:val="22"/>
          <w:szCs w:val="22"/>
          <w:lang w:val="es-US"/>
        </w:rPr>
        <w:t xml:space="preserve">tienen la obligación de </w:t>
      </w:r>
      <w:r w:rsidR="002B5AF5" w:rsidRPr="008219F2">
        <w:rPr>
          <w:rFonts w:hAnsi="Times New Roman"/>
          <w:sz w:val="22"/>
          <w:szCs w:val="22"/>
          <w:lang w:val="es-US"/>
        </w:rPr>
        <w:t>asegurar el acceso a formas modernas y seguras de anticoncepción, incluyendo la anticoncepción de emergencia, la medicación para el aborto, las tecnologías de reproducción asistida y otros bienes y servicios sexuales y reproductivos, sobre la base de la no discriminación y la igualdad</w:t>
      </w:r>
      <w:r w:rsidR="00A24E48" w:rsidRPr="00F36A0E">
        <w:rPr>
          <w:rStyle w:val="EndnoteReference"/>
          <w:rFonts w:hAnsi="Times New Roman"/>
          <w:sz w:val="22"/>
          <w:szCs w:val="22"/>
          <w:lang w:val="en-GB"/>
        </w:rPr>
        <w:endnoteReference w:id="59"/>
      </w:r>
      <w:r w:rsidRPr="008219F2">
        <w:rPr>
          <w:rFonts w:hAnsi="Times New Roman"/>
          <w:sz w:val="22"/>
          <w:szCs w:val="22"/>
          <w:lang w:val="es-US"/>
        </w:rPr>
        <w:t xml:space="preserve"> . Con respecto a El Salvador, </w:t>
      </w:r>
      <w:r w:rsidRPr="008219F2">
        <w:rPr>
          <w:rFonts w:hAnsi="Times New Roman"/>
          <w:bCs/>
          <w:sz w:val="22"/>
          <w:szCs w:val="22"/>
          <w:lang w:val="es-US"/>
        </w:rPr>
        <w:t xml:space="preserve">el Comité </w:t>
      </w:r>
      <w:r w:rsidRPr="008219F2">
        <w:rPr>
          <w:rFonts w:hAnsi="Times New Roman"/>
          <w:sz w:val="22"/>
          <w:szCs w:val="22"/>
          <w:lang w:val="es-US"/>
        </w:rPr>
        <w:t xml:space="preserve">ha recomendado al Estado parte que "garantice la accesibilidad y la disponibilidad de los servicios de salud sexual y reproductiva, en particular en las zonas rurales" en respuesta a su preocupación de que los derechos del PIDESC no se estén realizando. </w:t>
      </w:r>
    </w:p>
    <w:p w14:paraId="6CB0C7D6" w14:textId="77777777" w:rsidR="00251276" w:rsidRPr="008219F2" w:rsidRDefault="002E36DE">
      <w:pPr>
        <w:pStyle w:val="Heading2"/>
        <w:spacing w:before="120" w:after="120"/>
        <w:ind w:left="0" w:hanging="426"/>
        <w:jc w:val="both"/>
        <w:rPr>
          <w:rFonts w:hAnsi="Times New Roman"/>
          <w:sz w:val="22"/>
          <w:szCs w:val="22"/>
          <w:lang w:val="es-US"/>
        </w:rPr>
      </w:pPr>
      <w:r w:rsidRPr="008219F2">
        <w:rPr>
          <w:rFonts w:hAnsi="Times New Roman"/>
          <w:sz w:val="22"/>
          <w:szCs w:val="22"/>
          <w:lang w:val="es-US"/>
        </w:rPr>
        <w:t>Además, el suministro de información debe cumplir ciertas normas para ser significativo.  La información debe ser accesible, lo que incluye el derecho a "información basada en pruebas sobre todos los aspectos de la salud sexual y reproductiva, incluida la salud materna, los anticonceptivos, la planificación familiar, las infecciones de transmisión sexual, la prevención del VIH, el aborto seguro y la atención postaborto".</w:t>
      </w:r>
      <w:r w:rsidRPr="00F36A0E">
        <w:rPr>
          <w:rStyle w:val="EndnoteReference"/>
          <w:rFonts w:hAnsi="Times New Roman"/>
          <w:sz w:val="22"/>
          <w:szCs w:val="22"/>
          <w:lang w:val="en-GB"/>
        </w:rPr>
        <w:endnoteReference w:id="60"/>
      </w:r>
      <w:r w:rsidRPr="008219F2">
        <w:rPr>
          <w:rFonts w:hAnsi="Times New Roman"/>
          <w:sz w:val="22"/>
          <w:szCs w:val="22"/>
          <w:lang w:val="es-US"/>
        </w:rPr>
        <w:t xml:space="preserve"> Además, el suministro de información también debe ser "coherente con las necesidades de la persona y la comunidad, teniendo en cuenta, por ejemplo, la edad, el género, la capacidad lingüística, el nivel educativo, la discapacidad, la orientación sexual, la identidad de género y la condición de intersexualidad".</w:t>
      </w:r>
      <w:r w:rsidRPr="00F36A0E">
        <w:rPr>
          <w:rStyle w:val="EndnoteReference"/>
          <w:rFonts w:hAnsi="Times New Roman"/>
          <w:sz w:val="22"/>
          <w:szCs w:val="22"/>
          <w:lang w:val="en-GB"/>
        </w:rPr>
        <w:endnoteReference w:id="61"/>
      </w:r>
      <w:r w:rsidR="002F7A99" w:rsidRPr="008219F2">
        <w:rPr>
          <w:rFonts w:hAnsi="Times New Roman"/>
          <w:sz w:val="22"/>
          <w:szCs w:val="22"/>
          <w:lang w:val="es-US"/>
        </w:rPr>
        <w:t xml:space="preserve">  Además, </w:t>
      </w:r>
      <w:r w:rsidRPr="008219F2">
        <w:rPr>
          <w:rFonts w:hAnsi="Times New Roman"/>
          <w:sz w:val="22"/>
          <w:szCs w:val="22"/>
          <w:lang w:val="es-US"/>
        </w:rPr>
        <w:t>el Comité ha recomendado anteriormente a El Salvador que amplíe y refuerce la educación sobre salud sexual y reproductiva integral y adecuada a la edad para ambos sexos en los planes de estudio de la enseñanza primaria y secundaria, y que introduzca programas de educación y sensibilización para el público en general" para cumplir con sus obligaciones en virtud del PIDESC.</w:t>
      </w:r>
      <w:r w:rsidRPr="00F36A0E">
        <w:rPr>
          <w:rStyle w:val="EndnoteReference"/>
          <w:rFonts w:hAnsi="Times New Roman"/>
          <w:sz w:val="22"/>
          <w:szCs w:val="22"/>
          <w:lang w:val="en-GB"/>
        </w:rPr>
        <w:endnoteReference w:id="62"/>
      </w:r>
    </w:p>
    <w:p w14:paraId="615EBEE1" w14:textId="77777777" w:rsidR="00251276" w:rsidRPr="008219F2" w:rsidRDefault="002E36DE">
      <w:pPr>
        <w:pStyle w:val="Heading2"/>
        <w:spacing w:before="120" w:after="120"/>
        <w:ind w:left="0" w:hanging="426"/>
        <w:jc w:val="both"/>
        <w:rPr>
          <w:rFonts w:hAnsi="Times New Roman"/>
          <w:sz w:val="22"/>
          <w:szCs w:val="22"/>
          <w:lang w:val="es-US"/>
        </w:rPr>
      </w:pPr>
      <w:r w:rsidRPr="008219F2">
        <w:rPr>
          <w:rFonts w:hAnsi="Times New Roman"/>
          <w:sz w:val="22"/>
          <w:szCs w:val="22"/>
          <w:lang w:val="es-US"/>
        </w:rPr>
        <w:t>El Salvador ha incumplido categóricamente estas obligaciones y recomendaciones:</w:t>
      </w:r>
    </w:p>
    <w:p w14:paraId="0ACDA8E4" w14:textId="77777777" w:rsidR="00251276" w:rsidRPr="008219F2" w:rsidRDefault="002E36DE">
      <w:pPr>
        <w:pStyle w:val="Heading3"/>
        <w:numPr>
          <w:ilvl w:val="2"/>
          <w:numId w:val="11"/>
        </w:numPr>
        <w:jc w:val="both"/>
        <w:rPr>
          <w:rFonts w:hAnsi="Times New Roman"/>
          <w:sz w:val="22"/>
          <w:szCs w:val="22"/>
          <w:lang w:val="es-US"/>
        </w:rPr>
      </w:pPr>
      <w:r w:rsidRPr="008219F2">
        <w:rPr>
          <w:rFonts w:hAnsi="Times New Roman"/>
          <w:sz w:val="22"/>
          <w:szCs w:val="22"/>
          <w:lang w:val="es-US"/>
        </w:rPr>
        <w:t xml:space="preserve">El Salvador ha incumplido sistemáticamente el respeto a la autonomía y las libertades de las mujeres, entre otras cosas, al penalizar el acceso al aborto, sometiendo a las mujeres a la maternidad forzada y a las consecuencias físicas, mentales y sociales que conlleva.  Esto incluye embarazos que pueden poner en peligro la vida y la salud de la mujer o que son resultado de la violencia sexual, subyugando la agencia y la dignidad de las mujeres.  Como resultado, El Salvador ha empujado a más mujeres hacia el aborto inseguro como único medio para evitar la maternidad forzada, poniendo en riesgo su salud física y mental.  </w:t>
      </w:r>
    </w:p>
    <w:p w14:paraId="0ED4DC91" w14:textId="77777777" w:rsidR="00251276" w:rsidRPr="008219F2" w:rsidRDefault="002E36DE">
      <w:pPr>
        <w:pStyle w:val="Heading3"/>
        <w:numPr>
          <w:ilvl w:val="2"/>
          <w:numId w:val="11"/>
        </w:numPr>
        <w:jc w:val="both"/>
        <w:rPr>
          <w:rFonts w:hAnsi="Times New Roman"/>
          <w:sz w:val="22"/>
          <w:szCs w:val="22"/>
          <w:lang w:val="es-US"/>
        </w:rPr>
      </w:pPr>
      <w:r w:rsidRPr="008219F2">
        <w:rPr>
          <w:rFonts w:hAnsi="Times New Roman"/>
          <w:sz w:val="22"/>
          <w:szCs w:val="22"/>
          <w:lang w:val="es-US"/>
        </w:rPr>
        <w:t>Al mismo tiempo, El Salvador no ha protegido a las mujeres y las niñas de la violencia sexual y otras formas de violencia de género, que por definición socava la obligación del Estado de proteger el derecho a la salud y no respeta la autonomía y la dignidad de las mujeres.</w:t>
      </w:r>
      <w:r w:rsidRPr="00F36A0E">
        <w:rPr>
          <w:rStyle w:val="EndnoteReference"/>
          <w:rFonts w:hAnsi="Times New Roman"/>
          <w:sz w:val="22"/>
          <w:szCs w:val="22"/>
          <w:lang w:val="en-GB"/>
        </w:rPr>
        <w:endnoteReference w:id="63"/>
      </w:r>
      <w:r w:rsidRPr="008219F2">
        <w:rPr>
          <w:rFonts w:hAnsi="Times New Roman"/>
          <w:sz w:val="22"/>
          <w:szCs w:val="22"/>
          <w:lang w:val="es-US"/>
        </w:rPr>
        <w:t xml:space="preserve">  En muchos casos, ha perpetuado la impunidad, persiguiendo en algunos casos a las mujeres y niñas, en lugar de a los agresores.  Junto con la prohibición general del aborto, esto aumenta el número de víctimas de la maternidad forzada y el sufrimiento físico y psicológico concomitante, y perpetúa la discriminación de las mujeres en la sociedad.</w:t>
      </w:r>
    </w:p>
    <w:p w14:paraId="03753055" w14:textId="77777777" w:rsidR="00251276" w:rsidRPr="008219F2" w:rsidRDefault="002E36DE">
      <w:pPr>
        <w:pStyle w:val="Heading3"/>
        <w:numPr>
          <w:ilvl w:val="2"/>
          <w:numId w:val="11"/>
        </w:numPr>
        <w:jc w:val="both"/>
        <w:rPr>
          <w:rFonts w:hAnsi="Times New Roman"/>
          <w:sz w:val="22"/>
          <w:szCs w:val="22"/>
          <w:lang w:val="es-US"/>
        </w:rPr>
      </w:pPr>
      <w:r w:rsidRPr="008219F2">
        <w:rPr>
          <w:rFonts w:hAnsi="Times New Roman"/>
          <w:sz w:val="22"/>
          <w:szCs w:val="22"/>
          <w:lang w:val="es-US"/>
        </w:rPr>
        <w:t xml:space="preserve">El Salvador persigue activamente a las mujeres sospechosas de haberse sometido a un aborto en virtud de la ley del aborto o por homicidio agravado, incluidas las mujeres que han sufrido emergencias obstétricas, lo que conlleva largas condenas de cárcel.  Estas mujeres se ven a menudo privadas del debido proceso y sometidas a un trato arbitrario por parte del poder judicial y las autoridades.  Esto también ha disuadido a las mujeres de acudir a los servicios de salud sexual y reproductiva en casos de emergencias obstétricas.  </w:t>
      </w:r>
    </w:p>
    <w:p w14:paraId="41CBF0C4" w14:textId="1C8B6A4A" w:rsidR="00251276" w:rsidRPr="008219F2" w:rsidRDefault="002E36DE">
      <w:pPr>
        <w:pStyle w:val="Heading3"/>
        <w:numPr>
          <w:ilvl w:val="2"/>
          <w:numId w:val="11"/>
        </w:numPr>
        <w:jc w:val="both"/>
        <w:rPr>
          <w:rFonts w:hAnsi="Times New Roman"/>
          <w:sz w:val="22"/>
          <w:szCs w:val="22"/>
          <w:lang w:val="es-US"/>
        </w:rPr>
      </w:pPr>
      <w:r w:rsidRPr="008219F2">
        <w:rPr>
          <w:rFonts w:hAnsi="Times New Roman"/>
          <w:sz w:val="22"/>
          <w:szCs w:val="22"/>
          <w:lang w:val="es-US"/>
        </w:rPr>
        <w:t>El Salvador ha socavado aún más el acceso a los servicios de salud sexual y reproductiva y ha puesto en peligro la atención médica, además de facilitar los juicios arbitrarios, al exigir al personal sanitario que denuncie a las mujeres a la policía después de solicitar atención por emergencias obstétricas</w:t>
      </w:r>
      <w:r w:rsidR="00AF6442">
        <w:rPr>
          <w:rFonts w:hAnsi="Times New Roman"/>
          <w:sz w:val="22"/>
          <w:szCs w:val="22"/>
          <w:lang w:val="es-US"/>
        </w:rPr>
        <w:t>, violando el secreto profesional</w:t>
      </w:r>
      <w:r w:rsidRPr="008219F2">
        <w:rPr>
          <w:rFonts w:hAnsi="Times New Roman"/>
          <w:sz w:val="22"/>
          <w:szCs w:val="22"/>
          <w:lang w:val="es-US"/>
        </w:rPr>
        <w:t xml:space="preserve">.  Por lo tanto, El Salvador reserva el secreto médico y la confidencialidad para algunas personas, pero no para las mujeres y niñas embarazadas. </w:t>
      </w:r>
    </w:p>
    <w:p w14:paraId="47E05868" w14:textId="77777777" w:rsidR="00251276" w:rsidRPr="008219F2" w:rsidRDefault="002E36DE">
      <w:pPr>
        <w:pStyle w:val="Heading3"/>
        <w:numPr>
          <w:ilvl w:val="2"/>
          <w:numId w:val="11"/>
        </w:numPr>
        <w:jc w:val="both"/>
        <w:rPr>
          <w:rFonts w:hAnsi="Times New Roman"/>
          <w:sz w:val="22"/>
          <w:szCs w:val="22"/>
          <w:lang w:val="es-US"/>
        </w:rPr>
      </w:pPr>
      <w:r w:rsidRPr="008219F2">
        <w:rPr>
          <w:rFonts w:hAnsi="Times New Roman"/>
          <w:sz w:val="22"/>
          <w:szCs w:val="22"/>
          <w:lang w:val="es-US"/>
        </w:rPr>
        <w:t xml:space="preserve">No ha garantizado el acceso integral a servicios de salud sexual y reproductiva que sean de buena calidad </w:t>
      </w:r>
      <w:r w:rsidR="00E04C64" w:rsidRPr="008219F2">
        <w:rPr>
          <w:rFonts w:hAnsi="Times New Roman"/>
          <w:sz w:val="22"/>
          <w:szCs w:val="22"/>
          <w:lang w:val="es-US"/>
        </w:rPr>
        <w:t xml:space="preserve">y </w:t>
      </w:r>
      <w:r w:rsidR="00643339" w:rsidRPr="008219F2">
        <w:rPr>
          <w:rFonts w:hAnsi="Times New Roman"/>
          <w:sz w:val="22"/>
          <w:szCs w:val="22"/>
          <w:lang w:val="es-US"/>
        </w:rPr>
        <w:t xml:space="preserve">reflejen las </w:t>
      </w:r>
      <w:r w:rsidR="00E04C64" w:rsidRPr="008219F2">
        <w:rPr>
          <w:rFonts w:hAnsi="Times New Roman"/>
          <w:sz w:val="22"/>
          <w:szCs w:val="22"/>
          <w:lang w:val="es-US"/>
        </w:rPr>
        <w:t xml:space="preserve">tecnologías científicas </w:t>
      </w:r>
      <w:r w:rsidR="00643339" w:rsidRPr="008219F2">
        <w:rPr>
          <w:rFonts w:hAnsi="Times New Roman"/>
          <w:sz w:val="22"/>
          <w:szCs w:val="22"/>
          <w:lang w:val="es-US"/>
        </w:rPr>
        <w:t>modernas</w:t>
      </w:r>
      <w:r w:rsidRPr="008219F2">
        <w:rPr>
          <w:rFonts w:hAnsi="Times New Roman"/>
          <w:sz w:val="22"/>
          <w:szCs w:val="22"/>
          <w:lang w:val="es-US"/>
        </w:rPr>
        <w:t xml:space="preserve">.  Incluso cuando ciertos servicios están disponibles, no son accesibles, aceptables o de suficiente calidad para muchas mujeres y niñas, especialmente las de las zonas rurales.  Además, El Salvador no ha cumplido con las recomendaciones específicas del Comité de que </w:t>
      </w:r>
      <w:r w:rsidR="006258E2" w:rsidRPr="008219F2">
        <w:rPr>
          <w:rFonts w:hAnsi="Times New Roman"/>
          <w:sz w:val="22"/>
          <w:szCs w:val="22"/>
          <w:lang w:val="es-US"/>
        </w:rPr>
        <w:t xml:space="preserve">proporcione </w:t>
      </w:r>
      <w:r w:rsidRPr="008219F2">
        <w:rPr>
          <w:rFonts w:hAnsi="Times New Roman"/>
          <w:sz w:val="22"/>
          <w:szCs w:val="22"/>
          <w:lang w:val="es-US"/>
        </w:rPr>
        <w:t>información y educación sobre salud sexual y reproductiva que sea integral, no discriminatoria, basada en la evidencia, científicamente precisa y apropiada para la edad.</w:t>
      </w:r>
      <w:r w:rsidRPr="00F36A0E">
        <w:rPr>
          <w:rStyle w:val="EndnoteReference"/>
          <w:rFonts w:hAnsi="Times New Roman"/>
          <w:sz w:val="22"/>
          <w:szCs w:val="22"/>
          <w:lang w:val="en-GB"/>
        </w:rPr>
        <w:endnoteReference w:id="64"/>
      </w:r>
    </w:p>
    <w:p w14:paraId="67B951C8" w14:textId="77777777" w:rsidR="00251276" w:rsidRPr="008219F2" w:rsidRDefault="002E36DE">
      <w:pPr>
        <w:pStyle w:val="Heading3"/>
        <w:numPr>
          <w:ilvl w:val="2"/>
          <w:numId w:val="11"/>
        </w:numPr>
        <w:jc w:val="both"/>
        <w:rPr>
          <w:rFonts w:hAnsi="Times New Roman"/>
          <w:sz w:val="22"/>
          <w:szCs w:val="22"/>
          <w:lang w:val="es-US"/>
        </w:rPr>
      </w:pPr>
      <w:r w:rsidRPr="008219F2">
        <w:rPr>
          <w:rFonts w:hAnsi="Times New Roman"/>
          <w:sz w:val="22"/>
          <w:szCs w:val="22"/>
          <w:lang w:val="es-US"/>
        </w:rPr>
        <w:t xml:space="preserve">El Salvador no ha creado </w:t>
      </w:r>
      <w:r w:rsidR="00810564" w:rsidRPr="008219F2">
        <w:rPr>
          <w:rFonts w:hAnsi="Times New Roman"/>
          <w:sz w:val="22"/>
          <w:szCs w:val="22"/>
          <w:lang w:val="es-US"/>
        </w:rPr>
        <w:t xml:space="preserve">un </w:t>
      </w:r>
      <w:r w:rsidRPr="008219F2">
        <w:rPr>
          <w:rFonts w:hAnsi="Times New Roman"/>
          <w:sz w:val="22"/>
          <w:szCs w:val="22"/>
          <w:lang w:val="es-US"/>
        </w:rPr>
        <w:t xml:space="preserve">sistema de salud </w:t>
      </w:r>
      <w:r w:rsidR="00810564" w:rsidRPr="008219F2">
        <w:rPr>
          <w:rFonts w:hAnsi="Times New Roman"/>
          <w:sz w:val="22"/>
          <w:szCs w:val="22"/>
          <w:lang w:val="es-US"/>
        </w:rPr>
        <w:t>inclusivo</w:t>
      </w:r>
      <w:r w:rsidRPr="008219F2">
        <w:rPr>
          <w:rFonts w:hAnsi="Times New Roman"/>
          <w:sz w:val="22"/>
          <w:szCs w:val="22"/>
          <w:lang w:val="es-US"/>
        </w:rPr>
        <w:t xml:space="preserve">, como ordena el </w:t>
      </w:r>
      <w:r w:rsidR="00810564" w:rsidRPr="008219F2">
        <w:rPr>
          <w:rFonts w:hAnsi="Times New Roman"/>
          <w:sz w:val="22"/>
          <w:szCs w:val="22"/>
          <w:lang w:val="es-US"/>
        </w:rPr>
        <w:t xml:space="preserve">Pacto de Derechos Económicos, Sociales y Culturales. Por el contrario, el actual </w:t>
      </w:r>
      <w:r w:rsidR="001A17BE" w:rsidRPr="008219F2">
        <w:rPr>
          <w:rFonts w:hAnsi="Times New Roman"/>
          <w:sz w:val="22"/>
          <w:szCs w:val="22"/>
          <w:lang w:val="es-US"/>
        </w:rPr>
        <w:t xml:space="preserve">sistema de salud que opera </w:t>
      </w:r>
      <w:r w:rsidR="00F36A0E" w:rsidRPr="008219F2">
        <w:rPr>
          <w:rFonts w:hAnsi="Times New Roman"/>
          <w:sz w:val="22"/>
          <w:szCs w:val="22"/>
          <w:lang w:val="es-US"/>
        </w:rPr>
        <w:t xml:space="preserve">en el país </w:t>
      </w:r>
      <w:r w:rsidR="00810564" w:rsidRPr="008219F2">
        <w:rPr>
          <w:rFonts w:hAnsi="Times New Roman"/>
          <w:sz w:val="22"/>
          <w:szCs w:val="22"/>
          <w:lang w:val="es-US"/>
        </w:rPr>
        <w:t xml:space="preserve">es abiertamente discriminatorio y no permite la atención plena y oportuna de las mujeres campesinas, especialmente las que viven en condiciones de pobreza. </w:t>
      </w:r>
      <w:r w:rsidR="00BE14E7">
        <w:rPr>
          <w:rStyle w:val="EndnoteReference"/>
          <w:rFonts w:hAnsi="Times New Roman"/>
          <w:sz w:val="22"/>
          <w:szCs w:val="22"/>
          <w:lang w:val="en-GB"/>
        </w:rPr>
        <w:endnoteReference w:id="65"/>
      </w:r>
      <w:r w:rsidR="006A1E79" w:rsidRPr="008219F2">
        <w:rPr>
          <w:rFonts w:hAnsi="Times New Roman"/>
          <w:sz w:val="22"/>
          <w:szCs w:val="22"/>
          <w:lang w:val="es-US"/>
        </w:rPr>
        <w:t xml:space="preserve"> Tal como lo señaló </w:t>
      </w:r>
      <w:r w:rsidR="00BF4471" w:rsidRPr="008219F2">
        <w:rPr>
          <w:rFonts w:hAnsi="Times New Roman"/>
          <w:sz w:val="22"/>
          <w:szCs w:val="22"/>
          <w:lang w:val="es-US"/>
        </w:rPr>
        <w:t xml:space="preserve">el juez Pérez Manrique de la Corte IDH en su voto concurrente en el caso Manuela Vs. El Salvador, la pobreza juega un papel fundamental en las violaciones a los derechos humanos, especialmente en lo que respecta al acceso a los derechos económicos, sociales y culturales como la salud. </w:t>
      </w:r>
      <w:r w:rsidR="005D3CAE">
        <w:rPr>
          <w:rStyle w:val="EndnoteReference"/>
          <w:rFonts w:hAnsi="Times New Roman"/>
          <w:sz w:val="22"/>
          <w:szCs w:val="22"/>
          <w:lang w:val="en-GB"/>
        </w:rPr>
        <w:endnoteReference w:id="66"/>
      </w:r>
    </w:p>
    <w:p w14:paraId="1D0D42F6" w14:textId="77777777" w:rsidR="00251276" w:rsidRPr="008219F2" w:rsidRDefault="002E36DE">
      <w:pPr>
        <w:pStyle w:val="Heading2"/>
        <w:numPr>
          <w:ilvl w:val="0"/>
          <w:numId w:val="0"/>
        </w:numPr>
        <w:spacing w:before="120" w:after="120"/>
        <w:jc w:val="center"/>
        <w:rPr>
          <w:rFonts w:hAnsi="Times New Roman"/>
          <w:sz w:val="22"/>
          <w:szCs w:val="22"/>
          <w:lang w:val="es-US"/>
        </w:rPr>
      </w:pPr>
      <w:r w:rsidRPr="008219F2">
        <w:rPr>
          <w:rFonts w:hAnsi="Times New Roman"/>
          <w:i/>
          <w:sz w:val="22"/>
          <w:szCs w:val="22"/>
          <w:lang w:val="es-US"/>
        </w:rPr>
        <w:t>Derecho a la educación (</w:t>
      </w:r>
      <w:r w:rsidRPr="008219F2">
        <w:rPr>
          <w:rFonts w:hAnsi="Times New Roman"/>
          <w:b/>
          <w:i/>
          <w:sz w:val="22"/>
          <w:szCs w:val="22"/>
          <w:lang w:val="es-US"/>
        </w:rPr>
        <w:t>artículo 13</w:t>
      </w:r>
      <w:r w:rsidRPr="008219F2">
        <w:rPr>
          <w:rFonts w:hAnsi="Times New Roman"/>
          <w:i/>
          <w:sz w:val="22"/>
          <w:szCs w:val="22"/>
          <w:lang w:val="es-US"/>
        </w:rPr>
        <w:t xml:space="preserve">) </w:t>
      </w:r>
      <w:r w:rsidRPr="008219F2">
        <w:rPr>
          <w:rFonts w:hAnsi="Times New Roman"/>
          <w:sz w:val="22"/>
          <w:szCs w:val="22"/>
          <w:lang w:val="es-US"/>
        </w:rPr>
        <w:t xml:space="preserve">y </w:t>
      </w:r>
      <w:r w:rsidRPr="008219F2">
        <w:rPr>
          <w:rFonts w:hAnsi="Times New Roman"/>
          <w:i/>
          <w:sz w:val="22"/>
          <w:szCs w:val="22"/>
          <w:lang w:val="es-US"/>
        </w:rPr>
        <w:t>derecho al trabajo (</w:t>
      </w:r>
      <w:r w:rsidRPr="008219F2">
        <w:rPr>
          <w:rFonts w:hAnsi="Times New Roman"/>
          <w:b/>
          <w:i/>
          <w:sz w:val="22"/>
          <w:szCs w:val="22"/>
          <w:lang w:val="es-US"/>
        </w:rPr>
        <w:t>artículo 6.1</w:t>
      </w:r>
      <w:r w:rsidRPr="008219F2">
        <w:rPr>
          <w:rFonts w:hAnsi="Times New Roman"/>
          <w:i/>
          <w:sz w:val="22"/>
          <w:szCs w:val="22"/>
          <w:lang w:val="es-US"/>
        </w:rPr>
        <w:t>)</w:t>
      </w:r>
    </w:p>
    <w:p w14:paraId="20CE9808" w14:textId="77777777" w:rsidR="00251276" w:rsidRPr="008219F2" w:rsidRDefault="002E36DE">
      <w:pPr>
        <w:pStyle w:val="Heading2"/>
        <w:spacing w:before="120" w:after="120"/>
        <w:ind w:left="0" w:hanging="426"/>
        <w:jc w:val="both"/>
        <w:rPr>
          <w:rFonts w:hAnsi="Times New Roman"/>
          <w:sz w:val="22"/>
          <w:szCs w:val="22"/>
          <w:lang w:val="es-US"/>
        </w:rPr>
      </w:pPr>
      <w:r w:rsidRPr="008219F2">
        <w:rPr>
          <w:rFonts w:hAnsi="Times New Roman"/>
          <w:sz w:val="22"/>
          <w:szCs w:val="22"/>
          <w:lang w:val="es-US"/>
        </w:rPr>
        <w:t xml:space="preserve">El derecho a la salud es </w:t>
      </w:r>
      <w:r w:rsidRPr="008219F2">
        <w:rPr>
          <w:rFonts w:hAnsi="Times New Roman"/>
          <w:b/>
          <w:sz w:val="22"/>
          <w:szCs w:val="22"/>
          <w:lang w:val="es-US"/>
        </w:rPr>
        <w:t xml:space="preserve">indivisible e interdependiente de </w:t>
      </w:r>
      <w:r w:rsidRPr="008219F2">
        <w:rPr>
          <w:rFonts w:hAnsi="Times New Roman"/>
          <w:sz w:val="22"/>
          <w:szCs w:val="22"/>
          <w:lang w:val="es-US"/>
        </w:rPr>
        <w:t>otros derechos humanos.  Entre ellos se encuentran el derecho a la educación (</w:t>
      </w:r>
      <w:r w:rsidRPr="008219F2">
        <w:rPr>
          <w:rFonts w:hAnsi="Times New Roman"/>
          <w:b/>
          <w:sz w:val="22"/>
          <w:szCs w:val="22"/>
          <w:lang w:val="es-US"/>
        </w:rPr>
        <w:t>artículo 13</w:t>
      </w:r>
      <w:r w:rsidRPr="008219F2">
        <w:rPr>
          <w:rFonts w:hAnsi="Times New Roman"/>
          <w:sz w:val="22"/>
          <w:szCs w:val="22"/>
          <w:lang w:val="es-US"/>
        </w:rPr>
        <w:t>) y el derecho al trabajo (</w:t>
      </w:r>
      <w:r w:rsidRPr="008219F2">
        <w:rPr>
          <w:rFonts w:hAnsi="Times New Roman"/>
          <w:b/>
          <w:sz w:val="22"/>
          <w:szCs w:val="22"/>
          <w:lang w:val="es-US"/>
        </w:rPr>
        <w:t>artículo 6.1</w:t>
      </w:r>
      <w:r w:rsidRPr="008219F2">
        <w:rPr>
          <w:rFonts w:hAnsi="Times New Roman"/>
          <w:sz w:val="22"/>
          <w:szCs w:val="22"/>
          <w:lang w:val="es-US"/>
        </w:rPr>
        <w:t>), garantizados por el PIDESC, y que se ven vulnerados</w:t>
      </w:r>
      <w:r w:rsidRPr="008219F2">
        <w:rPr>
          <w:rFonts w:hAnsi="Times New Roman"/>
          <w:i/>
          <w:sz w:val="22"/>
          <w:szCs w:val="22"/>
          <w:lang w:val="es-US"/>
        </w:rPr>
        <w:t xml:space="preserve">, entre otras cosas, </w:t>
      </w:r>
      <w:r w:rsidRPr="008219F2">
        <w:rPr>
          <w:rFonts w:hAnsi="Times New Roman"/>
          <w:sz w:val="22"/>
          <w:szCs w:val="22"/>
          <w:lang w:val="es-US"/>
        </w:rPr>
        <w:t xml:space="preserve">por la falta de respeto, protección y cumplimiento del derecho a la salud por parte de El Salvador.  </w:t>
      </w:r>
    </w:p>
    <w:p w14:paraId="30AB3B61" w14:textId="77777777" w:rsidR="00251276" w:rsidRPr="008219F2" w:rsidRDefault="002E36DE">
      <w:pPr>
        <w:pStyle w:val="Heading2"/>
        <w:spacing w:before="120" w:after="120"/>
        <w:ind w:left="0" w:hanging="426"/>
        <w:jc w:val="both"/>
        <w:rPr>
          <w:rFonts w:hAnsi="Times New Roman"/>
          <w:sz w:val="22"/>
          <w:szCs w:val="22"/>
          <w:lang w:val="es-US"/>
        </w:rPr>
      </w:pPr>
      <w:r w:rsidRPr="008219F2">
        <w:rPr>
          <w:rFonts w:hAnsi="Times New Roman"/>
          <w:sz w:val="22"/>
          <w:szCs w:val="22"/>
          <w:lang w:val="es-US"/>
        </w:rPr>
        <w:t xml:space="preserve">En virtud de </w:t>
      </w:r>
      <w:r w:rsidRPr="008219F2">
        <w:rPr>
          <w:rFonts w:hAnsi="Times New Roman"/>
          <w:b/>
          <w:sz w:val="22"/>
          <w:szCs w:val="22"/>
          <w:lang w:val="es-US"/>
        </w:rPr>
        <w:t>los artículos 6 y 13</w:t>
      </w:r>
      <w:r w:rsidRPr="008219F2">
        <w:rPr>
          <w:rFonts w:hAnsi="Times New Roman"/>
          <w:sz w:val="22"/>
          <w:szCs w:val="22"/>
          <w:lang w:val="es-US"/>
        </w:rPr>
        <w:t>, los Estados deben respetar, proteger y satisfacer los derechos de las personas al trabajo y a la educación.</w:t>
      </w:r>
      <w:r w:rsidRPr="00F36A0E">
        <w:rPr>
          <w:rStyle w:val="EndnoteReference"/>
          <w:rFonts w:hAnsi="Times New Roman"/>
          <w:sz w:val="22"/>
          <w:szCs w:val="22"/>
          <w:lang w:val="en-GB"/>
        </w:rPr>
        <w:endnoteReference w:id="67"/>
      </w:r>
      <w:r w:rsidRPr="008219F2">
        <w:rPr>
          <w:rFonts w:hAnsi="Times New Roman"/>
          <w:sz w:val="22"/>
          <w:szCs w:val="22"/>
          <w:lang w:val="es-US"/>
        </w:rPr>
        <w:t xml:space="preserve"> </w:t>
      </w:r>
    </w:p>
    <w:p w14:paraId="2B2DD582" w14:textId="350E0FD7" w:rsidR="00251276" w:rsidRPr="008219F2" w:rsidRDefault="002E36DE">
      <w:pPr>
        <w:pStyle w:val="Heading2"/>
        <w:spacing w:before="120" w:after="120"/>
        <w:ind w:left="0" w:hanging="426"/>
        <w:jc w:val="both"/>
        <w:rPr>
          <w:rFonts w:hAnsi="Times New Roman"/>
          <w:sz w:val="22"/>
          <w:szCs w:val="22"/>
          <w:lang w:val="es-US"/>
        </w:rPr>
      </w:pPr>
      <w:r w:rsidRPr="008219F2">
        <w:rPr>
          <w:rFonts w:hAnsi="Times New Roman"/>
          <w:bCs/>
          <w:sz w:val="22"/>
          <w:szCs w:val="22"/>
          <w:lang w:val="es-US"/>
        </w:rPr>
        <w:t xml:space="preserve">El Comité </w:t>
      </w:r>
      <w:r w:rsidRPr="008219F2">
        <w:rPr>
          <w:rFonts w:hAnsi="Times New Roman"/>
          <w:sz w:val="22"/>
          <w:szCs w:val="22"/>
          <w:lang w:val="es-US"/>
        </w:rPr>
        <w:t>reconoce que el derecho a la educación es un derecho de empoderamiento y es el "vehículo principal" para que los marginados económica y socialmente salgan de la pobreza.</w:t>
      </w:r>
      <w:r w:rsidRPr="00F36A0E">
        <w:rPr>
          <w:rStyle w:val="EndnoteReference"/>
          <w:rFonts w:hAnsi="Times New Roman"/>
          <w:sz w:val="22"/>
          <w:szCs w:val="22"/>
          <w:lang w:val="en-GB"/>
        </w:rPr>
        <w:endnoteReference w:id="68"/>
      </w:r>
      <w:r w:rsidRPr="008219F2">
        <w:rPr>
          <w:rFonts w:hAnsi="Times New Roman"/>
          <w:sz w:val="22"/>
          <w:szCs w:val="22"/>
          <w:lang w:val="es-US"/>
        </w:rPr>
        <w:t xml:space="preserve"> Las mujeres y las niñas sometidas a la violencia sexual y a la maternidad forzada suelen ser las más vulnerables (social y económicamente) de una comunidad.</w:t>
      </w:r>
      <w:r w:rsidRPr="00F36A0E">
        <w:rPr>
          <w:rStyle w:val="EndnoteReference"/>
          <w:rFonts w:hAnsi="Times New Roman"/>
          <w:sz w:val="22"/>
          <w:szCs w:val="22"/>
          <w:lang w:val="en-GB"/>
        </w:rPr>
        <w:endnoteReference w:id="69"/>
      </w:r>
      <w:r w:rsidRPr="008219F2">
        <w:rPr>
          <w:rFonts w:hAnsi="Times New Roman"/>
          <w:sz w:val="22"/>
          <w:szCs w:val="22"/>
          <w:lang w:val="es-US"/>
        </w:rPr>
        <w:t xml:space="preserve">  En relación con esto, las obligaciones de los Estados de respetar el derecho al trabajo exigen medidas particulares para "combatir la discriminación y promover la igualdad de acceso y oportunidades".</w:t>
      </w:r>
      <w:r w:rsidRPr="00F36A0E">
        <w:rPr>
          <w:rStyle w:val="EndnoteReference"/>
          <w:rFonts w:hAnsi="Times New Roman"/>
          <w:sz w:val="22"/>
          <w:szCs w:val="22"/>
          <w:lang w:val="en-GB"/>
        </w:rPr>
        <w:endnoteReference w:id="70"/>
      </w:r>
      <w:r w:rsidR="004D60B8">
        <w:rPr>
          <w:rFonts w:hAnsi="Times New Roman"/>
          <w:sz w:val="22"/>
          <w:szCs w:val="22"/>
          <w:lang w:val="es-US"/>
        </w:rPr>
        <w:t xml:space="preserve"> La educación sexual integral no se encuentra </w:t>
      </w:r>
      <w:r w:rsidR="002273AC">
        <w:rPr>
          <w:rFonts w:hAnsi="Times New Roman"/>
          <w:sz w:val="22"/>
          <w:szCs w:val="22"/>
          <w:lang w:val="es-US"/>
        </w:rPr>
        <w:t>dentro de los curriculums en El Salvado</w:t>
      </w:r>
      <w:r w:rsidR="00A90869">
        <w:rPr>
          <w:rFonts w:hAnsi="Times New Roman"/>
          <w:sz w:val="22"/>
          <w:szCs w:val="22"/>
          <w:lang w:val="es-US"/>
        </w:rPr>
        <w:t xml:space="preserve">r, lo que </w:t>
      </w:r>
      <w:r w:rsidR="00A90869" w:rsidRPr="008219F2">
        <w:rPr>
          <w:rStyle w:val="cf01"/>
          <w:lang w:val="es-CO"/>
        </w:rPr>
        <w:t>facilita la vulnerabilidad de niñas y adolescentes a sufrir hechos de violencia sexual o a poder ejercer su autonomía reproductiva.</w:t>
      </w:r>
      <w:r w:rsidR="00A90869">
        <w:rPr>
          <w:rStyle w:val="cf01"/>
          <w:lang w:val="es-CO"/>
        </w:rPr>
        <w:t xml:space="preserve"> Esto, sumado a otros factores de vulnerabilidad, las hace mas propensas a vivir emergencias obstétricas. </w:t>
      </w:r>
    </w:p>
    <w:p w14:paraId="66811B97" w14:textId="77777777" w:rsidR="00251276" w:rsidRPr="008219F2" w:rsidRDefault="002E36DE">
      <w:pPr>
        <w:pStyle w:val="Heading2"/>
        <w:spacing w:before="120" w:after="120"/>
        <w:ind w:left="0" w:hanging="426"/>
        <w:jc w:val="both"/>
        <w:rPr>
          <w:rFonts w:hAnsi="Times New Roman"/>
          <w:sz w:val="22"/>
          <w:szCs w:val="22"/>
          <w:lang w:val="es-US"/>
        </w:rPr>
      </w:pPr>
      <w:r w:rsidRPr="008219F2">
        <w:rPr>
          <w:rFonts w:hAnsi="Times New Roman"/>
          <w:sz w:val="22"/>
          <w:szCs w:val="22"/>
          <w:lang w:val="es-US"/>
        </w:rPr>
        <w:t>La ley del aborto de El Salvador, que persigue activamente a las mujeres por solicitar un aborto, en algunos casos en los que simplemente han buscado atención obstétrica de urgencia, la falta de acceso a los servicios de salud sexual y la falta de protección de las mujeres y las niñas frente a la violencia sexual interfieren en los derechos a la educación y al trabajo.</w:t>
      </w:r>
    </w:p>
    <w:p w14:paraId="020C52B1" w14:textId="77777777" w:rsidR="00251276" w:rsidRPr="008219F2" w:rsidRDefault="002E36DE">
      <w:pPr>
        <w:pStyle w:val="Heading2"/>
        <w:spacing w:before="120" w:after="120"/>
        <w:ind w:left="0" w:hanging="426"/>
        <w:jc w:val="both"/>
        <w:rPr>
          <w:rFonts w:hAnsi="Times New Roman"/>
          <w:sz w:val="22"/>
          <w:szCs w:val="22"/>
          <w:lang w:val="es-US"/>
        </w:rPr>
      </w:pPr>
      <w:r w:rsidRPr="008219F2">
        <w:rPr>
          <w:rFonts w:hAnsi="Times New Roman"/>
          <w:sz w:val="22"/>
          <w:szCs w:val="22"/>
          <w:lang w:val="es-US"/>
        </w:rPr>
        <w:t>Además de los obstáculos a los que se enfrentan las mujeres en general para obtener una educación y un empleo en la sociedad salvadoreña, las mujeres y niñas que se ven obligadas a ser madres, o las que son detenidas arbitrariamente, se enfrentan a obstáculos adicionales para terminar su educación o encontrar y conservar un trabajo significativo.  Dichos obstáculos surgen de las cargas que suponen el embarazo y la maternidad, los antecedentes penales, los efectos en la salud física y mental de ambos, y el estigma y la discriminación que recaen sobre las víctimas de la violencia sexual y las personas acusadas o condenadas penalmente.  Las chicas embarazadas suelen interrumpir o abandonar su educación, sus relaciones sociales se ven alteradas, están sometidas a la inseguridad laboral y son vulnerables a la pobreza, la exclusión y la violencia.</w:t>
      </w:r>
      <w:bookmarkStart w:id="1" w:name="_ednref120"/>
      <w:bookmarkEnd w:id="1"/>
      <w:r w:rsidRPr="008219F2">
        <w:rPr>
          <w:rFonts w:hAnsi="Times New Roman"/>
          <w:sz w:val="22"/>
          <w:szCs w:val="22"/>
          <w:lang w:val="es-US"/>
        </w:rPr>
        <w:t xml:space="preserve"> Estas barreras ponen un marco verdaderamente discriminatorio al acceso a la educación escolar y universitaria en El Salvador. </w:t>
      </w:r>
    </w:p>
    <w:p w14:paraId="2DCCF3D1" w14:textId="77777777" w:rsidR="00251276" w:rsidRPr="008219F2" w:rsidRDefault="002E36DE">
      <w:pPr>
        <w:pStyle w:val="Heading2"/>
        <w:numPr>
          <w:ilvl w:val="0"/>
          <w:numId w:val="0"/>
        </w:numPr>
        <w:spacing w:before="120" w:after="120"/>
        <w:jc w:val="center"/>
        <w:rPr>
          <w:rFonts w:hAnsi="Times New Roman"/>
          <w:i/>
          <w:sz w:val="22"/>
          <w:szCs w:val="22"/>
          <w:lang w:val="es-US"/>
        </w:rPr>
      </w:pPr>
      <w:r w:rsidRPr="008219F2">
        <w:rPr>
          <w:rFonts w:hAnsi="Times New Roman"/>
          <w:b/>
          <w:i/>
          <w:sz w:val="22"/>
          <w:szCs w:val="22"/>
          <w:lang w:val="es-US"/>
        </w:rPr>
        <w:t xml:space="preserve">Artículo 10: </w:t>
      </w:r>
      <w:r w:rsidRPr="008219F2">
        <w:rPr>
          <w:rFonts w:hAnsi="Times New Roman"/>
          <w:i/>
          <w:sz w:val="22"/>
          <w:szCs w:val="22"/>
          <w:lang w:val="es-US"/>
        </w:rPr>
        <w:t>Protección de la familia, especialmente de las madres y los niños</w:t>
      </w:r>
    </w:p>
    <w:p w14:paraId="2AB27684" w14:textId="77777777" w:rsidR="00251276" w:rsidRPr="008219F2" w:rsidRDefault="002E36DE">
      <w:pPr>
        <w:pStyle w:val="Heading2"/>
        <w:spacing w:before="120" w:after="120"/>
        <w:ind w:left="0" w:hanging="426"/>
        <w:jc w:val="both"/>
        <w:rPr>
          <w:rFonts w:hAnsi="Times New Roman"/>
          <w:sz w:val="22"/>
          <w:szCs w:val="22"/>
          <w:lang w:val="es-US"/>
        </w:rPr>
      </w:pPr>
      <w:r w:rsidRPr="008219F2">
        <w:rPr>
          <w:rFonts w:hAnsi="Times New Roman"/>
          <w:sz w:val="22"/>
          <w:szCs w:val="22"/>
          <w:lang w:val="es-US"/>
        </w:rPr>
        <w:t>El artículo 10 exige a los Estados que proporcionen una protección especial a las madres antes y después del parto (</w:t>
      </w:r>
      <w:r w:rsidRPr="008219F2">
        <w:rPr>
          <w:rFonts w:hAnsi="Times New Roman"/>
          <w:b/>
          <w:sz w:val="22"/>
          <w:szCs w:val="22"/>
          <w:lang w:val="es-US"/>
        </w:rPr>
        <w:t>artículo 10.2</w:t>
      </w:r>
      <w:r w:rsidRPr="008219F2">
        <w:rPr>
          <w:rFonts w:hAnsi="Times New Roman"/>
          <w:sz w:val="22"/>
          <w:szCs w:val="22"/>
          <w:lang w:val="es-US"/>
        </w:rPr>
        <w:t>) y a los niños, sin discriminación (</w:t>
      </w:r>
      <w:r w:rsidRPr="008219F2">
        <w:rPr>
          <w:rFonts w:hAnsi="Times New Roman"/>
          <w:b/>
          <w:sz w:val="22"/>
          <w:szCs w:val="22"/>
          <w:lang w:val="es-US"/>
        </w:rPr>
        <w:t>artículo 10.3</w:t>
      </w:r>
      <w:r w:rsidRPr="008219F2">
        <w:rPr>
          <w:rFonts w:hAnsi="Times New Roman"/>
          <w:sz w:val="22"/>
          <w:szCs w:val="22"/>
          <w:lang w:val="es-US"/>
        </w:rPr>
        <w:t xml:space="preserve">).  Leídas conjuntamente, estas obligaciones exigen que se preste especial asistencia y protección a las niñas embarazadas y a las que son madres.  </w:t>
      </w:r>
    </w:p>
    <w:p w14:paraId="1B796B6A" w14:textId="77777777" w:rsidR="00251276" w:rsidRPr="008219F2" w:rsidRDefault="002E36DE">
      <w:pPr>
        <w:pStyle w:val="Heading2"/>
        <w:spacing w:before="120" w:after="120"/>
        <w:ind w:left="0" w:hanging="426"/>
        <w:jc w:val="both"/>
        <w:rPr>
          <w:rFonts w:hAnsi="Times New Roman"/>
          <w:sz w:val="22"/>
          <w:szCs w:val="22"/>
          <w:lang w:val="es-US"/>
        </w:rPr>
      </w:pPr>
      <w:r w:rsidRPr="008219F2">
        <w:rPr>
          <w:rFonts w:hAnsi="Times New Roman"/>
          <w:sz w:val="22"/>
          <w:szCs w:val="22"/>
          <w:lang w:val="es-US"/>
        </w:rPr>
        <w:t>Como se ha detallado anteriormente, a las mujeres y niñas de El Salvador no se les ofrece protección contra la violencia sexual o la maternidad forzada, y mucho menos la "protección especial" necesaria.  Por el contrario, El Salvador socava estos derechos a través de: (</w:t>
      </w:r>
      <w:r w:rsidRPr="008219F2">
        <w:rPr>
          <w:rFonts w:hAnsi="Times New Roman"/>
          <w:i/>
          <w:sz w:val="22"/>
          <w:szCs w:val="22"/>
          <w:lang w:val="es-US"/>
        </w:rPr>
        <w:t>i</w:t>
      </w:r>
      <w:r w:rsidRPr="008219F2">
        <w:rPr>
          <w:rFonts w:hAnsi="Times New Roman"/>
          <w:sz w:val="22"/>
          <w:szCs w:val="22"/>
          <w:lang w:val="es-US"/>
        </w:rPr>
        <w:t>) la prohibición total del aborto y la criminalización activa de las mujeres a través de sus leyes antiaborto, (</w:t>
      </w:r>
      <w:r w:rsidRPr="008219F2">
        <w:rPr>
          <w:rFonts w:hAnsi="Times New Roman"/>
          <w:i/>
          <w:sz w:val="22"/>
          <w:szCs w:val="22"/>
          <w:lang w:val="es-US"/>
        </w:rPr>
        <w:t>ii</w:t>
      </w:r>
      <w:r w:rsidRPr="008219F2">
        <w:rPr>
          <w:rFonts w:hAnsi="Times New Roman"/>
          <w:sz w:val="22"/>
          <w:szCs w:val="22"/>
          <w:lang w:val="es-US"/>
        </w:rPr>
        <w:t>) las acciones de sus agentes, por ejemplo, las autoridades policiales y los profesionales de la salud, y (</w:t>
      </w:r>
      <w:r w:rsidRPr="008219F2">
        <w:rPr>
          <w:rFonts w:hAnsi="Times New Roman"/>
          <w:i/>
          <w:sz w:val="22"/>
          <w:szCs w:val="22"/>
          <w:lang w:val="es-US"/>
        </w:rPr>
        <w:t>iii</w:t>
      </w:r>
      <w:r w:rsidRPr="008219F2">
        <w:rPr>
          <w:rFonts w:hAnsi="Times New Roman"/>
          <w:sz w:val="22"/>
          <w:szCs w:val="22"/>
          <w:lang w:val="es-US"/>
        </w:rPr>
        <w:t>) la falta de investigación, enjuiciamiento y reparación de las violaciones de estos derechos humanos.</w:t>
      </w:r>
    </w:p>
    <w:p w14:paraId="1C1A8399" w14:textId="77777777" w:rsidR="00251276" w:rsidRPr="008219F2" w:rsidRDefault="002E36DE">
      <w:pPr>
        <w:pStyle w:val="Heading2"/>
        <w:spacing w:before="120" w:after="120"/>
        <w:ind w:left="0" w:hanging="426"/>
        <w:jc w:val="both"/>
        <w:rPr>
          <w:rFonts w:hAnsi="Times New Roman"/>
          <w:sz w:val="22"/>
          <w:szCs w:val="22"/>
          <w:lang w:val="es-US"/>
        </w:rPr>
      </w:pPr>
      <w:r w:rsidRPr="008219F2">
        <w:rPr>
          <w:rFonts w:hAnsi="Times New Roman"/>
          <w:sz w:val="22"/>
          <w:szCs w:val="22"/>
          <w:lang w:val="es-US"/>
        </w:rPr>
        <w:t xml:space="preserve">Como se ha descrito en </w:t>
      </w:r>
      <w:r w:rsidRPr="008219F2">
        <w:rPr>
          <w:rFonts w:hAnsi="Times New Roman"/>
          <w:b/>
          <w:sz w:val="22"/>
          <w:szCs w:val="22"/>
          <w:lang w:val="es-US"/>
        </w:rPr>
        <w:t>la sección 2</w:t>
      </w:r>
      <w:r w:rsidRPr="008219F2">
        <w:rPr>
          <w:rFonts w:hAnsi="Times New Roman"/>
          <w:sz w:val="22"/>
          <w:szCs w:val="22"/>
          <w:lang w:val="es-US"/>
        </w:rPr>
        <w:t xml:space="preserve">, El Salvador ha incumplido categóricamente su deber de proporcionar a las niñas medidas adicionales de protección frente a la violencia sexual, entre otras cosas al no procesar y condenar a muchos de sus agresores. </w:t>
      </w:r>
    </w:p>
    <w:p w14:paraId="40374000" w14:textId="77777777" w:rsidR="00251276" w:rsidRPr="008219F2" w:rsidRDefault="002E36DE">
      <w:pPr>
        <w:pStyle w:val="Heading2"/>
        <w:spacing w:before="120" w:after="120"/>
        <w:ind w:left="0" w:hanging="426"/>
        <w:jc w:val="both"/>
        <w:rPr>
          <w:rFonts w:hAnsi="Times New Roman"/>
          <w:sz w:val="22"/>
          <w:szCs w:val="22"/>
          <w:lang w:val="es-US"/>
        </w:rPr>
      </w:pPr>
      <w:r w:rsidRPr="008219F2">
        <w:rPr>
          <w:rFonts w:hAnsi="Times New Roman"/>
          <w:sz w:val="22"/>
          <w:szCs w:val="22"/>
          <w:lang w:val="es-US"/>
        </w:rPr>
        <w:t xml:space="preserve">Además, al encarcelar a las mujeres por sufrir emergencias obstétricas o por cargos relacionados con el aborto, El Salvador no respeta los derechos </w:t>
      </w:r>
      <w:r w:rsidR="006258E2" w:rsidRPr="008219F2">
        <w:rPr>
          <w:rFonts w:hAnsi="Times New Roman"/>
          <w:sz w:val="22"/>
          <w:szCs w:val="22"/>
          <w:lang w:val="es-US"/>
        </w:rPr>
        <w:t xml:space="preserve">de </w:t>
      </w:r>
      <w:r w:rsidRPr="008219F2">
        <w:rPr>
          <w:rFonts w:hAnsi="Times New Roman"/>
          <w:sz w:val="22"/>
          <w:szCs w:val="22"/>
          <w:lang w:val="es-US"/>
        </w:rPr>
        <w:t>los hijos de estas mujeres. En este sentido, el Comité de los Derechos del Niño ha indicado que los Estados deben considerar todas las alternativas posibles a la detención de las madres</w:t>
      </w:r>
      <w:r w:rsidRPr="008219F2">
        <w:rPr>
          <w:rStyle w:val="EndnoteReference"/>
          <w:rFonts w:hAnsi="Times New Roman"/>
          <w:sz w:val="22"/>
          <w:szCs w:val="22"/>
          <w:lang w:val="es-US"/>
        </w:rPr>
        <w:t xml:space="preserve">. </w:t>
      </w:r>
      <w:r w:rsidRPr="00F36A0E">
        <w:rPr>
          <w:rStyle w:val="EndnoteReference"/>
          <w:rFonts w:hAnsi="Times New Roman"/>
          <w:sz w:val="22"/>
          <w:szCs w:val="22"/>
          <w:lang w:val="en-GB"/>
        </w:rPr>
        <w:endnoteReference w:id="71"/>
      </w:r>
    </w:p>
    <w:p w14:paraId="4CEB7C10" w14:textId="77777777" w:rsidR="00251276" w:rsidRPr="008219F2" w:rsidRDefault="002E36DE">
      <w:pPr>
        <w:pStyle w:val="Heading2"/>
        <w:numPr>
          <w:ilvl w:val="0"/>
          <w:numId w:val="0"/>
        </w:numPr>
        <w:spacing w:before="120" w:after="120"/>
        <w:jc w:val="center"/>
        <w:rPr>
          <w:rFonts w:hAnsi="Times New Roman"/>
          <w:i/>
          <w:sz w:val="22"/>
          <w:szCs w:val="22"/>
          <w:lang w:val="es-US"/>
        </w:rPr>
      </w:pPr>
      <w:r w:rsidRPr="008219F2">
        <w:rPr>
          <w:rFonts w:hAnsi="Times New Roman"/>
          <w:i/>
          <w:sz w:val="22"/>
          <w:szCs w:val="22"/>
          <w:lang w:val="es-US"/>
        </w:rPr>
        <w:t xml:space="preserve">Todas las violaciones de los derechos humanos descritas anteriormente son violaciones de </w:t>
      </w:r>
      <w:r w:rsidRPr="008219F2">
        <w:rPr>
          <w:rFonts w:hAnsi="Times New Roman"/>
          <w:b/>
          <w:i/>
          <w:sz w:val="22"/>
          <w:szCs w:val="22"/>
          <w:lang w:val="es-US"/>
        </w:rPr>
        <w:t xml:space="preserve">los artículos 2(2) y 3 </w:t>
      </w:r>
      <w:r w:rsidRPr="008219F2">
        <w:rPr>
          <w:rFonts w:hAnsi="Times New Roman"/>
          <w:i/>
          <w:sz w:val="22"/>
          <w:szCs w:val="22"/>
          <w:lang w:val="es-US"/>
        </w:rPr>
        <w:t xml:space="preserve">(junto con </w:t>
      </w:r>
      <w:r w:rsidRPr="008219F2">
        <w:rPr>
          <w:rFonts w:hAnsi="Times New Roman"/>
          <w:b/>
          <w:i/>
          <w:sz w:val="22"/>
          <w:szCs w:val="22"/>
          <w:lang w:val="es-US"/>
        </w:rPr>
        <w:t>las Observaciones Generales 16, 20 y 22</w:t>
      </w:r>
      <w:r w:rsidRPr="008219F2">
        <w:rPr>
          <w:rFonts w:hAnsi="Times New Roman"/>
          <w:i/>
          <w:sz w:val="22"/>
          <w:szCs w:val="22"/>
          <w:lang w:val="es-US"/>
        </w:rPr>
        <w:t>)</w:t>
      </w:r>
    </w:p>
    <w:p w14:paraId="01034164" w14:textId="77777777" w:rsidR="00251276" w:rsidRPr="008219F2" w:rsidRDefault="002E36DE">
      <w:pPr>
        <w:pStyle w:val="Heading2"/>
        <w:spacing w:before="120" w:after="120"/>
        <w:ind w:left="0" w:hanging="426"/>
        <w:jc w:val="both"/>
        <w:rPr>
          <w:rFonts w:hAnsi="Times New Roman"/>
          <w:sz w:val="22"/>
          <w:szCs w:val="22"/>
          <w:lang w:val="es-US"/>
        </w:rPr>
      </w:pPr>
      <w:r w:rsidRPr="008219F2">
        <w:rPr>
          <w:rFonts w:hAnsi="Times New Roman"/>
          <w:sz w:val="22"/>
          <w:szCs w:val="22"/>
          <w:lang w:val="es-US"/>
        </w:rPr>
        <w:t xml:space="preserve">El PIDESC prohíbe expresamente la discriminación por razón de sexo o género, mediante una prohibición absoluta -en </w:t>
      </w:r>
      <w:r w:rsidRPr="008219F2">
        <w:rPr>
          <w:rFonts w:hAnsi="Times New Roman"/>
          <w:b/>
          <w:sz w:val="22"/>
          <w:szCs w:val="22"/>
          <w:lang w:val="es-US"/>
        </w:rPr>
        <w:t>el artículo 2(2)</w:t>
      </w:r>
      <w:r w:rsidRPr="008219F2">
        <w:rPr>
          <w:rFonts w:hAnsi="Times New Roman"/>
          <w:sz w:val="22"/>
          <w:szCs w:val="22"/>
          <w:lang w:val="es-US"/>
        </w:rPr>
        <w:t xml:space="preserve">- y una prohibición relativa -en </w:t>
      </w:r>
      <w:r w:rsidRPr="008219F2">
        <w:rPr>
          <w:rFonts w:hAnsi="Times New Roman"/>
          <w:b/>
          <w:sz w:val="22"/>
          <w:szCs w:val="22"/>
          <w:lang w:val="es-US"/>
        </w:rPr>
        <w:t>el artículo 3-</w:t>
      </w:r>
      <w:r w:rsidRPr="008219F2">
        <w:rPr>
          <w:rFonts w:hAnsi="Times New Roman"/>
          <w:sz w:val="22"/>
          <w:szCs w:val="22"/>
          <w:lang w:val="es-US"/>
        </w:rPr>
        <w:t xml:space="preserve">. </w:t>
      </w:r>
    </w:p>
    <w:p w14:paraId="74F0490E" w14:textId="77777777" w:rsidR="00251276" w:rsidRPr="008219F2" w:rsidRDefault="002E36DE">
      <w:pPr>
        <w:pStyle w:val="Heading2"/>
        <w:spacing w:before="120" w:after="120"/>
        <w:ind w:left="0" w:hanging="426"/>
        <w:jc w:val="both"/>
        <w:rPr>
          <w:rFonts w:hAnsi="Times New Roman"/>
          <w:sz w:val="22"/>
          <w:szCs w:val="22"/>
          <w:lang w:val="es-US"/>
        </w:rPr>
      </w:pPr>
      <w:r w:rsidRPr="008219F2">
        <w:rPr>
          <w:rFonts w:hAnsi="Times New Roman"/>
          <w:sz w:val="22"/>
          <w:szCs w:val="22"/>
          <w:lang w:val="es-US"/>
        </w:rPr>
        <w:t>Además de abstenerse de realizar acciones discriminatorias, los Estados tienen la obligación de aplicar medidas concretas para garantizar la eliminación de la discriminación en el ejercicio de los derechos del PIDESC.</w:t>
      </w:r>
      <w:r w:rsidRPr="00F36A0E">
        <w:rPr>
          <w:rStyle w:val="EndnoteReference"/>
          <w:rFonts w:hAnsi="Times New Roman"/>
          <w:sz w:val="22"/>
          <w:szCs w:val="22"/>
          <w:lang w:val="en-GB"/>
        </w:rPr>
        <w:endnoteReference w:id="72"/>
      </w:r>
      <w:r w:rsidRPr="008219F2">
        <w:rPr>
          <w:rFonts w:hAnsi="Times New Roman"/>
          <w:sz w:val="22"/>
          <w:szCs w:val="22"/>
          <w:lang w:val="es-US"/>
        </w:rPr>
        <w:t xml:space="preserve"> Esta obligación incluye</w:t>
      </w:r>
      <w:r w:rsidRPr="008219F2">
        <w:rPr>
          <w:rFonts w:hAnsi="Times New Roman"/>
          <w:i/>
          <w:sz w:val="22"/>
          <w:szCs w:val="22"/>
          <w:lang w:val="es-US"/>
        </w:rPr>
        <w:t>, entre otras cosas</w:t>
      </w:r>
      <w:r w:rsidRPr="008219F2">
        <w:rPr>
          <w:rFonts w:hAnsi="Times New Roman"/>
          <w:sz w:val="22"/>
          <w:szCs w:val="22"/>
          <w:lang w:val="es-US"/>
        </w:rPr>
        <w:t>: (</w:t>
      </w:r>
      <w:r w:rsidRPr="008219F2">
        <w:rPr>
          <w:rFonts w:hAnsi="Times New Roman"/>
          <w:i/>
          <w:sz w:val="22"/>
          <w:szCs w:val="22"/>
          <w:lang w:val="es-US"/>
        </w:rPr>
        <w:t>i</w:t>
      </w:r>
      <w:r w:rsidRPr="008219F2">
        <w:rPr>
          <w:rFonts w:hAnsi="Times New Roman"/>
          <w:sz w:val="22"/>
          <w:szCs w:val="22"/>
          <w:lang w:val="es-US"/>
        </w:rPr>
        <w:t>) adoptar legislación, estrategias, políticas y planes de acción para hacer frente a la discriminación; (</w:t>
      </w:r>
      <w:r w:rsidRPr="008219F2">
        <w:rPr>
          <w:rFonts w:hAnsi="Times New Roman"/>
          <w:i/>
          <w:sz w:val="22"/>
          <w:szCs w:val="22"/>
          <w:lang w:val="es-US"/>
        </w:rPr>
        <w:t>ii</w:t>
      </w:r>
      <w:r w:rsidRPr="008219F2">
        <w:rPr>
          <w:rFonts w:hAnsi="Times New Roman"/>
          <w:sz w:val="22"/>
          <w:szCs w:val="22"/>
          <w:lang w:val="es-US"/>
        </w:rPr>
        <w:t>) proporcionar medios para remediar la discriminación y hacer que los autores rindan cuentas; y (</w:t>
      </w:r>
      <w:r w:rsidRPr="008219F2">
        <w:rPr>
          <w:rFonts w:hAnsi="Times New Roman"/>
          <w:i/>
          <w:sz w:val="22"/>
          <w:szCs w:val="22"/>
          <w:lang w:val="es-US"/>
        </w:rPr>
        <w:t>iii</w:t>
      </w:r>
      <w:r w:rsidRPr="008219F2">
        <w:rPr>
          <w:rFonts w:hAnsi="Times New Roman"/>
          <w:sz w:val="22"/>
          <w:szCs w:val="22"/>
          <w:lang w:val="es-US"/>
        </w:rPr>
        <w:t xml:space="preserve">) supervisar eficazmente la aplicación de las medidas para cumplir con </w:t>
      </w:r>
      <w:r w:rsidRPr="008219F2">
        <w:rPr>
          <w:rFonts w:hAnsi="Times New Roman"/>
          <w:b/>
          <w:sz w:val="22"/>
          <w:szCs w:val="22"/>
          <w:lang w:val="es-US"/>
        </w:rPr>
        <w:t>el artículo 2(2)</w:t>
      </w:r>
      <w:r w:rsidRPr="008219F2">
        <w:rPr>
          <w:rFonts w:hAnsi="Times New Roman"/>
          <w:sz w:val="22"/>
          <w:szCs w:val="22"/>
          <w:lang w:val="es-US"/>
        </w:rPr>
        <w:t xml:space="preserve">. </w:t>
      </w:r>
      <w:r w:rsidRPr="00F36A0E">
        <w:rPr>
          <w:rStyle w:val="EndnoteReference"/>
          <w:rFonts w:hAnsi="Times New Roman"/>
          <w:sz w:val="22"/>
          <w:szCs w:val="22"/>
          <w:lang w:val="en-GB"/>
        </w:rPr>
        <w:endnoteReference w:id="73"/>
      </w:r>
    </w:p>
    <w:p w14:paraId="2D7CAD92" w14:textId="77777777" w:rsidR="00251276" w:rsidRPr="008219F2" w:rsidRDefault="002E36DE">
      <w:pPr>
        <w:pStyle w:val="Heading2"/>
        <w:spacing w:before="120" w:after="120"/>
        <w:ind w:left="0" w:hanging="426"/>
        <w:jc w:val="both"/>
        <w:rPr>
          <w:rFonts w:hAnsi="Times New Roman"/>
          <w:sz w:val="22"/>
          <w:szCs w:val="22"/>
          <w:lang w:val="es-US"/>
        </w:rPr>
      </w:pPr>
      <w:r w:rsidRPr="008219F2">
        <w:rPr>
          <w:rFonts w:hAnsi="Times New Roman"/>
          <w:sz w:val="22"/>
          <w:szCs w:val="22"/>
          <w:lang w:val="es-US"/>
        </w:rPr>
        <w:t>La realización de la salud sexual y reproductiva de las mujeres es "esencial para la realización de toda su gama de derechos humanos". La igualdad de género exige que se tengan en cuenta las necesidades sanitarias de las mujeres y que se les presten servicios adecuados.  La igualdad sustantiva según el PIDESC requiere que las leyes "no mantengan, sino que alivien, la desventaja inherente que las mujeres experimentan en el ejercicio de su derecho a la salud sexual y reproductiva".</w:t>
      </w:r>
      <w:r w:rsidRPr="00F36A0E">
        <w:rPr>
          <w:rStyle w:val="EndnoteReference"/>
          <w:rFonts w:hAnsi="Times New Roman"/>
          <w:sz w:val="22"/>
          <w:szCs w:val="22"/>
          <w:lang w:val="en-GB"/>
        </w:rPr>
        <w:endnoteReference w:id="74"/>
      </w:r>
      <w:r w:rsidRPr="008219F2">
        <w:rPr>
          <w:rFonts w:hAnsi="Times New Roman"/>
          <w:sz w:val="22"/>
          <w:szCs w:val="22"/>
          <w:lang w:val="es-US"/>
        </w:rPr>
        <w:t xml:space="preserve">  </w:t>
      </w:r>
    </w:p>
    <w:p w14:paraId="722D859E" w14:textId="77777777" w:rsidR="00251276" w:rsidRPr="008219F2" w:rsidRDefault="002E36DE">
      <w:pPr>
        <w:pStyle w:val="Heading2"/>
        <w:spacing w:before="120" w:after="120"/>
        <w:ind w:left="0" w:hanging="426"/>
        <w:jc w:val="both"/>
        <w:rPr>
          <w:rFonts w:hAnsi="Times New Roman"/>
          <w:sz w:val="22"/>
          <w:szCs w:val="22"/>
          <w:lang w:val="es-US"/>
        </w:rPr>
      </w:pPr>
      <w:r w:rsidRPr="008219F2">
        <w:rPr>
          <w:rFonts w:hAnsi="Times New Roman"/>
          <w:sz w:val="22"/>
          <w:szCs w:val="22"/>
          <w:lang w:val="es-US"/>
        </w:rPr>
        <w:t xml:space="preserve">En línea con lo establecido por </w:t>
      </w:r>
      <w:r w:rsidR="003A7434" w:rsidRPr="008219F2">
        <w:rPr>
          <w:rFonts w:hAnsi="Times New Roman"/>
          <w:sz w:val="22"/>
          <w:szCs w:val="22"/>
          <w:lang w:val="es-US"/>
        </w:rPr>
        <w:t>las dos recientes Opiniones del GTAD</w:t>
      </w:r>
      <w:r w:rsidR="003A7434" w:rsidRPr="00F36A0E">
        <w:rPr>
          <w:rStyle w:val="EndnoteReference"/>
          <w:rFonts w:hAnsi="Times New Roman"/>
          <w:sz w:val="22"/>
          <w:szCs w:val="22"/>
          <w:lang w:val="en-GB"/>
        </w:rPr>
        <w:endnoteReference w:id="75"/>
      </w:r>
      <w:r w:rsidR="009A0691" w:rsidRPr="008219F2">
        <w:rPr>
          <w:rFonts w:hAnsi="Times New Roman"/>
          <w:sz w:val="22"/>
          <w:szCs w:val="22"/>
          <w:lang w:val="es-US"/>
        </w:rPr>
        <w:t xml:space="preserve"> , el hecho de que El Salvador no proporcione acceso a los servicios de salud sexual y reproductiva, incluyendo la criminalización de servicios como el aborto </w:t>
      </w:r>
      <w:r w:rsidRPr="008219F2">
        <w:rPr>
          <w:rFonts w:hAnsi="Times New Roman"/>
          <w:sz w:val="22"/>
          <w:szCs w:val="22"/>
          <w:lang w:val="es-US"/>
        </w:rPr>
        <w:t xml:space="preserve">y la atención obstétrica de emergencia </w:t>
      </w:r>
      <w:r w:rsidR="009A0691" w:rsidRPr="008219F2">
        <w:rPr>
          <w:rFonts w:hAnsi="Times New Roman"/>
          <w:sz w:val="22"/>
          <w:szCs w:val="22"/>
          <w:lang w:val="es-US"/>
        </w:rPr>
        <w:t xml:space="preserve">que sólo necesitan las mujeres y las niñas, </w:t>
      </w:r>
      <w:r w:rsidR="00245EC4" w:rsidRPr="008219F2">
        <w:rPr>
          <w:rFonts w:hAnsi="Times New Roman"/>
          <w:sz w:val="22"/>
          <w:szCs w:val="22"/>
          <w:lang w:val="es-US"/>
        </w:rPr>
        <w:t xml:space="preserve">y </w:t>
      </w:r>
      <w:r w:rsidR="00266FE6" w:rsidRPr="008219F2">
        <w:rPr>
          <w:rFonts w:hAnsi="Times New Roman"/>
          <w:sz w:val="22"/>
          <w:szCs w:val="22"/>
          <w:lang w:val="es-US"/>
        </w:rPr>
        <w:t xml:space="preserve">la detención arbitraria de mujeres que </w:t>
      </w:r>
      <w:r w:rsidR="00245EC4" w:rsidRPr="008219F2">
        <w:rPr>
          <w:rFonts w:hAnsi="Times New Roman"/>
          <w:sz w:val="22"/>
          <w:szCs w:val="22"/>
          <w:lang w:val="es-US"/>
        </w:rPr>
        <w:t xml:space="preserve">sufren emergencias obstétricas o cualquier otra complicación de la salud reproductiva, </w:t>
      </w:r>
      <w:r w:rsidR="00950D5E" w:rsidRPr="008219F2">
        <w:rPr>
          <w:rFonts w:hAnsi="Times New Roman"/>
          <w:sz w:val="22"/>
          <w:szCs w:val="22"/>
          <w:lang w:val="es-US"/>
        </w:rPr>
        <w:t xml:space="preserve">es descaradamente discriminatoria por razón de género, sexo y estatus socioeconómico, y </w:t>
      </w:r>
      <w:r w:rsidR="009A0691" w:rsidRPr="008219F2">
        <w:rPr>
          <w:rFonts w:hAnsi="Times New Roman"/>
          <w:sz w:val="22"/>
          <w:szCs w:val="22"/>
          <w:lang w:val="es-US"/>
        </w:rPr>
        <w:t>representa y fomenta un mensaje de que las mujeres y las niñas no tienen derecho a la igualdad ni al control sobre sus cuerpos y sus opciones de vida.  También perpetúa y exacerba la visión de las mujeres sólo como madres y las obliga a serlo incluso cuando continuar con el embarazo significa poner en peligro su vida.</w:t>
      </w:r>
      <w:r w:rsidR="009A0691" w:rsidRPr="00F36A0E">
        <w:rPr>
          <w:rStyle w:val="EndnoteReference"/>
          <w:rFonts w:hAnsi="Times New Roman"/>
          <w:sz w:val="22"/>
          <w:szCs w:val="22"/>
          <w:lang w:val="en-GB"/>
        </w:rPr>
        <w:endnoteReference w:id="76"/>
      </w:r>
    </w:p>
    <w:p w14:paraId="27F077BF" w14:textId="77777777" w:rsidR="00251276" w:rsidRPr="008219F2" w:rsidRDefault="002E36DE">
      <w:pPr>
        <w:pStyle w:val="Heading2"/>
        <w:spacing w:before="120" w:after="120"/>
        <w:ind w:left="0" w:hanging="426"/>
        <w:jc w:val="both"/>
        <w:rPr>
          <w:rFonts w:hAnsi="Times New Roman"/>
          <w:sz w:val="22"/>
          <w:szCs w:val="22"/>
          <w:lang w:val="es-US"/>
        </w:rPr>
      </w:pPr>
      <w:r w:rsidRPr="008219F2">
        <w:rPr>
          <w:rFonts w:hAnsi="Times New Roman"/>
          <w:sz w:val="22"/>
          <w:szCs w:val="22"/>
          <w:lang w:val="es-US"/>
        </w:rPr>
        <w:t>En un contexto económico ya discriminatorio, la discriminación existente, la maternidad forzada y la criminalización injusta socavan la capacidad de las mujeres y las niñas para acceder a la educación y al empleo.  Esta discriminación basada en el género se cruza con las vulnerabilidades sociales y económicas y las afianza. Por ejemplo, la mayoría de las mujeres procesadas por delitos relacionados con el aborto son jóvenes, pobres, con una educación limitada y procedentes de comunidades rurales remotas.</w:t>
      </w:r>
      <w:r w:rsidRPr="00F36A0E">
        <w:rPr>
          <w:rStyle w:val="EndnoteReference"/>
          <w:rFonts w:hAnsi="Times New Roman"/>
          <w:sz w:val="22"/>
          <w:szCs w:val="22"/>
          <w:lang w:val="en-GB"/>
        </w:rPr>
        <w:endnoteReference w:id="77"/>
      </w:r>
      <w:r w:rsidRPr="008219F2">
        <w:rPr>
          <w:rFonts w:hAnsi="Times New Roman"/>
          <w:sz w:val="22"/>
          <w:szCs w:val="22"/>
          <w:lang w:val="es-US"/>
        </w:rPr>
        <w:t xml:space="preserve">  A su vez, la falta de educación de la población en general sobre la salud sexual y reproductiva agrava la discriminación que sufren las mujeres y las niñas en El Salvador. </w:t>
      </w:r>
    </w:p>
    <w:p w14:paraId="4B918017" w14:textId="77777777" w:rsidR="00251276" w:rsidRPr="008219F2" w:rsidRDefault="002E36DE">
      <w:pPr>
        <w:pStyle w:val="Heading2"/>
        <w:spacing w:before="120" w:after="120"/>
        <w:ind w:left="0" w:hanging="426"/>
        <w:jc w:val="both"/>
        <w:rPr>
          <w:rFonts w:hAnsi="Times New Roman"/>
          <w:sz w:val="22"/>
          <w:szCs w:val="22"/>
          <w:lang w:val="es-US"/>
        </w:rPr>
      </w:pPr>
      <w:r w:rsidRPr="008219F2">
        <w:rPr>
          <w:rFonts w:hAnsi="Times New Roman"/>
          <w:sz w:val="22"/>
          <w:szCs w:val="22"/>
          <w:lang w:val="es-US"/>
        </w:rPr>
        <w:t xml:space="preserve">La perpetuación de la discriminación por motivos de género repercute, a su vez, en la respuesta de un Estado a cualquier violación, especialmente en el cumplimiento de la obligación del Estado de ofrecer un recurso efectivo y garantizar la no repetición.  Socava la garantía y la respuesta de un Estado a las violaciones de todos los derechos detallados en este informe paralelo.  </w:t>
      </w:r>
    </w:p>
    <w:p w14:paraId="27EBCDD8" w14:textId="77777777" w:rsidR="00251276" w:rsidRDefault="002E36DE">
      <w:pPr>
        <w:pStyle w:val="Heading1"/>
        <w:spacing w:before="120" w:after="120"/>
        <w:ind w:left="426" w:hanging="426"/>
        <w:jc w:val="both"/>
        <w:rPr>
          <w:sz w:val="22"/>
          <w:szCs w:val="22"/>
          <w:lang w:val="en-GB"/>
        </w:rPr>
      </w:pPr>
      <w:r w:rsidRPr="00F36A0E">
        <w:rPr>
          <w:sz w:val="22"/>
          <w:szCs w:val="22"/>
          <w:lang w:val="en-GB"/>
        </w:rPr>
        <w:t>La pandemia de COVID-19</w:t>
      </w:r>
    </w:p>
    <w:p w14:paraId="1C44A8FE" w14:textId="3A57D8D6" w:rsidR="00251276" w:rsidRPr="008219F2" w:rsidRDefault="002E36DE">
      <w:pPr>
        <w:pStyle w:val="Heading2"/>
        <w:spacing w:before="120" w:after="120"/>
        <w:ind w:left="0" w:hanging="426"/>
        <w:jc w:val="both"/>
        <w:rPr>
          <w:rFonts w:hAnsi="Times New Roman"/>
          <w:sz w:val="22"/>
          <w:szCs w:val="22"/>
          <w:lang w:val="es-US"/>
        </w:rPr>
      </w:pPr>
      <w:r w:rsidRPr="008219F2">
        <w:rPr>
          <w:rFonts w:hAnsi="Times New Roman"/>
          <w:sz w:val="22"/>
          <w:szCs w:val="22"/>
          <w:lang w:val="es-US"/>
        </w:rPr>
        <w:t>La pandemia del COVID-19 ha afianzado aún más la discriminación y ha puesto en peligro la vida y la salud de las mujeres y las niñas.   La violencia contra las mujeres, incluso en las Américas, se ha visto acentuada y exacerbada por el COVID-19</w:t>
      </w:r>
      <w:r w:rsidRPr="00F36A0E">
        <w:rPr>
          <w:rStyle w:val="EndnoteReference"/>
          <w:rFonts w:hAnsi="Times New Roman"/>
          <w:sz w:val="22"/>
          <w:szCs w:val="22"/>
          <w:lang w:val="en-GB"/>
        </w:rPr>
        <w:endnoteReference w:id="78"/>
      </w:r>
      <w:r w:rsidRPr="008219F2">
        <w:rPr>
          <w:rFonts w:hAnsi="Times New Roman"/>
          <w:sz w:val="22"/>
          <w:szCs w:val="22"/>
          <w:lang w:val="es-US"/>
        </w:rPr>
        <w:t xml:space="preserve"> y la pandemia y las respuestas de salud pública han aumentado las barreras de acceso a los bienes y servicios de salud sexual y reproductiva, así como a las instituciones de justicia.</w:t>
      </w:r>
      <w:r w:rsidRPr="00F36A0E">
        <w:rPr>
          <w:rStyle w:val="EndnoteReference"/>
          <w:rFonts w:hAnsi="Times New Roman"/>
          <w:sz w:val="22"/>
          <w:szCs w:val="22"/>
          <w:lang w:val="en-GB"/>
        </w:rPr>
        <w:endnoteReference w:id="79"/>
      </w:r>
      <w:r w:rsidRPr="008219F2">
        <w:rPr>
          <w:rFonts w:hAnsi="Times New Roman"/>
          <w:sz w:val="22"/>
          <w:szCs w:val="22"/>
          <w:lang w:val="es-US"/>
        </w:rPr>
        <w:t xml:space="preserve"> Instituciones como la CIDH, el Fondo de Población de las Naciones Unidas ("</w:t>
      </w:r>
      <w:r w:rsidRPr="008219F2">
        <w:rPr>
          <w:rFonts w:hAnsi="Times New Roman"/>
          <w:b/>
          <w:sz w:val="22"/>
          <w:szCs w:val="22"/>
          <w:lang w:val="es-US"/>
        </w:rPr>
        <w:t>UNFPA"</w:t>
      </w:r>
      <w:r w:rsidRPr="008219F2">
        <w:rPr>
          <w:rFonts w:hAnsi="Times New Roman"/>
          <w:sz w:val="22"/>
          <w:szCs w:val="22"/>
          <w:lang w:val="es-US"/>
        </w:rPr>
        <w:t>), ONU Mujeres y la Comisión Interamericana de Mujeres han emitido declaraciones y orientaciones sobre la importancia de garantizar el acceso a los bienes y servicios de salud sexual y reproductiva y abordar la violencia de género para proteger y garantizar los derechos.</w:t>
      </w:r>
      <w:r w:rsidRPr="00F36A0E">
        <w:rPr>
          <w:rStyle w:val="EndnoteReference"/>
          <w:rFonts w:hAnsi="Times New Roman"/>
          <w:sz w:val="22"/>
          <w:szCs w:val="22"/>
          <w:lang w:val="en-GB"/>
        </w:rPr>
        <w:endnoteReference w:id="80"/>
      </w:r>
      <w:r w:rsidRPr="008219F2">
        <w:rPr>
          <w:rFonts w:hAnsi="Times New Roman"/>
          <w:sz w:val="22"/>
          <w:szCs w:val="22"/>
          <w:lang w:val="es-US"/>
        </w:rPr>
        <w:t xml:space="preserve">  Durante la pandemia, El Salvador debe prestar especial atención a los mayores riesgos de violación de los derechos del PIDESC, y no debilitar o disminuir dicha protección.  </w:t>
      </w:r>
      <w:r w:rsidR="00675613">
        <w:rPr>
          <w:rFonts w:hAnsi="Times New Roman"/>
          <w:sz w:val="22"/>
          <w:szCs w:val="22"/>
          <w:lang w:val="es-US"/>
        </w:rPr>
        <w:t>De los casos conocidos por la Agrupación y el Centro de Derechos Reproductivos, Berta Arana, Liliana Yese</w:t>
      </w:r>
      <w:r w:rsidR="004D60B8">
        <w:rPr>
          <w:rFonts w:hAnsi="Times New Roman"/>
          <w:sz w:val="22"/>
          <w:szCs w:val="22"/>
          <w:lang w:val="es-US"/>
        </w:rPr>
        <w:t xml:space="preserve">nia y Maria del Rosario, aún se encuentran privadas de su libertad. </w:t>
      </w:r>
    </w:p>
    <w:p w14:paraId="3162773D" w14:textId="19AB8311" w:rsidR="00251276" w:rsidRPr="008219F2" w:rsidRDefault="002E36DE">
      <w:pPr>
        <w:pStyle w:val="Heading2"/>
        <w:spacing w:before="120" w:after="120"/>
        <w:ind w:left="0" w:hanging="426"/>
        <w:jc w:val="both"/>
        <w:rPr>
          <w:rFonts w:hAnsi="Times New Roman"/>
          <w:sz w:val="22"/>
          <w:szCs w:val="22"/>
          <w:lang w:val="es-US"/>
        </w:rPr>
      </w:pPr>
      <w:r w:rsidRPr="008219F2">
        <w:rPr>
          <w:rFonts w:hAnsi="Times New Roman"/>
          <w:sz w:val="22"/>
          <w:szCs w:val="22"/>
          <w:lang w:val="es-US"/>
        </w:rPr>
        <w:t>El Comité ha subrayado que los Estados Partes tienen la obligación de respetar el derecho a la salud "absteniéndose de negar o limitar el acceso en condiciones de igualdad de todas las personas, incluidos los presos o detenidos... a los servicios de salud preventivos, curativos y paliativos".</w:t>
      </w:r>
      <w:r w:rsidRPr="00F36A0E">
        <w:rPr>
          <w:rStyle w:val="EndnoteReference"/>
          <w:rFonts w:hAnsi="Times New Roman"/>
          <w:sz w:val="22"/>
          <w:szCs w:val="22"/>
          <w:lang w:val="en-GB"/>
        </w:rPr>
        <w:endnoteReference w:id="81"/>
      </w:r>
      <w:r w:rsidRPr="008219F2">
        <w:rPr>
          <w:rFonts w:hAnsi="Times New Roman"/>
          <w:sz w:val="22"/>
          <w:szCs w:val="22"/>
          <w:lang w:val="es-US"/>
        </w:rPr>
        <w:t xml:space="preserve">  Los organismos y agencias internacionales de derechos humanos han hecho hincapié en la vulnerabilidad de los detenidos durante la pandemia: </w:t>
      </w:r>
    </w:p>
    <w:p w14:paraId="72A437D0" w14:textId="77777777" w:rsidR="00251276" w:rsidRPr="008219F2" w:rsidRDefault="002E36DE">
      <w:pPr>
        <w:pStyle w:val="Heading3"/>
        <w:ind w:left="426" w:hanging="426"/>
        <w:jc w:val="both"/>
        <w:rPr>
          <w:rFonts w:hAnsi="Times New Roman"/>
          <w:sz w:val="22"/>
          <w:szCs w:val="22"/>
          <w:lang w:val="es-US"/>
        </w:rPr>
      </w:pPr>
      <w:r w:rsidRPr="008219F2">
        <w:rPr>
          <w:rFonts w:hAnsi="Times New Roman"/>
          <w:sz w:val="22"/>
          <w:szCs w:val="22"/>
          <w:lang w:val="es-US"/>
        </w:rPr>
        <w:t xml:space="preserve">La declaración del </w:t>
      </w:r>
      <w:r w:rsidRPr="008219F2">
        <w:rPr>
          <w:rFonts w:hAnsi="Times New Roman"/>
          <w:bCs/>
          <w:sz w:val="22"/>
          <w:szCs w:val="22"/>
          <w:lang w:val="es-US"/>
        </w:rPr>
        <w:t xml:space="preserve">Comité sobre COVID-19 </w:t>
      </w:r>
      <w:r w:rsidRPr="008219F2">
        <w:rPr>
          <w:rFonts w:hAnsi="Times New Roman"/>
          <w:sz w:val="22"/>
          <w:szCs w:val="22"/>
          <w:lang w:val="es-US"/>
        </w:rPr>
        <w:t>designa a los presos y a las personas privadas de libertad como parte de los "grupos desfavorecidos y marginados" que se ven "gravemente afectados por la crisis actual".</w:t>
      </w:r>
      <w:r w:rsidRPr="00F36A0E">
        <w:rPr>
          <w:rStyle w:val="EndnoteReference"/>
          <w:rFonts w:hAnsi="Times New Roman"/>
          <w:sz w:val="22"/>
          <w:szCs w:val="22"/>
          <w:lang w:val="en-GB"/>
        </w:rPr>
        <w:endnoteReference w:id="82"/>
      </w:r>
      <w:r w:rsidRPr="008219F2">
        <w:rPr>
          <w:rFonts w:hAnsi="Times New Roman"/>
          <w:sz w:val="22"/>
          <w:szCs w:val="22"/>
          <w:lang w:val="es-US"/>
        </w:rPr>
        <w:t xml:space="preserve">  La Oficina Regional para Europa de la OMS, en sus Orientaciones provisionales sobre la preparación para el COVID-19, destaca que las personas privadas de libertad son más vulnerables que la población general debido a las condiciones de reclusión.</w:t>
      </w:r>
      <w:r w:rsidRPr="00F36A0E">
        <w:rPr>
          <w:rStyle w:val="EndnoteReference"/>
          <w:rFonts w:hAnsi="Times New Roman"/>
          <w:sz w:val="22"/>
          <w:szCs w:val="22"/>
          <w:lang w:val="en-GB"/>
        </w:rPr>
        <w:endnoteReference w:id="83"/>
      </w:r>
      <w:r w:rsidRPr="008219F2">
        <w:rPr>
          <w:rFonts w:hAnsi="Times New Roman"/>
          <w:sz w:val="22"/>
          <w:szCs w:val="22"/>
          <w:lang w:val="es-US"/>
        </w:rPr>
        <w:t xml:space="preserve">  </w:t>
      </w:r>
    </w:p>
    <w:p w14:paraId="694A0759" w14:textId="77777777" w:rsidR="00251276" w:rsidRPr="008219F2" w:rsidRDefault="002E36DE">
      <w:pPr>
        <w:pStyle w:val="Heading3"/>
        <w:ind w:left="426" w:hanging="426"/>
        <w:jc w:val="both"/>
        <w:rPr>
          <w:rFonts w:hAnsi="Times New Roman"/>
          <w:sz w:val="22"/>
          <w:szCs w:val="22"/>
          <w:lang w:val="es-US"/>
        </w:rPr>
      </w:pPr>
      <w:r w:rsidRPr="008219F2">
        <w:rPr>
          <w:rFonts w:hAnsi="Times New Roman"/>
          <w:sz w:val="22"/>
          <w:szCs w:val="22"/>
          <w:lang w:val="es-US"/>
        </w:rPr>
        <w:t>El Comité Permanente entre Organismos ("</w:t>
      </w:r>
      <w:r w:rsidRPr="008219F2">
        <w:rPr>
          <w:rFonts w:hAnsi="Times New Roman"/>
          <w:b/>
          <w:sz w:val="22"/>
          <w:szCs w:val="22"/>
          <w:lang w:val="es-US"/>
        </w:rPr>
        <w:t>IASC"</w:t>
      </w:r>
      <w:r w:rsidRPr="008219F2">
        <w:rPr>
          <w:rFonts w:hAnsi="Times New Roman"/>
          <w:sz w:val="22"/>
          <w:szCs w:val="22"/>
          <w:lang w:val="es-US"/>
        </w:rPr>
        <w:t>), la Oficina del Alto Comisionado de las Naciones Unidas para los Derechos Humanos ("</w:t>
      </w:r>
      <w:r w:rsidRPr="008219F2">
        <w:rPr>
          <w:rFonts w:hAnsi="Times New Roman"/>
          <w:b/>
          <w:sz w:val="22"/>
          <w:szCs w:val="22"/>
          <w:lang w:val="es-US"/>
        </w:rPr>
        <w:t>OACDH"</w:t>
      </w:r>
      <w:r w:rsidRPr="008219F2">
        <w:rPr>
          <w:rFonts w:hAnsi="Times New Roman"/>
          <w:sz w:val="22"/>
          <w:szCs w:val="22"/>
          <w:lang w:val="es-US"/>
        </w:rPr>
        <w:t>) y la OMS publicaron unas orientaciones provisionales sobre el COVID-19, en las que se afirma que las normas internacionales exigen que las personas detenidas tengan acceso al mismo nivel de atención sanitaria que se ofrece en la comunidad, y que "la salud sexual y reproductiva se proporcionará como parte de la atención sanitaria habitual a las personas privadas de libertad".</w:t>
      </w:r>
      <w:r w:rsidRPr="00F36A0E">
        <w:rPr>
          <w:rStyle w:val="EndnoteReference"/>
          <w:rFonts w:hAnsi="Times New Roman"/>
          <w:sz w:val="22"/>
          <w:szCs w:val="22"/>
          <w:lang w:val="en-GB"/>
        </w:rPr>
        <w:endnoteReference w:id="84"/>
      </w:r>
      <w:r w:rsidRPr="008219F2">
        <w:rPr>
          <w:rFonts w:hAnsi="Times New Roman"/>
          <w:sz w:val="22"/>
          <w:szCs w:val="22"/>
          <w:lang w:val="es-US"/>
        </w:rPr>
        <w:t xml:space="preserve"> </w:t>
      </w:r>
    </w:p>
    <w:p w14:paraId="65A4AEC1" w14:textId="77777777" w:rsidR="00251276" w:rsidRPr="008219F2" w:rsidRDefault="002E36DE">
      <w:pPr>
        <w:pStyle w:val="Heading2"/>
        <w:spacing w:before="120" w:after="120"/>
        <w:ind w:left="0" w:hanging="426"/>
        <w:jc w:val="both"/>
        <w:rPr>
          <w:rFonts w:hAnsi="Times New Roman"/>
          <w:sz w:val="22"/>
          <w:szCs w:val="22"/>
          <w:lang w:val="es-US"/>
        </w:rPr>
      </w:pPr>
      <w:r w:rsidRPr="008219F2">
        <w:rPr>
          <w:rFonts w:hAnsi="Times New Roman"/>
          <w:sz w:val="22"/>
          <w:szCs w:val="22"/>
          <w:lang w:val="es-US"/>
        </w:rPr>
        <w:t xml:space="preserve">La situación es aún más precaria en El Salvador, donde las condiciones de las prisiones, incluyendo el hacinamiento y la falta de acceso a los servicios de salud, </w:t>
      </w:r>
      <w:r w:rsidR="00AA491E" w:rsidRPr="008219F2">
        <w:rPr>
          <w:rFonts w:hAnsi="Times New Roman"/>
          <w:sz w:val="22"/>
          <w:szCs w:val="22"/>
          <w:lang w:val="es-US"/>
        </w:rPr>
        <w:t xml:space="preserve">así como un confinamiento por mandato presidencial que impide su comunicación con el exterior, </w:t>
      </w:r>
      <w:r w:rsidRPr="008219F2">
        <w:rPr>
          <w:rFonts w:hAnsi="Times New Roman"/>
          <w:sz w:val="22"/>
          <w:szCs w:val="22"/>
          <w:lang w:val="es-US"/>
        </w:rPr>
        <w:t>dejan a las presas increíblemente vulnerables al COVID-19.</w:t>
      </w:r>
      <w:r w:rsidRPr="00F36A0E">
        <w:rPr>
          <w:rStyle w:val="EndnoteReference"/>
          <w:rFonts w:hAnsi="Times New Roman"/>
          <w:sz w:val="22"/>
          <w:szCs w:val="22"/>
          <w:lang w:val="en-GB"/>
        </w:rPr>
        <w:endnoteReference w:id="85"/>
      </w:r>
      <w:r w:rsidRPr="008219F2">
        <w:rPr>
          <w:rFonts w:hAnsi="Times New Roman"/>
          <w:sz w:val="22"/>
          <w:szCs w:val="22"/>
          <w:lang w:val="es-US"/>
        </w:rPr>
        <w:t xml:space="preserve">  Las reclusas se ven privadas de las necesidades básicas de salud sexual y reproductiva, incluidos los productos de higiene. </w:t>
      </w:r>
      <w:r w:rsidRPr="00F36A0E">
        <w:rPr>
          <w:rStyle w:val="EndnoteReference"/>
          <w:rFonts w:hAnsi="Times New Roman"/>
          <w:sz w:val="22"/>
          <w:szCs w:val="22"/>
          <w:lang w:val="en-GB"/>
        </w:rPr>
        <w:endnoteReference w:id="86"/>
      </w:r>
    </w:p>
    <w:p w14:paraId="01D4652E" w14:textId="63CFE1F7" w:rsidR="00251276" w:rsidRDefault="002E36DE">
      <w:pPr>
        <w:pStyle w:val="Heading2"/>
        <w:spacing w:before="120" w:after="120"/>
        <w:ind w:left="0" w:hanging="426"/>
        <w:jc w:val="both"/>
        <w:rPr>
          <w:rFonts w:hAnsi="Times New Roman"/>
          <w:sz w:val="22"/>
          <w:szCs w:val="22"/>
          <w:lang w:val="es-US"/>
        </w:rPr>
      </w:pPr>
      <w:r w:rsidRPr="008219F2">
        <w:rPr>
          <w:rFonts w:hAnsi="Times New Roman"/>
          <w:sz w:val="22"/>
          <w:szCs w:val="22"/>
          <w:lang w:val="es-US"/>
        </w:rPr>
        <w:t>El hecho de que El Salvador no haya abordado sus violaciones sistémicas de los derechos humanos en sus sistemas penitenciarios antes de la pandemia pone a los presos en mayor riesgo de exposición a la enfermedad, y perpetúa aún más las múltiples violaciones atroces del PIDESC por parte de El Salvador.  La continuación de la detención de mujeres condenadas por delitos relacionados con el aborto u homicidios agravados, en violación de sus derechos, las somete a riesgos adicionales de nuevas violaciones de los derechos del PIDESC.  Esto incluye</w:t>
      </w:r>
      <w:r w:rsidR="00675613">
        <w:rPr>
          <w:rFonts w:hAnsi="Times New Roman"/>
          <w:sz w:val="22"/>
          <w:szCs w:val="22"/>
          <w:lang w:val="es-US"/>
        </w:rPr>
        <w:t xml:space="preserve"> Berta Arana, una de</w:t>
      </w:r>
      <w:r w:rsidRPr="008219F2">
        <w:rPr>
          <w:rFonts w:hAnsi="Times New Roman"/>
          <w:sz w:val="22"/>
          <w:szCs w:val="22"/>
          <w:lang w:val="es-US"/>
        </w:rPr>
        <w:t xml:space="preserve"> las mujeres que el UNWGAD encontró que habían sido detenidas arbitrariamente por delitos relacionados con el aborto.</w:t>
      </w:r>
      <w:r w:rsidRPr="00F36A0E">
        <w:rPr>
          <w:rStyle w:val="EndnoteReference"/>
          <w:rFonts w:hAnsi="Times New Roman"/>
          <w:sz w:val="22"/>
          <w:szCs w:val="22"/>
          <w:lang w:val="en-GB"/>
        </w:rPr>
        <w:endnoteReference w:id="87"/>
      </w:r>
      <w:r w:rsidRPr="008219F2">
        <w:rPr>
          <w:rFonts w:hAnsi="Times New Roman"/>
          <w:sz w:val="22"/>
          <w:szCs w:val="22"/>
          <w:lang w:val="es-US"/>
        </w:rPr>
        <w:t xml:space="preserve">  La continuación de la detención de estas mujeres contradice las orientaciones del Comité Permanente entre Organismos, la Oficina del Alto Comisionado de las Naciones Unidas para los Derechos Humanos (ACNUDH) y la Organización Mundial de la Salud (OMS), que piden a las autoridades que "pongan en libertad a toda persona cuya detención sea arbitraria o no se ajuste a las normas nacionales o internacionales".</w:t>
      </w:r>
      <w:r w:rsidRPr="00F36A0E">
        <w:rPr>
          <w:rStyle w:val="EndnoteReference"/>
          <w:rFonts w:hAnsi="Times New Roman"/>
          <w:sz w:val="22"/>
          <w:szCs w:val="22"/>
          <w:lang w:val="en-GB"/>
        </w:rPr>
        <w:endnoteReference w:id="88"/>
      </w:r>
      <w:r w:rsidR="00EF1A08" w:rsidRPr="008219F2">
        <w:rPr>
          <w:rFonts w:hAnsi="Times New Roman"/>
          <w:sz w:val="22"/>
          <w:szCs w:val="22"/>
          <w:lang w:val="es-US"/>
        </w:rPr>
        <w:t xml:space="preserve">  Las mujeres que están en prisión por delitos relacionados con el aborto están detenidas arbitrariamente y deben ser puestas </w:t>
      </w:r>
      <w:r w:rsidR="002A5A24" w:rsidRPr="008219F2">
        <w:rPr>
          <w:rFonts w:hAnsi="Times New Roman"/>
          <w:sz w:val="22"/>
          <w:szCs w:val="22"/>
          <w:lang w:val="es-US"/>
        </w:rPr>
        <w:t>en libertad inmediatamente</w:t>
      </w:r>
      <w:r w:rsidR="00327B58" w:rsidRPr="008219F2">
        <w:rPr>
          <w:rFonts w:hAnsi="Times New Roman"/>
          <w:sz w:val="22"/>
          <w:szCs w:val="22"/>
          <w:lang w:val="es-US"/>
        </w:rPr>
        <w:t xml:space="preserve">. </w:t>
      </w:r>
      <w:r w:rsidR="00945F8E" w:rsidRPr="008219F2">
        <w:rPr>
          <w:rFonts w:hAnsi="Times New Roman"/>
          <w:sz w:val="22"/>
          <w:szCs w:val="22"/>
          <w:lang w:val="es-US"/>
        </w:rPr>
        <w:t xml:space="preserve">  </w:t>
      </w:r>
    </w:p>
    <w:p w14:paraId="342F11EF" w14:textId="290F8042" w:rsidR="00907BE8" w:rsidRPr="008219F2" w:rsidRDefault="00C90F0C" w:rsidP="008219F2">
      <w:pPr>
        <w:pStyle w:val="BodyText"/>
        <w:rPr>
          <w:lang w:val="es-US"/>
        </w:rPr>
      </w:pPr>
      <w:r>
        <w:rPr>
          <w:lang w:val="es-US"/>
        </w:rPr>
        <w:t>En el momento en que este documento es redactado, solo Berta</w:t>
      </w:r>
      <w:r w:rsidR="00675613">
        <w:rPr>
          <w:lang w:val="es-US"/>
        </w:rPr>
        <w:t xml:space="preserve"> Arana sigue privada de su libertad, y en condiciones de riesgo derivadas de la falla en atención en salud. </w:t>
      </w:r>
    </w:p>
    <w:p w14:paraId="66410E1A" w14:textId="77777777" w:rsidR="00251276" w:rsidRPr="008219F2" w:rsidRDefault="002E36DE">
      <w:pPr>
        <w:pStyle w:val="Heading1"/>
        <w:spacing w:before="120" w:after="120"/>
        <w:ind w:left="426" w:hanging="426"/>
        <w:jc w:val="both"/>
        <w:rPr>
          <w:sz w:val="22"/>
          <w:szCs w:val="22"/>
          <w:lang w:val="es-US"/>
        </w:rPr>
      </w:pPr>
      <w:r w:rsidRPr="008219F2">
        <w:rPr>
          <w:sz w:val="22"/>
          <w:szCs w:val="22"/>
          <w:lang w:val="es-US"/>
        </w:rPr>
        <w:t xml:space="preserve">Recomendaciones sugeridas para que el </w:t>
      </w:r>
      <w:r w:rsidR="0002511F" w:rsidRPr="008219F2">
        <w:rPr>
          <w:sz w:val="22"/>
          <w:szCs w:val="22"/>
          <w:lang w:val="es-US"/>
        </w:rPr>
        <w:t xml:space="preserve">Comité </w:t>
      </w:r>
      <w:r w:rsidR="00F50F76" w:rsidRPr="008219F2">
        <w:rPr>
          <w:sz w:val="22"/>
          <w:szCs w:val="22"/>
          <w:lang w:val="es-US"/>
        </w:rPr>
        <w:t xml:space="preserve">incluya en el informe sobre </w:t>
      </w:r>
      <w:r w:rsidR="008E1C93" w:rsidRPr="008219F2">
        <w:rPr>
          <w:sz w:val="22"/>
          <w:szCs w:val="22"/>
          <w:lang w:val="es-US"/>
        </w:rPr>
        <w:t xml:space="preserve">El </w:t>
      </w:r>
      <w:r w:rsidR="0002511F" w:rsidRPr="008219F2">
        <w:rPr>
          <w:sz w:val="22"/>
          <w:szCs w:val="22"/>
          <w:lang w:val="es-US"/>
        </w:rPr>
        <w:t xml:space="preserve">Salvador </w:t>
      </w:r>
    </w:p>
    <w:p w14:paraId="68C6E9F6" w14:textId="391CA2D0" w:rsidR="00251276" w:rsidRPr="008219F2" w:rsidRDefault="002E36DE">
      <w:pPr>
        <w:pStyle w:val="Heading2"/>
        <w:spacing w:before="120" w:after="120"/>
        <w:ind w:left="0" w:hanging="426"/>
        <w:jc w:val="both"/>
        <w:rPr>
          <w:rFonts w:hAnsi="Times New Roman"/>
          <w:sz w:val="22"/>
          <w:szCs w:val="22"/>
          <w:lang w:val="es-US"/>
        </w:rPr>
      </w:pPr>
      <w:r w:rsidRPr="008219F2">
        <w:rPr>
          <w:rFonts w:hAnsi="Times New Roman"/>
          <w:sz w:val="22"/>
          <w:szCs w:val="22"/>
          <w:lang w:val="es-US"/>
        </w:rPr>
        <w:t xml:space="preserve">El CRR solicita respetuosamente que </w:t>
      </w:r>
      <w:r w:rsidR="00067CD5" w:rsidRPr="008219F2">
        <w:rPr>
          <w:rFonts w:hAnsi="Times New Roman"/>
          <w:bCs/>
          <w:sz w:val="22"/>
          <w:szCs w:val="22"/>
          <w:lang w:val="es-US"/>
        </w:rPr>
        <w:t xml:space="preserve">el Comité </w:t>
      </w:r>
      <w:r w:rsidR="00A94855">
        <w:rPr>
          <w:rFonts w:hAnsi="Times New Roman"/>
          <w:bCs/>
          <w:sz w:val="22"/>
          <w:szCs w:val="22"/>
          <w:lang w:val="es-US"/>
        </w:rPr>
        <w:t>recomiende</w:t>
      </w:r>
      <w:r w:rsidR="00A94855" w:rsidRPr="008219F2">
        <w:rPr>
          <w:rFonts w:hAnsi="Times New Roman"/>
          <w:bCs/>
          <w:sz w:val="22"/>
          <w:szCs w:val="22"/>
          <w:lang w:val="es-US"/>
        </w:rPr>
        <w:t xml:space="preserve"> </w:t>
      </w:r>
      <w:r w:rsidR="00505720" w:rsidRPr="008219F2">
        <w:rPr>
          <w:rFonts w:hAnsi="Times New Roman"/>
          <w:sz w:val="22"/>
          <w:szCs w:val="22"/>
          <w:lang w:val="es-US"/>
        </w:rPr>
        <w:t xml:space="preserve">a </w:t>
      </w:r>
      <w:r w:rsidRPr="008219F2">
        <w:rPr>
          <w:rFonts w:hAnsi="Times New Roman"/>
          <w:sz w:val="22"/>
          <w:szCs w:val="22"/>
          <w:lang w:val="es-US"/>
        </w:rPr>
        <w:t xml:space="preserve">El Salvador </w:t>
      </w:r>
      <w:r w:rsidR="0002511F" w:rsidRPr="008219F2">
        <w:rPr>
          <w:rFonts w:hAnsi="Times New Roman"/>
          <w:sz w:val="22"/>
          <w:szCs w:val="22"/>
          <w:lang w:val="es-US"/>
        </w:rPr>
        <w:t>lo siguiente:</w:t>
      </w:r>
    </w:p>
    <w:p w14:paraId="02A3F10B" w14:textId="77777777" w:rsidR="006A490D" w:rsidRDefault="002E36DE" w:rsidP="006A490D">
      <w:pPr>
        <w:pStyle w:val="Heading3"/>
        <w:numPr>
          <w:ilvl w:val="0"/>
          <w:numId w:val="10"/>
        </w:numPr>
        <w:jc w:val="both"/>
        <w:rPr>
          <w:rFonts w:hAnsi="Times New Roman"/>
          <w:sz w:val="22"/>
          <w:szCs w:val="22"/>
          <w:lang w:val="es-US"/>
        </w:rPr>
      </w:pPr>
      <w:r w:rsidRPr="008219F2">
        <w:rPr>
          <w:rFonts w:hAnsi="Times New Roman"/>
          <w:sz w:val="22"/>
          <w:szCs w:val="22"/>
          <w:lang w:val="es-US"/>
        </w:rPr>
        <w:t xml:space="preserve">Avanzar hacia la despenalización total del </w:t>
      </w:r>
      <w:r w:rsidR="00D5169B" w:rsidRPr="008219F2">
        <w:rPr>
          <w:rFonts w:hAnsi="Times New Roman"/>
          <w:sz w:val="22"/>
          <w:szCs w:val="22"/>
          <w:lang w:val="es-US"/>
        </w:rPr>
        <w:t xml:space="preserve">aborto y </w:t>
      </w:r>
      <w:r w:rsidRPr="008219F2">
        <w:rPr>
          <w:rFonts w:hAnsi="Times New Roman"/>
          <w:sz w:val="22"/>
          <w:szCs w:val="22"/>
          <w:lang w:val="es-US"/>
        </w:rPr>
        <w:t xml:space="preserve">tomar todas las medidas disponibles para evitar la criminalización de las emergencias obstétricas </w:t>
      </w:r>
      <w:r w:rsidR="002F7532" w:rsidRPr="008219F2">
        <w:rPr>
          <w:rFonts w:hAnsi="Times New Roman"/>
          <w:sz w:val="22"/>
          <w:szCs w:val="22"/>
          <w:lang w:val="es-US"/>
        </w:rPr>
        <w:t xml:space="preserve">en el país, específicamente entre </w:t>
      </w:r>
      <w:r w:rsidR="00336096" w:rsidRPr="008219F2">
        <w:rPr>
          <w:rFonts w:hAnsi="Times New Roman"/>
          <w:sz w:val="22"/>
          <w:szCs w:val="22"/>
          <w:lang w:val="es-US"/>
        </w:rPr>
        <w:t xml:space="preserve">las mujeres que viven en la pobreza. </w:t>
      </w:r>
    </w:p>
    <w:p w14:paraId="732F2C96" w14:textId="1FCFD17A" w:rsidR="009212B0" w:rsidRPr="006A490D" w:rsidRDefault="009212B0" w:rsidP="006A490D">
      <w:pPr>
        <w:pStyle w:val="Heading3"/>
        <w:numPr>
          <w:ilvl w:val="0"/>
          <w:numId w:val="10"/>
        </w:numPr>
        <w:jc w:val="both"/>
        <w:rPr>
          <w:rFonts w:hAnsi="Times New Roman"/>
          <w:sz w:val="22"/>
          <w:szCs w:val="22"/>
          <w:lang w:val="es-US"/>
        </w:rPr>
      </w:pPr>
      <w:r w:rsidRPr="006A490D">
        <w:rPr>
          <w:lang w:val="es-US"/>
        </w:rPr>
        <w:t>Avanzar hacia el cumplimiento de los lineamientos de aborto de la OMS en el pa</w:t>
      </w:r>
      <w:r w:rsidRPr="006A490D">
        <w:rPr>
          <w:lang w:val="es-US"/>
        </w:rPr>
        <w:t>í</w:t>
      </w:r>
      <w:r w:rsidRPr="006A490D">
        <w:rPr>
          <w:lang w:val="es-US"/>
        </w:rPr>
        <w:t>s, desde el Derecho a la informaci</w:t>
      </w:r>
      <w:r w:rsidRPr="006A490D">
        <w:rPr>
          <w:lang w:val="es-US"/>
        </w:rPr>
        <w:t>ó</w:t>
      </w:r>
      <w:r w:rsidRPr="006A490D">
        <w:rPr>
          <w:lang w:val="es-US"/>
        </w:rPr>
        <w:t xml:space="preserve">n, hasta protocolos para la </w:t>
      </w:r>
      <w:r w:rsidR="006A490D" w:rsidRPr="006A490D">
        <w:rPr>
          <w:lang w:val="es-US"/>
        </w:rPr>
        <w:t>prestaci</w:t>
      </w:r>
      <w:r w:rsidR="006A490D" w:rsidRPr="006A490D">
        <w:rPr>
          <w:lang w:val="es-US"/>
        </w:rPr>
        <w:t>ó</w:t>
      </w:r>
      <w:r w:rsidR="006A490D" w:rsidRPr="006A490D">
        <w:rPr>
          <w:lang w:val="es-US"/>
        </w:rPr>
        <w:t xml:space="preserve">n del servicio. </w:t>
      </w:r>
    </w:p>
    <w:p w14:paraId="57CA1203" w14:textId="77777777" w:rsidR="00251276" w:rsidRPr="008219F2" w:rsidRDefault="002E36DE">
      <w:pPr>
        <w:pStyle w:val="Heading3"/>
        <w:numPr>
          <w:ilvl w:val="0"/>
          <w:numId w:val="10"/>
        </w:numPr>
        <w:jc w:val="both"/>
        <w:rPr>
          <w:rFonts w:hAnsi="Times New Roman"/>
          <w:sz w:val="22"/>
          <w:szCs w:val="22"/>
          <w:lang w:val="es-US"/>
        </w:rPr>
      </w:pPr>
      <w:r w:rsidRPr="008219F2">
        <w:rPr>
          <w:rFonts w:hAnsi="Times New Roman"/>
          <w:sz w:val="22"/>
          <w:szCs w:val="22"/>
          <w:lang w:val="es-US"/>
        </w:rPr>
        <w:t xml:space="preserve">Promover los cambios necesarios en su </w:t>
      </w:r>
      <w:r w:rsidR="009C7933" w:rsidRPr="008219F2">
        <w:rPr>
          <w:rFonts w:hAnsi="Times New Roman"/>
          <w:sz w:val="22"/>
          <w:szCs w:val="22"/>
          <w:lang w:val="es-US"/>
        </w:rPr>
        <w:t xml:space="preserve">sistema de salud, para evitar y eliminar toda forma de discriminación en el acceso a la salud, específicamente durante el embarazo y el parto. </w:t>
      </w:r>
    </w:p>
    <w:p w14:paraId="7E21E5FC" w14:textId="1A9ED67D" w:rsidR="00251276" w:rsidRPr="008219F2" w:rsidRDefault="002E36DE">
      <w:pPr>
        <w:pStyle w:val="Heading3"/>
        <w:numPr>
          <w:ilvl w:val="0"/>
          <w:numId w:val="10"/>
        </w:numPr>
        <w:jc w:val="both"/>
        <w:rPr>
          <w:rFonts w:hAnsi="Times New Roman"/>
          <w:sz w:val="22"/>
          <w:szCs w:val="22"/>
          <w:lang w:val="es-US"/>
        </w:rPr>
      </w:pPr>
      <w:r w:rsidRPr="008219F2">
        <w:rPr>
          <w:rFonts w:hAnsi="Times New Roman"/>
          <w:sz w:val="22"/>
          <w:szCs w:val="22"/>
          <w:lang w:val="es-US"/>
        </w:rPr>
        <w:t xml:space="preserve">Implementar completa </w:t>
      </w:r>
      <w:r w:rsidR="002F7532" w:rsidRPr="008219F2">
        <w:rPr>
          <w:rFonts w:hAnsi="Times New Roman"/>
          <w:sz w:val="22"/>
          <w:szCs w:val="22"/>
          <w:lang w:val="es-US"/>
        </w:rPr>
        <w:t xml:space="preserve">y oportunamente </w:t>
      </w:r>
      <w:r w:rsidRPr="008219F2">
        <w:rPr>
          <w:rFonts w:hAnsi="Times New Roman"/>
          <w:sz w:val="22"/>
          <w:szCs w:val="22"/>
          <w:lang w:val="es-US"/>
        </w:rPr>
        <w:t xml:space="preserve">la decisión "Manuela Vs El </w:t>
      </w:r>
      <w:r w:rsidR="00E24F29" w:rsidRPr="008219F2">
        <w:rPr>
          <w:rFonts w:hAnsi="Times New Roman"/>
          <w:sz w:val="22"/>
          <w:szCs w:val="22"/>
          <w:lang w:val="es-US"/>
        </w:rPr>
        <w:t>Salvador</w:t>
      </w:r>
      <w:r w:rsidR="00656EB7" w:rsidRPr="008219F2">
        <w:rPr>
          <w:rFonts w:hAnsi="Times New Roman"/>
          <w:sz w:val="22"/>
          <w:szCs w:val="22"/>
          <w:lang w:val="es-US"/>
        </w:rPr>
        <w:t>, emitida por la Corte Interamericana de Derechos Humanos el 2021</w:t>
      </w:r>
      <w:r w:rsidR="00E24F29" w:rsidRPr="008219F2">
        <w:rPr>
          <w:rFonts w:hAnsi="Times New Roman"/>
          <w:sz w:val="22"/>
          <w:szCs w:val="22"/>
          <w:lang w:val="es-US"/>
        </w:rPr>
        <w:t xml:space="preserve">, incluyendo las órdenes relativas a </w:t>
      </w:r>
      <w:r w:rsidR="00A94855">
        <w:rPr>
          <w:rFonts w:hAnsi="Times New Roman"/>
          <w:sz w:val="22"/>
          <w:szCs w:val="22"/>
          <w:lang w:val="es-US"/>
        </w:rPr>
        <w:t>adecuar la</w:t>
      </w:r>
      <w:r w:rsidR="00A94855" w:rsidRPr="008219F2">
        <w:rPr>
          <w:rFonts w:hAnsi="Times New Roman"/>
          <w:sz w:val="22"/>
          <w:szCs w:val="22"/>
          <w:lang w:val="es-US"/>
        </w:rPr>
        <w:t xml:space="preserve"> </w:t>
      </w:r>
      <w:r w:rsidR="00E24F29" w:rsidRPr="008219F2">
        <w:rPr>
          <w:rFonts w:hAnsi="Times New Roman"/>
          <w:sz w:val="22"/>
          <w:szCs w:val="22"/>
          <w:lang w:val="es-US"/>
        </w:rPr>
        <w:t xml:space="preserve">regulación del secreto profesional en el país. </w:t>
      </w:r>
    </w:p>
    <w:p w14:paraId="75810023" w14:textId="77777777" w:rsidR="00251276" w:rsidRPr="008219F2" w:rsidRDefault="002E36DE">
      <w:pPr>
        <w:pStyle w:val="BodyText"/>
        <w:numPr>
          <w:ilvl w:val="0"/>
          <w:numId w:val="10"/>
        </w:numPr>
        <w:jc w:val="both"/>
        <w:rPr>
          <w:rFonts w:ascii="Times New Roman" w:hAnsi="Times New Roman"/>
          <w:szCs w:val="22"/>
          <w:lang w:val="es-US"/>
        </w:rPr>
      </w:pPr>
      <w:r w:rsidRPr="008219F2">
        <w:rPr>
          <w:rFonts w:ascii="Times New Roman" w:hAnsi="Times New Roman"/>
          <w:szCs w:val="22"/>
          <w:lang w:val="es-US"/>
        </w:rPr>
        <w:t xml:space="preserve">Promover </w:t>
      </w:r>
      <w:r w:rsidR="00D5169B" w:rsidRPr="008219F2">
        <w:rPr>
          <w:rFonts w:ascii="Times New Roman" w:hAnsi="Times New Roman"/>
          <w:szCs w:val="22"/>
          <w:lang w:val="es-US"/>
        </w:rPr>
        <w:t xml:space="preserve">una adecuada </w:t>
      </w:r>
      <w:r w:rsidRPr="008219F2">
        <w:rPr>
          <w:rFonts w:ascii="Times New Roman" w:hAnsi="Times New Roman"/>
          <w:szCs w:val="22"/>
          <w:lang w:val="es-US"/>
        </w:rPr>
        <w:t xml:space="preserve">información sobre los derechos reproductivos entre </w:t>
      </w:r>
      <w:r w:rsidR="00DB502A" w:rsidRPr="008219F2">
        <w:rPr>
          <w:rFonts w:ascii="Times New Roman" w:hAnsi="Times New Roman"/>
          <w:szCs w:val="22"/>
          <w:lang w:val="es-US"/>
        </w:rPr>
        <w:t xml:space="preserve">el personal sanitario de todos los ámbitos y niveles, incidiendo </w:t>
      </w:r>
      <w:r w:rsidR="00457006" w:rsidRPr="008219F2">
        <w:rPr>
          <w:rFonts w:ascii="Times New Roman" w:hAnsi="Times New Roman"/>
          <w:szCs w:val="22"/>
          <w:lang w:val="es-US"/>
        </w:rPr>
        <w:t xml:space="preserve">especialmente en las medidas para la no criminalización de los pacientes. </w:t>
      </w:r>
    </w:p>
    <w:p w14:paraId="70EF27D6" w14:textId="77777777" w:rsidR="00251276" w:rsidRPr="008219F2" w:rsidRDefault="002E36DE">
      <w:pPr>
        <w:pStyle w:val="BodyText"/>
        <w:numPr>
          <w:ilvl w:val="0"/>
          <w:numId w:val="10"/>
        </w:numPr>
        <w:jc w:val="both"/>
        <w:rPr>
          <w:rFonts w:ascii="Times New Roman" w:hAnsi="Times New Roman"/>
          <w:szCs w:val="22"/>
          <w:lang w:val="es-US"/>
        </w:rPr>
      </w:pPr>
      <w:r w:rsidRPr="008219F2">
        <w:rPr>
          <w:rFonts w:ascii="Times New Roman" w:hAnsi="Times New Roman"/>
          <w:szCs w:val="22"/>
          <w:lang w:val="es-US"/>
        </w:rPr>
        <w:t xml:space="preserve">Avanzar hacia la garantía de una educación sexual integral en el país, </w:t>
      </w:r>
      <w:r w:rsidR="00097823" w:rsidRPr="008219F2">
        <w:rPr>
          <w:rFonts w:ascii="Times New Roman" w:hAnsi="Times New Roman"/>
          <w:szCs w:val="22"/>
          <w:lang w:val="es-US"/>
        </w:rPr>
        <w:t xml:space="preserve">en todas las etapas del proceso educativo. </w:t>
      </w:r>
    </w:p>
    <w:p w14:paraId="21D836F4" w14:textId="77777777" w:rsidR="00251276" w:rsidRPr="008219F2" w:rsidRDefault="002E36DE">
      <w:pPr>
        <w:pStyle w:val="Heading2"/>
        <w:spacing w:before="120"/>
        <w:ind w:left="0" w:hanging="426"/>
        <w:jc w:val="both"/>
        <w:rPr>
          <w:rFonts w:hAnsi="Times New Roman"/>
          <w:sz w:val="22"/>
          <w:szCs w:val="22"/>
          <w:lang w:val="es-US"/>
        </w:rPr>
      </w:pPr>
      <w:r w:rsidRPr="008219F2">
        <w:rPr>
          <w:rFonts w:hAnsi="Times New Roman"/>
          <w:sz w:val="22"/>
          <w:szCs w:val="22"/>
          <w:lang w:val="es-US"/>
        </w:rPr>
        <w:t xml:space="preserve">Apreciamos el compromiso de larga data </w:t>
      </w:r>
      <w:r w:rsidR="00067CD5" w:rsidRPr="008219F2">
        <w:rPr>
          <w:rFonts w:hAnsi="Times New Roman"/>
          <w:bCs/>
          <w:sz w:val="22"/>
          <w:szCs w:val="22"/>
          <w:lang w:val="es-US"/>
        </w:rPr>
        <w:t xml:space="preserve">del Comité </w:t>
      </w:r>
      <w:r w:rsidRPr="008219F2">
        <w:rPr>
          <w:rFonts w:hAnsi="Times New Roman"/>
          <w:sz w:val="22"/>
          <w:szCs w:val="22"/>
          <w:lang w:val="es-US"/>
        </w:rPr>
        <w:t>con los derechos reproductivos y la erradicación de la discriminación en la prestación de servicios de salud reproductiva. Si tiene alguna pregunta o desea más información, no dude en ponerse en contacto con el abajo firmante.</w:t>
      </w:r>
    </w:p>
    <w:p w14:paraId="7EC0EC01" w14:textId="4D6A7048" w:rsidR="00251276" w:rsidRDefault="002E36DE">
      <w:pPr>
        <w:pStyle w:val="Heading2"/>
        <w:numPr>
          <w:ilvl w:val="0"/>
          <w:numId w:val="0"/>
        </w:numPr>
        <w:spacing w:before="0" w:after="0"/>
        <w:jc w:val="both"/>
        <w:rPr>
          <w:rFonts w:hAnsi="Times New Roman"/>
          <w:sz w:val="22"/>
          <w:szCs w:val="22"/>
        </w:rPr>
      </w:pPr>
      <w:r w:rsidRPr="00F36A0E">
        <w:rPr>
          <w:rFonts w:hAnsi="Times New Roman"/>
          <w:sz w:val="22"/>
          <w:szCs w:val="22"/>
        </w:rPr>
        <w:t>Respetuosamente,</w:t>
      </w:r>
    </w:p>
    <w:tbl>
      <w:tblPr>
        <w:tblStyle w:val="TableGrid"/>
        <w:tblW w:w="972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30"/>
        <w:gridCol w:w="4590"/>
      </w:tblGrid>
      <w:tr w:rsidR="005B10D2" w:rsidRPr="00F36A0E" w14:paraId="151BC8B7" w14:textId="77777777" w:rsidTr="005B10D2">
        <w:trPr>
          <w:jc w:val="center"/>
        </w:trPr>
        <w:tc>
          <w:tcPr>
            <w:tcW w:w="5130" w:type="dxa"/>
            <w:shd w:val="clear" w:color="auto" w:fill="auto"/>
          </w:tcPr>
          <w:p w14:paraId="3E295D11" w14:textId="77777777" w:rsidR="000609EB" w:rsidRPr="00F36A0E" w:rsidRDefault="000609EB" w:rsidP="005B10D2">
            <w:pPr>
              <w:pStyle w:val="ListParagraph"/>
              <w:spacing w:line="276" w:lineRule="auto"/>
              <w:ind w:left="249"/>
              <w:jc w:val="both"/>
              <w:rPr>
                <w:rFonts w:ascii="Times New Roman" w:hAnsi="Times New Roman" w:cs="Times New Roman"/>
                <w:lang w:val="es-ES"/>
              </w:rPr>
            </w:pPr>
            <w:r w:rsidRPr="00F36A0E">
              <w:rPr>
                <w:rFonts w:ascii="Times New Roman" w:hAnsi="Times New Roman"/>
                <w:noProof/>
                <w:lang w:val="en-GB" w:eastAsia="en-GB"/>
              </w:rPr>
              <w:drawing>
                <wp:inline distT="0" distB="0" distL="0" distR="0" wp14:anchorId="62E5C688" wp14:editId="6AD9725C">
                  <wp:extent cx="1405719" cy="504967"/>
                  <wp:effectExtent l="0" t="0" r="4445" b="0"/>
                  <wp:docPr id="4" name="Pictur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88806" cy="534814"/>
                          </a:xfrm>
                          <a:prstGeom prst="rect">
                            <a:avLst/>
                          </a:prstGeom>
                          <a:noFill/>
                          <a:ln>
                            <a:noFill/>
                          </a:ln>
                        </pic:spPr>
                      </pic:pic>
                    </a:graphicData>
                  </a:graphic>
                </wp:inline>
              </w:drawing>
            </w:r>
          </w:p>
          <w:p w14:paraId="4A2AD980" w14:textId="77777777" w:rsidR="00251276" w:rsidRDefault="002E36DE">
            <w:pPr>
              <w:pStyle w:val="ListParagraph"/>
              <w:spacing w:line="276" w:lineRule="auto"/>
              <w:ind w:left="249"/>
              <w:jc w:val="both"/>
              <w:rPr>
                <w:rFonts w:ascii="Times New Roman" w:hAnsi="Times New Roman" w:cs="Times New Roman"/>
                <w:lang w:val="es-ES"/>
              </w:rPr>
            </w:pPr>
            <w:r w:rsidRPr="00F36A0E">
              <w:rPr>
                <w:rFonts w:ascii="Times New Roman" w:hAnsi="Times New Roman" w:cs="Times New Roman"/>
                <w:lang w:val="es-ES"/>
              </w:rPr>
              <w:t xml:space="preserve">p/Catalina Martínez </w:t>
            </w:r>
            <w:r w:rsidR="00B874B3" w:rsidRPr="00F36A0E">
              <w:rPr>
                <w:rFonts w:ascii="Times New Roman" w:hAnsi="Times New Roman" w:cs="Times New Roman"/>
                <w:lang w:val="es-ES"/>
              </w:rPr>
              <w:t>Coral</w:t>
            </w:r>
          </w:p>
          <w:p w14:paraId="68E6D625" w14:textId="77777777" w:rsidR="00251276" w:rsidRDefault="002E36DE">
            <w:pPr>
              <w:pStyle w:val="ListParagraph"/>
              <w:spacing w:line="276" w:lineRule="auto"/>
              <w:ind w:left="249"/>
              <w:jc w:val="both"/>
              <w:rPr>
                <w:rFonts w:ascii="Times New Roman" w:hAnsi="Times New Roman" w:cs="Times New Roman"/>
                <w:b/>
                <w:bCs/>
                <w:lang w:val="es-ES"/>
              </w:rPr>
            </w:pPr>
            <w:r w:rsidRPr="00F36A0E">
              <w:rPr>
                <w:rFonts w:ascii="Times New Roman" w:hAnsi="Times New Roman" w:cs="Times New Roman"/>
                <w:b/>
                <w:bCs/>
                <w:lang w:val="es-ES"/>
              </w:rPr>
              <w:t xml:space="preserve">Catalina Martínez </w:t>
            </w:r>
            <w:r w:rsidR="00B874B3" w:rsidRPr="00F36A0E">
              <w:rPr>
                <w:rFonts w:ascii="Times New Roman" w:hAnsi="Times New Roman" w:cs="Times New Roman"/>
                <w:b/>
                <w:bCs/>
                <w:lang w:val="es-ES"/>
              </w:rPr>
              <w:t>Coral</w:t>
            </w:r>
          </w:p>
          <w:p w14:paraId="7AB230B0" w14:textId="77777777" w:rsidR="00251276" w:rsidRPr="008219F2" w:rsidRDefault="002E36DE">
            <w:pPr>
              <w:pStyle w:val="ListParagraph"/>
              <w:spacing w:line="276" w:lineRule="auto"/>
              <w:ind w:left="249"/>
              <w:jc w:val="both"/>
              <w:rPr>
                <w:rFonts w:ascii="Times New Roman" w:hAnsi="Times New Roman" w:cs="Times New Roman"/>
                <w:lang w:val="es-US"/>
              </w:rPr>
            </w:pPr>
            <w:r w:rsidRPr="008219F2">
              <w:rPr>
                <w:rFonts w:ascii="Times New Roman" w:hAnsi="Times New Roman"/>
                <w:lang w:val="es-US"/>
              </w:rPr>
              <w:t xml:space="preserve">Directora Regional del Programa para América Latina y el Caribe del </w:t>
            </w:r>
            <w:r w:rsidR="000609EB" w:rsidRPr="008219F2">
              <w:rPr>
                <w:rFonts w:ascii="Times New Roman" w:hAnsi="Times New Roman"/>
                <w:lang w:val="es-US"/>
              </w:rPr>
              <w:t>Centro de Derechos Reproductivos</w:t>
            </w:r>
          </w:p>
          <w:p w14:paraId="2102DBAE" w14:textId="77777777" w:rsidR="00251276" w:rsidRDefault="00DB4CD5">
            <w:pPr>
              <w:ind w:left="249"/>
              <w:jc w:val="both"/>
              <w:rPr>
                <w:rFonts w:ascii="Times New Roman" w:hAnsi="Times New Roman" w:cs="Times New Roman"/>
                <w:lang w:val="es-ES"/>
              </w:rPr>
            </w:pPr>
            <w:hyperlink r:id="rId13" w:history="1">
              <w:r w:rsidR="00817B63" w:rsidRPr="00F36A0E">
                <w:rPr>
                  <w:rStyle w:val="Hyperlink"/>
                  <w:rFonts w:ascii="Times New Roman" w:hAnsi="Times New Roman" w:cs="Times New Roman"/>
                  <w:lang w:val="es-ES"/>
                </w:rPr>
                <w:t xml:space="preserve">cmartinez@reprorights.org </w:t>
              </w:r>
            </w:hyperlink>
          </w:p>
        </w:tc>
        <w:tc>
          <w:tcPr>
            <w:tcW w:w="4590" w:type="dxa"/>
            <w:shd w:val="clear" w:color="auto" w:fill="auto"/>
          </w:tcPr>
          <w:p w14:paraId="646FCBF3" w14:textId="77777777" w:rsidR="000609EB" w:rsidRPr="00F36A0E" w:rsidRDefault="000609EB" w:rsidP="00556632">
            <w:pPr>
              <w:spacing w:line="276" w:lineRule="auto"/>
              <w:ind w:left="720"/>
              <w:jc w:val="both"/>
              <w:rPr>
                <w:rFonts w:ascii="Times New Roman" w:hAnsi="Times New Roman" w:cs="Times New Roman"/>
                <w:lang w:val="es-ES"/>
              </w:rPr>
            </w:pPr>
          </w:p>
          <w:p w14:paraId="2FF00C1C" w14:textId="77777777" w:rsidR="000609EB" w:rsidRPr="00F36A0E" w:rsidRDefault="000609EB" w:rsidP="00556632">
            <w:pPr>
              <w:spacing w:line="276" w:lineRule="auto"/>
              <w:ind w:left="720"/>
              <w:jc w:val="both"/>
              <w:rPr>
                <w:rFonts w:ascii="Times New Roman" w:hAnsi="Times New Roman" w:cs="Times New Roman"/>
                <w:lang w:val="es-ES"/>
              </w:rPr>
            </w:pPr>
          </w:p>
          <w:p w14:paraId="270D580E" w14:textId="77777777" w:rsidR="000609EB" w:rsidRPr="00F36A0E" w:rsidRDefault="000609EB" w:rsidP="00556632">
            <w:pPr>
              <w:spacing w:line="276" w:lineRule="auto"/>
              <w:ind w:left="720"/>
              <w:jc w:val="both"/>
              <w:rPr>
                <w:rFonts w:ascii="Times New Roman" w:hAnsi="Times New Roman" w:cs="Times New Roman"/>
                <w:lang w:val="es-ES"/>
              </w:rPr>
            </w:pPr>
          </w:p>
          <w:p w14:paraId="05B272EA" w14:textId="77777777" w:rsidR="00251276" w:rsidRPr="008219F2" w:rsidRDefault="002E36DE">
            <w:pPr>
              <w:spacing w:line="276" w:lineRule="auto"/>
              <w:ind w:left="254"/>
              <w:jc w:val="both"/>
              <w:rPr>
                <w:rFonts w:ascii="Times New Roman" w:hAnsi="Times New Roman" w:cs="Times New Roman"/>
                <w:lang w:val="es-US"/>
              </w:rPr>
            </w:pPr>
            <w:r w:rsidRPr="008219F2">
              <w:rPr>
                <w:rFonts w:ascii="Times New Roman" w:hAnsi="Times New Roman"/>
                <w:lang w:val="es-US"/>
              </w:rPr>
              <w:t xml:space="preserve">p/Alejandra </w:t>
            </w:r>
            <w:r w:rsidR="00D5026E" w:rsidRPr="008219F2">
              <w:rPr>
                <w:rFonts w:ascii="Times New Roman" w:hAnsi="Times New Roman"/>
                <w:lang w:val="es-US"/>
              </w:rPr>
              <w:t xml:space="preserve">Coll Agudelo </w:t>
            </w:r>
          </w:p>
          <w:p w14:paraId="29EF202D" w14:textId="77777777" w:rsidR="00251276" w:rsidRPr="008219F2" w:rsidRDefault="002E36DE">
            <w:pPr>
              <w:pStyle w:val="ListParagraph"/>
              <w:spacing w:line="276" w:lineRule="auto"/>
              <w:ind w:left="254"/>
              <w:rPr>
                <w:rFonts w:ascii="Times New Roman" w:hAnsi="Times New Roman" w:cs="Times New Roman"/>
                <w:b/>
                <w:bCs/>
                <w:lang w:val="es-US"/>
              </w:rPr>
            </w:pPr>
            <w:r w:rsidRPr="008219F2">
              <w:rPr>
                <w:rFonts w:ascii="Times New Roman" w:hAnsi="Times New Roman"/>
                <w:b/>
                <w:bCs/>
                <w:lang w:val="es-US"/>
              </w:rPr>
              <w:t>Alejandra Coll Agudelo</w:t>
            </w:r>
          </w:p>
          <w:p w14:paraId="55B2156B" w14:textId="77777777" w:rsidR="00251276" w:rsidRPr="008219F2" w:rsidRDefault="002E36DE">
            <w:pPr>
              <w:pStyle w:val="ListParagraph"/>
              <w:spacing w:line="276" w:lineRule="auto"/>
              <w:ind w:left="254"/>
              <w:rPr>
                <w:rFonts w:ascii="Times New Roman" w:hAnsi="Times New Roman" w:cs="Times New Roman"/>
                <w:lang w:val="es-US"/>
              </w:rPr>
            </w:pPr>
            <w:r w:rsidRPr="008219F2">
              <w:rPr>
                <w:rFonts w:ascii="Times New Roman" w:hAnsi="Times New Roman"/>
                <w:lang w:val="es-US"/>
              </w:rPr>
              <w:t xml:space="preserve">Asesora del </w:t>
            </w:r>
            <w:r w:rsidR="00817B63" w:rsidRPr="008219F2">
              <w:rPr>
                <w:rFonts w:ascii="Times New Roman" w:hAnsi="Times New Roman"/>
                <w:lang w:val="es-US"/>
              </w:rPr>
              <w:t xml:space="preserve">Programa de América Latina y el Caribe del </w:t>
            </w:r>
            <w:r w:rsidR="000609EB" w:rsidRPr="008219F2">
              <w:rPr>
                <w:rFonts w:ascii="Times New Roman" w:hAnsi="Times New Roman"/>
                <w:lang w:val="es-US"/>
              </w:rPr>
              <w:t>Centro de Derechos Reproductivos</w:t>
            </w:r>
          </w:p>
          <w:p w14:paraId="2BEC971E" w14:textId="77777777" w:rsidR="00251276" w:rsidRDefault="00DB4CD5">
            <w:pPr>
              <w:spacing w:after="160" w:line="276" w:lineRule="auto"/>
              <w:ind w:left="254"/>
              <w:jc w:val="both"/>
              <w:rPr>
                <w:rFonts w:ascii="Times New Roman" w:hAnsi="Times New Roman" w:cs="Times New Roman"/>
                <w:lang w:val="en-CA"/>
              </w:rPr>
            </w:pPr>
            <w:hyperlink r:id="rId14" w:history="1">
              <w:r w:rsidR="002E36DE" w:rsidRPr="00F36A0E">
                <w:rPr>
                  <w:rStyle w:val="Hyperlink"/>
                  <w:rFonts w:ascii="Times New Roman" w:hAnsi="Times New Roman" w:cs="Times New Roman"/>
                  <w:lang w:val="en-CA"/>
                </w:rPr>
                <w:t>acoll@reprorights.org</w:t>
              </w:r>
            </w:hyperlink>
          </w:p>
        </w:tc>
      </w:tr>
      <w:tr w:rsidR="005B10D2" w:rsidRPr="00F36A0E" w14:paraId="797399F2" w14:textId="77777777" w:rsidTr="005B10D2">
        <w:trPr>
          <w:jc w:val="center"/>
        </w:trPr>
        <w:tc>
          <w:tcPr>
            <w:tcW w:w="5130" w:type="dxa"/>
            <w:shd w:val="clear" w:color="auto" w:fill="auto"/>
          </w:tcPr>
          <w:p w14:paraId="2E6E2D4C" w14:textId="77777777" w:rsidR="00251276" w:rsidRPr="008219F2" w:rsidRDefault="002E36DE">
            <w:pPr>
              <w:spacing w:line="276" w:lineRule="auto"/>
              <w:ind w:left="249"/>
              <w:jc w:val="both"/>
              <w:rPr>
                <w:rFonts w:ascii="Times New Roman" w:hAnsi="Times New Roman" w:cs="Times New Roman"/>
                <w:lang w:val="es-US"/>
              </w:rPr>
            </w:pPr>
            <w:r w:rsidRPr="008219F2">
              <w:rPr>
                <w:rFonts w:ascii="Times New Roman" w:hAnsi="Times New Roman"/>
                <w:lang w:val="es-US"/>
              </w:rPr>
              <w:t xml:space="preserve">p/Sara </w:t>
            </w:r>
            <w:r w:rsidR="00D5026E" w:rsidRPr="008219F2">
              <w:rPr>
                <w:rFonts w:ascii="Times New Roman" w:hAnsi="Times New Roman"/>
                <w:lang w:val="es-US"/>
              </w:rPr>
              <w:t>García Gross</w:t>
            </w:r>
          </w:p>
          <w:p w14:paraId="53CC7674" w14:textId="77777777" w:rsidR="00251276" w:rsidRPr="008219F2" w:rsidRDefault="002E36DE">
            <w:pPr>
              <w:spacing w:line="276" w:lineRule="auto"/>
              <w:ind w:left="249"/>
              <w:jc w:val="both"/>
              <w:rPr>
                <w:rFonts w:ascii="Times New Roman" w:hAnsi="Times New Roman" w:cs="Times New Roman"/>
                <w:b/>
                <w:bCs/>
                <w:lang w:val="es-US"/>
              </w:rPr>
            </w:pPr>
            <w:r w:rsidRPr="008219F2">
              <w:rPr>
                <w:rFonts w:ascii="Times New Roman" w:hAnsi="Times New Roman"/>
                <w:b/>
                <w:bCs/>
                <w:lang w:val="es-US"/>
              </w:rPr>
              <w:t>Sara García Gross</w:t>
            </w:r>
          </w:p>
          <w:p w14:paraId="65E922AB" w14:textId="77777777" w:rsidR="00251276" w:rsidRPr="008219F2" w:rsidRDefault="002E36DE">
            <w:pPr>
              <w:spacing w:line="276" w:lineRule="auto"/>
              <w:ind w:left="249"/>
              <w:jc w:val="both"/>
              <w:rPr>
                <w:rFonts w:ascii="Times New Roman" w:hAnsi="Times New Roman" w:cs="Times New Roman"/>
                <w:lang w:val="es-US"/>
              </w:rPr>
            </w:pPr>
            <w:r w:rsidRPr="008219F2">
              <w:rPr>
                <w:rFonts w:ascii="Times New Roman" w:hAnsi="Times New Roman"/>
                <w:lang w:val="es-US"/>
              </w:rPr>
              <w:t>Abogar por</w:t>
            </w:r>
          </w:p>
          <w:p w14:paraId="3BE3F4DB" w14:textId="77777777" w:rsidR="00251276" w:rsidRDefault="002E36DE">
            <w:pPr>
              <w:spacing w:line="276" w:lineRule="auto"/>
              <w:ind w:left="249"/>
              <w:jc w:val="both"/>
              <w:rPr>
                <w:rFonts w:ascii="Times New Roman" w:hAnsi="Times New Roman" w:cs="Times New Roman"/>
                <w:lang w:val="es-CO"/>
              </w:rPr>
            </w:pPr>
            <w:r w:rsidRPr="00F36A0E">
              <w:rPr>
                <w:rFonts w:ascii="Times New Roman" w:hAnsi="Times New Roman" w:cs="Times New Roman"/>
                <w:lang w:val="es-CO"/>
              </w:rPr>
              <w:t>Agrupación Ciudadana por la despenalización del aborto</w:t>
            </w:r>
          </w:p>
          <w:p w14:paraId="33353D44" w14:textId="77777777" w:rsidR="00251276" w:rsidRDefault="00DB4CD5">
            <w:pPr>
              <w:spacing w:line="276" w:lineRule="auto"/>
              <w:ind w:left="249"/>
              <w:jc w:val="both"/>
              <w:rPr>
                <w:rFonts w:ascii="Times New Roman" w:hAnsi="Times New Roman" w:cs="Times New Roman"/>
                <w:lang w:val="en-CA"/>
              </w:rPr>
            </w:pPr>
            <w:hyperlink r:id="rId15" w:history="1">
              <w:r w:rsidR="002E36DE" w:rsidRPr="00F36A0E">
                <w:rPr>
                  <w:rStyle w:val="Hyperlink"/>
                  <w:rFonts w:ascii="Times New Roman" w:hAnsi="Times New Roman" w:cs="Times New Roman"/>
                  <w:lang w:val="en-CA"/>
                </w:rPr>
                <w:t xml:space="preserve">saragarciagross@gmail.com </w:t>
              </w:r>
            </w:hyperlink>
          </w:p>
        </w:tc>
        <w:tc>
          <w:tcPr>
            <w:tcW w:w="4590" w:type="dxa"/>
            <w:shd w:val="clear" w:color="auto" w:fill="auto"/>
          </w:tcPr>
          <w:p w14:paraId="53E382BB" w14:textId="77777777" w:rsidR="00AC1701" w:rsidRPr="008219F2" w:rsidRDefault="000609EB" w:rsidP="00AC1701">
            <w:pPr>
              <w:spacing w:line="276" w:lineRule="auto"/>
              <w:ind w:left="720"/>
              <w:jc w:val="both"/>
              <w:rPr>
                <w:rFonts w:ascii="Times New Roman" w:hAnsi="Times New Roman" w:cs="Times New Roman"/>
                <w:lang w:val="es-US"/>
              </w:rPr>
            </w:pPr>
            <w:r w:rsidRPr="008219F2">
              <w:rPr>
                <w:rFonts w:ascii="Times New Roman" w:hAnsi="Times New Roman"/>
                <w:lang w:val="es-US"/>
              </w:rPr>
              <w:t xml:space="preserve"> </w:t>
            </w:r>
            <w:r w:rsidR="00AC1701" w:rsidRPr="008219F2">
              <w:rPr>
                <w:rFonts w:ascii="Times New Roman" w:hAnsi="Times New Roman"/>
                <w:lang w:val="es-US"/>
              </w:rPr>
              <w:t xml:space="preserve"> </w:t>
            </w:r>
          </w:p>
          <w:p w14:paraId="1C7C2D07" w14:textId="77777777" w:rsidR="00251276" w:rsidRPr="008219F2" w:rsidRDefault="002E36DE">
            <w:pPr>
              <w:spacing w:line="276" w:lineRule="auto"/>
              <w:ind w:left="720"/>
              <w:jc w:val="both"/>
              <w:rPr>
                <w:rFonts w:ascii="Times New Roman" w:hAnsi="Times New Roman" w:cs="Times New Roman"/>
                <w:lang w:val="es-US"/>
              </w:rPr>
            </w:pPr>
            <w:r w:rsidRPr="008219F2">
              <w:rPr>
                <w:rFonts w:ascii="Times New Roman" w:hAnsi="Times New Roman"/>
                <w:lang w:val="es-US"/>
              </w:rPr>
              <w:t>p/Morena Herrera</w:t>
            </w:r>
          </w:p>
          <w:p w14:paraId="62D8186B" w14:textId="77777777" w:rsidR="00251276" w:rsidRPr="008219F2" w:rsidRDefault="002E36DE">
            <w:pPr>
              <w:spacing w:line="276" w:lineRule="auto"/>
              <w:ind w:left="720"/>
              <w:jc w:val="both"/>
              <w:rPr>
                <w:rFonts w:ascii="Times New Roman" w:hAnsi="Times New Roman" w:cs="Times New Roman"/>
                <w:b/>
                <w:bCs/>
                <w:lang w:val="es-US"/>
              </w:rPr>
            </w:pPr>
            <w:r w:rsidRPr="008219F2">
              <w:rPr>
                <w:rFonts w:ascii="Times New Roman" w:hAnsi="Times New Roman"/>
                <w:b/>
                <w:bCs/>
                <w:lang w:val="es-US"/>
              </w:rPr>
              <w:t>Morena Herrera</w:t>
            </w:r>
          </w:p>
          <w:p w14:paraId="172DA787" w14:textId="77777777" w:rsidR="00251276" w:rsidRPr="008219F2" w:rsidRDefault="002E36DE">
            <w:pPr>
              <w:spacing w:line="276" w:lineRule="auto"/>
              <w:ind w:left="720"/>
              <w:jc w:val="both"/>
              <w:rPr>
                <w:rFonts w:ascii="Times New Roman" w:hAnsi="Times New Roman" w:cs="Times New Roman"/>
                <w:lang w:val="es-US"/>
              </w:rPr>
            </w:pPr>
            <w:r w:rsidRPr="008219F2">
              <w:rPr>
                <w:rFonts w:ascii="Times New Roman" w:hAnsi="Times New Roman"/>
                <w:lang w:val="es-US"/>
              </w:rPr>
              <w:t>Coordinador</w:t>
            </w:r>
          </w:p>
          <w:p w14:paraId="4D8093AC" w14:textId="77777777" w:rsidR="00251276" w:rsidRDefault="002E36DE">
            <w:pPr>
              <w:spacing w:line="276" w:lineRule="auto"/>
              <w:ind w:left="720"/>
              <w:jc w:val="both"/>
              <w:rPr>
                <w:rFonts w:ascii="Times New Roman" w:hAnsi="Times New Roman" w:cs="Times New Roman"/>
                <w:lang w:val="es-CO"/>
              </w:rPr>
            </w:pPr>
            <w:r w:rsidRPr="00F36A0E">
              <w:rPr>
                <w:rFonts w:ascii="Times New Roman" w:hAnsi="Times New Roman" w:cs="Times New Roman"/>
                <w:lang w:val="es-CO"/>
              </w:rPr>
              <w:t>Agrupación ciudadana para la despenalización del aborto.</w:t>
            </w:r>
          </w:p>
          <w:p w14:paraId="58AE1F13" w14:textId="77777777" w:rsidR="00251276" w:rsidRDefault="002E36DE">
            <w:pPr>
              <w:spacing w:line="276" w:lineRule="auto"/>
              <w:ind w:left="720"/>
              <w:jc w:val="both"/>
              <w:rPr>
                <w:rFonts w:ascii="Times New Roman" w:hAnsi="Times New Roman" w:cs="Times New Roman"/>
                <w:lang w:val="es-CO"/>
              </w:rPr>
            </w:pPr>
            <w:r w:rsidRPr="00F36A0E">
              <w:rPr>
                <w:rFonts w:ascii="Times New Roman" w:hAnsi="Times New Roman" w:cs="Times New Roman"/>
                <w:lang w:val="es-CO"/>
              </w:rPr>
              <w:t xml:space="preserve">msherreraa@gmail.com. </w:t>
            </w:r>
          </w:p>
        </w:tc>
      </w:tr>
    </w:tbl>
    <w:p w14:paraId="52AF4B43" w14:textId="54398829" w:rsidR="004239B3" w:rsidRPr="00F36A0E" w:rsidRDefault="004239B3" w:rsidP="00F8597F">
      <w:pPr>
        <w:pStyle w:val="Heading2"/>
        <w:numPr>
          <w:ilvl w:val="0"/>
          <w:numId w:val="0"/>
        </w:numPr>
        <w:spacing w:before="120" w:after="120"/>
        <w:jc w:val="both"/>
        <w:rPr>
          <w:rFonts w:hAnsi="Times New Roman"/>
          <w:sz w:val="22"/>
          <w:szCs w:val="22"/>
          <w:lang w:val="es-CO"/>
        </w:rPr>
      </w:pPr>
    </w:p>
    <w:sectPr w:rsidR="004239B3" w:rsidRPr="00F36A0E" w:rsidSect="00B911C4">
      <w:headerReference w:type="default" r:id="rId16"/>
      <w:footerReference w:type="even" r:id="rId17"/>
      <w:footerReference w:type="default" r:id="rId18"/>
      <w:headerReference w:type="first" r:id="rId19"/>
      <w:footerReference w:type="first" r:id="rId20"/>
      <w:endnotePr>
        <w:numFmt w:val="decimal"/>
      </w:endnotePr>
      <w:pgSz w:w="11909" w:h="16834" w:code="9"/>
      <w:pgMar w:top="1843" w:right="1561" w:bottom="1800" w:left="1800" w:header="864" w:footer="432" w:gutter="0"/>
      <w:cols w:space="720"/>
      <w:titlePg/>
      <w:docGrid w:linePitch="360"/>
    </w:sectPr>
  </w:body>
</w:document>
</file>

<file path=word/customizations.xml><?xml version="1.0" encoding="utf-8"?>
<wne:tcg xmlns:r="http://schemas.openxmlformats.org/officeDocument/2006/relationships" xmlns:wne="http://schemas.microsoft.com/office/word/2006/wordml">
  <wne:keymaps>
    <wne:keymap wne:kcmPrimary="0631">
      <wne:acd wne:acdName="acd0"/>
    </wne:keymap>
    <wne:keymap wne:kcmPrimary="0632">
      <wne:acd wne:acdName="acd1"/>
    </wne:keymap>
    <wne:keymap wne:kcmPrimary="0633">
      <wne:acd wne:acdName="acd2"/>
    </wne:keymap>
  </wne:keymaps>
  <wne:toolbars>
    <wne:acdManifest>
      <wne:acdEntry wne:acdName="acd0"/>
      <wne:acdEntry wne:acdName="acd1"/>
      <wne:acdEntry wne:acdName="acd2"/>
    </wne:acdManifest>
  </wne:toolbars>
  <wne:acds>
    <wne:acd wne:argValue="AgBDAGgAYQBwAHQAZQByACAAUABhAHIAYQAgADEA" wne:acdName="acd0" wne:fciIndexBasedOn="0065"/>
    <wne:acd wne:argValue="AgBDAGgAYQBwAHQAZQByACAAUABhAHIAYQAgADIA" wne:acdName="acd1" wne:fciIndexBasedOn="0065"/>
    <wne:acd wne:argValue="AgBDAGgAYQBwAHQAZQByACAAUABhAHIAYQAgADMA" wne:acdName="acd2"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CFE28E" w14:textId="77777777" w:rsidR="000629A0" w:rsidRDefault="000629A0" w:rsidP="008D37B0">
      <w:r>
        <w:separator/>
      </w:r>
    </w:p>
  </w:endnote>
  <w:endnote w:type="continuationSeparator" w:id="0">
    <w:p w14:paraId="39A8E629" w14:textId="77777777" w:rsidR="000629A0" w:rsidRPr="004A740C" w:rsidRDefault="000629A0" w:rsidP="004A740C">
      <w:pPr>
        <w:pStyle w:val="Footer"/>
      </w:pPr>
    </w:p>
  </w:endnote>
  <w:endnote w:id="1">
    <w:p w14:paraId="2C6DEC3C" w14:textId="77777777" w:rsidR="00251276" w:rsidRPr="008219F2" w:rsidRDefault="002E36DE">
      <w:pPr>
        <w:pStyle w:val="EndnoteText"/>
        <w:jc w:val="both"/>
        <w:rPr>
          <w:sz w:val="16"/>
          <w:szCs w:val="16"/>
          <w:lang w:val="es-US"/>
        </w:rPr>
      </w:pPr>
      <w:r w:rsidRPr="00755A43">
        <w:rPr>
          <w:rStyle w:val="EndnoteReference"/>
          <w:sz w:val="16"/>
          <w:szCs w:val="16"/>
        </w:rPr>
        <w:endnoteRef/>
      </w:r>
      <w:r w:rsidRPr="008219F2">
        <w:rPr>
          <w:sz w:val="16"/>
          <w:szCs w:val="16"/>
          <w:lang w:val="es-US"/>
        </w:rPr>
        <w:t xml:space="preserve"> </w:t>
      </w:r>
      <w:r w:rsidRPr="008219F2">
        <w:rPr>
          <w:sz w:val="16"/>
          <w:szCs w:val="16"/>
          <w:lang w:val="es-US"/>
        </w:rPr>
        <w:tab/>
        <w:t>El Comité, Observación General 22 (2016) sobre el derecho a la salud sexual y reproductiva (artículo 12 del Pacto Internacional de Derechos Económicos, Sociales y Culturales (2 de mayo de 2016), E/C.12/GC/22 ¶ 2 [en adelante "Observación General 22"].</w:t>
      </w:r>
    </w:p>
  </w:endnote>
  <w:endnote w:id="2">
    <w:p w14:paraId="100C7BA9" w14:textId="77777777" w:rsidR="00251276" w:rsidRPr="008219F2" w:rsidRDefault="002E36DE">
      <w:pPr>
        <w:pStyle w:val="EndnoteText"/>
        <w:jc w:val="both"/>
        <w:rPr>
          <w:sz w:val="16"/>
          <w:szCs w:val="16"/>
          <w:lang w:val="es-US"/>
        </w:rPr>
      </w:pPr>
      <w:r w:rsidRPr="00755A43">
        <w:rPr>
          <w:rStyle w:val="EndnoteReference"/>
          <w:sz w:val="16"/>
          <w:szCs w:val="16"/>
        </w:rPr>
        <w:endnoteRef/>
      </w:r>
      <w:r w:rsidRPr="008219F2">
        <w:rPr>
          <w:sz w:val="16"/>
          <w:szCs w:val="16"/>
          <w:lang w:val="es-US"/>
        </w:rPr>
        <w:tab/>
        <w:t xml:space="preserve"> El Comité, </w:t>
      </w:r>
      <w:r w:rsidRPr="008219F2">
        <w:rPr>
          <w:i/>
          <w:sz w:val="16"/>
          <w:szCs w:val="16"/>
          <w:lang w:val="es-US"/>
        </w:rPr>
        <w:t xml:space="preserve">Observaciones finales </w:t>
      </w:r>
      <w:r w:rsidRPr="008219F2">
        <w:rPr>
          <w:sz w:val="16"/>
          <w:szCs w:val="16"/>
          <w:lang w:val="es-US"/>
        </w:rPr>
        <w:t>(2014) (El Salvador), UN. Doc. No. E/C.12/SLV/CO/3-5, ¶ 22 [en adelante "Observaciones finales sobre El Salvador (2014)"].</w:t>
      </w:r>
    </w:p>
  </w:endnote>
  <w:endnote w:id="3">
    <w:p w14:paraId="49F0CF45" w14:textId="77777777" w:rsidR="00251276" w:rsidRPr="008219F2" w:rsidRDefault="002E36DE">
      <w:pPr>
        <w:pStyle w:val="EndnoteText"/>
        <w:jc w:val="both"/>
        <w:rPr>
          <w:sz w:val="16"/>
          <w:szCs w:val="16"/>
          <w:lang w:val="es-US"/>
        </w:rPr>
      </w:pPr>
      <w:r w:rsidRPr="00755A43">
        <w:rPr>
          <w:rStyle w:val="EndnoteReference"/>
          <w:sz w:val="16"/>
          <w:szCs w:val="16"/>
        </w:rPr>
        <w:endnoteRef/>
      </w:r>
      <w:r w:rsidRPr="008219F2">
        <w:rPr>
          <w:sz w:val="16"/>
          <w:szCs w:val="16"/>
          <w:lang w:val="es-US"/>
        </w:rPr>
        <w:tab/>
        <w:t xml:space="preserve"> En 2018, el Comité de Derechos Humanos expresó su preocupación por la prohibición total del aborto y las condenas desproporcionadas de las mujeres, incluidas las que han sufrido emergencias obstétricas, así como la alta tasa de mortalidad materna debido a los abortos inseguros. Comité de Derechos Humanos, </w:t>
      </w:r>
      <w:r w:rsidRPr="008219F2">
        <w:rPr>
          <w:i/>
          <w:sz w:val="16"/>
          <w:szCs w:val="16"/>
          <w:lang w:val="es-US"/>
        </w:rPr>
        <w:t xml:space="preserve">Observaciones finales </w:t>
      </w:r>
      <w:r w:rsidRPr="008219F2">
        <w:rPr>
          <w:sz w:val="16"/>
          <w:szCs w:val="16"/>
          <w:lang w:val="es-US"/>
        </w:rPr>
        <w:t xml:space="preserve">(El Salvador) (2018), CCPR/C/SLV/CO/7, ¶ 15. </w:t>
      </w:r>
    </w:p>
  </w:endnote>
  <w:endnote w:id="4">
    <w:p w14:paraId="364C71D8" w14:textId="77777777" w:rsidR="00251276" w:rsidRPr="008219F2" w:rsidRDefault="002E36DE">
      <w:pPr>
        <w:pStyle w:val="EndnoteText"/>
        <w:jc w:val="both"/>
        <w:rPr>
          <w:sz w:val="16"/>
          <w:szCs w:val="16"/>
          <w:lang w:val="es-US"/>
        </w:rPr>
      </w:pPr>
      <w:r w:rsidRPr="00755A43">
        <w:rPr>
          <w:rStyle w:val="EndnoteReference"/>
          <w:sz w:val="16"/>
          <w:szCs w:val="16"/>
        </w:rPr>
        <w:endnoteRef/>
      </w:r>
      <w:r w:rsidRPr="009A0691">
        <w:rPr>
          <w:sz w:val="16"/>
          <w:szCs w:val="16"/>
          <w:lang w:val="pt-BR"/>
        </w:rPr>
        <w:tab/>
        <w:t xml:space="preserve"> El Salvador, Código </w:t>
      </w:r>
      <w:r w:rsidRPr="009A0691">
        <w:rPr>
          <w:sz w:val="16"/>
          <w:szCs w:val="16"/>
          <w:lang w:val="pt-BR"/>
        </w:rPr>
        <w:tab/>
        <w:t xml:space="preserve">Penal de 1998, arts. </w:t>
      </w:r>
      <w:r w:rsidRPr="008219F2">
        <w:rPr>
          <w:sz w:val="16"/>
          <w:szCs w:val="16"/>
          <w:lang w:val="es-US"/>
        </w:rPr>
        <w:t xml:space="preserve">133 - 137. Disponible en: </w:t>
      </w:r>
      <w:hyperlink r:id="rId1" w:history="1">
        <w:r w:rsidRPr="008219F2">
          <w:rPr>
            <w:rStyle w:val="Hyperlink"/>
            <w:sz w:val="16"/>
            <w:szCs w:val="16"/>
            <w:lang w:val="es-US"/>
          </w:rPr>
          <w:t>https://www.oas.org/dil/esp/Codigo_Penal_El_Salvador.pdf</w:t>
        </w:r>
      </w:hyperlink>
    </w:p>
  </w:endnote>
  <w:endnote w:id="5">
    <w:p w14:paraId="2DB834E6" w14:textId="77777777" w:rsidR="00251276" w:rsidRPr="008219F2" w:rsidRDefault="002E36DE">
      <w:pPr>
        <w:pStyle w:val="EndnoteText"/>
        <w:jc w:val="both"/>
        <w:rPr>
          <w:sz w:val="16"/>
          <w:szCs w:val="16"/>
          <w:lang w:val="es-US"/>
        </w:rPr>
      </w:pPr>
      <w:r w:rsidRPr="00755A43">
        <w:rPr>
          <w:rStyle w:val="EndnoteReference"/>
          <w:sz w:val="16"/>
          <w:szCs w:val="16"/>
        </w:rPr>
        <w:endnoteRef/>
      </w:r>
      <w:r w:rsidRPr="008219F2">
        <w:rPr>
          <w:sz w:val="16"/>
          <w:szCs w:val="16"/>
          <w:lang w:val="es-US"/>
        </w:rPr>
        <w:tab/>
        <w:t xml:space="preserve"> Constitución Política de El Salvador, art. 1 (1998), disponible en: </w:t>
      </w:r>
      <w:hyperlink r:id="rId2" w:history="1">
        <w:r w:rsidRPr="008219F2">
          <w:rPr>
            <w:rStyle w:val="Hyperlink"/>
            <w:color w:val="auto"/>
            <w:sz w:val="16"/>
            <w:szCs w:val="16"/>
            <w:lang w:val="es-US"/>
          </w:rPr>
          <w:t>http:</w:t>
        </w:r>
      </w:hyperlink>
      <w:r w:rsidRPr="008219F2">
        <w:rPr>
          <w:sz w:val="16"/>
          <w:szCs w:val="16"/>
          <w:lang w:val="es-US"/>
        </w:rPr>
        <w:t>//www.asamblea.gob.sv/eparlamento/indice-legislativo/buscador-de-documentos-legislativos/constitucion-de-larepublica.</w:t>
      </w:r>
    </w:p>
  </w:endnote>
  <w:endnote w:id="6">
    <w:p w14:paraId="3162B4D9" w14:textId="77777777" w:rsidR="00251276" w:rsidRPr="008219F2" w:rsidRDefault="002E36DE">
      <w:pPr>
        <w:pStyle w:val="EndnoteText"/>
        <w:jc w:val="both"/>
        <w:rPr>
          <w:sz w:val="16"/>
          <w:szCs w:val="16"/>
          <w:lang w:val="es-US"/>
        </w:rPr>
      </w:pPr>
      <w:r w:rsidRPr="00755A43">
        <w:rPr>
          <w:rStyle w:val="EndnoteReference"/>
          <w:sz w:val="16"/>
          <w:szCs w:val="16"/>
        </w:rPr>
        <w:endnoteRef/>
      </w:r>
      <w:r w:rsidRPr="008219F2">
        <w:rPr>
          <w:sz w:val="16"/>
          <w:szCs w:val="16"/>
          <w:lang w:val="es-US"/>
        </w:rPr>
        <w:tab/>
        <w:t xml:space="preserve"> Código Penal de 1998, artículos 128-132.</w:t>
      </w:r>
    </w:p>
  </w:endnote>
  <w:endnote w:id="7">
    <w:p w14:paraId="32C0B1BD" w14:textId="77777777" w:rsidR="00251276" w:rsidRPr="008219F2" w:rsidRDefault="002E36DE">
      <w:pPr>
        <w:pStyle w:val="EndnoteText"/>
        <w:jc w:val="both"/>
        <w:rPr>
          <w:b/>
          <w:color w:val="333333"/>
          <w:sz w:val="16"/>
          <w:szCs w:val="16"/>
          <w:lang w:val="es-US"/>
        </w:rPr>
      </w:pPr>
      <w:r w:rsidRPr="00755A43">
        <w:rPr>
          <w:rStyle w:val="EndnoteReference"/>
          <w:sz w:val="16"/>
          <w:szCs w:val="16"/>
        </w:rPr>
        <w:endnoteRef/>
      </w:r>
      <w:r w:rsidRPr="008219F2">
        <w:rPr>
          <w:sz w:val="16"/>
          <w:szCs w:val="16"/>
          <w:lang w:val="es-US"/>
        </w:rPr>
        <w:tab/>
        <w:t xml:space="preserve"> Comisión Interamericana de Derechos Humanos, </w:t>
      </w:r>
      <w:r w:rsidRPr="008219F2">
        <w:rPr>
          <w:i/>
          <w:sz w:val="16"/>
          <w:szCs w:val="16"/>
          <w:lang w:val="es-US"/>
        </w:rPr>
        <w:t xml:space="preserve">La CIDH presenta sus observaciones preliminares tras su visita </w:t>
      </w:r>
      <w:r w:rsidRPr="008219F2">
        <w:rPr>
          <w:i/>
          <w:iCs/>
          <w:sz w:val="16"/>
          <w:szCs w:val="16"/>
          <w:lang w:val="es-US"/>
        </w:rPr>
        <w:t xml:space="preserve">in loco </w:t>
      </w:r>
      <w:r w:rsidRPr="008219F2">
        <w:rPr>
          <w:i/>
          <w:sz w:val="16"/>
          <w:szCs w:val="16"/>
          <w:lang w:val="es-US"/>
        </w:rPr>
        <w:t>a El Salvador, Observaciones preliminares</w:t>
      </w:r>
      <w:r w:rsidRPr="008219F2">
        <w:rPr>
          <w:sz w:val="16"/>
          <w:szCs w:val="16"/>
          <w:lang w:val="es-US"/>
        </w:rPr>
        <w:t xml:space="preserve">, 27 de diciembre de 2019. Disponible en: </w:t>
      </w:r>
      <w:hyperlink r:id="rId3" w:history="1">
        <w:r w:rsidRPr="008219F2">
          <w:rPr>
            <w:rStyle w:val="Hyperlink"/>
            <w:color w:val="auto"/>
            <w:sz w:val="16"/>
            <w:szCs w:val="16"/>
            <w:lang w:val="es-US"/>
          </w:rPr>
          <w:t>http://www.oas.org/en/iachr/media_center/PReleases/2019/335.asp</w:t>
        </w:r>
      </w:hyperlink>
      <w:r w:rsidRPr="008219F2">
        <w:rPr>
          <w:sz w:val="16"/>
          <w:szCs w:val="16"/>
          <w:lang w:val="es-US"/>
        </w:rPr>
        <w:t xml:space="preserve"> (consultado por última vez el 6 de julio de 2020). Véase también, </w:t>
      </w:r>
      <w:r w:rsidRPr="008219F2">
        <w:rPr>
          <w:i/>
          <w:sz w:val="16"/>
          <w:szCs w:val="16"/>
          <w:lang w:val="es-US"/>
        </w:rPr>
        <w:t>Informe Del Hospital a la Cárcel</w:t>
      </w:r>
      <w:r w:rsidRPr="008219F2">
        <w:rPr>
          <w:sz w:val="16"/>
          <w:szCs w:val="16"/>
          <w:lang w:val="es-US"/>
        </w:rPr>
        <w:t>, p. 5.</w:t>
      </w:r>
    </w:p>
  </w:endnote>
  <w:endnote w:id="8">
    <w:p w14:paraId="256F6F63" w14:textId="77777777" w:rsidR="00251276" w:rsidRPr="008219F2" w:rsidRDefault="002E36DE">
      <w:pPr>
        <w:pStyle w:val="EndnoteText"/>
        <w:jc w:val="both"/>
        <w:rPr>
          <w:sz w:val="16"/>
          <w:szCs w:val="16"/>
          <w:lang w:val="es-US"/>
        </w:rPr>
      </w:pPr>
      <w:r w:rsidRPr="00755A43">
        <w:rPr>
          <w:rStyle w:val="EndnoteReference"/>
          <w:sz w:val="16"/>
          <w:szCs w:val="16"/>
        </w:rPr>
        <w:endnoteRef/>
      </w:r>
      <w:r w:rsidRPr="008219F2">
        <w:rPr>
          <w:sz w:val="16"/>
          <w:szCs w:val="16"/>
          <w:lang w:val="es-US"/>
        </w:rPr>
        <w:tab/>
        <w:t xml:space="preserve"> Comisión Interamericana de Derechos Humanos, </w:t>
      </w:r>
      <w:r w:rsidRPr="008219F2">
        <w:rPr>
          <w:i/>
          <w:sz w:val="16"/>
          <w:szCs w:val="16"/>
          <w:lang w:val="es-US"/>
        </w:rPr>
        <w:t xml:space="preserve">La CIDH presenta sus observaciones preliminares tras su visita </w:t>
      </w:r>
      <w:r w:rsidRPr="008219F2">
        <w:rPr>
          <w:i/>
          <w:iCs/>
          <w:sz w:val="16"/>
          <w:szCs w:val="16"/>
          <w:lang w:val="es-US"/>
        </w:rPr>
        <w:t xml:space="preserve">in loco </w:t>
      </w:r>
      <w:r w:rsidRPr="008219F2">
        <w:rPr>
          <w:i/>
          <w:sz w:val="16"/>
          <w:szCs w:val="16"/>
          <w:lang w:val="es-US"/>
        </w:rPr>
        <w:t>a El Salvador, Observaciones preliminares</w:t>
      </w:r>
      <w:r w:rsidRPr="008219F2">
        <w:rPr>
          <w:sz w:val="16"/>
          <w:szCs w:val="16"/>
          <w:lang w:val="es-US"/>
        </w:rPr>
        <w:t xml:space="preserve">, 27 de diciembre de 2019. Disponible </w:t>
      </w:r>
      <w:r w:rsidRPr="008219F2">
        <w:rPr>
          <w:color w:val="333333"/>
          <w:sz w:val="16"/>
          <w:szCs w:val="16"/>
          <w:lang w:val="es-US"/>
        </w:rPr>
        <w:t xml:space="preserve">en: </w:t>
      </w:r>
      <w:hyperlink r:id="rId4" w:history="1">
        <w:r w:rsidRPr="008219F2">
          <w:rPr>
            <w:rStyle w:val="Hyperlink"/>
            <w:sz w:val="16"/>
            <w:szCs w:val="16"/>
            <w:lang w:val="es-US"/>
          </w:rPr>
          <w:t>http://www.oas.org/en/iachr/media_center/PReleases/2019/335.asp</w:t>
        </w:r>
      </w:hyperlink>
      <w:r w:rsidRPr="008219F2">
        <w:rPr>
          <w:sz w:val="16"/>
          <w:szCs w:val="16"/>
          <w:lang w:val="es-US"/>
        </w:rPr>
        <w:t xml:space="preserve"> (consultado por última vez el 6 de julio de 2020).  </w:t>
      </w:r>
      <w:r w:rsidRPr="008219F2">
        <w:rPr>
          <w:i/>
          <w:iCs/>
          <w:sz w:val="16"/>
          <w:szCs w:val="16"/>
          <w:lang w:val="es-US"/>
        </w:rPr>
        <w:t>Informe Del hospital a la cárcel</w:t>
      </w:r>
      <w:r w:rsidRPr="008219F2">
        <w:rPr>
          <w:sz w:val="16"/>
          <w:szCs w:val="16"/>
          <w:lang w:val="es-US"/>
        </w:rPr>
        <w:t>, pp. 7. Por ejemplo, (i) el 68,22% de las mujeres tenía una edad comprendida entre los 18 y los 25 años, (ii) el 6,98% era analfabeta, el 40,31% tenía algún nivel de estudios primarios, el 11,63% tenía estudios secundarios y el 4,65% había completado estudios superiores (técnicos o universitarios), (iii) el 73,64% de las mujeres era soltera y (iv) el 51El 16% de las mujeres percibía algún ingreso, y el 31,78% tenía trabajos muy mal remunerados (Centro de Derechos Reproductivos, Marginadas, perseguidas y encarceladas: los efectos de la criminalización total del aborto en El Salvador (2014) ("Marginadas, perseguidas y encarceladas"), p. 13. Disponible en:</w:t>
      </w:r>
      <w:r w:rsidRPr="008219F2">
        <w:rPr>
          <w:sz w:val="16"/>
          <w:szCs w:val="16"/>
          <w:lang w:val="es-US"/>
        </w:rPr>
        <w:br/>
      </w:r>
      <w:hyperlink r:id="rId5" w:history="1">
        <w:r w:rsidRPr="008219F2">
          <w:rPr>
            <w:rStyle w:val="Hyperlink"/>
            <w:sz w:val="16"/>
            <w:szCs w:val="16"/>
            <w:lang w:val="es-US"/>
          </w:rPr>
          <w:t>https://reproductiverights.org/sites/default/files/documents/El-Salvador-CriminalizationOfAbortion-Report.pdf</w:t>
        </w:r>
      </w:hyperlink>
      <w:r w:rsidRPr="008219F2">
        <w:rPr>
          <w:sz w:val="16"/>
          <w:szCs w:val="16"/>
          <w:lang w:val="es-US"/>
        </w:rPr>
        <w:t xml:space="preserve"> (consultado por última vez el 6 de julio de 2020).</w:t>
      </w:r>
    </w:p>
  </w:endnote>
  <w:endnote w:id="9">
    <w:p w14:paraId="3F10E6A2" w14:textId="77777777" w:rsidR="00251276" w:rsidRDefault="002E36DE">
      <w:pPr>
        <w:pStyle w:val="EndnoteText"/>
        <w:jc w:val="both"/>
        <w:rPr>
          <w:sz w:val="16"/>
          <w:szCs w:val="16"/>
          <w:lang w:val="es-AR"/>
        </w:rPr>
      </w:pPr>
      <w:r w:rsidRPr="00755A43">
        <w:rPr>
          <w:rStyle w:val="EndnoteReference"/>
          <w:sz w:val="16"/>
          <w:szCs w:val="16"/>
        </w:rPr>
        <w:endnoteRef/>
      </w:r>
      <w:r w:rsidRPr="000F4F99">
        <w:rPr>
          <w:sz w:val="16"/>
          <w:szCs w:val="16"/>
          <w:lang w:val="es-AR"/>
        </w:rPr>
        <w:tab/>
        <w:t xml:space="preserve"> La Agrupación </w:t>
      </w:r>
      <w:r w:rsidRPr="00755A43">
        <w:rPr>
          <w:sz w:val="16"/>
          <w:szCs w:val="16"/>
          <w:lang w:val="es"/>
        </w:rPr>
        <w:t xml:space="preserve">Ciudadana, Informe </w:t>
      </w:r>
      <w:r w:rsidRPr="00755A43">
        <w:rPr>
          <w:i/>
          <w:sz w:val="16"/>
          <w:szCs w:val="16"/>
          <w:lang w:val="es"/>
        </w:rPr>
        <w:t>del Hospital a la Cárcel</w:t>
      </w:r>
      <w:r w:rsidRPr="00755A43">
        <w:rPr>
          <w:sz w:val="16"/>
          <w:szCs w:val="16"/>
          <w:lang w:val="es"/>
        </w:rPr>
        <w:t xml:space="preserve">, 5. </w:t>
      </w:r>
    </w:p>
  </w:endnote>
  <w:endnote w:id="10">
    <w:p w14:paraId="066C9B23" w14:textId="77777777" w:rsidR="00251276" w:rsidRPr="008219F2" w:rsidRDefault="002E36DE">
      <w:pPr>
        <w:pStyle w:val="EndnoteText"/>
        <w:jc w:val="both"/>
        <w:rPr>
          <w:sz w:val="16"/>
          <w:szCs w:val="16"/>
          <w:lang w:val="es-US"/>
        </w:rPr>
      </w:pPr>
      <w:r w:rsidRPr="00755A43">
        <w:rPr>
          <w:rStyle w:val="EndnoteReference"/>
          <w:sz w:val="16"/>
          <w:szCs w:val="16"/>
        </w:rPr>
        <w:endnoteRef/>
      </w:r>
      <w:r w:rsidRPr="008219F2">
        <w:rPr>
          <w:sz w:val="16"/>
          <w:szCs w:val="16"/>
          <w:lang w:val="es-US"/>
        </w:rPr>
        <w:t xml:space="preserve"> </w:t>
      </w:r>
      <w:r w:rsidRPr="008219F2">
        <w:rPr>
          <w:sz w:val="16"/>
          <w:szCs w:val="16"/>
          <w:lang w:val="es-US"/>
        </w:rPr>
        <w:tab/>
      </w:r>
      <w:r w:rsidRPr="008219F2">
        <w:rPr>
          <w:i/>
          <w:sz w:val="16"/>
          <w:szCs w:val="16"/>
          <w:lang w:val="es-US"/>
        </w:rPr>
        <w:t>Ver Id.</w:t>
      </w:r>
      <w:r w:rsidRPr="008219F2">
        <w:rPr>
          <w:sz w:val="16"/>
          <w:szCs w:val="16"/>
          <w:lang w:val="es-US"/>
        </w:rPr>
        <w:t xml:space="preserve">; </w:t>
      </w:r>
      <w:r w:rsidRPr="008219F2">
        <w:rPr>
          <w:i/>
          <w:sz w:val="16"/>
          <w:szCs w:val="16"/>
          <w:lang w:val="es-US"/>
        </w:rPr>
        <w:t xml:space="preserve">ver también </w:t>
      </w:r>
      <w:r w:rsidRPr="008219F2">
        <w:rPr>
          <w:sz w:val="16"/>
          <w:szCs w:val="16"/>
          <w:lang w:val="es-US"/>
        </w:rPr>
        <w:t xml:space="preserve">Grupo de Trabajo contra la Detención Arbitraria, Opinión </w:t>
      </w:r>
      <w:r w:rsidRPr="008219F2">
        <w:rPr>
          <w:i/>
          <w:sz w:val="16"/>
          <w:szCs w:val="16"/>
          <w:lang w:val="es-US"/>
        </w:rPr>
        <w:t>19/2020</w:t>
      </w:r>
      <w:r w:rsidRPr="008219F2">
        <w:rPr>
          <w:sz w:val="16"/>
          <w:szCs w:val="16"/>
          <w:lang w:val="es-US"/>
        </w:rPr>
        <w:t xml:space="preserve">, 25 de junio de 2020, U.N. Doc. A/HRC/WGAD/2020/19, ¶ 64 [en adelante "Dictamen </w:t>
      </w:r>
      <w:r w:rsidRPr="008219F2">
        <w:rPr>
          <w:i/>
          <w:sz w:val="16"/>
          <w:szCs w:val="16"/>
          <w:lang w:val="es-US"/>
        </w:rPr>
        <w:t>19/2020</w:t>
      </w:r>
      <w:r w:rsidRPr="008219F2">
        <w:rPr>
          <w:sz w:val="16"/>
          <w:szCs w:val="16"/>
          <w:lang w:val="es-US"/>
        </w:rPr>
        <w:t xml:space="preserve">"]. </w:t>
      </w:r>
    </w:p>
  </w:endnote>
  <w:endnote w:id="11">
    <w:p w14:paraId="0F884FBB" w14:textId="77777777" w:rsidR="00251276" w:rsidRPr="008219F2" w:rsidRDefault="002E36DE">
      <w:pPr>
        <w:pStyle w:val="EndnoteText"/>
        <w:jc w:val="both"/>
        <w:rPr>
          <w:sz w:val="16"/>
          <w:szCs w:val="16"/>
          <w:lang w:val="es-US"/>
        </w:rPr>
      </w:pPr>
      <w:r w:rsidRPr="00755A43">
        <w:rPr>
          <w:rStyle w:val="EndnoteReference"/>
          <w:sz w:val="16"/>
          <w:szCs w:val="16"/>
        </w:rPr>
        <w:endnoteRef/>
      </w:r>
      <w:r w:rsidRPr="008219F2">
        <w:rPr>
          <w:sz w:val="16"/>
          <w:szCs w:val="16"/>
          <w:lang w:val="es-US"/>
        </w:rPr>
        <w:tab/>
        <w:t xml:space="preserve"> Grupo de Trabajo contra la Detención Arbitraria, </w:t>
      </w:r>
      <w:r w:rsidRPr="008219F2">
        <w:rPr>
          <w:i/>
          <w:sz w:val="16"/>
          <w:szCs w:val="16"/>
          <w:lang w:val="es-US"/>
        </w:rPr>
        <w:t xml:space="preserve">Dictamen 68/2019, </w:t>
      </w:r>
      <w:r w:rsidRPr="008219F2">
        <w:rPr>
          <w:sz w:val="16"/>
          <w:szCs w:val="16"/>
          <w:lang w:val="es-US"/>
        </w:rPr>
        <w:t xml:space="preserve">4 de marzo de 2020, U.N. Doc. A/HRC/WGAD/2019/68 [en adelante "Dictamen </w:t>
      </w:r>
      <w:r w:rsidRPr="008219F2">
        <w:rPr>
          <w:i/>
          <w:sz w:val="16"/>
          <w:szCs w:val="16"/>
          <w:lang w:val="es-US"/>
        </w:rPr>
        <w:t>68/2019</w:t>
      </w:r>
      <w:r w:rsidRPr="008219F2">
        <w:rPr>
          <w:sz w:val="16"/>
          <w:szCs w:val="16"/>
          <w:lang w:val="es-US"/>
        </w:rPr>
        <w:t xml:space="preserve">"]; </w:t>
      </w:r>
      <w:r w:rsidRPr="008219F2">
        <w:rPr>
          <w:i/>
          <w:sz w:val="16"/>
          <w:szCs w:val="16"/>
          <w:lang w:val="es-US"/>
        </w:rPr>
        <w:t>Dictamen 19/2020</w:t>
      </w:r>
      <w:r w:rsidRPr="008219F2">
        <w:rPr>
          <w:sz w:val="16"/>
          <w:szCs w:val="16"/>
          <w:lang w:val="es-US"/>
        </w:rPr>
        <w:t xml:space="preserve">. </w:t>
      </w:r>
    </w:p>
  </w:endnote>
  <w:endnote w:id="12">
    <w:p w14:paraId="7B676D61" w14:textId="77777777" w:rsidR="00251276" w:rsidRPr="008219F2" w:rsidRDefault="002E36DE">
      <w:pPr>
        <w:pStyle w:val="EndnoteText"/>
        <w:jc w:val="both"/>
        <w:rPr>
          <w:sz w:val="16"/>
          <w:szCs w:val="16"/>
          <w:lang w:val="es-US"/>
        </w:rPr>
      </w:pPr>
      <w:r w:rsidRPr="00755A43">
        <w:rPr>
          <w:rStyle w:val="EndnoteReference"/>
          <w:sz w:val="16"/>
          <w:szCs w:val="16"/>
        </w:rPr>
        <w:endnoteRef/>
      </w:r>
      <w:r w:rsidRPr="008219F2">
        <w:rPr>
          <w:sz w:val="16"/>
          <w:szCs w:val="16"/>
          <w:lang w:val="es-US"/>
        </w:rPr>
        <w:t xml:space="preserve"> </w:t>
      </w:r>
      <w:r w:rsidRPr="008219F2">
        <w:rPr>
          <w:sz w:val="16"/>
          <w:szCs w:val="16"/>
          <w:lang w:val="es-US"/>
        </w:rPr>
        <w:tab/>
      </w:r>
      <w:r w:rsidRPr="008219F2">
        <w:rPr>
          <w:i/>
          <w:sz w:val="16"/>
          <w:szCs w:val="16"/>
          <w:lang w:val="es-US"/>
        </w:rPr>
        <w:t>Ver Dictamen 68/2019</w:t>
      </w:r>
      <w:r w:rsidRPr="008219F2">
        <w:rPr>
          <w:sz w:val="16"/>
          <w:szCs w:val="16"/>
          <w:lang w:val="es-US"/>
        </w:rPr>
        <w:t xml:space="preserve">, ¶¶ 74-75, 114, 118; </w:t>
      </w:r>
      <w:r w:rsidRPr="008219F2">
        <w:rPr>
          <w:i/>
          <w:sz w:val="16"/>
          <w:szCs w:val="16"/>
          <w:lang w:val="es-US"/>
        </w:rPr>
        <w:t xml:space="preserve">Dictamen 19/2020 ¶ </w:t>
      </w:r>
      <w:r w:rsidRPr="008219F2">
        <w:rPr>
          <w:sz w:val="16"/>
          <w:szCs w:val="16"/>
          <w:lang w:val="es-US"/>
        </w:rPr>
        <w:t xml:space="preserve">72, 77. </w:t>
      </w:r>
    </w:p>
  </w:endnote>
  <w:endnote w:id="13">
    <w:p w14:paraId="49DC2823" w14:textId="77777777" w:rsidR="00251276" w:rsidRPr="008219F2" w:rsidRDefault="002E36DE">
      <w:pPr>
        <w:pStyle w:val="EndnoteText"/>
        <w:rPr>
          <w:sz w:val="16"/>
          <w:szCs w:val="16"/>
          <w:lang w:val="es-US"/>
        </w:rPr>
      </w:pPr>
      <w:r w:rsidRPr="001C3A56">
        <w:rPr>
          <w:rStyle w:val="EndnoteReference"/>
          <w:sz w:val="16"/>
          <w:szCs w:val="16"/>
        </w:rPr>
        <w:endnoteRef/>
      </w:r>
      <w:r w:rsidRPr="008219F2">
        <w:rPr>
          <w:sz w:val="16"/>
          <w:szCs w:val="16"/>
          <w:lang w:val="es-US"/>
        </w:rPr>
        <w:tab/>
        <w:t xml:space="preserve"> Las dos mujeres que han sido liberadas, </w:t>
      </w:r>
      <w:r w:rsidR="00B6399C" w:rsidRPr="008219F2">
        <w:rPr>
          <w:sz w:val="16"/>
          <w:szCs w:val="16"/>
          <w:lang w:val="es-US"/>
        </w:rPr>
        <w:t xml:space="preserve">Evelyn e Imelda, no lo han sido como forma de cumplimiento de los recientes dictámenes del GTAD, sino tras </w:t>
      </w:r>
      <w:r w:rsidR="00CE5F51" w:rsidRPr="008219F2">
        <w:rPr>
          <w:sz w:val="16"/>
          <w:szCs w:val="16"/>
          <w:lang w:val="es-US"/>
        </w:rPr>
        <w:t>la activa y constante labor de defensa y litigio nacional de las organizaciones que representan a estas mujeres.</w:t>
      </w:r>
    </w:p>
  </w:endnote>
  <w:endnote w:id="14">
    <w:p w14:paraId="1DFC90F9" w14:textId="77777777" w:rsidR="00251276" w:rsidRPr="008219F2" w:rsidRDefault="002E36DE">
      <w:pPr>
        <w:pStyle w:val="EndnoteText"/>
        <w:jc w:val="both"/>
        <w:rPr>
          <w:sz w:val="16"/>
          <w:szCs w:val="16"/>
          <w:lang w:val="es-US"/>
        </w:rPr>
      </w:pPr>
      <w:r w:rsidRPr="00755A43">
        <w:rPr>
          <w:rStyle w:val="EndnoteReference"/>
          <w:sz w:val="16"/>
          <w:szCs w:val="16"/>
        </w:rPr>
        <w:endnoteRef/>
      </w:r>
      <w:r w:rsidRPr="008219F2">
        <w:rPr>
          <w:sz w:val="16"/>
          <w:szCs w:val="16"/>
          <w:lang w:val="es-US"/>
        </w:rPr>
        <w:tab/>
        <w:t xml:space="preserve"> Comité de Derechos Humanos, </w:t>
      </w:r>
      <w:r w:rsidRPr="008219F2">
        <w:rPr>
          <w:i/>
          <w:sz w:val="16"/>
          <w:szCs w:val="16"/>
          <w:lang w:val="es-US"/>
        </w:rPr>
        <w:t>Observaciones finales (</w:t>
      </w:r>
      <w:r w:rsidRPr="008219F2">
        <w:rPr>
          <w:sz w:val="16"/>
          <w:szCs w:val="16"/>
          <w:lang w:val="es-US"/>
        </w:rPr>
        <w:t>2018) (El Salvador), U. N. Doc. CCPR/C/SLV/CO/7, ¶ 15, [en adelante "CDH, Observaciones finales"]</w:t>
      </w:r>
      <w:r w:rsidR="00EE6233" w:rsidRPr="008219F2">
        <w:rPr>
          <w:sz w:val="16"/>
          <w:szCs w:val="16"/>
          <w:lang w:val="es-US"/>
        </w:rPr>
        <w:t>.</w:t>
      </w:r>
    </w:p>
  </w:endnote>
  <w:endnote w:id="15">
    <w:p w14:paraId="7D525427" w14:textId="77777777" w:rsidR="00251276" w:rsidRPr="008219F2" w:rsidRDefault="002E36DE">
      <w:pPr>
        <w:pStyle w:val="EndnoteText"/>
        <w:rPr>
          <w:sz w:val="16"/>
          <w:szCs w:val="16"/>
          <w:lang w:val="es-US"/>
        </w:rPr>
      </w:pPr>
      <w:r w:rsidRPr="00EE6233">
        <w:rPr>
          <w:rStyle w:val="EndnoteReference"/>
          <w:sz w:val="16"/>
          <w:szCs w:val="16"/>
        </w:rPr>
        <w:endnoteRef/>
      </w:r>
      <w:r w:rsidRPr="008219F2">
        <w:rPr>
          <w:sz w:val="16"/>
          <w:szCs w:val="16"/>
          <w:lang w:val="es-US"/>
        </w:rPr>
        <w:t xml:space="preserve"> </w:t>
      </w:r>
      <w:r w:rsidRPr="008219F2">
        <w:rPr>
          <w:sz w:val="16"/>
          <w:szCs w:val="16"/>
          <w:lang w:val="es-US"/>
        </w:rPr>
        <w:tab/>
      </w:r>
      <w:r w:rsidRPr="008219F2">
        <w:rPr>
          <w:i/>
          <w:sz w:val="16"/>
          <w:szCs w:val="16"/>
          <w:lang w:val="es-US"/>
        </w:rPr>
        <w:t xml:space="preserve">Id. </w:t>
      </w:r>
      <w:r w:rsidRPr="008219F2">
        <w:rPr>
          <w:sz w:val="16"/>
          <w:szCs w:val="16"/>
          <w:lang w:val="es-US"/>
        </w:rPr>
        <w:t>en ¶ 44.</w:t>
      </w:r>
    </w:p>
  </w:endnote>
  <w:endnote w:id="16">
    <w:p w14:paraId="5A73691B" w14:textId="77777777" w:rsidR="00251276" w:rsidRPr="008219F2" w:rsidRDefault="002E36DE">
      <w:pPr>
        <w:pStyle w:val="EndnoteText"/>
        <w:rPr>
          <w:lang w:val="es-US"/>
        </w:rPr>
      </w:pPr>
      <w:r>
        <w:rPr>
          <w:rStyle w:val="EndnoteReference"/>
        </w:rPr>
        <w:endnoteRef/>
      </w:r>
      <w:r w:rsidR="0039655C" w:rsidRPr="008219F2">
        <w:rPr>
          <w:lang w:val="es-US"/>
        </w:rPr>
        <w:t xml:space="preserve"> Corte Interamericana de Derechos Humanos. Caso Manuela Vs. El Salvador. Par. 195. </w:t>
      </w:r>
      <w:hyperlink r:id="rId6" w:history="1">
        <w:r w:rsidR="0039655C" w:rsidRPr="008219F2">
          <w:rPr>
            <w:rStyle w:val="Hyperlink"/>
            <w:lang w:val="es-US"/>
          </w:rPr>
          <w:t>seriec_441_esp.pdf (corteidh.or.cr</w:t>
        </w:r>
      </w:hyperlink>
      <w:r w:rsidR="0039655C" w:rsidRPr="008219F2">
        <w:rPr>
          <w:lang w:val="es-US"/>
        </w:rPr>
        <w:t xml:space="preserve">) </w:t>
      </w:r>
    </w:p>
  </w:endnote>
  <w:endnote w:id="17">
    <w:p w14:paraId="2EF86F51" w14:textId="3F451306" w:rsidR="002A1ADE" w:rsidRPr="008219F2" w:rsidRDefault="002A1ADE">
      <w:pPr>
        <w:pStyle w:val="EndnoteText"/>
        <w:rPr>
          <w:lang w:val="es-CO"/>
        </w:rPr>
      </w:pPr>
      <w:r>
        <w:rPr>
          <w:rStyle w:val="EndnoteReference"/>
        </w:rPr>
        <w:endnoteRef/>
      </w:r>
      <w:r>
        <w:t xml:space="preserve"> </w:t>
      </w:r>
      <w:r>
        <w:rPr>
          <w:lang w:val="es-CO"/>
        </w:rPr>
        <w:t>Idem.</w:t>
      </w:r>
    </w:p>
  </w:endnote>
  <w:endnote w:id="18">
    <w:p w14:paraId="18942447" w14:textId="77777777" w:rsidR="00251276" w:rsidRPr="008219F2" w:rsidRDefault="002E36DE">
      <w:pPr>
        <w:pStyle w:val="EndnoteText"/>
        <w:rPr>
          <w:lang w:val="es-US"/>
        </w:rPr>
      </w:pPr>
      <w:r>
        <w:rPr>
          <w:rStyle w:val="EndnoteReference"/>
        </w:rPr>
        <w:endnoteRef/>
      </w:r>
      <w:r w:rsidRPr="008219F2">
        <w:rPr>
          <w:lang w:val="es-US"/>
        </w:rPr>
        <w:t xml:space="preserve"> Idem. Par 203. </w:t>
      </w:r>
    </w:p>
  </w:endnote>
  <w:endnote w:id="19">
    <w:p w14:paraId="61ED57FD" w14:textId="77777777" w:rsidR="00630E58" w:rsidRPr="0060193F" w:rsidRDefault="00630E58" w:rsidP="00630E58">
      <w:pPr>
        <w:pStyle w:val="EndnoteText"/>
        <w:jc w:val="both"/>
        <w:rPr>
          <w:sz w:val="16"/>
          <w:szCs w:val="16"/>
          <w:lang w:val="es-US"/>
        </w:rPr>
      </w:pPr>
      <w:r w:rsidRPr="00755A43">
        <w:rPr>
          <w:rStyle w:val="EndnoteReference"/>
          <w:sz w:val="16"/>
          <w:szCs w:val="16"/>
        </w:rPr>
        <w:endnoteRef/>
      </w:r>
      <w:r w:rsidRPr="0060193F">
        <w:rPr>
          <w:sz w:val="16"/>
          <w:szCs w:val="16"/>
          <w:lang w:val="es-US"/>
        </w:rPr>
        <w:t xml:space="preserve"> </w:t>
      </w:r>
      <w:r w:rsidRPr="0060193F">
        <w:rPr>
          <w:sz w:val="16"/>
          <w:szCs w:val="16"/>
          <w:lang w:val="es-US"/>
        </w:rPr>
        <w:tab/>
      </w:r>
      <w:r w:rsidRPr="0060193F">
        <w:rPr>
          <w:i/>
          <w:sz w:val="16"/>
          <w:szCs w:val="16"/>
          <w:lang w:val="es-US"/>
        </w:rPr>
        <w:t xml:space="preserve">Id. </w:t>
      </w:r>
      <w:r w:rsidRPr="0060193F">
        <w:rPr>
          <w:sz w:val="16"/>
          <w:szCs w:val="16"/>
          <w:lang w:val="es-US"/>
        </w:rPr>
        <w:t xml:space="preserve">en ¶¶ 18-32. </w:t>
      </w:r>
    </w:p>
  </w:endnote>
  <w:endnote w:id="20">
    <w:p w14:paraId="69556D35" w14:textId="77777777" w:rsidR="00630E58" w:rsidRPr="0060193F" w:rsidRDefault="00630E58" w:rsidP="00630E58">
      <w:pPr>
        <w:pStyle w:val="EndnoteText"/>
        <w:jc w:val="both"/>
        <w:rPr>
          <w:sz w:val="16"/>
          <w:szCs w:val="16"/>
          <w:lang w:val="es-US"/>
        </w:rPr>
      </w:pPr>
      <w:r w:rsidRPr="00755A43">
        <w:rPr>
          <w:rStyle w:val="EndnoteReference"/>
          <w:sz w:val="16"/>
          <w:szCs w:val="16"/>
        </w:rPr>
        <w:endnoteRef/>
      </w:r>
      <w:r w:rsidRPr="0060193F">
        <w:rPr>
          <w:sz w:val="16"/>
          <w:szCs w:val="16"/>
          <w:lang w:val="es-US"/>
        </w:rPr>
        <w:t xml:space="preserve"> </w:t>
      </w:r>
      <w:r w:rsidRPr="0060193F">
        <w:rPr>
          <w:sz w:val="16"/>
          <w:szCs w:val="16"/>
          <w:lang w:val="es-US"/>
        </w:rPr>
        <w:tab/>
      </w:r>
      <w:r w:rsidRPr="0060193F">
        <w:rPr>
          <w:i/>
          <w:sz w:val="16"/>
          <w:szCs w:val="16"/>
          <w:lang w:val="es-US"/>
        </w:rPr>
        <w:t xml:space="preserve">Id. </w:t>
      </w:r>
      <w:r w:rsidRPr="0060193F">
        <w:rPr>
          <w:sz w:val="16"/>
          <w:szCs w:val="16"/>
          <w:lang w:val="es-US"/>
        </w:rPr>
        <w:t xml:space="preserve">en ¶ 120. </w:t>
      </w:r>
    </w:p>
  </w:endnote>
  <w:endnote w:id="21">
    <w:p w14:paraId="064067C0" w14:textId="5A97337A" w:rsidR="00251276" w:rsidRPr="008219F2" w:rsidRDefault="002E36DE">
      <w:pPr>
        <w:pStyle w:val="EndnoteText"/>
        <w:rPr>
          <w:lang w:val="es-US"/>
        </w:rPr>
      </w:pPr>
      <w:r>
        <w:rPr>
          <w:rStyle w:val="EndnoteReference"/>
        </w:rPr>
        <w:endnoteRef/>
      </w:r>
      <w:r w:rsidRPr="008219F2">
        <w:rPr>
          <w:lang w:val="es-US"/>
        </w:rPr>
        <w:t xml:space="preserve"> S</w:t>
      </w:r>
      <w:r w:rsidR="002A1ADE">
        <w:rPr>
          <w:lang w:val="es-US"/>
        </w:rPr>
        <w:t xml:space="preserve">u apellido </w:t>
      </w:r>
      <w:r w:rsidRPr="008219F2">
        <w:rPr>
          <w:lang w:val="es-US"/>
        </w:rPr>
        <w:t xml:space="preserve"> se reserva por razones de seguridad. </w:t>
      </w:r>
    </w:p>
  </w:endnote>
  <w:endnote w:id="22">
    <w:p w14:paraId="54198291" w14:textId="77777777" w:rsidR="00251276" w:rsidRDefault="002E36DE">
      <w:pPr>
        <w:pStyle w:val="EndnoteText"/>
        <w:jc w:val="both"/>
        <w:rPr>
          <w:sz w:val="16"/>
          <w:szCs w:val="16"/>
          <w:lang w:val="es-AR"/>
        </w:rPr>
      </w:pPr>
      <w:r w:rsidRPr="00755A43">
        <w:rPr>
          <w:rStyle w:val="EndnoteReference"/>
          <w:sz w:val="16"/>
          <w:szCs w:val="16"/>
        </w:rPr>
        <w:endnoteRef/>
      </w:r>
      <w:r w:rsidRPr="00755A43">
        <w:rPr>
          <w:sz w:val="16"/>
          <w:szCs w:val="16"/>
          <w:lang w:val="es-AR"/>
        </w:rPr>
        <w:t xml:space="preserve"> Código Penal </w:t>
      </w:r>
      <w:r w:rsidRPr="00755A43">
        <w:rPr>
          <w:sz w:val="16"/>
          <w:szCs w:val="16"/>
          <w:lang w:val="es-AR"/>
        </w:rPr>
        <w:tab/>
        <w:t>de 1998, Art. 312.</w:t>
      </w:r>
    </w:p>
  </w:endnote>
  <w:endnote w:id="23">
    <w:p w14:paraId="71B2DA80" w14:textId="0FB531A2" w:rsidR="00251276" w:rsidRDefault="002E36DE">
      <w:pPr>
        <w:pStyle w:val="EndnoteText"/>
        <w:jc w:val="both"/>
        <w:rPr>
          <w:i/>
          <w:sz w:val="16"/>
          <w:szCs w:val="16"/>
          <w:lang w:val="es-AR"/>
        </w:rPr>
      </w:pPr>
      <w:r w:rsidRPr="00755A43">
        <w:rPr>
          <w:rStyle w:val="EndnoteReference"/>
          <w:sz w:val="16"/>
          <w:szCs w:val="16"/>
        </w:rPr>
        <w:endnoteRef/>
      </w:r>
      <w:r w:rsidRPr="00755A43">
        <w:rPr>
          <w:sz w:val="16"/>
          <w:szCs w:val="16"/>
          <w:lang w:val="es-AR"/>
        </w:rPr>
        <w:tab/>
        <w:t xml:space="preserve"> Agrupación Ciudadana por la Despenalización del Aborto Terapéutico, Ético y Eugenésico, </w:t>
      </w:r>
      <w:r w:rsidRPr="00755A43">
        <w:rPr>
          <w:i/>
          <w:sz w:val="16"/>
          <w:szCs w:val="16"/>
          <w:lang w:val="es-AR"/>
        </w:rPr>
        <w:t>Del hospital a la cárcel: consecuencias para las mujeres por la penalización sin excepciones, de la interrupción del embarazo en El Salvado</w:t>
      </w:r>
      <w:r w:rsidR="008219F2">
        <w:rPr>
          <w:i/>
          <w:sz w:val="16"/>
          <w:szCs w:val="16"/>
          <w:lang w:val="es-AR"/>
        </w:rPr>
        <w:t xml:space="preserve"> </w:t>
      </w:r>
      <w:r w:rsidR="008219F2" w:rsidRPr="008219F2">
        <w:rPr>
          <w:i/>
          <w:sz w:val="16"/>
          <w:szCs w:val="16"/>
          <w:lang w:val="es-AR"/>
        </w:rPr>
        <w:t>https://agrupacionciudadana.org/download/del-hospital-a-la-carcel-tercera-edicion/?wpdmdl=13171&amp;refresh=63054710961a61661290256</w:t>
      </w:r>
      <w:r w:rsidRPr="00755A43">
        <w:rPr>
          <w:i/>
          <w:sz w:val="16"/>
          <w:szCs w:val="16"/>
          <w:lang w:val="es-AR"/>
        </w:rPr>
        <w:t>r</w:t>
      </w:r>
      <w:r w:rsidRPr="00755A43">
        <w:rPr>
          <w:sz w:val="16"/>
          <w:szCs w:val="16"/>
          <w:lang w:val="es-AR"/>
        </w:rPr>
        <w:t>,.</w:t>
      </w:r>
    </w:p>
  </w:endnote>
  <w:endnote w:id="24">
    <w:p w14:paraId="75755AEE" w14:textId="77777777" w:rsidR="00251276" w:rsidRPr="008219F2" w:rsidRDefault="002E36DE">
      <w:pPr>
        <w:pStyle w:val="EndnoteText"/>
        <w:jc w:val="both"/>
        <w:rPr>
          <w:sz w:val="16"/>
          <w:szCs w:val="16"/>
          <w:lang w:val="es-US"/>
        </w:rPr>
      </w:pPr>
      <w:r w:rsidRPr="00755A43">
        <w:rPr>
          <w:rStyle w:val="EndnoteReference"/>
          <w:sz w:val="16"/>
          <w:szCs w:val="16"/>
        </w:rPr>
        <w:endnoteRef/>
      </w:r>
      <w:r w:rsidRPr="008219F2">
        <w:rPr>
          <w:sz w:val="16"/>
          <w:szCs w:val="16"/>
          <w:lang w:val="es-US"/>
        </w:rPr>
        <w:t xml:space="preserve"> </w:t>
      </w:r>
      <w:r w:rsidRPr="008219F2">
        <w:rPr>
          <w:sz w:val="16"/>
          <w:szCs w:val="16"/>
          <w:lang w:val="es-US"/>
        </w:rPr>
        <w:tab/>
        <w:t xml:space="preserve">Comité para la Eliminación de la Discriminación contra la Mujer, Observaciones finales CEDAW/C/SLV/CO/8-9, 9 de marzo de 2017 ¶ 36. </w:t>
      </w:r>
      <w:r w:rsidRPr="008219F2">
        <w:rPr>
          <w:i/>
          <w:sz w:val="16"/>
          <w:szCs w:val="16"/>
          <w:lang w:val="es-US"/>
        </w:rPr>
        <w:t xml:space="preserve">Informe Del Hospital a la Cárcel, </w:t>
      </w:r>
      <w:r w:rsidRPr="008219F2">
        <w:rPr>
          <w:sz w:val="16"/>
          <w:szCs w:val="16"/>
          <w:lang w:val="es-US"/>
        </w:rPr>
        <w:t>pp. 53-55.</w:t>
      </w:r>
    </w:p>
  </w:endnote>
  <w:endnote w:id="25">
    <w:p w14:paraId="322E552C" w14:textId="77777777" w:rsidR="00251276" w:rsidRPr="008219F2" w:rsidRDefault="002E36DE">
      <w:pPr>
        <w:pStyle w:val="EndnoteText"/>
        <w:jc w:val="both"/>
        <w:rPr>
          <w:sz w:val="16"/>
          <w:szCs w:val="16"/>
          <w:lang w:val="es-US"/>
        </w:rPr>
      </w:pPr>
      <w:r w:rsidRPr="00755A43">
        <w:rPr>
          <w:rStyle w:val="EndnoteReference"/>
          <w:sz w:val="16"/>
          <w:szCs w:val="16"/>
        </w:rPr>
        <w:endnoteRef/>
      </w:r>
      <w:r w:rsidRPr="008219F2">
        <w:rPr>
          <w:sz w:val="16"/>
          <w:szCs w:val="16"/>
          <w:lang w:val="es-US"/>
        </w:rPr>
        <w:t xml:space="preserve"> </w:t>
      </w:r>
      <w:r w:rsidRPr="008219F2">
        <w:rPr>
          <w:sz w:val="16"/>
          <w:szCs w:val="16"/>
          <w:lang w:val="es-US"/>
        </w:rPr>
        <w:tab/>
        <w:t xml:space="preserve">El Comité CEDAW expresó su preocupación de que las mujeres de El Salvador recurrieran a métodos de aborto inseguros como resultado de la penalización del aborto.  Comité CEDAW, </w:t>
      </w:r>
      <w:r w:rsidRPr="008219F2">
        <w:rPr>
          <w:i/>
          <w:sz w:val="16"/>
          <w:szCs w:val="16"/>
          <w:lang w:val="es-US"/>
        </w:rPr>
        <w:t xml:space="preserve">Observaciones finales </w:t>
      </w:r>
      <w:r w:rsidRPr="008219F2">
        <w:rPr>
          <w:sz w:val="16"/>
          <w:szCs w:val="16"/>
          <w:lang w:val="es-US"/>
        </w:rPr>
        <w:t>(2017) (El Salvador), CEDAW/C/SLV/CO/8-9, ¶ 38 [en adelante "Comité CEDAW, Observaciones finales sobre El Salvador (2017)"].</w:t>
      </w:r>
    </w:p>
  </w:endnote>
  <w:endnote w:id="26">
    <w:p w14:paraId="36864470" w14:textId="77777777" w:rsidR="00251276" w:rsidRPr="008219F2" w:rsidRDefault="002E36DE">
      <w:pPr>
        <w:pStyle w:val="EndnoteText"/>
        <w:jc w:val="both"/>
        <w:rPr>
          <w:sz w:val="16"/>
          <w:szCs w:val="16"/>
          <w:lang w:val="es-US"/>
        </w:rPr>
      </w:pPr>
      <w:r w:rsidRPr="00755A43">
        <w:rPr>
          <w:rStyle w:val="EndnoteReference"/>
          <w:sz w:val="16"/>
          <w:szCs w:val="16"/>
        </w:rPr>
        <w:endnoteRef/>
      </w:r>
      <w:r w:rsidRPr="008219F2">
        <w:rPr>
          <w:sz w:val="16"/>
          <w:szCs w:val="16"/>
          <w:lang w:val="es-US"/>
        </w:rPr>
        <w:t xml:space="preserve"> </w:t>
      </w:r>
      <w:r w:rsidRPr="008219F2">
        <w:rPr>
          <w:sz w:val="16"/>
          <w:szCs w:val="16"/>
          <w:lang w:val="es-US"/>
        </w:rPr>
        <w:tab/>
      </w:r>
      <w:r w:rsidRPr="008219F2">
        <w:rPr>
          <w:i/>
          <w:sz w:val="16"/>
          <w:szCs w:val="16"/>
          <w:lang w:val="es-US"/>
        </w:rPr>
        <w:t xml:space="preserve">Id. </w:t>
      </w:r>
      <w:r w:rsidRPr="008219F2">
        <w:rPr>
          <w:sz w:val="16"/>
          <w:szCs w:val="16"/>
          <w:lang w:val="es-US"/>
        </w:rPr>
        <w:t>en ¶ 35.</w:t>
      </w:r>
    </w:p>
  </w:endnote>
  <w:endnote w:id="27">
    <w:p w14:paraId="57FC5327" w14:textId="77777777" w:rsidR="00251276" w:rsidRPr="008219F2" w:rsidRDefault="002E36DE">
      <w:pPr>
        <w:pStyle w:val="EndnoteText"/>
        <w:jc w:val="both"/>
        <w:rPr>
          <w:sz w:val="16"/>
          <w:szCs w:val="16"/>
          <w:lang w:val="es-US"/>
        </w:rPr>
      </w:pPr>
      <w:r w:rsidRPr="00755A43">
        <w:rPr>
          <w:rStyle w:val="EndnoteReference"/>
          <w:sz w:val="16"/>
          <w:szCs w:val="16"/>
        </w:rPr>
        <w:endnoteRef/>
      </w:r>
      <w:r w:rsidRPr="008219F2">
        <w:rPr>
          <w:sz w:val="16"/>
          <w:szCs w:val="16"/>
          <w:lang w:val="es-US"/>
        </w:rPr>
        <w:tab/>
        <w:t xml:space="preserve"> Amnistía Internacional, </w:t>
      </w:r>
      <w:r w:rsidRPr="008219F2">
        <w:rPr>
          <w:i/>
          <w:sz w:val="16"/>
          <w:szCs w:val="16"/>
          <w:lang w:val="es-US"/>
        </w:rPr>
        <w:t xml:space="preserve">Al borde de la muerte, </w:t>
      </w:r>
      <w:r w:rsidRPr="008219F2">
        <w:rPr>
          <w:sz w:val="16"/>
          <w:szCs w:val="16"/>
          <w:lang w:val="es-US"/>
        </w:rPr>
        <w:t xml:space="preserve">septiembre de 2014. p. 9. Disponible en: </w:t>
      </w:r>
      <w:hyperlink r:id="rId7" w:history="1">
        <w:r w:rsidRPr="008219F2">
          <w:rPr>
            <w:rStyle w:val="Hyperlink"/>
            <w:sz w:val="16"/>
            <w:szCs w:val="16"/>
            <w:lang w:val="es-US"/>
          </w:rPr>
          <w:t>https:</w:t>
        </w:r>
      </w:hyperlink>
      <w:r w:rsidRPr="008219F2">
        <w:rPr>
          <w:sz w:val="16"/>
          <w:szCs w:val="16"/>
          <w:lang w:val="es-US"/>
        </w:rPr>
        <w:t xml:space="preserve">//www.amnesty.be/IMG/pdf/salvador.pdf, (consultado por última vez el 13 de julio de 2020) [en adelante "el Informe de Amnistía"]; Guttmacher Institute, </w:t>
      </w:r>
      <w:hyperlink r:id="rId8" w:history="1">
        <w:r w:rsidRPr="008219F2">
          <w:rPr>
            <w:rStyle w:val="Hyperlink"/>
            <w:i/>
            <w:sz w:val="16"/>
            <w:szCs w:val="16"/>
            <w:lang w:val="es-US"/>
          </w:rPr>
          <w:t xml:space="preserve">Aborto en América Latina y el </w:t>
        </w:r>
      </w:hyperlink>
      <w:hyperlink r:id="rId9" w:history="1">
        <w:r w:rsidRPr="008219F2">
          <w:rPr>
            <w:rStyle w:val="Hyperlink"/>
            <w:i/>
            <w:sz w:val="16"/>
            <w:szCs w:val="16"/>
            <w:lang w:val="es-US"/>
          </w:rPr>
          <w:t>Caribe</w:t>
        </w:r>
      </w:hyperlink>
      <w:hyperlink r:id="rId10" w:history="1">
        <w:r w:rsidRPr="008219F2">
          <w:rPr>
            <w:rStyle w:val="Hyperlink"/>
            <w:i/>
            <w:sz w:val="16"/>
            <w:szCs w:val="16"/>
            <w:lang w:val="es-US"/>
          </w:rPr>
          <w:t xml:space="preserve">. </w:t>
        </w:r>
      </w:hyperlink>
    </w:p>
  </w:endnote>
  <w:endnote w:id="28">
    <w:p w14:paraId="060EF08A" w14:textId="77777777" w:rsidR="00251276" w:rsidRDefault="002E36DE">
      <w:pPr>
        <w:pStyle w:val="EndnoteText"/>
        <w:jc w:val="both"/>
        <w:rPr>
          <w:sz w:val="16"/>
          <w:szCs w:val="16"/>
          <w:lang w:val="es-AR"/>
        </w:rPr>
      </w:pPr>
      <w:r w:rsidRPr="00755A43">
        <w:rPr>
          <w:rStyle w:val="EndnoteReference"/>
          <w:sz w:val="16"/>
          <w:szCs w:val="16"/>
        </w:rPr>
        <w:endnoteRef/>
      </w:r>
      <w:r w:rsidRPr="000F4F99">
        <w:rPr>
          <w:sz w:val="16"/>
          <w:szCs w:val="16"/>
          <w:lang w:val="es-AR"/>
        </w:rPr>
        <w:tab/>
        <w:t xml:space="preserve"> OPS, </w:t>
      </w:r>
      <w:r w:rsidRPr="000F4F99">
        <w:rPr>
          <w:i/>
          <w:sz w:val="16"/>
          <w:szCs w:val="16"/>
          <w:lang w:val="es-AR"/>
        </w:rPr>
        <w:t>El Salvador: Principales retos en materia de salud</w:t>
      </w:r>
      <w:r w:rsidRPr="000F4F99">
        <w:rPr>
          <w:sz w:val="16"/>
          <w:szCs w:val="16"/>
          <w:lang w:val="es-AR"/>
        </w:rPr>
        <w:t xml:space="preserve">, https://www.paho.org/salud-en-las-americas-2017/?p=4023, citando al Ministerio de Salud (El Salvador), </w:t>
      </w:r>
      <w:r w:rsidRPr="000F4F99">
        <w:rPr>
          <w:i/>
          <w:sz w:val="16"/>
          <w:szCs w:val="16"/>
          <w:lang w:val="es-AR"/>
        </w:rPr>
        <w:t>Informe de labores 2015-2016: la salud es un derecho y un MINSAL fuerte, su mejor garantía</w:t>
      </w:r>
      <w:r w:rsidRPr="000F4F99">
        <w:rPr>
          <w:sz w:val="16"/>
          <w:szCs w:val="16"/>
          <w:lang w:val="es-AR"/>
        </w:rPr>
        <w:t xml:space="preserve">, San Salvador: MINSAL, 2016, http://www.salud.gob.sv/download/informe-de-labores-2015-2016/. </w:t>
      </w:r>
    </w:p>
  </w:endnote>
  <w:endnote w:id="29">
    <w:p w14:paraId="062E8ACB" w14:textId="77777777" w:rsidR="00251276" w:rsidRPr="008219F2" w:rsidRDefault="002E36DE">
      <w:pPr>
        <w:pStyle w:val="EndnoteText"/>
        <w:jc w:val="both"/>
        <w:rPr>
          <w:sz w:val="16"/>
          <w:szCs w:val="16"/>
          <w:lang w:val="es-US"/>
        </w:rPr>
      </w:pPr>
      <w:r w:rsidRPr="00755A43">
        <w:rPr>
          <w:rStyle w:val="EndnoteReference"/>
          <w:sz w:val="16"/>
          <w:szCs w:val="16"/>
        </w:rPr>
        <w:endnoteRef/>
      </w:r>
      <w:r w:rsidRPr="008219F2">
        <w:rPr>
          <w:sz w:val="16"/>
          <w:szCs w:val="16"/>
          <w:lang w:val="es-US"/>
        </w:rPr>
        <w:tab/>
        <w:t xml:space="preserve"> Comité de Derechos Humanos, </w:t>
      </w:r>
      <w:r w:rsidRPr="008219F2">
        <w:rPr>
          <w:i/>
          <w:sz w:val="16"/>
          <w:szCs w:val="16"/>
          <w:lang w:val="es-US"/>
        </w:rPr>
        <w:t>Observaciones finales (</w:t>
      </w:r>
      <w:r w:rsidRPr="008219F2">
        <w:rPr>
          <w:sz w:val="16"/>
          <w:szCs w:val="16"/>
          <w:lang w:val="es-US"/>
        </w:rPr>
        <w:t xml:space="preserve">2018) (El Salvador), U. N. Doc. CCPR/C/SLV/CO/7, ¶ 15, [en adelante "CDH, Observaciones Finales"] y CIDH, Informe Anual (2018), Capítulo IV, Panorama de la situación de los derechos humanos por país, párr. 200. Disponible en: </w:t>
      </w:r>
      <w:hyperlink r:id="rId11" w:history="1">
        <w:r w:rsidRPr="008219F2">
          <w:rPr>
            <w:rStyle w:val="Hyperlink"/>
            <w:sz w:val="16"/>
            <w:szCs w:val="16"/>
            <w:lang w:val="es-US"/>
          </w:rPr>
          <w:t>http://www.oas.org/en/iachr/docs/annual/2018/docs/IA2018cap4A-en.pdf</w:t>
        </w:r>
      </w:hyperlink>
    </w:p>
  </w:endnote>
  <w:endnote w:id="30">
    <w:p w14:paraId="428F4B1D" w14:textId="77777777" w:rsidR="00251276" w:rsidRDefault="002E36DE">
      <w:pPr>
        <w:pStyle w:val="EndnoteText"/>
        <w:jc w:val="both"/>
        <w:rPr>
          <w:sz w:val="16"/>
          <w:szCs w:val="16"/>
          <w:lang w:val="es-AR"/>
        </w:rPr>
      </w:pPr>
      <w:r w:rsidRPr="00755A43">
        <w:rPr>
          <w:rStyle w:val="EndnoteReference"/>
          <w:sz w:val="16"/>
          <w:szCs w:val="16"/>
        </w:rPr>
        <w:endnoteRef/>
      </w:r>
      <w:r w:rsidRPr="008219F2">
        <w:rPr>
          <w:sz w:val="16"/>
          <w:szCs w:val="16"/>
          <w:lang w:val="es-US"/>
        </w:rPr>
        <w:t xml:space="preserve"> </w:t>
      </w:r>
      <w:r w:rsidRPr="008219F2">
        <w:rPr>
          <w:sz w:val="16"/>
          <w:szCs w:val="16"/>
          <w:lang w:val="es-US"/>
        </w:rPr>
        <w:tab/>
      </w:r>
      <w:r w:rsidRPr="008219F2">
        <w:rPr>
          <w:i/>
          <w:sz w:val="16"/>
          <w:szCs w:val="16"/>
          <w:lang w:val="es-US"/>
        </w:rPr>
        <w:t>Marginados, Perseguidos y Encarcelados</w:t>
      </w:r>
      <w:r w:rsidRPr="008219F2">
        <w:rPr>
          <w:sz w:val="16"/>
          <w:szCs w:val="16"/>
          <w:lang w:val="es-US"/>
        </w:rPr>
        <w:t xml:space="preserve">, pp. 10, 21. Por ejemplo, la Unidad de Información, Monitoreo y Evaluación del Ministerio de Salud salvadoreño informó que hubo 19.290 abortos entre enero de 2005 y diciembre de 2008. El 27,6% de ellos fueron abortos de adolescentes. Datos oficiales del Gobierno de El Salvador señalan que la tasa de mortalidad materna en 2018 fue de 28,6 por 100.000 nacidos vivos. </w:t>
      </w:r>
      <w:r w:rsidRPr="000F4F99">
        <w:rPr>
          <w:i/>
          <w:sz w:val="16"/>
          <w:szCs w:val="16"/>
          <w:lang w:val="es-AR"/>
        </w:rPr>
        <w:t xml:space="preserve">Véase </w:t>
      </w:r>
      <w:r w:rsidRPr="00755A43">
        <w:rPr>
          <w:sz w:val="16"/>
          <w:szCs w:val="16"/>
          <w:lang w:val="es-CO"/>
        </w:rPr>
        <w:t xml:space="preserve">Secretaría Técnica y de Planificación de la Presidencia de la República de El Salvador, </w:t>
      </w:r>
      <w:hyperlink r:id="rId12" w:history="1">
        <w:r w:rsidRPr="00755A43">
          <w:rPr>
            <w:rStyle w:val="Hyperlink"/>
            <w:i/>
            <w:iCs/>
            <w:sz w:val="16"/>
            <w:szCs w:val="16"/>
            <w:lang w:val="es-CO"/>
          </w:rPr>
          <w:t xml:space="preserve">Informe El Salvador 2019: Objetivos de Desarrollo Sostenible (ODS) </w:t>
        </w:r>
        <w:r w:rsidRPr="00755A43">
          <w:rPr>
            <w:rStyle w:val="Hyperlink"/>
            <w:sz w:val="16"/>
            <w:szCs w:val="16"/>
            <w:lang w:val="es-CO"/>
          </w:rPr>
          <w:t>(2019)</w:t>
        </w:r>
      </w:hyperlink>
      <w:r w:rsidRPr="00755A43">
        <w:rPr>
          <w:sz w:val="16"/>
          <w:szCs w:val="16"/>
          <w:lang w:val="es-CO"/>
        </w:rPr>
        <w:t xml:space="preserve">, cuadro 8, pág. 67; </w:t>
      </w:r>
      <w:hyperlink r:id="rId13" w:history="1">
        <w:r w:rsidRPr="000F4F99">
          <w:rPr>
            <w:rStyle w:val="Hyperlink"/>
            <w:sz w:val="16"/>
            <w:szCs w:val="16"/>
            <w:lang w:val="es-AR"/>
          </w:rPr>
          <w:t>https://twitter.com/SaludSV/status/1098633536804929536</w:t>
        </w:r>
      </w:hyperlink>
      <w:r w:rsidRPr="00755A43">
        <w:rPr>
          <w:sz w:val="16"/>
          <w:szCs w:val="16"/>
          <w:lang w:val="es-CO"/>
        </w:rPr>
        <w:t xml:space="preserve"> en el que refiere que "</w:t>
      </w:r>
      <w:r w:rsidRPr="00755A43">
        <w:rPr>
          <w:i/>
          <w:iCs/>
          <w:sz w:val="16"/>
          <w:szCs w:val="16"/>
          <w:lang w:val="es-CO"/>
        </w:rPr>
        <w:t>El Salvador logró la mortalidad materna más baja de su historia, pasando de una razón de mortalidad materna de 66 en 2006 a 28,6 en 2018, superando la meta quinquenal de 35 por 100.000 nacidos vivos, gracias al modelo en redes integradas e integrales de salud</w:t>
      </w:r>
      <w:r w:rsidRPr="00755A43">
        <w:rPr>
          <w:iCs/>
          <w:sz w:val="16"/>
          <w:szCs w:val="16"/>
          <w:lang w:val="es-CO"/>
        </w:rPr>
        <w:t xml:space="preserve">. </w:t>
      </w:r>
      <w:r w:rsidRPr="00755A43">
        <w:rPr>
          <w:i/>
          <w:iCs/>
          <w:sz w:val="16"/>
          <w:szCs w:val="16"/>
          <w:lang w:val="es-CO"/>
        </w:rPr>
        <w:t>"</w:t>
      </w:r>
    </w:p>
  </w:endnote>
  <w:endnote w:id="31">
    <w:p w14:paraId="0E416850" w14:textId="77777777" w:rsidR="00251276" w:rsidRDefault="002E36DE">
      <w:pPr>
        <w:pStyle w:val="EndnoteText"/>
        <w:jc w:val="both"/>
        <w:rPr>
          <w:i/>
          <w:sz w:val="16"/>
          <w:szCs w:val="16"/>
          <w:lang w:val="es"/>
        </w:rPr>
      </w:pPr>
      <w:r w:rsidRPr="00755A43">
        <w:rPr>
          <w:rStyle w:val="EndnoteReference"/>
          <w:sz w:val="16"/>
          <w:szCs w:val="16"/>
        </w:rPr>
        <w:endnoteRef/>
      </w:r>
      <w:r w:rsidRPr="000F4F99">
        <w:rPr>
          <w:sz w:val="16"/>
          <w:szCs w:val="16"/>
          <w:lang w:val="es-AR"/>
        </w:rPr>
        <w:tab/>
        <w:t xml:space="preserve"> Agrupación </w:t>
      </w:r>
      <w:r w:rsidRPr="00755A43">
        <w:rPr>
          <w:sz w:val="16"/>
          <w:szCs w:val="16"/>
          <w:lang w:val="es"/>
        </w:rPr>
        <w:t xml:space="preserve">Ciudadana por la Despenalización del Aborto Terapéutico, Ético y Eugenésico. </w:t>
      </w:r>
      <w:hyperlink r:id="rId14" w:history="1">
        <w:r w:rsidRPr="00755A43">
          <w:rPr>
            <w:rStyle w:val="Hyperlink"/>
            <w:i/>
            <w:sz w:val="16"/>
            <w:szCs w:val="16"/>
            <w:lang w:val="es"/>
          </w:rPr>
          <w:t xml:space="preserve">Del hospital a la cárcel, </w:t>
        </w:r>
        <w:r w:rsidRPr="000F4F99">
          <w:rPr>
            <w:i/>
            <w:sz w:val="16"/>
            <w:szCs w:val="16"/>
            <w:lang w:val="es-AR"/>
          </w:rPr>
          <w:t xml:space="preserve">Consecuencias </w:t>
        </w:r>
        <w:r w:rsidRPr="00755A43">
          <w:rPr>
            <w:rStyle w:val="Hyperlink"/>
            <w:i/>
            <w:sz w:val="16"/>
            <w:szCs w:val="16"/>
            <w:lang w:val="es"/>
          </w:rPr>
          <w:t>para las mujeres por la penalización sin excepciones, de la interrupción del embarazo en El Salvador 6 (2015)</w:t>
        </w:r>
      </w:hyperlink>
      <w:r w:rsidRPr="00755A43">
        <w:rPr>
          <w:sz w:val="16"/>
          <w:szCs w:val="16"/>
          <w:lang w:val="es"/>
        </w:rPr>
        <w:t xml:space="preserve"> [en adelante "La </w:t>
      </w:r>
      <w:r w:rsidRPr="000F4F99">
        <w:rPr>
          <w:sz w:val="16"/>
          <w:szCs w:val="16"/>
          <w:lang w:val="es-AR"/>
        </w:rPr>
        <w:t xml:space="preserve">Agrupación </w:t>
      </w:r>
      <w:r w:rsidRPr="00755A43">
        <w:rPr>
          <w:sz w:val="16"/>
          <w:szCs w:val="16"/>
          <w:lang w:val="es"/>
        </w:rPr>
        <w:t xml:space="preserve">Ciudadana, Informe </w:t>
      </w:r>
      <w:r w:rsidRPr="00755A43">
        <w:rPr>
          <w:i/>
          <w:sz w:val="16"/>
          <w:szCs w:val="16"/>
          <w:lang w:val="es"/>
        </w:rPr>
        <w:t>del Hospital a la Cárcel</w:t>
      </w:r>
      <w:r w:rsidRPr="00755A43">
        <w:rPr>
          <w:sz w:val="16"/>
          <w:szCs w:val="16"/>
          <w:lang w:val="es"/>
        </w:rPr>
        <w:t>"].</w:t>
      </w:r>
    </w:p>
  </w:endnote>
  <w:endnote w:id="32">
    <w:p w14:paraId="7E4B7131" w14:textId="77777777" w:rsidR="00251276" w:rsidRDefault="002E36DE">
      <w:pPr>
        <w:pStyle w:val="EndnoteText"/>
        <w:jc w:val="both"/>
        <w:rPr>
          <w:sz w:val="16"/>
          <w:szCs w:val="16"/>
          <w:lang w:val="es-AR"/>
        </w:rPr>
      </w:pPr>
      <w:r w:rsidRPr="00755A43">
        <w:rPr>
          <w:rStyle w:val="EndnoteReference"/>
          <w:sz w:val="16"/>
          <w:szCs w:val="16"/>
        </w:rPr>
        <w:endnoteRef/>
      </w:r>
      <w:r w:rsidRPr="00755A43">
        <w:rPr>
          <w:sz w:val="16"/>
          <w:szCs w:val="16"/>
          <w:lang w:val="es-CO"/>
        </w:rPr>
        <w:t xml:space="preserve"> </w:t>
      </w:r>
      <w:r w:rsidRPr="00755A43">
        <w:rPr>
          <w:sz w:val="16"/>
          <w:szCs w:val="16"/>
          <w:lang w:val="es-CO"/>
        </w:rPr>
        <w:tab/>
      </w:r>
      <w:r w:rsidRPr="00755A43">
        <w:rPr>
          <w:i/>
          <w:sz w:val="16"/>
          <w:szCs w:val="16"/>
          <w:lang w:val="es-AR"/>
        </w:rPr>
        <w:t>Marginados, perseguidos y encarcelados</w:t>
      </w:r>
      <w:r>
        <w:rPr>
          <w:sz w:val="16"/>
          <w:szCs w:val="16"/>
          <w:lang w:val="es-AR"/>
        </w:rPr>
        <w:t xml:space="preserve">, </w:t>
      </w:r>
      <w:r w:rsidRPr="00755A43">
        <w:rPr>
          <w:sz w:val="16"/>
          <w:szCs w:val="16"/>
          <w:lang w:val="es-AR"/>
        </w:rPr>
        <w:t xml:space="preserve">21, citando a </w:t>
      </w:r>
      <w:r w:rsidRPr="00755A43">
        <w:rPr>
          <w:sz w:val="16"/>
          <w:szCs w:val="16"/>
          <w:lang w:val="es-CO"/>
        </w:rPr>
        <w:t xml:space="preserve">Carlos Ayala Ramírez, </w:t>
      </w:r>
      <w:r w:rsidRPr="00755A43">
        <w:rPr>
          <w:sz w:val="16"/>
          <w:szCs w:val="16"/>
          <w:lang w:val="es-ES_tradnl"/>
        </w:rPr>
        <w:t>Suicidio en el embarazo</w:t>
      </w:r>
      <w:r w:rsidRPr="00755A43">
        <w:rPr>
          <w:sz w:val="16"/>
          <w:szCs w:val="16"/>
          <w:lang w:val="es-AR"/>
        </w:rPr>
        <w:t>.</w:t>
      </w:r>
    </w:p>
  </w:endnote>
  <w:endnote w:id="33">
    <w:p w14:paraId="2F42647B" w14:textId="77777777" w:rsidR="00251276" w:rsidRPr="008219F2" w:rsidRDefault="002E36DE">
      <w:pPr>
        <w:pStyle w:val="EndnoteText"/>
        <w:jc w:val="both"/>
        <w:rPr>
          <w:sz w:val="16"/>
          <w:szCs w:val="16"/>
          <w:lang w:val="es-US"/>
        </w:rPr>
      </w:pPr>
      <w:r w:rsidRPr="00755A43">
        <w:rPr>
          <w:rStyle w:val="EndnoteReference"/>
          <w:sz w:val="16"/>
          <w:szCs w:val="16"/>
        </w:rPr>
        <w:endnoteRef/>
      </w:r>
      <w:r w:rsidRPr="00755A43">
        <w:rPr>
          <w:sz w:val="16"/>
          <w:szCs w:val="16"/>
          <w:lang w:val="es-CO"/>
        </w:rPr>
        <w:t xml:space="preserve"> </w:t>
      </w:r>
      <w:r w:rsidRPr="00755A43">
        <w:rPr>
          <w:sz w:val="16"/>
          <w:szCs w:val="16"/>
          <w:lang w:val="es-CO"/>
        </w:rPr>
        <w:tab/>
      </w:r>
      <w:r w:rsidRPr="00755A43">
        <w:rPr>
          <w:i/>
          <w:sz w:val="16"/>
          <w:szCs w:val="16"/>
          <w:lang w:val="es-AR"/>
        </w:rPr>
        <w:t>Marginados, Perseguidos y Encarcelados</w:t>
      </w:r>
      <w:r>
        <w:rPr>
          <w:sz w:val="16"/>
          <w:szCs w:val="16"/>
          <w:lang w:val="es-AR"/>
        </w:rPr>
        <w:t xml:space="preserve">, </w:t>
      </w:r>
      <w:r w:rsidRPr="00755A43">
        <w:rPr>
          <w:sz w:val="16"/>
          <w:szCs w:val="16"/>
          <w:lang w:val="es-AR"/>
        </w:rPr>
        <w:t xml:space="preserve">21, citando </w:t>
      </w:r>
      <w:r w:rsidRPr="00755A43">
        <w:rPr>
          <w:sz w:val="16"/>
          <w:szCs w:val="16"/>
          <w:lang w:val="es-ES_tradnl"/>
        </w:rPr>
        <w:t xml:space="preserve">Inicia una investigación </w:t>
      </w:r>
      <w:r w:rsidRPr="00755A43">
        <w:rPr>
          <w:i/>
          <w:sz w:val="16"/>
          <w:szCs w:val="16"/>
          <w:lang w:val="es-CO"/>
        </w:rPr>
        <w:t>regional</w:t>
      </w:r>
      <w:r w:rsidRPr="00755A43">
        <w:rPr>
          <w:sz w:val="16"/>
          <w:szCs w:val="16"/>
          <w:lang w:val="es-ES_tradnl"/>
        </w:rPr>
        <w:t xml:space="preserve"> para </w:t>
      </w:r>
      <w:r w:rsidRPr="00755A43">
        <w:rPr>
          <w:i/>
          <w:sz w:val="16"/>
          <w:szCs w:val="16"/>
          <w:lang w:val="es-CO"/>
        </w:rPr>
        <w:t>prevenir</w:t>
      </w:r>
      <w:r w:rsidRPr="00755A43">
        <w:rPr>
          <w:sz w:val="16"/>
          <w:szCs w:val="16"/>
          <w:lang w:val="es-ES_tradnl"/>
        </w:rPr>
        <w:t xml:space="preserve"> suicidios en el </w:t>
      </w:r>
      <w:r w:rsidRPr="00755A43">
        <w:rPr>
          <w:i/>
          <w:sz w:val="16"/>
          <w:szCs w:val="16"/>
          <w:lang w:val="es-CO"/>
        </w:rPr>
        <w:t>embarazo</w:t>
      </w:r>
      <w:r w:rsidRPr="00755A43">
        <w:rPr>
          <w:sz w:val="16"/>
          <w:szCs w:val="16"/>
          <w:lang w:val="es-CO"/>
        </w:rPr>
        <w:t xml:space="preserve">, UNFPA El Salvador, 16 de abril de 2012. </w:t>
      </w:r>
      <w:r w:rsidRPr="008219F2">
        <w:rPr>
          <w:sz w:val="16"/>
          <w:szCs w:val="16"/>
          <w:lang w:val="es-US"/>
        </w:rPr>
        <w:t>Según la OPS, se reportó una tasa de 33,6% de suicidios entre todos los adolescentes de El Salvador en 2012. OPS https://www.paho.org/els/index.php?option=com_content&amp;view=article&amp;id=527:naciones</w:t>
      </w:r>
      <w:hyperlink r:id="rId15" w:history="1">
        <w:r w:rsidRPr="008219F2">
          <w:rPr>
            <w:rStyle w:val="Hyperlink"/>
            <w:sz w:val="16"/>
            <w:szCs w:val="16"/>
            <w:lang w:val="es-US"/>
          </w:rPr>
          <w:t>-unidas-llama-proteger-ninas-adolescentes-mujeres-ante-violencia&amp;Itemid=291</w:t>
        </w:r>
      </w:hyperlink>
      <w:r w:rsidRPr="008219F2">
        <w:rPr>
          <w:sz w:val="16"/>
          <w:szCs w:val="16"/>
          <w:lang w:val="es-US"/>
        </w:rPr>
        <w:t xml:space="preserve"> (8 de marzo de 2012).  </w:t>
      </w:r>
    </w:p>
  </w:endnote>
  <w:endnote w:id="34">
    <w:p w14:paraId="211589F1" w14:textId="77777777" w:rsidR="00251276" w:rsidRPr="008219F2" w:rsidRDefault="002E36DE">
      <w:pPr>
        <w:pStyle w:val="EndnoteText"/>
        <w:jc w:val="both"/>
        <w:rPr>
          <w:sz w:val="16"/>
          <w:szCs w:val="16"/>
          <w:lang w:val="es-US"/>
        </w:rPr>
      </w:pPr>
      <w:r w:rsidRPr="00755A43">
        <w:rPr>
          <w:rStyle w:val="EndnoteReference"/>
          <w:sz w:val="16"/>
          <w:szCs w:val="16"/>
        </w:rPr>
        <w:endnoteRef/>
      </w:r>
      <w:r w:rsidRPr="008219F2">
        <w:rPr>
          <w:sz w:val="16"/>
          <w:szCs w:val="16"/>
          <w:lang w:val="es-US"/>
        </w:rPr>
        <w:t xml:space="preserve"> </w:t>
      </w:r>
      <w:r w:rsidRPr="008219F2">
        <w:rPr>
          <w:sz w:val="16"/>
          <w:szCs w:val="16"/>
          <w:lang w:val="es-US"/>
        </w:rPr>
        <w:tab/>
        <w:t>Informe de Amnistía, 10.</w:t>
      </w:r>
    </w:p>
  </w:endnote>
  <w:endnote w:id="35">
    <w:p w14:paraId="5259B26C" w14:textId="77777777" w:rsidR="00251276" w:rsidRPr="008219F2" w:rsidRDefault="002E36DE">
      <w:pPr>
        <w:pStyle w:val="EndnoteText"/>
        <w:jc w:val="both"/>
        <w:rPr>
          <w:sz w:val="16"/>
          <w:szCs w:val="16"/>
          <w:lang w:val="es-US"/>
        </w:rPr>
      </w:pPr>
      <w:r w:rsidRPr="00755A43">
        <w:rPr>
          <w:rStyle w:val="EndnoteReference"/>
          <w:sz w:val="16"/>
          <w:szCs w:val="16"/>
        </w:rPr>
        <w:endnoteRef/>
      </w:r>
      <w:r w:rsidRPr="008219F2">
        <w:rPr>
          <w:sz w:val="16"/>
          <w:szCs w:val="16"/>
          <w:lang w:val="es-US"/>
        </w:rPr>
        <w:t xml:space="preserve"> </w:t>
      </w:r>
      <w:r w:rsidRPr="008219F2">
        <w:rPr>
          <w:sz w:val="16"/>
          <w:szCs w:val="16"/>
          <w:lang w:val="es-US"/>
        </w:rPr>
        <w:tab/>
      </w:r>
      <w:r w:rsidRPr="008219F2">
        <w:rPr>
          <w:i/>
          <w:sz w:val="16"/>
          <w:szCs w:val="16"/>
          <w:lang w:val="es-US"/>
        </w:rPr>
        <w:t>Marginadas, Perseguidas y Encarceladas</w:t>
      </w:r>
      <w:r w:rsidRPr="008219F2">
        <w:rPr>
          <w:sz w:val="16"/>
          <w:szCs w:val="16"/>
          <w:lang w:val="es-US"/>
        </w:rPr>
        <w:t>, 23, Instituto Salvadoreño para el Desarrollo de la Mujer (ISDEMU), Segundo Informe Nacional sobre la Situación de Violencia contra la Mujer en El Salvador 2010: Un problema de seguridad ciudadana 30-31 (2011) [en adelante "ISDEMU, Segundo Informe Nacional"].</w:t>
      </w:r>
    </w:p>
  </w:endnote>
  <w:endnote w:id="36">
    <w:p w14:paraId="561ECB33" w14:textId="77777777" w:rsidR="00251276" w:rsidRPr="008219F2" w:rsidRDefault="002E36DE">
      <w:pPr>
        <w:pStyle w:val="EndnoteText"/>
        <w:jc w:val="both"/>
        <w:rPr>
          <w:sz w:val="16"/>
          <w:szCs w:val="16"/>
          <w:lang w:val="es-US"/>
        </w:rPr>
      </w:pPr>
      <w:r w:rsidRPr="00755A43">
        <w:rPr>
          <w:rStyle w:val="EndnoteReference"/>
          <w:sz w:val="16"/>
          <w:szCs w:val="16"/>
        </w:rPr>
        <w:endnoteRef/>
      </w:r>
      <w:r w:rsidRPr="008219F2">
        <w:rPr>
          <w:sz w:val="16"/>
          <w:szCs w:val="16"/>
          <w:lang w:val="es-US"/>
        </w:rPr>
        <w:t xml:space="preserve"> </w:t>
      </w:r>
      <w:r w:rsidRPr="008219F2">
        <w:rPr>
          <w:sz w:val="16"/>
          <w:szCs w:val="16"/>
          <w:lang w:val="es-US"/>
        </w:rPr>
        <w:tab/>
        <w:t>Informe de Amnistía, 15.</w:t>
      </w:r>
    </w:p>
  </w:endnote>
  <w:endnote w:id="37">
    <w:p w14:paraId="766647EE" w14:textId="77777777" w:rsidR="00251276" w:rsidRPr="008219F2" w:rsidRDefault="002E36DE">
      <w:pPr>
        <w:pStyle w:val="EndnoteText"/>
        <w:jc w:val="both"/>
        <w:rPr>
          <w:sz w:val="16"/>
          <w:szCs w:val="16"/>
          <w:lang w:val="es-US"/>
        </w:rPr>
      </w:pPr>
      <w:r w:rsidRPr="00755A43">
        <w:rPr>
          <w:rStyle w:val="EndnoteReference"/>
          <w:sz w:val="16"/>
          <w:szCs w:val="16"/>
        </w:rPr>
        <w:endnoteRef/>
      </w:r>
      <w:r w:rsidRPr="008219F2">
        <w:rPr>
          <w:sz w:val="16"/>
          <w:szCs w:val="16"/>
          <w:lang w:val="es-US"/>
        </w:rPr>
        <w:tab/>
        <w:t xml:space="preserve"> Código Penal, Art. 159.</w:t>
      </w:r>
    </w:p>
  </w:endnote>
  <w:endnote w:id="38">
    <w:p w14:paraId="4CE25E96" w14:textId="77777777" w:rsidR="00251276" w:rsidRDefault="002E36DE">
      <w:pPr>
        <w:pStyle w:val="EndnoteText"/>
        <w:jc w:val="both"/>
        <w:rPr>
          <w:sz w:val="16"/>
          <w:szCs w:val="16"/>
          <w:lang w:val="en-GB"/>
        </w:rPr>
      </w:pPr>
      <w:r w:rsidRPr="00755A43">
        <w:rPr>
          <w:rStyle w:val="EndnoteReference"/>
          <w:sz w:val="16"/>
          <w:szCs w:val="16"/>
        </w:rPr>
        <w:endnoteRef/>
      </w:r>
      <w:r w:rsidRPr="008219F2">
        <w:rPr>
          <w:sz w:val="16"/>
          <w:szCs w:val="16"/>
          <w:lang w:val="es-US"/>
        </w:rPr>
        <w:tab/>
        <w:t xml:space="preserve"> La Organización Mundial de la Salud ha constatado que la tasa de natalidad en adolescentes en El Salvador aumentó de 65,4 a 74 por cada 1000 mujeres (de 15 a 19 años) entre 2010 y 2013 (las cifras no se han actualizado desde entonces). Desde el año 2000, las cifras de la OMS indican que ha habido una disminución de la tasa de natalidad en adolescentes (de 104,3 por cada 1.000 mujeres (de 15 a 19 años) a 74. </w:t>
      </w:r>
      <w:hyperlink r:id="rId16" w:history="1">
        <w:r w:rsidRPr="00755A43">
          <w:rPr>
            <w:rStyle w:val="Hyperlink"/>
            <w:sz w:val="16"/>
            <w:szCs w:val="16"/>
          </w:rPr>
          <w:t>https://apps.</w:t>
        </w:r>
      </w:hyperlink>
      <w:r w:rsidRPr="00755A43">
        <w:rPr>
          <w:rStyle w:val="Hyperlink"/>
          <w:sz w:val="16"/>
          <w:szCs w:val="16"/>
        </w:rPr>
        <w:t xml:space="preserve">who.int/gho/data/node.main.REPADO39?lang=en </w:t>
      </w:r>
    </w:p>
  </w:endnote>
  <w:endnote w:id="39">
    <w:p w14:paraId="23537457" w14:textId="77777777" w:rsidR="00251276" w:rsidRPr="008219F2" w:rsidRDefault="002E36DE">
      <w:pPr>
        <w:pStyle w:val="EndnoteText"/>
        <w:jc w:val="both"/>
        <w:rPr>
          <w:sz w:val="16"/>
          <w:szCs w:val="16"/>
          <w:lang w:val="es-US"/>
        </w:rPr>
      </w:pPr>
      <w:r w:rsidRPr="00755A43">
        <w:rPr>
          <w:rStyle w:val="EndnoteReference"/>
          <w:sz w:val="16"/>
          <w:szCs w:val="16"/>
        </w:rPr>
        <w:endnoteRef/>
      </w:r>
      <w:r w:rsidRPr="008219F2">
        <w:rPr>
          <w:sz w:val="16"/>
          <w:szCs w:val="16"/>
          <w:lang w:val="es-US"/>
        </w:rPr>
        <w:t xml:space="preserve"> </w:t>
      </w:r>
      <w:r w:rsidRPr="008219F2">
        <w:rPr>
          <w:sz w:val="16"/>
          <w:szCs w:val="16"/>
          <w:lang w:val="es-US"/>
        </w:rPr>
        <w:tab/>
        <w:t xml:space="preserve">The Guardian, </w:t>
      </w:r>
      <w:r w:rsidRPr="008219F2">
        <w:rPr>
          <w:i/>
          <w:sz w:val="16"/>
          <w:szCs w:val="16"/>
          <w:lang w:val="es-US"/>
        </w:rPr>
        <w:t>Las adolescentes son las que corren más riesgo en medio del aumento de la violencia sexual en El Salvador-informe</w:t>
      </w:r>
      <w:r w:rsidRPr="008219F2">
        <w:rPr>
          <w:sz w:val="16"/>
          <w:szCs w:val="16"/>
          <w:lang w:val="es-US"/>
        </w:rPr>
        <w:t xml:space="preserve">, 17 de abril de 2019, </w:t>
      </w:r>
      <w:r w:rsidRPr="008219F2">
        <w:rPr>
          <w:rStyle w:val="Hyperlink"/>
          <w:sz w:val="16"/>
          <w:szCs w:val="16"/>
          <w:lang w:val="es-US"/>
        </w:rPr>
        <w:t xml:space="preserve">https://www.theguardian.com/global-development/2019/apr/17/teenage-girls-el-salvador-rising-sexual-violence-report </w:t>
      </w:r>
    </w:p>
  </w:endnote>
  <w:endnote w:id="40">
    <w:p w14:paraId="53A2EAE5" w14:textId="77777777" w:rsidR="00251276" w:rsidRDefault="002E36DE">
      <w:pPr>
        <w:pStyle w:val="EndnoteText"/>
        <w:jc w:val="both"/>
        <w:rPr>
          <w:sz w:val="16"/>
          <w:szCs w:val="16"/>
          <w:lang w:val="de-DE"/>
        </w:rPr>
      </w:pPr>
      <w:r w:rsidRPr="00755A43">
        <w:rPr>
          <w:rStyle w:val="EndnoteReference"/>
          <w:sz w:val="16"/>
          <w:szCs w:val="16"/>
        </w:rPr>
        <w:endnoteRef/>
      </w:r>
      <w:r w:rsidRPr="00990AA7">
        <w:rPr>
          <w:sz w:val="16"/>
          <w:szCs w:val="16"/>
          <w:lang w:val="de-DE"/>
        </w:rPr>
        <w:t xml:space="preserve"> </w:t>
      </w:r>
      <w:r w:rsidRPr="00990AA7">
        <w:rPr>
          <w:sz w:val="16"/>
          <w:szCs w:val="16"/>
          <w:lang w:val="de-DE"/>
        </w:rPr>
        <w:tab/>
        <w:t xml:space="preserve">Fundación Heinrich Böll, </w:t>
      </w:r>
      <w:hyperlink r:id="rId17" w:history="1">
        <w:r w:rsidRPr="0065468C">
          <w:rPr>
            <w:rStyle w:val="Hyperlink"/>
            <w:sz w:val="16"/>
            <w:lang w:val="de-DE"/>
          </w:rPr>
          <w:t>https://sv.boell.org/es/2020/05/28/se-registran-3979-inscripciones-de-embarazo-en-ninas-y-adolescentes-en-los-primeros-tres</w:t>
        </w:r>
      </w:hyperlink>
      <w:r w:rsidRPr="00990AA7">
        <w:rPr>
          <w:sz w:val="16"/>
          <w:szCs w:val="16"/>
          <w:lang w:val="de-DE"/>
        </w:rPr>
        <w:t xml:space="preserve">28 de mayo de 2020. </w:t>
      </w:r>
    </w:p>
  </w:endnote>
  <w:endnote w:id="41">
    <w:p w14:paraId="2C1A435C" w14:textId="77777777" w:rsidR="00251276" w:rsidRPr="008219F2" w:rsidRDefault="002E36DE">
      <w:pPr>
        <w:pStyle w:val="EndnoteText"/>
        <w:jc w:val="both"/>
        <w:rPr>
          <w:sz w:val="16"/>
          <w:szCs w:val="16"/>
          <w:lang w:val="es-US"/>
        </w:rPr>
      </w:pPr>
      <w:r w:rsidRPr="00755A43">
        <w:rPr>
          <w:rStyle w:val="EndnoteReference"/>
          <w:sz w:val="16"/>
          <w:szCs w:val="16"/>
        </w:rPr>
        <w:endnoteRef/>
      </w:r>
      <w:r w:rsidRPr="008219F2">
        <w:rPr>
          <w:sz w:val="16"/>
          <w:szCs w:val="16"/>
          <w:lang w:val="es-US"/>
        </w:rPr>
        <w:tab/>
        <w:t xml:space="preserve"> Comité, Informe periódico presentado por El Salvador, UN Doc. E/C.12/SLV/6, ¶ 137.</w:t>
      </w:r>
    </w:p>
  </w:endnote>
  <w:endnote w:id="42">
    <w:p w14:paraId="0696F70B" w14:textId="77777777" w:rsidR="00251276" w:rsidRPr="008219F2" w:rsidRDefault="002E36DE">
      <w:pPr>
        <w:pStyle w:val="EndnoteText"/>
        <w:jc w:val="both"/>
        <w:rPr>
          <w:sz w:val="16"/>
          <w:szCs w:val="16"/>
          <w:lang w:val="es-US"/>
        </w:rPr>
      </w:pPr>
      <w:r w:rsidRPr="00755A43">
        <w:rPr>
          <w:rStyle w:val="EndnoteReference"/>
          <w:sz w:val="16"/>
          <w:szCs w:val="16"/>
        </w:rPr>
        <w:endnoteRef/>
      </w:r>
      <w:r w:rsidRPr="008219F2">
        <w:rPr>
          <w:sz w:val="16"/>
          <w:szCs w:val="16"/>
          <w:lang w:val="es-US"/>
        </w:rPr>
        <w:tab/>
        <w:t xml:space="preserve"> El Comité, Observaciones finales de El Salvador, ¶ 10.</w:t>
      </w:r>
    </w:p>
  </w:endnote>
  <w:endnote w:id="43">
    <w:p w14:paraId="68901392" w14:textId="77777777" w:rsidR="00251276" w:rsidRPr="008219F2" w:rsidRDefault="002E36DE">
      <w:pPr>
        <w:pStyle w:val="EndnoteText"/>
        <w:jc w:val="both"/>
        <w:rPr>
          <w:sz w:val="16"/>
          <w:szCs w:val="16"/>
          <w:lang w:val="es-US"/>
        </w:rPr>
      </w:pPr>
      <w:r w:rsidRPr="00755A43">
        <w:rPr>
          <w:rStyle w:val="EndnoteReference"/>
          <w:sz w:val="16"/>
          <w:szCs w:val="16"/>
        </w:rPr>
        <w:endnoteRef/>
      </w:r>
      <w:r w:rsidRPr="008219F2">
        <w:rPr>
          <w:sz w:val="16"/>
          <w:szCs w:val="16"/>
          <w:lang w:val="es-US"/>
        </w:rPr>
        <w:tab/>
        <w:t xml:space="preserve"> Relatora Especial sobre la violencia contra la mujer, sus causas y consecuencias, Informe de la Relatora Especial sobre la violencia contra la mujer, sus causas y consecuencias, Sra. Rashida Manjoo - Adición, Misión de seguimiento a El Salvador, 2011, U. N. Doc. A/HRC/17/26/Add.2, ¶¶ 11, 13.</w:t>
      </w:r>
    </w:p>
  </w:endnote>
  <w:endnote w:id="44">
    <w:p w14:paraId="7A4BB92D" w14:textId="77777777" w:rsidR="00251276" w:rsidRPr="008219F2" w:rsidRDefault="002E36DE">
      <w:pPr>
        <w:pStyle w:val="EndnoteText"/>
        <w:jc w:val="both"/>
        <w:rPr>
          <w:sz w:val="16"/>
          <w:szCs w:val="16"/>
          <w:lang w:val="es-US"/>
        </w:rPr>
      </w:pPr>
      <w:r w:rsidRPr="00755A43">
        <w:rPr>
          <w:rStyle w:val="EndnoteReference"/>
          <w:sz w:val="16"/>
          <w:szCs w:val="16"/>
        </w:rPr>
        <w:endnoteRef/>
      </w:r>
      <w:r w:rsidRPr="008219F2">
        <w:rPr>
          <w:sz w:val="16"/>
          <w:szCs w:val="16"/>
          <w:lang w:val="es-US"/>
        </w:rPr>
        <w:t xml:space="preserve"> </w:t>
      </w:r>
      <w:r w:rsidRPr="008219F2">
        <w:rPr>
          <w:sz w:val="16"/>
          <w:szCs w:val="16"/>
          <w:lang w:val="es-US"/>
        </w:rPr>
        <w:tab/>
        <w:t>Comité CEDAW, Observaciones finales sobre El Salvador, ¶ 32.</w:t>
      </w:r>
    </w:p>
  </w:endnote>
  <w:endnote w:id="45">
    <w:p w14:paraId="460BFE31" w14:textId="77777777" w:rsidR="00251276" w:rsidRPr="008219F2" w:rsidRDefault="002E36DE">
      <w:pPr>
        <w:pStyle w:val="EndnoteText"/>
        <w:jc w:val="both"/>
        <w:rPr>
          <w:sz w:val="16"/>
          <w:szCs w:val="16"/>
          <w:lang w:val="es-US"/>
        </w:rPr>
      </w:pPr>
      <w:r w:rsidRPr="00755A43">
        <w:rPr>
          <w:rStyle w:val="EndnoteReference"/>
          <w:sz w:val="16"/>
          <w:szCs w:val="16"/>
        </w:rPr>
        <w:endnoteRef/>
      </w:r>
      <w:r w:rsidRPr="008219F2">
        <w:rPr>
          <w:sz w:val="16"/>
          <w:szCs w:val="16"/>
          <w:lang w:val="es-US"/>
        </w:rPr>
        <w:tab/>
        <w:t xml:space="preserve"> El Comité, Informe periódico presentado por </w:t>
      </w:r>
      <w:r w:rsidRPr="008219F2">
        <w:rPr>
          <w:bCs/>
          <w:sz w:val="16"/>
          <w:szCs w:val="16"/>
          <w:lang w:val="es-US"/>
        </w:rPr>
        <w:t>El Salvador</w:t>
      </w:r>
      <w:r w:rsidRPr="008219F2">
        <w:rPr>
          <w:sz w:val="16"/>
          <w:szCs w:val="16"/>
          <w:lang w:val="es-US"/>
        </w:rPr>
        <w:t>, ¶¶ 247-248.</w:t>
      </w:r>
    </w:p>
  </w:endnote>
  <w:endnote w:id="46">
    <w:p w14:paraId="5523679B" w14:textId="77777777" w:rsidR="00251276" w:rsidRPr="008219F2" w:rsidRDefault="002E36DE">
      <w:pPr>
        <w:pStyle w:val="EndnoteText"/>
        <w:jc w:val="both"/>
        <w:rPr>
          <w:sz w:val="16"/>
          <w:szCs w:val="16"/>
          <w:lang w:val="es-US"/>
        </w:rPr>
      </w:pPr>
      <w:r w:rsidRPr="00755A43">
        <w:rPr>
          <w:rStyle w:val="EndnoteReference"/>
          <w:sz w:val="16"/>
          <w:szCs w:val="16"/>
        </w:rPr>
        <w:endnoteRef/>
      </w:r>
      <w:r w:rsidRPr="008219F2">
        <w:rPr>
          <w:sz w:val="16"/>
          <w:szCs w:val="16"/>
          <w:lang w:val="es-US"/>
        </w:rPr>
        <w:tab/>
        <w:t xml:space="preserve"> Amnistía Internacional, El Salvador: Los legisladores deben aprobar el proyecto de ley para despenalizar el aborto, 23 de abril de 2018, disponible en: https://www.refworld.org/docid/5b32328b4.html.</w:t>
      </w:r>
    </w:p>
  </w:endnote>
  <w:endnote w:id="47">
    <w:p w14:paraId="4A4A7BED" w14:textId="77777777" w:rsidR="00251276" w:rsidRPr="008219F2" w:rsidRDefault="002E36DE">
      <w:pPr>
        <w:pStyle w:val="EndnoteText"/>
        <w:jc w:val="both"/>
        <w:rPr>
          <w:sz w:val="16"/>
          <w:szCs w:val="16"/>
          <w:lang w:val="es-US"/>
        </w:rPr>
      </w:pPr>
      <w:r w:rsidRPr="00755A43">
        <w:rPr>
          <w:rStyle w:val="EndnoteReference"/>
          <w:sz w:val="16"/>
          <w:szCs w:val="16"/>
        </w:rPr>
        <w:endnoteRef/>
      </w:r>
      <w:r w:rsidRPr="008219F2">
        <w:rPr>
          <w:sz w:val="16"/>
          <w:szCs w:val="16"/>
          <w:lang w:val="es-US"/>
        </w:rPr>
        <w:tab/>
        <w:t xml:space="preserve"> El Comité, Informe periódico presentado por </w:t>
      </w:r>
      <w:r w:rsidRPr="008219F2">
        <w:rPr>
          <w:bCs/>
          <w:sz w:val="16"/>
          <w:szCs w:val="16"/>
          <w:lang w:val="es-US"/>
        </w:rPr>
        <w:t>El Salvador</w:t>
      </w:r>
      <w:r w:rsidRPr="008219F2">
        <w:rPr>
          <w:sz w:val="16"/>
          <w:szCs w:val="16"/>
          <w:lang w:val="es-US"/>
        </w:rPr>
        <w:t>, ¶¶ 247-248.</w:t>
      </w:r>
    </w:p>
  </w:endnote>
  <w:endnote w:id="48">
    <w:p w14:paraId="26810C0A" w14:textId="77777777" w:rsidR="00251276" w:rsidRPr="008219F2" w:rsidRDefault="002E36DE">
      <w:pPr>
        <w:pStyle w:val="EndnoteText"/>
        <w:jc w:val="both"/>
        <w:rPr>
          <w:sz w:val="16"/>
          <w:szCs w:val="16"/>
          <w:lang w:val="es-US"/>
        </w:rPr>
      </w:pPr>
      <w:r w:rsidRPr="00755A43">
        <w:rPr>
          <w:rStyle w:val="EndnoteReference"/>
          <w:sz w:val="16"/>
          <w:szCs w:val="16"/>
        </w:rPr>
        <w:endnoteRef/>
      </w:r>
      <w:r w:rsidRPr="008219F2">
        <w:rPr>
          <w:sz w:val="16"/>
          <w:szCs w:val="16"/>
          <w:lang w:val="es-US"/>
        </w:rPr>
        <w:t xml:space="preserve"> </w:t>
      </w:r>
      <w:r w:rsidRPr="008219F2">
        <w:rPr>
          <w:sz w:val="16"/>
          <w:szCs w:val="16"/>
          <w:lang w:val="es-US"/>
        </w:rPr>
        <w:tab/>
        <w:t>El Comité, Observación General 22, ¶ 5.</w:t>
      </w:r>
    </w:p>
  </w:endnote>
  <w:endnote w:id="49">
    <w:p w14:paraId="3FB7A669" w14:textId="77777777" w:rsidR="00251276" w:rsidRPr="008219F2" w:rsidRDefault="002E36DE">
      <w:pPr>
        <w:pStyle w:val="EndnoteText"/>
        <w:jc w:val="both"/>
        <w:rPr>
          <w:sz w:val="16"/>
          <w:szCs w:val="16"/>
          <w:lang w:val="es-US"/>
        </w:rPr>
      </w:pPr>
      <w:r w:rsidRPr="00755A43">
        <w:rPr>
          <w:rStyle w:val="EndnoteReference"/>
          <w:sz w:val="16"/>
          <w:szCs w:val="16"/>
        </w:rPr>
        <w:endnoteRef/>
      </w:r>
      <w:r w:rsidRPr="008219F2">
        <w:rPr>
          <w:sz w:val="16"/>
          <w:szCs w:val="16"/>
          <w:lang w:val="es-US"/>
        </w:rPr>
        <w:t xml:space="preserve"> </w:t>
      </w:r>
      <w:r w:rsidRPr="008219F2">
        <w:rPr>
          <w:sz w:val="16"/>
          <w:szCs w:val="16"/>
          <w:lang w:val="es-US"/>
        </w:rPr>
        <w:tab/>
      </w:r>
      <w:r w:rsidRPr="008219F2">
        <w:rPr>
          <w:i/>
          <w:sz w:val="16"/>
          <w:szCs w:val="16"/>
          <w:lang w:val="es-US"/>
        </w:rPr>
        <w:t xml:space="preserve">Id. </w:t>
      </w:r>
      <w:r w:rsidRPr="008219F2">
        <w:rPr>
          <w:sz w:val="16"/>
          <w:szCs w:val="16"/>
          <w:lang w:val="es-US"/>
        </w:rPr>
        <w:t xml:space="preserve">en ¶ 28. Véase también, El Comité, Observación General 20: La no discriminación en los derechos económicos, sociales y culturales (art. 2, párrafo 2, del Pacto Internacional de Derechos Económicos, Sociales y Culturales), U.N. Doc. E/C.12/GC/20, ¶ 36 [en adelante "Observación General 20"]. </w:t>
      </w:r>
    </w:p>
  </w:endnote>
  <w:endnote w:id="50">
    <w:p w14:paraId="0377EEA1" w14:textId="77777777" w:rsidR="00251276" w:rsidRPr="008219F2" w:rsidRDefault="002E36DE">
      <w:pPr>
        <w:pStyle w:val="EndnoteText"/>
        <w:jc w:val="both"/>
        <w:rPr>
          <w:sz w:val="16"/>
          <w:szCs w:val="16"/>
          <w:lang w:val="es-US"/>
        </w:rPr>
      </w:pPr>
      <w:r w:rsidRPr="00755A43">
        <w:rPr>
          <w:rStyle w:val="EndnoteReference"/>
          <w:sz w:val="16"/>
          <w:szCs w:val="16"/>
        </w:rPr>
        <w:endnoteRef/>
      </w:r>
      <w:r w:rsidRPr="008219F2">
        <w:rPr>
          <w:sz w:val="16"/>
          <w:szCs w:val="16"/>
          <w:lang w:val="es-US"/>
        </w:rPr>
        <w:t xml:space="preserve"> </w:t>
      </w:r>
      <w:r w:rsidRPr="008219F2">
        <w:rPr>
          <w:sz w:val="16"/>
          <w:szCs w:val="16"/>
          <w:lang w:val="es-US"/>
        </w:rPr>
        <w:tab/>
        <w:t xml:space="preserve">El Comité, Observación General 22, ¶ 29; El Comité, Observación General 14: El derecho al disfrute del más alto nivel posible de salud (Art. 12) (11 de agosto de 2000), U.N. Doc. E/C.12/2000/4 ¶ 33 [en adelante "Observación </w:t>
      </w:r>
      <w:r w:rsidRPr="008219F2">
        <w:rPr>
          <w:sz w:val="16"/>
          <w:szCs w:val="16"/>
          <w:u w:val="single"/>
          <w:lang w:val="es-US"/>
        </w:rPr>
        <w:t>General 14"].</w:t>
      </w:r>
    </w:p>
  </w:endnote>
  <w:endnote w:id="51">
    <w:p w14:paraId="2B0A39DB" w14:textId="77777777" w:rsidR="00251276" w:rsidRPr="008219F2" w:rsidRDefault="002E36DE">
      <w:pPr>
        <w:pStyle w:val="EndnoteText"/>
        <w:jc w:val="both"/>
        <w:rPr>
          <w:sz w:val="16"/>
          <w:szCs w:val="16"/>
          <w:lang w:val="es-US"/>
        </w:rPr>
      </w:pPr>
      <w:r w:rsidRPr="00755A43">
        <w:rPr>
          <w:rStyle w:val="EndnoteReference"/>
          <w:sz w:val="16"/>
          <w:szCs w:val="16"/>
        </w:rPr>
        <w:endnoteRef/>
      </w:r>
      <w:r w:rsidRPr="008219F2">
        <w:rPr>
          <w:sz w:val="16"/>
          <w:szCs w:val="16"/>
          <w:lang w:val="es-US"/>
        </w:rPr>
        <w:t xml:space="preserve"> </w:t>
      </w:r>
      <w:r w:rsidRPr="008219F2">
        <w:rPr>
          <w:sz w:val="16"/>
          <w:szCs w:val="16"/>
          <w:lang w:val="es-US"/>
        </w:rPr>
        <w:tab/>
        <w:t xml:space="preserve">El Comité, Observación General 22, ¶ 1. </w:t>
      </w:r>
    </w:p>
  </w:endnote>
  <w:endnote w:id="52">
    <w:p w14:paraId="425A5635" w14:textId="77777777" w:rsidR="00251276" w:rsidRPr="008219F2" w:rsidRDefault="002E36DE">
      <w:pPr>
        <w:pStyle w:val="EndnoteText"/>
        <w:jc w:val="both"/>
        <w:rPr>
          <w:sz w:val="16"/>
          <w:szCs w:val="16"/>
          <w:lang w:val="es-US"/>
        </w:rPr>
      </w:pPr>
      <w:r w:rsidRPr="00755A43">
        <w:rPr>
          <w:rStyle w:val="EndnoteReference"/>
          <w:sz w:val="16"/>
          <w:szCs w:val="16"/>
        </w:rPr>
        <w:endnoteRef/>
      </w:r>
      <w:r w:rsidRPr="008219F2">
        <w:rPr>
          <w:sz w:val="16"/>
          <w:szCs w:val="16"/>
          <w:lang w:val="es-US"/>
        </w:rPr>
        <w:t xml:space="preserve"> </w:t>
      </w:r>
      <w:r w:rsidRPr="008219F2">
        <w:rPr>
          <w:sz w:val="16"/>
          <w:szCs w:val="16"/>
          <w:lang w:val="es-US"/>
        </w:rPr>
        <w:tab/>
      </w:r>
      <w:r w:rsidRPr="008219F2">
        <w:rPr>
          <w:i/>
          <w:sz w:val="16"/>
          <w:szCs w:val="16"/>
          <w:lang w:val="es-US"/>
        </w:rPr>
        <w:t xml:space="preserve">Id. </w:t>
      </w:r>
      <w:r w:rsidRPr="008219F2">
        <w:rPr>
          <w:sz w:val="16"/>
          <w:szCs w:val="16"/>
          <w:lang w:val="es-US"/>
        </w:rPr>
        <w:t xml:space="preserve">en ¶¶ 40-45. </w:t>
      </w:r>
    </w:p>
  </w:endnote>
  <w:endnote w:id="53">
    <w:p w14:paraId="1EAA0C51" w14:textId="77777777" w:rsidR="00251276" w:rsidRPr="008219F2" w:rsidRDefault="002E36DE">
      <w:pPr>
        <w:pStyle w:val="EndnoteText"/>
        <w:jc w:val="both"/>
        <w:rPr>
          <w:sz w:val="16"/>
          <w:szCs w:val="16"/>
          <w:lang w:val="es-US"/>
        </w:rPr>
      </w:pPr>
      <w:r w:rsidRPr="00755A43">
        <w:rPr>
          <w:rStyle w:val="EndnoteReference"/>
          <w:sz w:val="16"/>
          <w:szCs w:val="16"/>
        </w:rPr>
        <w:endnoteRef/>
      </w:r>
      <w:r w:rsidRPr="008219F2">
        <w:rPr>
          <w:sz w:val="16"/>
          <w:szCs w:val="16"/>
          <w:lang w:val="es-US"/>
        </w:rPr>
        <w:t xml:space="preserve"> </w:t>
      </w:r>
      <w:r w:rsidRPr="008219F2">
        <w:rPr>
          <w:sz w:val="16"/>
          <w:szCs w:val="16"/>
          <w:lang w:val="es-US"/>
        </w:rPr>
        <w:tab/>
      </w:r>
      <w:r w:rsidRPr="008219F2">
        <w:rPr>
          <w:i/>
          <w:sz w:val="16"/>
          <w:szCs w:val="16"/>
          <w:lang w:val="es-US"/>
        </w:rPr>
        <w:t xml:space="preserve">Id. </w:t>
      </w:r>
      <w:r w:rsidRPr="008219F2">
        <w:rPr>
          <w:sz w:val="16"/>
          <w:szCs w:val="16"/>
          <w:lang w:val="es-US"/>
        </w:rPr>
        <w:t xml:space="preserve">en ¶ 34. </w:t>
      </w:r>
    </w:p>
  </w:endnote>
  <w:endnote w:id="54">
    <w:p w14:paraId="7CA749D4" w14:textId="77777777" w:rsidR="00251276" w:rsidRPr="008219F2" w:rsidRDefault="002E36DE">
      <w:pPr>
        <w:pStyle w:val="EndnoteText"/>
        <w:jc w:val="both"/>
        <w:rPr>
          <w:sz w:val="16"/>
          <w:szCs w:val="16"/>
          <w:lang w:val="es-US"/>
        </w:rPr>
      </w:pPr>
      <w:r w:rsidRPr="00755A43">
        <w:rPr>
          <w:rStyle w:val="EndnoteReference"/>
          <w:sz w:val="16"/>
          <w:szCs w:val="16"/>
        </w:rPr>
        <w:endnoteRef/>
      </w:r>
      <w:r w:rsidRPr="008219F2">
        <w:rPr>
          <w:sz w:val="16"/>
          <w:szCs w:val="16"/>
          <w:lang w:val="es-US"/>
        </w:rPr>
        <w:tab/>
        <w:t xml:space="preserve"> Relator Especial sobre el derecho de toda persona al disfrute del más alto nivel posible de salud física y mental, </w:t>
      </w:r>
      <w:r w:rsidRPr="008219F2">
        <w:rPr>
          <w:i/>
          <w:sz w:val="16"/>
          <w:szCs w:val="16"/>
          <w:lang w:val="es-US"/>
        </w:rPr>
        <w:t xml:space="preserve">Informe provisional del Relator Especial sobre el derecho de toda persona al disfrute del más alto nivel posible de salud física y mental, Sr. Anand Grover </w:t>
      </w:r>
      <w:r w:rsidRPr="008219F2">
        <w:rPr>
          <w:sz w:val="16"/>
          <w:szCs w:val="16"/>
          <w:lang w:val="es-US"/>
        </w:rPr>
        <w:t xml:space="preserve">(3 de agosto de 2011), A/66/254, ¶ 29 [en adelante "Informe provisional del Relator Especial sobre el derecho a la salud (2011)"].  </w:t>
      </w:r>
    </w:p>
  </w:endnote>
  <w:endnote w:id="55">
    <w:p w14:paraId="38C83204" w14:textId="77777777" w:rsidR="00251276" w:rsidRPr="008219F2" w:rsidRDefault="002E36DE">
      <w:pPr>
        <w:pStyle w:val="EndnoteText"/>
        <w:jc w:val="both"/>
        <w:rPr>
          <w:sz w:val="16"/>
          <w:szCs w:val="16"/>
          <w:lang w:val="es-US"/>
        </w:rPr>
      </w:pPr>
      <w:r w:rsidRPr="00755A43">
        <w:rPr>
          <w:rStyle w:val="EndnoteReference"/>
          <w:sz w:val="16"/>
          <w:szCs w:val="16"/>
        </w:rPr>
        <w:endnoteRef/>
      </w:r>
      <w:r w:rsidRPr="008219F2">
        <w:rPr>
          <w:sz w:val="16"/>
          <w:szCs w:val="16"/>
          <w:lang w:val="es-US"/>
        </w:rPr>
        <w:t xml:space="preserve"> </w:t>
      </w:r>
      <w:r w:rsidRPr="008219F2">
        <w:rPr>
          <w:sz w:val="16"/>
          <w:szCs w:val="16"/>
          <w:lang w:val="es-US"/>
        </w:rPr>
        <w:tab/>
        <w:t>El Comité, Observación General 14, ¶ 12. Véase también, El Comité, Observación General 22, ¶¶ 5, 15, 18-19, n.13.</w:t>
      </w:r>
    </w:p>
  </w:endnote>
  <w:endnote w:id="56">
    <w:p w14:paraId="7333A1C9" w14:textId="77777777" w:rsidR="00251276" w:rsidRPr="008219F2" w:rsidRDefault="002E36DE">
      <w:pPr>
        <w:pStyle w:val="EndnoteText"/>
        <w:jc w:val="both"/>
        <w:rPr>
          <w:sz w:val="16"/>
          <w:szCs w:val="16"/>
          <w:lang w:val="es-US"/>
        </w:rPr>
      </w:pPr>
      <w:r w:rsidRPr="00755A43">
        <w:rPr>
          <w:rStyle w:val="EndnoteReference"/>
          <w:sz w:val="16"/>
          <w:szCs w:val="16"/>
        </w:rPr>
        <w:endnoteRef/>
      </w:r>
      <w:r w:rsidRPr="008219F2">
        <w:rPr>
          <w:sz w:val="16"/>
          <w:szCs w:val="16"/>
          <w:lang w:val="es-US"/>
        </w:rPr>
        <w:t xml:space="preserve"> </w:t>
      </w:r>
      <w:r w:rsidRPr="008219F2">
        <w:rPr>
          <w:sz w:val="16"/>
          <w:szCs w:val="16"/>
          <w:lang w:val="es-US"/>
        </w:rPr>
        <w:tab/>
        <w:t xml:space="preserve">El Comité, Observación General 22, ¶ 21. </w:t>
      </w:r>
    </w:p>
  </w:endnote>
  <w:endnote w:id="57">
    <w:p w14:paraId="1ED29029" w14:textId="77777777" w:rsidR="00251276" w:rsidRPr="008219F2" w:rsidRDefault="002E36DE">
      <w:pPr>
        <w:pStyle w:val="EndnoteText"/>
        <w:jc w:val="both"/>
        <w:rPr>
          <w:sz w:val="16"/>
          <w:szCs w:val="16"/>
          <w:lang w:val="es-US"/>
        </w:rPr>
      </w:pPr>
      <w:r w:rsidRPr="00755A43">
        <w:rPr>
          <w:rStyle w:val="EndnoteReference"/>
          <w:sz w:val="16"/>
          <w:szCs w:val="16"/>
        </w:rPr>
        <w:endnoteRef/>
      </w:r>
      <w:r w:rsidRPr="008219F2">
        <w:rPr>
          <w:sz w:val="16"/>
          <w:szCs w:val="16"/>
          <w:lang w:val="es-US"/>
        </w:rPr>
        <w:t xml:space="preserve"> </w:t>
      </w:r>
      <w:r w:rsidRPr="008219F2">
        <w:rPr>
          <w:sz w:val="16"/>
          <w:szCs w:val="16"/>
          <w:lang w:val="es-US"/>
        </w:rPr>
        <w:tab/>
        <w:t>El Comité, Observación General 14, ¶ 14.</w:t>
      </w:r>
    </w:p>
  </w:endnote>
  <w:endnote w:id="58">
    <w:p w14:paraId="0EF13D5A" w14:textId="77777777" w:rsidR="00251276" w:rsidRPr="008219F2" w:rsidRDefault="002E36DE">
      <w:pPr>
        <w:pStyle w:val="EndnoteText"/>
        <w:jc w:val="both"/>
        <w:rPr>
          <w:lang w:val="es-US"/>
        </w:rPr>
      </w:pPr>
      <w:r w:rsidRPr="00F10D71">
        <w:rPr>
          <w:rStyle w:val="EndnoteReference"/>
          <w:sz w:val="16"/>
          <w:szCs w:val="16"/>
        </w:rPr>
        <w:endnoteRef/>
      </w:r>
      <w:r w:rsidRPr="008219F2">
        <w:rPr>
          <w:sz w:val="16"/>
          <w:szCs w:val="16"/>
          <w:lang w:val="es-US"/>
        </w:rPr>
        <w:t xml:space="preserve"> </w:t>
      </w:r>
      <w:r w:rsidR="00F10D71" w:rsidRPr="008219F2">
        <w:rPr>
          <w:lang w:val="es-US"/>
        </w:rPr>
        <w:tab/>
      </w:r>
      <w:r w:rsidR="00F10D71" w:rsidRPr="008219F2">
        <w:rPr>
          <w:sz w:val="16"/>
          <w:szCs w:val="16"/>
          <w:lang w:val="es-US"/>
        </w:rPr>
        <w:t xml:space="preserve">El Comité, Observación General 25 </w:t>
      </w:r>
      <w:r w:rsidR="00DF684E" w:rsidRPr="008219F2">
        <w:rPr>
          <w:sz w:val="16"/>
          <w:szCs w:val="16"/>
          <w:lang w:val="es-US"/>
        </w:rPr>
        <w:t xml:space="preserve">(2020): sobre la ciencia y los derechos económicos, sociales y culturales (artículo 15 (1) (b), (2), (3) y (4) del Pacto Internacional de Derechos Económicos, Sociales y Culturales), </w:t>
      </w:r>
      <w:r w:rsidR="00F10D71" w:rsidRPr="008219F2">
        <w:rPr>
          <w:sz w:val="16"/>
          <w:szCs w:val="16"/>
          <w:lang w:val="es-US"/>
        </w:rPr>
        <w:t xml:space="preserve">U.N. Doc. </w:t>
      </w:r>
      <w:r w:rsidR="00B1751C" w:rsidRPr="008219F2">
        <w:rPr>
          <w:sz w:val="16"/>
          <w:szCs w:val="16"/>
          <w:lang w:val="es-US"/>
        </w:rPr>
        <w:t xml:space="preserve">E/C.12/GC/25¶ </w:t>
      </w:r>
      <w:r w:rsidR="00F10D71" w:rsidRPr="008219F2">
        <w:rPr>
          <w:sz w:val="16"/>
          <w:szCs w:val="16"/>
          <w:lang w:val="es-US"/>
        </w:rPr>
        <w:t>33 [en adelante "</w:t>
      </w:r>
      <w:r w:rsidR="00F10D71" w:rsidRPr="008219F2">
        <w:rPr>
          <w:sz w:val="16"/>
          <w:szCs w:val="16"/>
          <w:u w:val="single"/>
          <w:lang w:val="es-US"/>
        </w:rPr>
        <w:t xml:space="preserve">Observación General </w:t>
      </w:r>
      <w:r w:rsidR="00B1751C" w:rsidRPr="008219F2">
        <w:rPr>
          <w:sz w:val="16"/>
          <w:szCs w:val="16"/>
          <w:u w:val="single"/>
          <w:lang w:val="es-US"/>
        </w:rPr>
        <w:t>25</w:t>
      </w:r>
      <w:r w:rsidR="00F10D71" w:rsidRPr="008219F2">
        <w:rPr>
          <w:sz w:val="16"/>
          <w:szCs w:val="16"/>
          <w:u w:val="single"/>
          <w:lang w:val="es-US"/>
        </w:rPr>
        <w:t>"].</w:t>
      </w:r>
    </w:p>
  </w:endnote>
  <w:endnote w:id="59">
    <w:p w14:paraId="57CB71F9" w14:textId="77777777" w:rsidR="00251276" w:rsidRPr="008219F2" w:rsidRDefault="002E36DE">
      <w:pPr>
        <w:pStyle w:val="EndnoteText"/>
        <w:rPr>
          <w:lang w:val="es-US"/>
        </w:rPr>
      </w:pPr>
      <w:r w:rsidRPr="00A24E48">
        <w:rPr>
          <w:rStyle w:val="EndnoteReference"/>
          <w:sz w:val="16"/>
          <w:szCs w:val="16"/>
        </w:rPr>
        <w:endnoteRef/>
      </w:r>
      <w:r w:rsidRPr="008219F2">
        <w:rPr>
          <w:lang w:val="es-US"/>
        </w:rPr>
        <w:t xml:space="preserve"> </w:t>
      </w:r>
      <w:r w:rsidRPr="008219F2">
        <w:rPr>
          <w:lang w:val="es-US"/>
        </w:rPr>
        <w:tab/>
      </w:r>
      <w:r w:rsidRPr="008219F2">
        <w:rPr>
          <w:i/>
          <w:sz w:val="16"/>
          <w:szCs w:val="16"/>
          <w:lang w:val="es-US"/>
        </w:rPr>
        <w:t>Id.</w:t>
      </w:r>
    </w:p>
  </w:endnote>
  <w:endnote w:id="60">
    <w:p w14:paraId="32E033DA" w14:textId="77777777" w:rsidR="00251276" w:rsidRPr="008219F2" w:rsidRDefault="002E36DE">
      <w:pPr>
        <w:pStyle w:val="EndnoteText"/>
        <w:jc w:val="both"/>
        <w:rPr>
          <w:sz w:val="16"/>
          <w:szCs w:val="16"/>
          <w:lang w:val="es-US"/>
        </w:rPr>
      </w:pPr>
      <w:r w:rsidRPr="00755A43">
        <w:rPr>
          <w:rStyle w:val="EndnoteReference"/>
          <w:sz w:val="16"/>
          <w:szCs w:val="16"/>
        </w:rPr>
        <w:endnoteRef/>
      </w:r>
      <w:r w:rsidRPr="008219F2">
        <w:rPr>
          <w:sz w:val="16"/>
          <w:szCs w:val="16"/>
          <w:lang w:val="es-US"/>
        </w:rPr>
        <w:t xml:space="preserve"> </w:t>
      </w:r>
      <w:r w:rsidRPr="008219F2">
        <w:rPr>
          <w:sz w:val="16"/>
          <w:szCs w:val="16"/>
          <w:lang w:val="es-US"/>
        </w:rPr>
        <w:tab/>
        <w:t xml:space="preserve">El Comité, Observación General 22, ¶ 18. </w:t>
      </w:r>
    </w:p>
  </w:endnote>
  <w:endnote w:id="61">
    <w:p w14:paraId="5E31F63B" w14:textId="77777777" w:rsidR="00251276" w:rsidRPr="008219F2" w:rsidRDefault="002E36DE">
      <w:pPr>
        <w:pStyle w:val="EndnoteText"/>
        <w:jc w:val="both"/>
        <w:rPr>
          <w:sz w:val="16"/>
          <w:szCs w:val="16"/>
          <w:lang w:val="es-US"/>
        </w:rPr>
      </w:pPr>
      <w:r w:rsidRPr="00755A43">
        <w:rPr>
          <w:rStyle w:val="EndnoteReference"/>
          <w:sz w:val="16"/>
          <w:szCs w:val="16"/>
        </w:rPr>
        <w:endnoteRef/>
      </w:r>
      <w:r w:rsidRPr="008219F2">
        <w:rPr>
          <w:sz w:val="16"/>
          <w:szCs w:val="16"/>
          <w:lang w:val="es-US"/>
        </w:rPr>
        <w:t xml:space="preserve"> </w:t>
      </w:r>
      <w:r w:rsidRPr="008219F2">
        <w:rPr>
          <w:sz w:val="16"/>
          <w:szCs w:val="16"/>
          <w:lang w:val="es-US"/>
        </w:rPr>
        <w:tab/>
      </w:r>
      <w:r w:rsidRPr="008219F2">
        <w:rPr>
          <w:i/>
          <w:sz w:val="16"/>
          <w:szCs w:val="16"/>
          <w:lang w:val="es-US"/>
        </w:rPr>
        <w:t xml:space="preserve">Id. </w:t>
      </w:r>
      <w:r w:rsidRPr="008219F2">
        <w:rPr>
          <w:sz w:val="16"/>
          <w:szCs w:val="16"/>
          <w:lang w:val="es-US"/>
        </w:rPr>
        <w:t xml:space="preserve">en ¶ 19. </w:t>
      </w:r>
    </w:p>
  </w:endnote>
  <w:endnote w:id="62">
    <w:p w14:paraId="3DC00C93" w14:textId="77777777" w:rsidR="00251276" w:rsidRPr="008219F2" w:rsidRDefault="002E36DE">
      <w:pPr>
        <w:pStyle w:val="EndnoteText"/>
        <w:jc w:val="both"/>
        <w:rPr>
          <w:sz w:val="16"/>
          <w:szCs w:val="16"/>
          <w:lang w:val="es-US"/>
        </w:rPr>
      </w:pPr>
      <w:r w:rsidRPr="00755A43">
        <w:rPr>
          <w:rStyle w:val="EndnoteReference"/>
          <w:sz w:val="16"/>
          <w:szCs w:val="16"/>
        </w:rPr>
        <w:endnoteRef/>
      </w:r>
      <w:r w:rsidRPr="008219F2">
        <w:rPr>
          <w:sz w:val="16"/>
          <w:szCs w:val="16"/>
          <w:lang w:val="es-US"/>
        </w:rPr>
        <w:t xml:space="preserve"> </w:t>
      </w:r>
      <w:r w:rsidRPr="008219F2">
        <w:rPr>
          <w:sz w:val="16"/>
          <w:szCs w:val="16"/>
          <w:lang w:val="es-US"/>
        </w:rPr>
        <w:tab/>
        <w:t xml:space="preserve">El Comité, Observación final sobre El Salvador (2017), ¶ 23. </w:t>
      </w:r>
    </w:p>
  </w:endnote>
  <w:endnote w:id="63">
    <w:p w14:paraId="0BAF46C3" w14:textId="77777777" w:rsidR="00251276" w:rsidRPr="008219F2" w:rsidRDefault="002E36DE">
      <w:pPr>
        <w:pStyle w:val="EndnoteText"/>
        <w:jc w:val="both"/>
        <w:rPr>
          <w:sz w:val="16"/>
          <w:szCs w:val="16"/>
          <w:lang w:val="es-US"/>
        </w:rPr>
      </w:pPr>
      <w:r w:rsidRPr="00755A43">
        <w:rPr>
          <w:rStyle w:val="EndnoteReference"/>
          <w:sz w:val="16"/>
          <w:szCs w:val="16"/>
        </w:rPr>
        <w:endnoteRef/>
      </w:r>
      <w:r w:rsidRPr="008219F2">
        <w:rPr>
          <w:sz w:val="16"/>
          <w:szCs w:val="16"/>
          <w:lang w:val="es-US"/>
        </w:rPr>
        <w:t xml:space="preserve"> </w:t>
      </w:r>
      <w:r w:rsidRPr="008219F2">
        <w:rPr>
          <w:sz w:val="16"/>
          <w:szCs w:val="16"/>
          <w:lang w:val="es-US"/>
        </w:rPr>
        <w:tab/>
        <w:t>El Comité, Observación General 22, ¶¶ 7, 26, 29, 45 y 59 y Observación General 14, ¶¶ 10, 21, 35 y 51.</w:t>
      </w:r>
    </w:p>
  </w:endnote>
  <w:endnote w:id="64">
    <w:p w14:paraId="5E3A54C5" w14:textId="77777777" w:rsidR="00251276" w:rsidRPr="008219F2" w:rsidRDefault="002E36DE">
      <w:pPr>
        <w:pStyle w:val="EndnoteText"/>
        <w:jc w:val="both"/>
        <w:rPr>
          <w:sz w:val="16"/>
          <w:szCs w:val="16"/>
          <w:lang w:val="es-US"/>
        </w:rPr>
      </w:pPr>
      <w:r w:rsidRPr="00755A43">
        <w:rPr>
          <w:rStyle w:val="EndnoteReference"/>
          <w:sz w:val="16"/>
          <w:szCs w:val="16"/>
        </w:rPr>
        <w:endnoteRef/>
      </w:r>
      <w:r w:rsidRPr="008219F2">
        <w:rPr>
          <w:sz w:val="16"/>
          <w:szCs w:val="16"/>
          <w:lang w:val="es-US"/>
        </w:rPr>
        <w:t xml:space="preserve"> </w:t>
      </w:r>
      <w:r w:rsidRPr="008219F2">
        <w:rPr>
          <w:sz w:val="16"/>
          <w:szCs w:val="16"/>
          <w:lang w:val="es-US"/>
        </w:rPr>
        <w:tab/>
        <w:t>El Comité, Observación General 22 ¶¶ 7 y 9, citando el Informe del Relator Especial de la ONU sobre el derecho a la educación (Vernor Muñoz), UN Doc. A/65/162 (23 de julio de 2010) ("</w:t>
      </w:r>
      <w:r w:rsidRPr="008219F2">
        <w:rPr>
          <w:sz w:val="16"/>
          <w:szCs w:val="16"/>
          <w:u w:val="single"/>
          <w:lang w:val="es-US"/>
        </w:rPr>
        <w:t>RE Derecho a la Educación</w:t>
      </w:r>
      <w:r w:rsidRPr="008219F2">
        <w:rPr>
          <w:sz w:val="16"/>
          <w:szCs w:val="16"/>
          <w:lang w:val="es-US"/>
        </w:rPr>
        <w:t xml:space="preserve">"). Véase también, la Observación General 22 ¶ 63. El Comité ha pedido a los Estados que proporcionen educación en materia de salud sexual y reproductiva (véase Comité, </w:t>
      </w:r>
      <w:r w:rsidRPr="008219F2">
        <w:rPr>
          <w:i/>
          <w:sz w:val="16"/>
          <w:szCs w:val="16"/>
          <w:lang w:val="es-US"/>
        </w:rPr>
        <w:t xml:space="preserve">Observaciones finales </w:t>
      </w:r>
      <w:r w:rsidRPr="008219F2">
        <w:rPr>
          <w:sz w:val="16"/>
          <w:szCs w:val="16"/>
          <w:lang w:val="es-US"/>
        </w:rPr>
        <w:t xml:space="preserve">(2001) (Bolivia), Doc. E/C.12/1/Add.60, ¶ 43; El Comité, </w:t>
      </w:r>
      <w:r w:rsidRPr="008219F2">
        <w:rPr>
          <w:i/>
          <w:sz w:val="16"/>
          <w:szCs w:val="16"/>
          <w:lang w:val="es-US"/>
        </w:rPr>
        <w:t xml:space="preserve">Observaciones finales </w:t>
      </w:r>
      <w:r w:rsidRPr="008219F2">
        <w:rPr>
          <w:sz w:val="16"/>
          <w:szCs w:val="16"/>
          <w:lang w:val="es-US"/>
        </w:rPr>
        <w:t xml:space="preserve">(2003) (Guatemala), U. N. Doc. E/C.12/1/Add.93, ¶ 43) y, de hecho, ha recomendado específicamente la educación sexual como medio para garantizar el derecho de las mujeres a la salud, especialmente a la salud reproductiva (Comité, </w:t>
      </w:r>
      <w:r w:rsidRPr="008219F2">
        <w:rPr>
          <w:i/>
          <w:sz w:val="16"/>
          <w:szCs w:val="16"/>
          <w:lang w:val="es-US"/>
        </w:rPr>
        <w:t xml:space="preserve">Observaciones finales </w:t>
      </w:r>
      <w:r w:rsidRPr="008219F2">
        <w:rPr>
          <w:sz w:val="16"/>
          <w:szCs w:val="16"/>
          <w:lang w:val="es-US"/>
        </w:rPr>
        <w:t>(1998) (Polonia), U. N. Doc. E/C.12/1/Add.26, ¶ 20).  Esta obligación exige que el Estado se abstenga de censurar, retener o tergiversar intencionadamente la información relativa a la salud, incluida la educación sexual y la información sobre sexualidad (RE Derecho a la educación, ¶ 26), citando la Observación General 14 ¶ 34).</w:t>
      </w:r>
    </w:p>
  </w:endnote>
  <w:endnote w:id="65">
    <w:p w14:paraId="7ED2F0AA" w14:textId="77777777" w:rsidR="00251276" w:rsidRPr="008219F2" w:rsidRDefault="002E36DE">
      <w:pPr>
        <w:pStyle w:val="EndnoteText"/>
        <w:rPr>
          <w:lang w:val="es-US"/>
        </w:rPr>
      </w:pPr>
      <w:r>
        <w:rPr>
          <w:rStyle w:val="EndnoteReference"/>
        </w:rPr>
        <w:endnoteRef/>
      </w:r>
      <w:r w:rsidRPr="008219F2">
        <w:rPr>
          <w:lang w:val="es-US"/>
        </w:rPr>
        <w:t xml:space="preserve"> Corte Interamericana de Derechos Humanos. </w:t>
      </w:r>
      <w:r>
        <w:rPr>
          <w:lang w:val="es-CO"/>
        </w:rPr>
        <w:t xml:space="preserve">Caso </w:t>
      </w:r>
      <w:r w:rsidRPr="00BE14E7">
        <w:rPr>
          <w:lang w:val="es-CO"/>
        </w:rPr>
        <w:t xml:space="preserve">Manuela vs El </w:t>
      </w:r>
      <w:r>
        <w:rPr>
          <w:lang w:val="es-CO"/>
        </w:rPr>
        <w:t xml:space="preserve">Salvador. Par. </w:t>
      </w:r>
      <w:r w:rsidR="006A1E79">
        <w:rPr>
          <w:lang w:val="es-CO"/>
        </w:rPr>
        <w:t xml:space="preserve">114. </w:t>
      </w:r>
      <w:r w:rsidR="006A1E79" w:rsidRPr="008219F2">
        <w:rPr>
          <w:lang w:val="es-US"/>
        </w:rPr>
        <w:t xml:space="preserve">Argumentos del RSI. </w:t>
      </w:r>
      <w:r w:rsidR="005E6D8E" w:rsidRPr="008219F2">
        <w:rPr>
          <w:lang w:val="es-US"/>
        </w:rPr>
        <w:t xml:space="preserve">Par. 114. </w:t>
      </w:r>
    </w:p>
  </w:endnote>
  <w:endnote w:id="66">
    <w:p w14:paraId="7D67A78F" w14:textId="77777777" w:rsidR="00251276" w:rsidRPr="008219F2" w:rsidRDefault="002E36DE">
      <w:pPr>
        <w:pStyle w:val="EndnoteText"/>
        <w:rPr>
          <w:lang w:val="es-US"/>
        </w:rPr>
      </w:pPr>
      <w:r>
        <w:rPr>
          <w:rStyle w:val="EndnoteReference"/>
        </w:rPr>
        <w:endnoteRef/>
      </w:r>
      <w:r w:rsidRPr="008219F2">
        <w:rPr>
          <w:lang w:val="es-US"/>
        </w:rPr>
        <w:t xml:space="preserve"> Idem. </w:t>
      </w:r>
      <w:r w:rsidR="005E6D8E" w:rsidRPr="008219F2">
        <w:rPr>
          <w:lang w:val="es-US"/>
        </w:rPr>
        <w:t xml:space="preserve">Juez Pérez Martínez Voto concurrente, par. 18. </w:t>
      </w:r>
    </w:p>
  </w:endnote>
  <w:endnote w:id="67">
    <w:p w14:paraId="0C941841" w14:textId="77777777" w:rsidR="00251276" w:rsidRPr="008219F2" w:rsidRDefault="002E36DE">
      <w:pPr>
        <w:pStyle w:val="EndnoteText"/>
        <w:jc w:val="both"/>
        <w:rPr>
          <w:sz w:val="16"/>
          <w:szCs w:val="16"/>
          <w:lang w:val="es-US"/>
        </w:rPr>
      </w:pPr>
      <w:r w:rsidRPr="00755A43">
        <w:rPr>
          <w:rStyle w:val="EndnoteReference"/>
          <w:sz w:val="16"/>
          <w:szCs w:val="16"/>
        </w:rPr>
        <w:endnoteRef/>
      </w:r>
      <w:r w:rsidRPr="008219F2">
        <w:rPr>
          <w:sz w:val="16"/>
          <w:szCs w:val="16"/>
          <w:lang w:val="es-US"/>
        </w:rPr>
        <w:t xml:space="preserve"> </w:t>
      </w:r>
      <w:r w:rsidRPr="008219F2">
        <w:rPr>
          <w:sz w:val="16"/>
          <w:szCs w:val="16"/>
          <w:lang w:val="es-US"/>
        </w:rPr>
        <w:tab/>
        <w:t>El Comité, Observación General 18: El derecho al trabajo (6 de febrero de 2006), UN Doc E/C.12/GC/18 ¶ 22 [en adelante "Observación General 18"].</w:t>
      </w:r>
    </w:p>
  </w:endnote>
  <w:endnote w:id="68">
    <w:p w14:paraId="28734078" w14:textId="77777777" w:rsidR="00251276" w:rsidRPr="008219F2" w:rsidRDefault="002E36DE">
      <w:pPr>
        <w:pStyle w:val="EndnoteText"/>
        <w:jc w:val="both"/>
        <w:rPr>
          <w:sz w:val="16"/>
          <w:szCs w:val="16"/>
          <w:lang w:val="es-US"/>
        </w:rPr>
      </w:pPr>
      <w:r w:rsidRPr="00755A43">
        <w:rPr>
          <w:rStyle w:val="EndnoteReference"/>
          <w:sz w:val="16"/>
          <w:szCs w:val="16"/>
        </w:rPr>
        <w:endnoteRef/>
      </w:r>
      <w:r w:rsidRPr="008219F2">
        <w:rPr>
          <w:sz w:val="16"/>
          <w:szCs w:val="16"/>
          <w:lang w:val="es-US"/>
        </w:rPr>
        <w:t xml:space="preserve"> </w:t>
      </w:r>
      <w:r w:rsidRPr="008219F2">
        <w:rPr>
          <w:sz w:val="16"/>
          <w:szCs w:val="16"/>
          <w:lang w:val="es-US"/>
        </w:rPr>
        <w:tab/>
        <w:t>El Comité, Observación General 13: El derecho a la educación (artículo 13) (1999), UN Doc E/C.12/1999/10, ¶ 1 [en adelante "Observación General 13"].</w:t>
      </w:r>
    </w:p>
  </w:endnote>
  <w:endnote w:id="69">
    <w:p w14:paraId="687D00AD" w14:textId="77777777" w:rsidR="00251276" w:rsidRPr="008219F2" w:rsidRDefault="002E36DE">
      <w:pPr>
        <w:pStyle w:val="EndnoteText"/>
        <w:jc w:val="both"/>
        <w:rPr>
          <w:sz w:val="16"/>
          <w:szCs w:val="16"/>
          <w:lang w:val="es-US"/>
        </w:rPr>
      </w:pPr>
      <w:r w:rsidRPr="00755A43">
        <w:rPr>
          <w:rStyle w:val="EndnoteReference"/>
          <w:sz w:val="16"/>
          <w:szCs w:val="16"/>
        </w:rPr>
        <w:endnoteRef/>
      </w:r>
      <w:r w:rsidRPr="008219F2">
        <w:rPr>
          <w:sz w:val="16"/>
          <w:szCs w:val="16"/>
          <w:lang w:val="es-US"/>
        </w:rPr>
        <w:tab/>
        <w:t xml:space="preserve"> OPS, Fondo de Población de las Naciones Unidas y Fondo de las Naciones Unidas para la Infancia, </w:t>
      </w:r>
      <w:r w:rsidRPr="008219F2">
        <w:rPr>
          <w:i/>
          <w:sz w:val="16"/>
          <w:szCs w:val="16"/>
          <w:lang w:val="es-US"/>
        </w:rPr>
        <w:t xml:space="preserve">Acelerando el progreso hacia la reducción del embarazo adolescente en América Latina y el Caribe </w:t>
      </w:r>
      <w:r w:rsidRPr="008219F2">
        <w:rPr>
          <w:sz w:val="16"/>
          <w:szCs w:val="16"/>
          <w:lang w:val="es-US"/>
        </w:rPr>
        <w:t>(2016), 17 [en adelante "Acelerando el progreso"].</w:t>
      </w:r>
    </w:p>
  </w:endnote>
  <w:endnote w:id="70">
    <w:p w14:paraId="1E8FD8D2" w14:textId="77777777" w:rsidR="00251276" w:rsidRPr="008219F2" w:rsidRDefault="002E36DE">
      <w:pPr>
        <w:pStyle w:val="EndnoteText"/>
        <w:jc w:val="both"/>
        <w:rPr>
          <w:sz w:val="16"/>
          <w:szCs w:val="16"/>
          <w:lang w:val="es-US"/>
        </w:rPr>
      </w:pPr>
      <w:r w:rsidRPr="00755A43">
        <w:rPr>
          <w:rStyle w:val="EndnoteReference"/>
          <w:sz w:val="16"/>
          <w:szCs w:val="16"/>
        </w:rPr>
        <w:endnoteRef/>
      </w:r>
      <w:r w:rsidRPr="008219F2">
        <w:rPr>
          <w:sz w:val="16"/>
          <w:szCs w:val="16"/>
          <w:lang w:val="es-US"/>
        </w:rPr>
        <w:t xml:space="preserve"> </w:t>
      </w:r>
      <w:r w:rsidRPr="008219F2">
        <w:rPr>
          <w:sz w:val="16"/>
          <w:szCs w:val="16"/>
          <w:lang w:val="es-US"/>
        </w:rPr>
        <w:tab/>
        <w:t>El Comité, Observación General 18, ¶ 23.</w:t>
      </w:r>
    </w:p>
  </w:endnote>
  <w:endnote w:id="71">
    <w:p w14:paraId="0F7DC051" w14:textId="77777777" w:rsidR="00251276" w:rsidRDefault="002E36DE">
      <w:pPr>
        <w:pStyle w:val="EndnoteText"/>
        <w:jc w:val="both"/>
        <w:rPr>
          <w:sz w:val="16"/>
          <w:szCs w:val="16"/>
        </w:rPr>
      </w:pPr>
      <w:r w:rsidRPr="00755A43">
        <w:rPr>
          <w:rStyle w:val="EndnoteReference"/>
          <w:sz w:val="16"/>
          <w:szCs w:val="16"/>
        </w:rPr>
        <w:endnoteRef/>
      </w:r>
      <w:r w:rsidRPr="008219F2">
        <w:rPr>
          <w:sz w:val="16"/>
          <w:szCs w:val="16"/>
          <w:lang w:val="es-US"/>
        </w:rPr>
        <w:t xml:space="preserve"> </w:t>
      </w:r>
      <w:r w:rsidRPr="008219F2">
        <w:rPr>
          <w:sz w:val="16"/>
          <w:szCs w:val="16"/>
          <w:lang w:val="es-US"/>
        </w:rPr>
        <w:tab/>
      </w:r>
      <w:r w:rsidRPr="008219F2">
        <w:rPr>
          <w:color w:val="000000"/>
          <w:sz w:val="16"/>
          <w:szCs w:val="16"/>
          <w:lang w:val="es-US"/>
        </w:rPr>
        <w:t xml:space="preserve">Comité de los Derechos del Niño, </w:t>
      </w:r>
      <w:r w:rsidRPr="008219F2">
        <w:rPr>
          <w:i/>
          <w:iCs/>
          <w:color w:val="000000"/>
          <w:sz w:val="16"/>
          <w:szCs w:val="16"/>
          <w:lang w:val="es-US"/>
        </w:rPr>
        <w:t xml:space="preserve">Observaciones finales </w:t>
      </w:r>
      <w:r w:rsidRPr="008219F2">
        <w:rPr>
          <w:iCs/>
          <w:color w:val="000000"/>
          <w:sz w:val="16"/>
          <w:szCs w:val="16"/>
          <w:lang w:val="es-US"/>
        </w:rPr>
        <w:t>(2015) (México)</w:t>
      </w:r>
      <w:r w:rsidRPr="008219F2">
        <w:rPr>
          <w:color w:val="000000"/>
          <w:sz w:val="16"/>
          <w:szCs w:val="16"/>
          <w:lang w:val="es-US"/>
        </w:rPr>
        <w:t xml:space="preserve">, U. N. Doc CRC/C/MEX/CO/4-5, ¶ 44. </w:t>
      </w:r>
      <w:r w:rsidRPr="00755A43">
        <w:rPr>
          <w:color w:val="000000"/>
          <w:sz w:val="16"/>
          <w:szCs w:val="16"/>
        </w:rPr>
        <w:t>Véase también, John H. Laub, Ron Haskins; Helping Children with Parents in Prison and Children in Foster Care, The Future of Children, Policy Brief, 2018.</w:t>
      </w:r>
    </w:p>
  </w:endnote>
  <w:endnote w:id="72">
    <w:p w14:paraId="6647969A" w14:textId="77777777" w:rsidR="00251276" w:rsidRPr="008219F2" w:rsidRDefault="002E36DE">
      <w:pPr>
        <w:pStyle w:val="EndnoteText"/>
        <w:jc w:val="both"/>
        <w:rPr>
          <w:sz w:val="16"/>
          <w:szCs w:val="16"/>
          <w:lang w:val="es-US"/>
        </w:rPr>
      </w:pPr>
      <w:r w:rsidRPr="00755A43">
        <w:rPr>
          <w:rStyle w:val="EndnoteReference"/>
          <w:sz w:val="16"/>
          <w:szCs w:val="16"/>
        </w:rPr>
        <w:endnoteRef/>
      </w:r>
      <w:r w:rsidRPr="008219F2">
        <w:rPr>
          <w:sz w:val="16"/>
          <w:szCs w:val="16"/>
          <w:lang w:val="es-US"/>
        </w:rPr>
        <w:t xml:space="preserve"> </w:t>
      </w:r>
      <w:r w:rsidRPr="008219F2">
        <w:rPr>
          <w:sz w:val="16"/>
          <w:szCs w:val="16"/>
          <w:lang w:val="es-US"/>
        </w:rPr>
        <w:tab/>
        <w:t xml:space="preserve">El Comité, Observación General 20, ¶ 8; El Comité, Observación General 16 (2005): La igualdad de derechos del hombre y la mujer al disfrute de todos los derechos económicos, sociales y culturales (artículo 3 del Pacto Internacional de Derechos Económicos, Sociales y Culturales), U. N. Doc. E/C.12/2005/4, ¶ 6 [en adelante "Observación General 16"], ¶ 6; El Comité, Observación General 22, ¶ 24. </w:t>
      </w:r>
      <w:r w:rsidRPr="008219F2">
        <w:rPr>
          <w:i/>
          <w:sz w:val="16"/>
          <w:szCs w:val="16"/>
          <w:lang w:val="es-US"/>
        </w:rPr>
        <w:t xml:space="preserve">Véase también la Observación General 20, ¶ 36 </w:t>
      </w:r>
      <w:r w:rsidRPr="008219F2">
        <w:rPr>
          <w:sz w:val="16"/>
          <w:szCs w:val="16"/>
          <w:lang w:val="es-US"/>
        </w:rPr>
        <w:t>y la Observación General 22, ¶ 28.</w:t>
      </w:r>
    </w:p>
  </w:endnote>
  <w:endnote w:id="73">
    <w:p w14:paraId="63696E1B" w14:textId="77777777" w:rsidR="00251276" w:rsidRPr="008219F2" w:rsidRDefault="002E36DE">
      <w:pPr>
        <w:pStyle w:val="EndnoteText"/>
        <w:jc w:val="both"/>
        <w:rPr>
          <w:sz w:val="16"/>
          <w:szCs w:val="16"/>
          <w:lang w:val="es-US"/>
        </w:rPr>
      </w:pPr>
      <w:r w:rsidRPr="00755A43">
        <w:rPr>
          <w:rStyle w:val="EndnoteReference"/>
          <w:sz w:val="16"/>
          <w:szCs w:val="16"/>
        </w:rPr>
        <w:endnoteRef/>
      </w:r>
      <w:r w:rsidRPr="008219F2">
        <w:rPr>
          <w:sz w:val="16"/>
          <w:szCs w:val="16"/>
          <w:lang w:val="es-US"/>
        </w:rPr>
        <w:t xml:space="preserve"> </w:t>
      </w:r>
      <w:r w:rsidRPr="008219F2">
        <w:rPr>
          <w:sz w:val="16"/>
          <w:szCs w:val="16"/>
          <w:lang w:val="es-US"/>
        </w:rPr>
        <w:tab/>
        <w:t>El Comité, Observación General 20, ¶¶ 37-41. Véase también, Observación General 16, ¶ 39 y El Comité, Trujillo Calero c. Ecuador (14 de noviembre de 2018), UN Doc E/C.12/63/D/10/2015, ¶ 13.3.</w:t>
      </w:r>
    </w:p>
  </w:endnote>
  <w:endnote w:id="74">
    <w:p w14:paraId="5EB1EBAE" w14:textId="77777777" w:rsidR="00251276" w:rsidRPr="008219F2" w:rsidRDefault="002E36DE">
      <w:pPr>
        <w:pStyle w:val="EndnoteText"/>
        <w:jc w:val="both"/>
        <w:rPr>
          <w:sz w:val="16"/>
          <w:szCs w:val="16"/>
          <w:lang w:val="es-US"/>
        </w:rPr>
      </w:pPr>
      <w:r w:rsidRPr="00755A43">
        <w:rPr>
          <w:rStyle w:val="EndnoteReference"/>
          <w:sz w:val="16"/>
          <w:szCs w:val="16"/>
        </w:rPr>
        <w:endnoteRef/>
      </w:r>
      <w:r w:rsidRPr="008219F2">
        <w:rPr>
          <w:sz w:val="16"/>
          <w:szCs w:val="16"/>
          <w:lang w:val="es-US"/>
        </w:rPr>
        <w:t xml:space="preserve"> </w:t>
      </w:r>
      <w:r w:rsidRPr="008219F2">
        <w:rPr>
          <w:sz w:val="16"/>
          <w:szCs w:val="16"/>
          <w:lang w:val="es-US"/>
        </w:rPr>
        <w:tab/>
        <w:t xml:space="preserve">El Comité, Observación General 22, ¶¶ 27-28. </w:t>
      </w:r>
    </w:p>
  </w:endnote>
  <w:endnote w:id="75">
    <w:p w14:paraId="6AAB654C" w14:textId="77777777" w:rsidR="00251276" w:rsidRPr="008219F2" w:rsidRDefault="002E36DE">
      <w:pPr>
        <w:pStyle w:val="EndnoteText"/>
        <w:rPr>
          <w:sz w:val="16"/>
          <w:szCs w:val="16"/>
          <w:lang w:val="es-US"/>
        </w:rPr>
      </w:pPr>
      <w:r w:rsidRPr="003A7434">
        <w:rPr>
          <w:rStyle w:val="EndnoteReference"/>
          <w:sz w:val="16"/>
          <w:szCs w:val="16"/>
        </w:rPr>
        <w:endnoteRef/>
      </w:r>
      <w:r w:rsidRPr="008219F2">
        <w:rPr>
          <w:sz w:val="16"/>
          <w:szCs w:val="16"/>
          <w:lang w:val="es-US"/>
        </w:rPr>
        <w:t xml:space="preserve"> </w:t>
      </w:r>
      <w:r w:rsidR="00687119" w:rsidRPr="008219F2">
        <w:rPr>
          <w:sz w:val="16"/>
          <w:szCs w:val="16"/>
          <w:lang w:val="es-US"/>
        </w:rPr>
        <w:tab/>
      </w:r>
      <w:r w:rsidR="00687119" w:rsidRPr="008219F2">
        <w:rPr>
          <w:i/>
          <w:sz w:val="16"/>
          <w:szCs w:val="16"/>
          <w:lang w:val="es-US"/>
        </w:rPr>
        <w:t>Dictamen 68/2019,</w:t>
      </w:r>
      <w:r w:rsidR="00EF5CCA" w:rsidRPr="008219F2">
        <w:rPr>
          <w:sz w:val="16"/>
          <w:szCs w:val="16"/>
          <w:lang w:val="es-US"/>
        </w:rPr>
        <w:t xml:space="preserve"> ¶¶ </w:t>
      </w:r>
      <w:r w:rsidR="00004109" w:rsidRPr="008219F2">
        <w:rPr>
          <w:sz w:val="16"/>
          <w:szCs w:val="16"/>
          <w:lang w:val="es-US"/>
        </w:rPr>
        <w:t>110, 114-115</w:t>
      </w:r>
      <w:r w:rsidR="00687119" w:rsidRPr="008219F2">
        <w:rPr>
          <w:sz w:val="16"/>
          <w:szCs w:val="16"/>
          <w:lang w:val="es-US"/>
        </w:rPr>
        <w:t xml:space="preserve">; </w:t>
      </w:r>
      <w:r w:rsidR="00687119" w:rsidRPr="008219F2">
        <w:rPr>
          <w:i/>
          <w:sz w:val="16"/>
          <w:szCs w:val="16"/>
          <w:lang w:val="es-US"/>
        </w:rPr>
        <w:t xml:space="preserve">Dictamen 19/2020, ¶¶ </w:t>
      </w:r>
      <w:r w:rsidR="00EF5CCA" w:rsidRPr="008219F2">
        <w:rPr>
          <w:sz w:val="16"/>
          <w:szCs w:val="16"/>
          <w:lang w:val="es-US"/>
        </w:rPr>
        <w:t>74-76</w:t>
      </w:r>
    </w:p>
  </w:endnote>
  <w:endnote w:id="76">
    <w:p w14:paraId="4C5A14D0" w14:textId="77777777" w:rsidR="00251276" w:rsidRPr="008219F2" w:rsidRDefault="002E36DE">
      <w:pPr>
        <w:pStyle w:val="EndnoteText"/>
        <w:jc w:val="both"/>
        <w:rPr>
          <w:color w:val="000000" w:themeColor="text1"/>
          <w:sz w:val="16"/>
          <w:szCs w:val="16"/>
          <w:lang w:val="es-US"/>
        </w:rPr>
      </w:pPr>
      <w:r w:rsidRPr="00755A43">
        <w:rPr>
          <w:rStyle w:val="EndnoteReference"/>
          <w:sz w:val="16"/>
          <w:szCs w:val="16"/>
        </w:rPr>
        <w:endnoteRef/>
      </w:r>
      <w:r w:rsidRPr="008219F2">
        <w:rPr>
          <w:sz w:val="16"/>
          <w:szCs w:val="16"/>
          <w:lang w:val="es-US"/>
        </w:rPr>
        <w:tab/>
        <w:t xml:space="preserve"> Véase la Observación General 22, ¶ 34 Véase LMR v Argentina</w:t>
      </w:r>
      <w:r w:rsidRPr="008219F2">
        <w:rPr>
          <w:color w:val="000000" w:themeColor="text1"/>
          <w:sz w:val="16"/>
          <w:szCs w:val="16"/>
          <w:lang w:val="es-US"/>
        </w:rPr>
        <w:t xml:space="preserve">, Comité de Derechos Humanos, U.N. Doc. CCPR/C/101/D/1608/2007, ¶ 9.4; Mellet v Irlanda, Voto particular del miembro del Comité Yadh Ben Achour (concurrente), Comité de Derechos Humanos, U.N. Doc. CCPR/C/116/D/2324/2013 ¶ 4 ; </w:t>
      </w:r>
      <w:r w:rsidRPr="008219F2">
        <w:rPr>
          <w:sz w:val="16"/>
          <w:szCs w:val="16"/>
          <w:lang w:val="es-US"/>
        </w:rPr>
        <w:t>L.C. v Perú, Comité de la CEDAW, Comunicación nº 22/2009, U.N. Doc. CEDAW/C/50/D/22/2009 (4 de noviembre de 2011</w:t>
      </w:r>
      <w:r w:rsidRPr="008219F2">
        <w:rPr>
          <w:color w:val="000000" w:themeColor="text1"/>
          <w:sz w:val="16"/>
          <w:szCs w:val="16"/>
          <w:lang w:val="es-US"/>
        </w:rPr>
        <w:t xml:space="preserve">). Véanse también los </w:t>
      </w:r>
      <w:r w:rsidRPr="008219F2">
        <w:rPr>
          <w:sz w:val="16"/>
          <w:szCs w:val="16"/>
          <w:lang w:val="es-US"/>
        </w:rPr>
        <w:t>comentarios de (i) el anterior Relator Especial de la ONU sobre el derecho a la salud (</w:t>
      </w:r>
      <w:r w:rsidRPr="008219F2">
        <w:rPr>
          <w:color w:val="000000" w:themeColor="text1"/>
          <w:sz w:val="16"/>
          <w:szCs w:val="16"/>
          <w:lang w:val="es-US"/>
        </w:rPr>
        <w:t xml:space="preserve">Informe provisional del Relator Especial sobre el derecho de toda persona al disfrute del más alto nivel posible de salud física y mental, U. N. Doc. A/66/254 (3 de agosto de 2011) (ex Relator Especial Anand Grover), ¶ 16, citado por la Relatora Especial sobre la violencia contra la mujer, Informe sobre la integración de los derechos humanos de la mujer y la perspectiva de género, UN Doc. E/CN.4/2002/83 (31 de enero de 2002) (antigua Relatora Especial sobre la violencia contra la mujer, Sra. Radhika Coomaraswamy), ¶ 99), (ii) </w:t>
      </w:r>
      <w:r w:rsidRPr="008219F2">
        <w:rPr>
          <w:sz w:val="16"/>
          <w:szCs w:val="16"/>
          <w:lang w:val="es-US"/>
        </w:rPr>
        <w:t>el Relator Especial sobre la tortura (</w:t>
      </w:r>
      <w:r w:rsidRPr="008219F2">
        <w:rPr>
          <w:color w:val="000000" w:themeColor="text1"/>
          <w:sz w:val="16"/>
          <w:szCs w:val="16"/>
          <w:lang w:val="es-US"/>
        </w:rPr>
        <w:t xml:space="preserve">Relator Especial sobre la tortura y otros tratos crueles, inhumanos o degradantes, Informe del Relator Especial sobre la tortura y otros tratos crueles, inhumanos o degradantes, U. N. Doc. A/HRC/22/53 (1 de febrero de 2013) (ex Relator Especial Juan E. Méndez), ¶ 37), y (iii) </w:t>
      </w:r>
      <w:r w:rsidRPr="008219F2">
        <w:rPr>
          <w:sz w:val="16"/>
          <w:szCs w:val="16"/>
          <w:lang w:val="es-US"/>
        </w:rPr>
        <w:t>el Comité de la CEDAW (</w:t>
      </w:r>
      <w:r w:rsidRPr="008219F2">
        <w:rPr>
          <w:color w:val="000000" w:themeColor="text1"/>
          <w:sz w:val="16"/>
          <w:szCs w:val="16"/>
          <w:lang w:val="es-US"/>
        </w:rPr>
        <w:t xml:space="preserve">Comité de la CEDAW, Recomendación general nº 24: Artículo 12 de la Convención (La mujer y la salud), U. N. Doc. A/54/38/Rev.1, capítulo I (1999), ¶ 11.   </w:t>
      </w:r>
    </w:p>
  </w:endnote>
  <w:endnote w:id="77">
    <w:p w14:paraId="36DD413C" w14:textId="77777777" w:rsidR="00251276" w:rsidRPr="008219F2" w:rsidRDefault="002E36DE">
      <w:pPr>
        <w:pStyle w:val="EndnoteText"/>
        <w:jc w:val="both"/>
        <w:rPr>
          <w:sz w:val="16"/>
          <w:szCs w:val="16"/>
          <w:lang w:val="es-US"/>
        </w:rPr>
      </w:pPr>
      <w:r w:rsidRPr="00755A43">
        <w:rPr>
          <w:rStyle w:val="EndnoteReference"/>
          <w:sz w:val="16"/>
          <w:szCs w:val="16"/>
        </w:rPr>
        <w:endnoteRef/>
      </w:r>
      <w:r w:rsidRPr="008219F2">
        <w:rPr>
          <w:sz w:val="16"/>
          <w:szCs w:val="16"/>
          <w:lang w:val="es-US"/>
        </w:rPr>
        <w:t xml:space="preserve"> </w:t>
      </w:r>
      <w:r w:rsidRPr="008219F2">
        <w:rPr>
          <w:sz w:val="16"/>
          <w:szCs w:val="16"/>
          <w:lang w:val="es-US"/>
        </w:rPr>
        <w:tab/>
        <w:t xml:space="preserve">Agrupación Ciudadana por la Despenalización del Aborto Terapéutico, Ético y Eugenésico, </w:t>
      </w:r>
      <w:r w:rsidRPr="008219F2">
        <w:rPr>
          <w:i/>
          <w:sz w:val="16"/>
          <w:szCs w:val="16"/>
          <w:lang w:val="es-US"/>
        </w:rPr>
        <w:t>Del hospital a la cárcel: consecuencias para las mujeres por la penalización sin excepciones, de la interrupción del embarazo en El Salvador</w:t>
      </w:r>
      <w:r w:rsidRPr="008219F2">
        <w:rPr>
          <w:sz w:val="16"/>
          <w:szCs w:val="16"/>
          <w:lang w:val="es-US"/>
        </w:rPr>
        <w:t>, 2013 ("Agrupación Ciudadana por la Despenalización del Aborto Terapéutico, Ético y Eugenésico, Del hospital a la cárcel</w:t>
      </w:r>
      <w:r w:rsidRPr="008219F2">
        <w:rPr>
          <w:i/>
          <w:sz w:val="16"/>
          <w:szCs w:val="16"/>
          <w:lang w:val="es-US"/>
        </w:rPr>
        <w:t xml:space="preserve">: el impacto en las mujeres de la penalización total del aborto en El Salvador", Asuntos de Salud Reproductiva, </w:t>
      </w:r>
      <w:r w:rsidRPr="008219F2">
        <w:rPr>
          <w:sz w:val="16"/>
          <w:szCs w:val="16"/>
          <w:lang w:val="es-US"/>
        </w:rPr>
        <w:t xml:space="preserve">Vol. 22 (44) (noviembre de 2014)"), pg. 7, 10, disponible en: </w:t>
      </w:r>
      <w:hyperlink r:id="rId18" w:history="1">
        <w:r w:rsidRPr="008219F2">
          <w:rPr>
            <w:rStyle w:val="Hyperlink"/>
            <w:sz w:val="16"/>
            <w:szCs w:val="16"/>
            <w:lang w:val="es-US"/>
          </w:rPr>
          <w:t>https:</w:t>
        </w:r>
      </w:hyperlink>
      <w:r w:rsidRPr="008219F2">
        <w:rPr>
          <w:sz w:val="16"/>
          <w:szCs w:val="16"/>
          <w:lang w:val="es-US"/>
        </w:rPr>
        <w:t xml:space="preserve">//agrupacionciudadana.org/download/del-hospital-a-la-carcel-consecuencias-para-las-mujeres-por-la-penalizacion-sin-excepciones-de-la-interrupcion-del-embarazo-en-el-salvador/?wpdmdl=130&amp;ind=1548617048843. </w:t>
      </w:r>
      <w:r w:rsidRPr="008219F2">
        <w:rPr>
          <w:i/>
          <w:sz w:val="16"/>
          <w:szCs w:val="16"/>
          <w:lang w:val="es-US"/>
        </w:rPr>
        <w:t xml:space="preserve">Informe </w:t>
      </w:r>
      <w:r w:rsidRPr="008219F2">
        <w:rPr>
          <w:sz w:val="16"/>
          <w:szCs w:val="16"/>
          <w:lang w:val="es-US"/>
        </w:rPr>
        <w:t>[</w:t>
      </w:r>
      <w:r w:rsidRPr="008219F2">
        <w:rPr>
          <w:i/>
          <w:sz w:val="16"/>
          <w:szCs w:val="16"/>
          <w:lang w:val="es-US"/>
        </w:rPr>
        <w:t>Del hospital a la cárcel]</w:t>
      </w:r>
      <w:r w:rsidRPr="008219F2">
        <w:rPr>
          <w:sz w:val="16"/>
          <w:szCs w:val="16"/>
          <w:lang w:val="es-US"/>
        </w:rPr>
        <w:t>.</w:t>
      </w:r>
    </w:p>
  </w:endnote>
  <w:endnote w:id="78">
    <w:p w14:paraId="611C742F" w14:textId="77777777" w:rsidR="00251276" w:rsidRPr="008219F2" w:rsidRDefault="002E36DE">
      <w:pPr>
        <w:pStyle w:val="EndnoteText"/>
        <w:jc w:val="both"/>
        <w:rPr>
          <w:sz w:val="16"/>
          <w:szCs w:val="16"/>
          <w:lang w:val="es-US"/>
        </w:rPr>
      </w:pPr>
      <w:r w:rsidRPr="00755A43">
        <w:rPr>
          <w:rStyle w:val="EndnoteReference"/>
          <w:sz w:val="16"/>
          <w:szCs w:val="16"/>
        </w:rPr>
        <w:endnoteRef/>
      </w:r>
      <w:r w:rsidRPr="008219F2">
        <w:rPr>
          <w:sz w:val="16"/>
          <w:szCs w:val="16"/>
          <w:lang w:val="es-US"/>
        </w:rPr>
        <w:t xml:space="preserve"> </w:t>
      </w:r>
      <w:r w:rsidRPr="008219F2">
        <w:rPr>
          <w:sz w:val="16"/>
          <w:szCs w:val="16"/>
          <w:lang w:val="es-US"/>
        </w:rPr>
        <w:tab/>
      </w:r>
      <w:r w:rsidRPr="008219F2">
        <w:rPr>
          <w:i/>
          <w:sz w:val="16"/>
          <w:szCs w:val="16"/>
          <w:lang w:val="es-US"/>
        </w:rPr>
        <w:t xml:space="preserve">Véase </w:t>
      </w:r>
      <w:r w:rsidRPr="008219F2">
        <w:rPr>
          <w:sz w:val="16"/>
          <w:szCs w:val="16"/>
          <w:lang w:val="es-US"/>
        </w:rPr>
        <w:t>Comisión Interamericana de Mujeres</w:t>
      </w:r>
      <w:hyperlink r:id="rId19" w:history="1">
        <w:r w:rsidRPr="008219F2">
          <w:rPr>
            <w:rStyle w:val="Hyperlink"/>
            <w:sz w:val="16"/>
            <w:szCs w:val="16"/>
            <w:lang w:val="es-US"/>
          </w:rPr>
          <w:t xml:space="preserve">, La </w:t>
        </w:r>
      </w:hyperlink>
      <w:hyperlink r:id="rId20" w:history="1">
        <w:r w:rsidRPr="008219F2">
          <w:rPr>
            <w:rStyle w:val="Hyperlink"/>
            <w:i/>
            <w:sz w:val="16"/>
            <w:szCs w:val="16"/>
            <w:lang w:val="es-US"/>
          </w:rPr>
          <w:t>violencia contra la mujer y las medidas para contener la propagación del COVID-19</w:t>
        </w:r>
      </w:hyperlink>
      <w:r w:rsidRPr="008219F2">
        <w:rPr>
          <w:sz w:val="16"/>
          <w:szCs w:val="16"/>
          <w:lang w:val="es-US"/>
        </w:rPr>
        <w:t xml:space="preserve">, capítulo 1; </w:t>
      </w:r>
      <w:r w:rsidRPr="008219F2">
        <w:rPr>
          <w:i/>
          <w:sz w:val="16"/>
          <w:szCs w:val="16"/>
          <w:lang w:val="es-US"/>
        </w:rPr>
        <w:t>véase también Naciones Unidas</w:t>
      </w:r>
      <w:r w:rsidRPr="008219F2">
        <w:rPr>
          <w:sz w:val="16"/>
          <w:szCs w:val="16"/>
          <w:lang w:val="es-US"/>
        </w:rPr>
        <w:t xml:space="preserve">, </w:t>
      </w:r>
      <w:hyperlink r:id="rId21" w:history="1">
        <w:r w:rsidRPr="008219F2">
          <w:rPr>
            <w:rStyle w:val="Hyperlink"/>
            <w:i/>
            <w:sz w:val="16"/>
            <w:szCs w:val="16"/>
            <w:lang w:val="es-US"/>
          </w:rPr>
          <w:t>Policy Brief: The Impact of COVID-19 on Women</w:t>
        </w:r>
      </w:hyperlink>
      <w:r w:rsidRPr="008219F2">
        <w:rPr>
          <w:sz w:val="16"/>
          <w:szCs w:val="16"/>
          <w:lang w:val="es-US"/>
        </w:rPr>
        <w:t xml:space="preserve">, 9 de abril de 2020; ONU Mujeres, </w:t>
      </w:r>
      <w:hyperlink r:id="rId22" w:history="1">
        <w:r w:rsidRPr="008219F2">
          <w:rPr>
            <w:rStyle w:val="Hyperlink"/>
            <w:i/>
            <w:sz w:val="16"/>
            <w:szCs w:val="16"/>
            <w:lang w:val="es-US"/>
          </w:rPr>
          <w:t>COVID-19 EN AMÉRICA LATINA Y EL CARIBE: CÓMO INCORPORAR A LAS MUJERES Y LA IGUALDAD DE GÉNERO EN LA GESTIÓN DE LA RESPUESTA A LA CRISIS</w:t>
        </w:r>
      </w:hyperlink>
      <w:r w:rsidRPr="008219F2">
        <w:rPr>
          <w:sz w:val="16"/>
          <w:szCs w:val="16"/>
          <w:lang w:val="es-US"/>
        </w:rPr>
        <w:t xml:space="preserve">, 17 de marzo de 2020. </w:t>
      </w:r>
    </w:p>
  </w:endnote>
  <w:endnote w:id="79">
    <w:p w14:paraId="1BA223AA" w14:textId="77777777" w:rsidR="00251276" w:rsidRPr="008219F2" w:rsidRDefault="002E36DE">
      <w:pPr>
        <w:pStyle w:val="EndnoteText"/>
        <w:jc w:val="both"/>
        <w:rPr>
          <w:sz w:val="16"/>
          <w:szCs w:val="16"/>
          <w:lang w:val="es-US"/>
        </w:rPr>
      </w:pPr>
      <w:r w:rsidRPr="00755A43">
        <w:rPr>
          <w:rStyle w:val="EndnoteReference"/>
          <w:sz w:val="16"/>
          <w:szCs w:val="16"/>
        </w:rPr>
        <w:endnoteRef/>
      </w:r>
      <w:r w:rsidRPr="008219F2">
        <w:rPr>
          <w:i/>
          <w:sz w:val="16"/>
          <w:szCs w:val="16"/>
          <w:lang w:val="es-US"/>
        </w:rPr>
        <w:tab/>
        <w:t xml:space="preserve"> Véase </w:t>
      </w:r>
      <w:r w:rsidRPr="008219F2">
        <w:rPr>
          <w:sz w:val="16"/>
          <w:szCs w:val="16"/>
          <w:lang w:val="es-US"/>
        </w:rPr>
        <w:t xml:space="preserve">Grupo de Trabajo sobre la Discriminación contra las Mujeres y las Niñas, </w:t>
      </w:r>
      <w:r w:rsidRPr="008219F2">
        <w:rPr>
          <w:i/>
          <w:sz w:val="16"/>
          <w:szCs w:val="16"/>
          <w:lang w:val="es-US"/>
        </w:rPr>
        <w:t>Las respuestas al Covid-19 podrían exacerbar la discriminación preexistente y profundamente arraigada contra las mujeres y las niñas, dicen los expertos de la ONU</w:t>
      </w:r>
      <w:r w:rsidRPr="008219F2">
        <w:rPr>
          <w:sz w:val="16"/>
          <w:szCs w:val="16"/>
          <w:lang w:val="es-US"/>
        </w:rPr>
        <w:t xml:space="preserve">, Comunicado de prensa, 20 de abril de 2020. </w:t>
      </w:r>
    </w:p>
  </w:endnote>
  <w:endnote w:id="80">
    <w:p w14:paraId="363EFC83" w14:textId="77777777" w:rsidR="00251276" w:rsidRPr="008219F2" w:rsidRDefault="002E36DE">
      <w:pPr>
        <w:pStyle w:val="EndnoteText"/>
        <w:jc w:val="both"/>
        <w:rPr>
          <w:i/>
          <w:sz w:val="16"/>
          <w:szCs w:val="16"/>
          <w:lang w:val="es-US"/>
        </w:rPr>
      </w:pPr>
      <w:r w:rsidRPr="00755A43">
        <w:rPr>
          <w:rStyle w:val="EndnoteReference"/>
          <w:sz w:val="16"/>
          <w:szCs w:val="16"/>
        </w:rPr>
        <w:endnoteRef/>
      </w:r>
      <w:r w:rsidRPr="008219F2">
        <w:rPr>
          <w:sz w:val="16"/>
          <w:szCs w:val="16"/>
          <w:lang w:val="es-US"/>
        </w:rPr>
        <w:tab/>
        <w:t xml:space="preserve"> CIDH, </w:t>
      </w:r>
      <w:hyperlink r:id="rId23" w:history="1">
        <w:r w:rsidRPr="008219F2">
          <w:rPr>
            <w:rStyle w:val="Hyperlink"/>
            <w:i/>
            <w:sz w:val="16"/>
            <w:szCs w:val="16"/>
            <w:lang w:val="es-US"/>
          </w:rPr>
          <w:t>La CIDH llama a los Estados Miembros a adoptar una perspectiva de género en la respuesta a la pandemia del COVID-19 y a combatir la violencia sexual y doméstica en este</w:t>
        </w:r>
      </w:hyperlink>
      <w:r w:rsidRPr="008219F2">
        <w:rPr>
          <w:sz w:val="16"/>
          <w:szCs w:val="16"/>
          <w:lang w:val="es-US"/>
        </w:rPr>
        <w:t xml:space="preserve"> contexto, 11 de abril de 2020; UNFPA, </w:t>
      </w:r>
      <w:hyperlink r:id="rId24" w:history="1">
        <w:r w:rsidRPr="008219F2">
          <w:rPr>
            <w:rStyle w:val="Hyperlink"/>
            <w:i/>
            <w:sz w:val="16"/>
            <w:szCs w:val="16"/>
            <w:lang w:val="es-US"/>
          </w:rPr>
          <w:t>Salud y derechos sexuales y reproductivos: Anticonceptivos modernos y otras necesidades de suministros médicos, incluso para la prevención, protección y respuesta al</w:t>
        </w:r>
      </w:hyperlink>
      <w:r w:rsidRPr="008219F2">
        <w:rPr>
          <w:i/>
          <w:sz w:val="16"/>
          <w:szCs w:val="16"/>
          <w:lang w:val="es-US"/>
        </w:rPr>
        <w:t xml:space="preserve"> COVID-19, 23 de marzo </w:t>
      </w:r>
      <w:r w:rsidRPr="008219F2">
        <w:rPr>
          <w:sz w:val="16"/>
          <w:szCs w:val="16"/>
          <w:lang w:val="es-US"/>
        </w:rPr>
        <w:t>de 2020; Comisión Interamericana de Mujeres</w:t>
      </w:r>
      <w:hyperlink r:id="rId25" w:history="1">
        <w:r w:rsidRPr="008219F2">
          <w:rPr>
            <w:rStyle w:val="Hyperlink"/>
            <w:sz w:val="16"/>
            <w:szCs w:val="16"/>
            <w:lang w:val="es-US"/>
          </w:rPr>
          <w:t xml:space="preserve">, </w:t>
        </w:r>
        <w:r w:rsidRPr="008219F2">
          <w:rPr>
            <w:rStyle w:val="Hyperlink"/>
            <w:i/>
            <w:sz w:val="16"/>
            <w:szCs w:val="16"/>
            <w:lang w:val="es-US"/>
          </w:rPr>
          <w:t>La violencia contra la mujer y las medidas para contener la propagación del COVID-19</w:t>
        </w:r>
      </w:hyperlink>
      <w:r w:rsidRPr="008219F2">
        <w:rPr>
          <w:sz w:val="16"/>
          <w:szCs w:val="16"/>
          <w:lang w:val="es-US"/>
        </w:rPr>
        <w:t xml:space="preserve">; ONU Mujeres, </w:t>
      </w:r>
      <w:hyperlink r:id="rId26" w:history="1">
        <w:r w:rsidRPr="008219F2">
          <w:rPr>
            <w:rStyle w:val="Hyperlink"/>
            <w:i/>
            <w:sz w:val="16"/>
            <w:szCs w:val="16"/>
            <w:lang w:val="es-US"/>
          </w:rPr>
          <w:t>COVID-19 y la prestación de servicios esenciales para las supervivientes de la violencia contra las mujeres y las niñas</w:t>
        </w:r>
      </w:hyperlink>
      <w:r w:rsidRPr="008219F2">
        <w:rPr>
          <w:sz w:val="16"/>
          <w:szCs w:val="16"/>
          <w:lang w:val="es-US"/>
        </w:rPr>
        <w:t xml:space="preserve">. </w:t>
      </w:r>
      <w:r w:rsidRPr="008219F2">
        <w:rPr>
          <w:i/>
          <w:sz w:val="16"/>
          <w:szCs w:val="16"/>
          <w:lang w:val="es-US"/>
        </w:rPr>
        <w:t xml:space="preserve">   </w:t>
      </w:r>
    </w:p>
  </w:endnote>
  <w:endnote w:id="81">
    <w:p w14:paraId="2969F992" w14:textId="77777777" w:rsidR="00251276" w:rsidRPr="008219F2" w:rsidRDefault="002E36DE">
      <w:pPr>
        <w:pStyle w:val="EndnoteText"/>
        <w:jc w:val="both"/>
        <w:rPr>
          <w:sz w:val="16"/>
          <w:szCs w:val="16"/>
          <w:lang w:val="es-US"/>
        </w:rPr>
      </w:pPr>
      <w:r w:rsidRPr="00755A43">
        <w:rPr>
          <w:rStyle w:val="EndnoteReference"/>
          <w:sz w:val="16"/>
          <w:szCs w:val="16"/>
        </w:rPr>
        <w:endnoteRef/>
      </w:r>
      <w:r w:rsidRPr="008219F2">
        <w:rPr>
          <w:sz w:val="16"/>
          <w:szCs w:val="16"/>
          <w:lang w:val="es-US"/>
        </w:rPr>
        <w:t xml:space="preserve"> </w:t>
      </w:r>
      <w:r w:rsidRPr="008219F2">
        <w:rPr>
          <w:sz w:val="16"/>
          <w:szCs w:val="16"/>
          <w:lang w:val="es-US"/>
        </w:rPr>
        <w:tab/>
        <w:t>El Comité, Observación General 14, ¶ 34</w:t>
      </w:r>
    </w:p>
  </w:endnote>
  <w:endnote w:id="82">
    <w:p w14:paraId="6198108E" w14:textId="77777777" w:rsidR="00251276" w:rsidRPr="008219F2" w:rsidRDefault="002E36DE">
      <w:pPr>
        <w:pStyle w:val="EndnoteText"/>
        <w:jc w:val="both"/>
        <w:rPr>
          <w:sz w:val="16"/>
          <w:szCs w:val="16"/>
          <w:lang w:val="es-US"/>
        </w:rPr>
      </w:pPr>
      <w:r w:rsidRPr="00755A43">
        <w:rPr>
          <w:rStyle w:val="EndnoteReference"/>
          <w:sz w:val="16"/>
          <w:szCs w:val="16"/>
        </w:rPr>
        <w:endnoteRef/>
      </w:r>
      <w:r w:rsidRPr="008219F2">
        <w:rPr>
          <w:sz w:val="16"/>
          <w:szCs w:val="16"/>
          <w:lang w:val="es-US"/>
        </w:rPr>
        <w:t xml:space="preserve"> </w:t>
      </w:r>
      <w:r w:rsidRPr="008219F2">
        <w:rPr>
          <w:sz w:val="16"/>
          <w:szCs w:val="16"/>
          <w:lang w:val="es-US"/>
        </w:rPr>
        <w:tab/>
        <w:t xml:space="preserve">El Comité, </w:t>
      </w:r>
      <w:r w:rsidRPr="008219F2">
        <w:rPr>
          <w:i/>
          <w:sz w:val="16"/>
          <w:szCs w:val="16"/>
          <w:lang w:val="es-US"/>
        </w:rPr>
        <w:t xml:space="preserve">Declaración sobre la pandemia de la enfermedad por coronavirus (COVID-19) y los derechos económicos, sociales y culturales </w:t>
      </w:r>
      <w:r w:rsidRPr="008219F2">
        <w:rPr>
          <w:sz w:val="16"/>
          <w:szCs w:val="16"/>
          <w:lang w:val="es-US"/>
        </w:rPr>
        <w:t>(17 de abril de 2020), E/C.12/2020/1, E/C.12/2020/1, ¶ 14.</w:t>
      </w:r>
    </w:p>
  </w:endnote>
  <w:endnote w:id="83">
    <w:p w14:paraId="21C01278" w14:textId="77777777" w:rsidR="00251276" w:rsidRPr="008219F2" w:rsidRDefault="002E36DE">
      <w:pPr>
        <w:pStyle w:val="EndnoteText"/>
        <w:jc w:val="both"/>
        <w:rPr>
          <w:sz w:val="16"/>
          <w:szCs w:val="16"/>
          <w:lang w:val="es-US"/>
        </w:rPr>
      </w:pPr>
      <w:r w:rsidRPr="00755A43">
        <w:rPr>
          <w:rStyle w:val="EndnoteReference"/>
          <w:sz w:val="16"/>
          <w:szCs w:val="16"/>
        </w:rPr>
        <w:endnoteRef/>
      </w:r>
      <w:r w:rsidRPr="008219F2">
        <w:rPr>
          <w:sz w:val="16"/>
          <w:szCs w:val="16"/>
          <w:lang w:val="es-US"/>
        </w:rPr>
        <w:t xml:space="preserve"> </w:t>
      </w:r>
      <w:r w:rsidRPr="008219F2">
        <w:rPr>
          <w:sz w:val="16"/>
          <w:szCs w:val="16"/>
          <w:lang w:val="es-US"/>
        </w:rPr>
        <w:tab/>
      </w:r>
      <w:r w:rsidRPr="008219F2">
        <w:rPr>
          <w:i/>
          <w:sz w:val="16"/>
          <w:szCs w:val="16"/>
          <w:lang w:val="es-US"/>
        </w:rPr>
        <w:t xml:space="preserve">Véase </w:t>
      </w:r>
      <w:r w:rsidRPr="008219F2">
        <w:rPr>
          <w:sz w:val="16"/>
          <w:szCs w:val="16"/>
          <w:lang w:val="es-US"/>
        </w:rPr>
        <w:t>Organización Mundial de la Salud</w:t>
      </w:r>
      <w:r w:rsidRPr="008219F2">
        <w:rPr>
          <w:smallCaps/>
          <w:sz w:val="16"/>
          <w:szCs w:val="16"/>
          <w:lang w:val="es-US"/>
        </w:rPr>
        <w:t xml:space="preserve">, </w:t>
      </w:r>
      <w:r w:rsidRPr="008219F2">
        <w:rPr>
          <w:i/>
          <w:sz w:val="16"/>
          <w:szCs w:val="16"/>
          <w:lang w:val="es-US"/>
        </w:rPr>
        <w:t>Preparación, prevención y control del COVID-19 en prisiones y otros lugares de detención: Orientaciones provisionales</w:t>
      </w:r>
      <w:r w:rsidRPr="008219F2">
        <w:rPr>
          <w:sz w:val="16"/>
          <w:szCs w:val="16"/>
          <w:lang w:val="es-US"/>
        </w:rPr>
        <w:t xml:space="preserve">, 15 de marzo de 2020, disponible en https://www.euro.who.int/__data/assets/pdf_file/0019/434026/Preparedness-prevention-and-control-of-COVID-19-in-prisons.pdf. </w:t>
      </w:r>
    </w:p>
  </w:endnote>
  <w:endnote w:id="84">
    <w:p w14:paraId="60915B3C" w14:textId="77777777" w:rsidR="00251276" w:rsidRPr="008219F2" w:rsidRDefault="002E36DE">
      <w:pPr>
        <w:pStyle w:val="EndnoteText"/>
        <w:jc w:val="both"/>
        <w:rPr>
          <w:color w:val="0000FF" w:themeColor="hyperlink"/>
          <w:sz w:val="16"/>
          <w:szCs w:val="16"/>
          <w:u w:val="single"/>
          <w:lang w:val="es-US"/>
        </w:rPr>
      </w:pPr>
      <w:r w:rsidRPr="00755A43">
        <w:rPr>
          <w:rStyle w:val="EndnoteReference"/>
          <w:sz w:val="16"/>
          <w:szCs w:val="16"/>
        </w:rPr>
        <w:endnoteRef/>
      </w:r>
      <w:r w:rsidRPr="008219F2">
        <w:rPr>
          <w:sz w:val="16"/>
          <w:szCs w:val="16"/>
          <w:lang w:val="es-US"/>
        </w:rPr>
        <w:tab/>
        <w:t xml:space="preserve"> Comité Permanente entre Organismos, </w:t>
      </w:r>
      <w:r w:rsidRPr="008219F2">
        <w:rPr>
          <w:i/>
          <w:sz w:val="16"/>
          <w:szCs w:val="16"/>
          <w:lang w:val="es-US"/>
        </w:rPr>
        <w:t xml:space="preserve">Interim Guidance COVID-19: Focus on Persons Deprived of Their Liberty March 20202 OHCHR and </w:t>
      </w:r>
      <w:r w:rsidRPr="008219F2">
        <w:rPr>
          <w:sz w:val="16"/>
          <w:szCs w:val="16"/>
          <w:lang w:val="es-US"/>
        </w:rPr>
        <w:t xml:space="preserve">WHO, 4, disponible en https://interagencystandingcommittee.org/system/files/2020-03/IASC%20Interim%20Guidance%20on%20COVID-19%20-%20Focus%20on%20Persons%20Deprived%20of%20Their%20Liberty.pdf. [En adelante, "Orientaciones del Comité Permanente entre Organismos"]. </w:t>
      </w:r>
    </w:p>
  </w:endnote>
  <w:endnote w:id="85">
    <w:p w14:paraId="4365FE3D" w14:textId="77777777" w:rsidR="00251276" w:rsidRPr="008219F2" w:rsidRDefault="002E36DE">
      <w:pPr>
        <w:pStyle w:val="EndnoteText"/>
        <w:jc w:val="both"/>
        <w:rPr>
          <w:sz w:val="16"/>
          <w:szCs w:val="16"/>
          <w:lang w:val="es-US"/>
        </w:rPr>
      </w:pPr>
      <w:r w:rsidRPr="00755A43">
        <w:rPr>
          <w:rStyle w:val="EndnoteReference"/>
          <w:sz w:val="16"/>
          <w:szCs w:val="16"/>
        </w:rPr>
        <w:endnoteRef/>
      </w:r>
      <w:r w:rsidRPr="008219F2">
        <w:rPr>
          <w:sz w:val="16"/>
          <w:szCs w:val="16"/>
          <w:lang w:val="es-US"/>
        </w:rPr>
        <w:tab/>
        <w:t xml:space="preserve"> En su Observación Final sobre El Salvador de 2009, el Comité contra la Tortura expresó su preocupación "por el grave problema de hacinamiento -según la información proporcionada por el Estado parte, la población penitenciaria es de 21.671 personas frente a una capacidad de 9.000- que repercute negativamente en las demás condiciones penitenciarias. El </w:t>
      </w:r>
      <w:r w:rsidRPr="008219F2">
        <w:rPr>
          <w:sz w:val="16"/>
          <w:szCs w:val="16"/>
          <w:lang w:val="es-US"/>
        </w:rPr>
        <w:tab/>
        <w:t xml:space="preserve">Comité está especialmente preocupado por la falta de separación de los acusados de los condenados, de las mujeres de los hombres y de los niños de los adultos, así como por la inadecuada atención sanitaria, higiene, agua potable, educación y visitas". </w:t>
      </w:r>
      <w:r w:rsidRPr="008219F2">
        <w:rPr>
          <w:i/>
          <w:sz w:val="16"/>
          <w:szCs w:val="16"/>
          <w:lang w:val="es-US"/>
        </w:rPr>
        <w:t xml:space="preserve">Véase </w:t>
      </w:r>
      <w:r w:rsidRPr="008219F2">
        <w:rPr>
          <w:sz w:val="16"/>
          <w:szCs w:val="16"/>
          <w:lang w:val="es-US"/>
        </w:rPr>
        <w:t xml:space="preserve">Comité contra la Tortura, </w:t>
      </w:r>
      <w:r w:rsidRPr="008219F2">
        <w:rPr>
          <w:i/>
          <w:sz w:val="16"/>
          <w:szCs w:val="16"/>
          <w:lang w:val="es-US"/>
        </w:rPr>
        <w:t xml:space="preserve">Observaciones finales </w:t>
      </w:r>
      <w:r w:rsidRPr="008219F2">
        <w:rPr>
          <w:sz w:val="16"/>
          <w:szCs w:val="16"/>
          <w:lang w:val="es-US"/>
        </w:rPr>
        <w:t xml:space="preserve">(2009) (El Salvador), CAT/C/SLV/CO/2, ¶ 17. </w:t>
      </w:r>
    </w:p>
    <w:p w14:paraId="3AD74426" w14:textId="77777777" w:rsidR="00251276" w:rsidRPr="008219F2" w:rsidRDefault="002E36DE">
      <w:pPr>
        <w:pStyle w:val="EndnoteText"/>
        <w:jc w:val="both"/>
        <w:rPr>
          <w:sz w:val="16"/>
          <w:szCs w:val="16"/>
          <w:lang w:val="es-US"/>
        </w:rPr>
      </w:pPr>
      <w:r w:rsidRPr="008219F2">
        <w:rPr>
          <w:i/>
          <w:sz w:val="16"/>
          <w:szCs w:val="16"/>
          <w:lang w:val="es-US"/>
        </w:rPr>
        <w:tab/>
        <w:t>Véase también</w:t>
      </w:r>
      <w:r w:rsidRPr="008219F2">
        <w:rPr>
          <w:sz w:val="16"/>
          <w:szCs w:val="16"/>
          <w:lang w:val="es-US"/>
        </w:rPr>
        <w:t xml:space="preserve">, Insight Crime, </w:t>
      </w:r>
      <w:r w:rsidRPr="008219F2">
        <w:rPr>
          <w:i/>
          <w:sz w:val="16"/>
          <w:szCs w:val="16"/>
          <w:lang w:val="es-US"/>
        </w:rPr>
        <w:t xml:space="preserve">The Unbelievable Hell Inside El Salvador's Prisons </w:t>
      </w:r>
      <w:r w:rsidRPr="008219F2">
        <w:rPr>
          <w:sz w:val="16"/>
          <w:szCs w:val="16"/>
          <w:lang w:val="es-US"/>
        </w:rPr>
        <w:t xml:space="preserve">(28 de diciembre de 2016), disponible en </w:t>
      </w:r>
      <w:hyperlink r:id="rId27" w:history="1">
        <w:r w:rsidRPr="008219F2">
          <w:rPr>
            <w:rStyle w:val="Hyperlink"/>
            <w:sz w:val="16"/>
            <w:szCs w:val="16"/>
            <w:lang w:val="es-US"/>
          </w:rPr>
          <w:t>https://www.insightcrime.org/news/analysis/unbelievable-hell-inside-el-salvador-prisons/</w:t>
        </w:r>
      </w:hyperlink>
    </w:p>
  </w:endnote>
  <w:endnote w:id="86">
    <w:p w14:paraId="6F5E4569" w14:textId="77777777" w:rsidR="00251276" w:rsidRPr="008219F2" w:rsidRDefault="002E36DE">
      <w:pPr>
        <w:pStyle w:val="EndnoteText"/>
        <w:jc w:val="both"/>
        <w:rPr>
          <w:sz w:val="16"/>
          <w:szCs w:val="16"/>
          <w:lang w:val="es-US"/>
        </w:rPr>
      </w:pPr>
      <w:r w:rsidRPr="00755A43">
        <w:rPr>
          <w:rStyle w:val="EndnoteReference"/>
          <w:sz w:val="16"/>
          <w:szCs w:val="16"/>
        </w:rPr>
        <w:endnoteRef/>
      </w:r>
      <w:r w:rsidRPr="008219F2">
        <w:rPr>
          <w:sz w:val="16"/>
          <w:szCs w:val="16"/>
          <w:lang w:val="es-US"/>
        </w:rPr>
        <w:t xml:space="preserve"> </w:t>
      </w:r>
      <w:r w:rsidRPr="008219F2">
        <w:rPr>
          <w:sz w:val="16"/>
          <w:szCs w:val="16"/>
          <w:lang w:val="es-US"/>
        </w:rPr>
        <w:tab/>
      </w:r>
      <w:r w:rsidRPr="008219F2">
        <w:rPr>
          <w:color w:val="000000"/>
          <w:sz w:val="16"/>
          <w:szCs w:val="16"/>
          <w:lang w:val="es-US" w:eastAsia="zh-CN"/>
        </w:rPr>
        <w:t>Fondo de Población de las Naciones Unidas (FPNU), Imprisoned, quarantined women need hygiene supplies in El Salvador, 21 de abril de 2020. Disponible en: https://www.unfpa.org/news/imprisoned-quarantined-women-need-hygiene-supplies-el-salvador.</w:t>
      </w:r>
    </w:p>
  </w:endnote>
  <w:endnote w:id="87">
    <w:p w14:paraId="0E99C4A9" w14:textId="77777777" w:rsidR="00251276" w:rsidRPr="008219F2" w:rsidRDefault="002E36DE">
      <w:pPr>
        <w:pStyle w:val="EndnoteText"/>
        <w:jc w:val="both"/>
        <w:rPr>
          <w:sz w:val="16"/>
          <w:szCs w:val="16"/>
          <w:lang w:val="es-US"/>
        </w:rPr>
      </w:pPr>
      <w:r w:rsidRPr="00755A43">
        <w:rPr>
          <w:rStyle w:val="EndnoteReference"/>
          <w:sz w:val="16"/>
          <w:szCs w:val="16"/>
        </w:rPr>
        <w:endnoteRef/>
      </w:r>
      <w:r w:rsidRPr="008219F2">
        <w:rPr>
          <w:sz w:val="16"/>
          <w:szCs w:val="16"/>
          <w:lang w:val="es-US"/>
        </w:rPr>
        <w:t xml:space="preserve"> </w:t>
      </w:r>
      <w:r w:rsidRPr="008219F2">
        <w:rPr>
          <w:sz w:val="16"/>
          <w:szCs w:val="16"/>
          <w:lang w:val="es-US"/>
        </w:rPr>
        <w:tab/>
        <w:t xml:space="preserve">Grupo de Trabajo contra la Detención Arbitraria, </w:t>
      </w:r>
      <w:r w:rsidRPr="008219F2">
        <w:rPr>
          <w:i/>
          <w:sz w:val="16"/>
          <w:szCs w:val="16"/>
          <w:lang w:val="es-US"/>
        </w:rPr>
        <w:t>Dictamen nº 68/2019</w:t>
      </w:r>
      <w:r w:rsidRPr="008219F2">
        <w:rPr>
          <w:sz w:val="16"/>
          <w:szCs w:val="16"/>
          <w:lang w:val="es-US"/>
        </w:rPr>
        <w:t xml:space="preserve">; véase también el </w:t>
      </w:r>
      <w:r w:rsidRPr="008219F2">
        <w:rPr>
          <w:i/>
          <w:sz w:val="16"/>
          <w:szCs w:val="16"/>
          <w:lang w:val="es-US"/>
        </w:rPr>
        <w:t>Dictamen nº 19/2020</w:t>
      </w:r>
      <w:r w:rsidRPr="008219F2">
        <w:rPr>
          <w:sz w:val="16"/>
          <w:szCs w:val="16"/>
          <w:lang w:val="es-US"/>
        </w:rPr>
        <w:t xml:space="preserve">. </w:t>
      </w:r>
    </w:p>
  </w:endnote>
  <w:endnote w:id="88">
    <w:p w14:paraId="3C1A3015" w14:textId="77777777" w:rsidR="00251276" w:rsidRPr="008219F2" w:rsidRDefault="002E36DE">
      <w:pPr>
        <w:pStyle w:val="EndnoteText"/>
        <w:jc w:val="both"/>
        <w:rPr>
          <w:sz w:val="16"/>
          <w:szCs w:val="16"/>
          <w:lang w:val="es-US"/>
        </w:rPr>
      </w:pPr>
      <w:r w:rsidRPr="00755A43">
        <w:rPr>
          <w:rStyle w:val="EndnoteReference"/>
          <w:sz w:val="16"/>
          <w:szCs w:val="16"/>
        </w:rPr>
        <w:endnoteRef/>
      </w:r>
      <w:r w:rsidRPr="008219F2">
        <w:rPr>
          <w:sz w:val="16"/>
          <w:szCs w:val="16"/>
          <w:lang w:val="es-US"/>
        </w:rPr>
        <w:tab/>
        <w:t xml:space="preserve"> Orientación del Comité del IASC.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348880" w14:textId="77777777" w:rsidR="00251276" w:rsidRDefault="002E36DE">
    <w:pPr>
      <w:framePr w:wrap="around" w:vAnchor="text" w:hAnchor="margin" w:xAlign="center" w:y="1"/>
    </w:pPr>
    <w:r>
      <w:fldChar w:fldCharType="begin"/>
    </w:r>
    <w:r>
      <w:instrText xml:space="preserve">PAGE  </w:instrText>
    </w:r>
    <w:r>
      <w:fldChar w:fldCharType="end"/>
    </w:r>
  </w:p>
  <w:p w14:paraId="1C655E6F" w14:textId="77777777" w:rsidR="00251276" w:rsidRDefault="002E36DE">
    <w:r>
      <w:t>504974340v3</w:t>
    </w:r>
  </w:p>
  <w:p w14:paraId="77E48A2F" w14:textId="77777777" w:rsidR="00251276" w:rsidRDefault="002E36DE">
    <w:r>
      <w:t>504987721v9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6284FD" w14:textId="4435AF01" w:rsidR="00251276" w:rsidRDefault="002E36DE">
    <w:pPr>
      <w:pStyle w:val="Footer"/>
      <w:jc w:val="center"/>
      <w:rPr>
        <w:rFonts w:ascii="Times New Roman" w:hAnsi="Times New Roman"/>
        <w:sz w:val="20"/>
      </w:rPr>
    </w:pPr>
    <w:r w:rsidRPr="00925452">
      <w:rPr>
        <w:rFonts w:ascii="Times New Roman" w:hAnsi="Times New Roman"/>
        <w:sz w:val="20"/>
      </w:rPr>
      <w:fldChar w:fldCharType="begin"/>
    </w:r>
    <w:r w:rsidRPr="00925452">
      <w:rPr>
        <w:rFonts w:ascii="Times New Roman" w:hAnsi="Times New Roman"/>
        <w:sz w:val="20"/>
      </w:rPr>
      <w:instrText xml:space="preserve"> PAGE </w:instrText>
    </w:r>
    <w:r w:rsidRPr="00925452">
      <w:rPr>
        <w:rFonts w:ascii="Times New Roman" w:hAnsi="Times New Roman"/>
        <w:sz w:val="20"/>
      </w:rPr>
      <w:fldChar w:fldCharType="separate"/>
    </w:r>
    <w:r w:rsidR="00DB4CD5">
      <w:rPr>
        <w:rFonts w:ascii="Times New Roman" w:hAnsi="Times New Roman"/>
        <w:noProof/>
        <w:sz w:val="20"/>
      </w:rPr>
      <w:t>6</w:t>
    </w:r>
    <w:r w:rsidRPr="00925452">
      <w:rPr>
        <w:rFonts w:ascii="Times New Roman" w:hAnsi="Times New Roman"/>
        <w:sz w:val="20"/>
      </w:rPr>
      <w:fldChar w:fldCharType="end"/>
    </w:r>
  </w:p>
  <w:p w14:paraId="25C16C31" w14:textId="77777777" w:rsidR="00945F8E" w:rsidRPr="00925452" w:rsidRDefault="00945F8E" w:rsidP="00983F93">
    <w:pPr>
      <w:rPr>
        <w:rStyle w:val="NoNumber"/>
        <w:rFonts w:ascii="Times New Roman" w:hAnsi="Times New Roman"/>
        <w:sz w:val="20"/>
        <w:szCs w:val="20"/>
      </w:rP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6543C4" w14:textId="77777777" w:rsidR="00945F8E" w:rsidRDefault="00945F8E" w:rsidP="00BB003D">
    <w:pPr>
      <w:pStyle w:val="Footer"/>
      <w:jc w:val="center"/>
    </w:pPr>
  </w:p>
  <w:p w14:paraId="32E5B2A9" w14:textId="77777777" w:rsidR="00945F8E" w:rsidRDefault="00945F8E" w:rsidP="00F32574">
    <w:pPr>
      <w:rPr>
        <w:rStyle w:val="NoNumber"/>
      </w:rPr>
    </w:pPr>
    <w:r>
      <w:br/>
    </w:r>
  </w:p>
  <w:p w14:paraId="3103CBEC" w14:textId="77777777" w:rsidR="00945F8E" w:rsidRPr="00BB003D" w:rsidRDefault="00945F8E" w:rsidP="00F32574">
    <w:pPr>
      <w:rPr>
        <w:rStyle w:val="NoNumber"/>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E372649" w14:textId="77777777" w:rsidR="000629A0" w:rsidRDefault="000629A0" w:rsidP="008D37B0">
      <w:r>
        <w:separator/>
      </w:r>
    </w:p>
  </w:footnote>
  <w:footnote w:type="continuationSeparator" w:id="0">
    <w:p w14:paraId="31641DA5" w14:textId="77777777" w:rsidR="000629A0" w:rsidRDefault="000629A0" w:rsidP="008D37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8BE8FCD" w14:textId="4A08FBE7" w:rsidR="003F7B77" w:rsidRDefault="003F7B77">
    <w:pPr>
      <w:pStyle w:val="Header"/>
    </w:pPr>
    <w:r>
      <w:rPr>
        <w:noProof/>
        <w:lang w:val="en-GB" w:eastAsia="en-GB"/>
      </w:rPr>
      <w:drawing>
        <wp:inline distT="0" distB="0" distL="0" distR="0" wp14:anchorId="55B4A8DB" wp14:editId="3DE6900C">
          <wp:extent cx="1262418" cy="463431"/>
          <wp:effectExtent l="0" t="0" r="0" b="0"/>
          <wp:docPr id="2" name="Picture 2"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RR__Logo_Black_3_Line.png"/>
                  <pic:cNvPicPr/>
                </pic:nvPicPr>
                <pic:blipFill>
                  <a:blip r:embed="rId1">
                    <a:extLst>
                      <a:ext uri="{28A0092B-C50C-407E-A947-70E740481C1C}">
                        <a14:useLocalDpi xmlns:a14="http://schemas.microsoft.com/office/drawing/2010/main" val="0"/>
                      </a:ext>
                    </a:extLst>
                  </a:blip>
                  <a:stretch>
                    <a:fillRect/>
                  </a:stretch>
                </pic:blipFill>
                <pic:spPr>
                  <a:xfrm>
                    <a:off x="0" y="0"/>
                    <a:ext cx="1283362" cy="471120"/>
                  </a:xfrm>
                  <a:prstGeom prst="rect">
                    <a:avLst/>
                  </a:prstGeom>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CA6FD5" w14:textId="0630F9A7" w:rsidR="003F7B77" w:rsidRDefault="003F7B77">
    <w:pPr>
      <w:pStyle w:val="Header"/>
    </w:pPr>
    <w:r>
      <w:rPr>
        <w:noProof/>
        <w:lang w:val="en-GB" w:eastAsia="en-GB"/>
      </w:rPr>
      <w:drawing>
        <wp:inline distT="0" distB="0" distL="0" distR="0" wp14:anchorId="1FE622C8" wp14:editId="5AD12573">
          <wp:extent cx="1262418" cy="463431"/>
          <wp:effectExtent l="0" t="0" r="0" b="0"/>
          <wp:docPr id="3" name="Picture 3"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RR__Logo_Black_3_Line.png"/>
                  <pic:cNvPicPr/>
                </pic:nvPicPr>
                <pic:blipFill>
                  <a:blip r:embed="rId1">
                    <a:extLst>
                      <a:ext uri="{28A0092B-C50C-407E-A947-70E740481C1C}">
                        <a14:useLocalDpi xmlns:a14="http://schemas.microsoft.com/office/drawing/2010/main" val="0"/>
                      </a:ext>
                    </a:extLst>
                  </a:blip>
                  <a:stretch>
                    <a:fillRect/>
                  </a:stretch>
                </pic:blipFill>
                <pic:spPr>
                  <a:xfrm>
                    <a:off x="0" y="0"/>
                    <a:ext cx="1283362" cy="47112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DF8F042"/>
    <w:name w:val="List Number 5"/>
    <w:lvl w:ilvl="0">
      <w:start w:val="1"/>
      <w:numFmt w:val="decimal"/>
      <w:lvlText w:val="%1."/>
      <w:lvlJc w:val="left"/>
      <w:pPr>
        <w:tabs>
          <w:tab w:val="num" w:pos="3600"/>
        </w:tabs>
        <w:ind w:left="3600" w:hanging="720"/>
      </w:pPr>
      <w:rPr>
        <w:rFonts w:hint="default"/>
      </w:rPr>
    </w:lvl>
  </w:abstractNum>
  <w:abstractNum w:abstractNumId="1" w15:restartNumberingAfterBreak="0">
    <w:nsid w:val="FFFFFF7D"/>
    <w:multiLevelType w:val="singleLevel"/>
    <w:tmpl w:val="8A102688"/>
    <w:name w:val="List Number 4"/>
    <w:lvl w:ilvl="0">
      <w:start w:val="1"/>
      <w:numFmt w:val="decimal"/>
      <w:lvlText w:val="%1."/>
      <w:lvlJc w:val="left"/>
      <w:pPr>
        <w:tabs>
          <w:tab w:val="num" w:pos="2880"/>
        </w:tabs>
        <w:ind w:left="2880" w:hanging="720"/>
      </w:pPr>
      <w:rPr>
        <w:rFonts w:hint="default"/>
      </w:rPr>
    </w:lvl>
  </w:abstractNum>
  <w:abstractNum w:abstractNumId="2" w15:restartNumberingAfterBreak="0">
    <w:nsid w:val="FFFFFF7E"/>
    <w:multiLevelType w:val="singleLevel"/>
    <w:tmpl w:val="87987CF0"/>
    <w:name w:val="List Number 3"/>
    <w:lvl w:ilvl="0">
      <w:start w:val="1"/>
      <w:numFmt w:val="decimal"/>
      <w:lvlText w:val="%1."/>
      <w:lvlJc w:val="left"/>
      <w:pPr>
        <w:tabs>
          <w:tab w:val="num" w:pos="2160"/>
        </w:tabs>
        <w:ind w:left="2160" w:hanging="720"/>
      </w:pPr>
      <w:rPr>
        <w:rFonts w:hint="default"/>
      </w:rPr>
    </w:lvl>
  </w:abstractNum>
  <w:abstractNum w:abstractNumId="3" w15:restartNumberingAfterBreak="0">
    <w:nsid w:val="FFFFFF7F"/>
    <w:multiLevelType w:val="singleLevel"/>
    <w:tmpl w:val="242AA376"/>
    <w:name w:val="List Number 2"/>
    <w:lvl w:ilvl="0">
      <w:start w:val="1"/>
      <w:numFmt w:val="decimal"/>
      <w:lvlText w:val="%1."/>
      <w:lvlJc w:val="left"/>
      <w:pPr>
        <w:tabs>
          <w:tab w:val="num" w:pos="1440"/>
        </w:tabs>
        <w:ind w:left="1440" w:hanging="720"/>
      </w:pPr>
      <w:rPr>
        <w:rFonts w:hint="default"/>
      </w:rPr>
    </w:lvl>
  </w:abstractNum>
  <w:abstractNum w:abstractNumId="4" w15:restartNumberingAfterBreak="0">
    <w:nsid w:val="FFFFFF88"/>
    <w:multiLevelType w:val="singleLevel"/>
    <w:tmpl w:val="5058A414"/>
    <w:name w:val="List Number"/>
    <w:lvl w:ilvl="0">
      <w:start w:val="1"/>
      <w:numFmt w:val="decimal"/>
      <w:lvlText w:val="%1."/>
      <w:lvlJc w:val="left"/>
      <w:pPr>
        <w:tabs>
          <w:tab w:val="num" w:pos="720"/>
        </w:tabs>
        <w:ind w:left="720" w:hanging="720"/>
      </w:pPr>
      <w:rPr>
        <w:rFonts w:hint="default"/>
      </w:rPr>
    </w:lvl>
  </w:abstractNum>
  <w:abstractNum w:abstractNumId="5" w15:restartNumberingAfterBreak="0">
    <w:nsid w:val="1D7A7B49"/>
    <w:multiLevelType w:val="multilevel"/>
    <w:tmpl w:val="47D2C47E"/>
    <w:name w:val="Lindas"/>
    <w:lvl w:ilvl="0">
      <w:start w:val="1"/>
      <w:numFmt w:val="upperRoman"/>
      <w:pStyle w:val="Lindas1"/>
      <w:lvlText w:val="%1."/>
      <w:lvlJc w:val="left"/>
      <w:pPr>
        <w:ind w:left="720" w:hanging="720"/>
      </w:pPr>
      <w:rPr>
        <w:rFonts w:ascii="Times New Roman" w:hAnsi="Times New Roman" w:cs="Times New Roman"/>
        <w:b/>
        <w:i w:val="0"/>
        <w:caps w:val="0"/>
        <w:strike w:val="0"/>
        <w:dstrike w:val="0"/>
        <w:vanish w:val="0"/>
        <w:color w:val="auto"/>
        <w:sz w:val="24"/>
        <w:u w:val="none"/>
        <w:vertAlign w:val="baseline"/>
      </w:rPr>
    </w:lvl>
    <w:lvl w:ilvl="1">
      <w:start w:val="1"/>
      <w:numFmt w:val="upperLetter"/>
      <w:pStyle w:val="Lindas2"/>
      <w:lvlText w:val="%2."/>
      <w:lvlJc w:val="left"/>
      <w:pPr>
        <w:ind w:left="720" w:hanging="720"/>
      </w:pPr>
      <w:rPr>
        <w:rFonts w:ascii="Times New Roman Bold" w:hAnsi="Times New Roman Bold"/>
        <w:b/>
        <w:i w:val="0"/>
        <w:caps w:val="0"/>
        <w:strike w:val="0"/>
        <w:dstrike w:val="0"/>
        <w:vanish w:val="0"/>
        <w:color w:val="auto"/>
        <w:sz w:val="24"/>
        <w:u w:val="none"/>
        <w:vertAlign w:val="baseline"/>
      </w:rPr>
    </w:lvl>
    <w:lvl w:ilvl="2">
      <w:start w:val="1"/>
      <w:numFmt w:val="decimal"/>
      <w:lvlRestart w:val="0"/>
      <w:pStyle w:val="Lindas3"/>
      <w:lvlText w:val="%3."/>
      <w:lvlJc w:val="left"/>
      <w:pPr>
        <w:tabs>
          <w:tab w:val="num" w:pos="1430"/>
        </w:tabs>
        <w:ind w:left="1430" w:hanging="720"/>
      </w:pPr>
      <w:rPr>
        <w:rFonts w:ascii="Times New Roman" w:hAnsi="Times New Roman" w:cs="Times New Roman"/>
        <w:b w:val="0"/>
        <w:i w:val="0"/>
        <w:caps w:val="0"/>
        <w:strike w:val="0"/>
        <w:dstrike w:val="0"/>
        <w:vanish w:val="0"/>
        <w:color w:val="auto"/>
        <w:sz w:val="22"/>
        <w:u w:val="none"/>
        <w:vertAlign w:val="baseline"/>
      </w:rPr>
    </w:lvl>
    <w:lvl w:ilvl="3">
      <w:start w:val="1"/>
      <w:numFmt w:val="lowerLetter"/>
      <w:pStyle w:val="Lindas4"/>
      <w:lvlText w:val="(%4)"/>
      <w:lvlJc w:val="left"/>
      <w:pPr>
        <w:ind w:left="1440" w:hanging="646"/>
      </w:pPr>
      <w:rPr>
        <w:rFonts w:ascii="Times New Roman" w:hAnsi="Times New Roman" w:cs="Times New Roman"/>
        <w:b w:val="0"/>
        <w:i w:val="0"/>
        <w:caps w:val="0"/>
        <w:strike w:val="0"/>
        <w:dstrike w:val="0"/>
        <w:vanish w:val="0"/>
        <w:color w:val="auto"/>
        <w:sz w:val="22"/>
        <w:u w:val="none"/>
        <w:vertAlign w:val="baseline"/>
      </w:rPr>
    </w:lvl>
    <w:lvl w:ilvl="4">
      <w:start w:val="1"/>
      <w:numFmt w:val="lowerRoman"/>
      <w:pStyle w:val="Lindas5"/>
      <w:lvlText w:val="(%5)"/>
      <w:lvlJc w:val="left"/>
      <w:pPr>
        <w:ind w:left="2280" w:hanging="720"/>
      </w:pPr>
      <w:rPr>
        <w:rFonts w:ascii="Times New Roman" w:hAnsi="Times New Roman" w:cs="Times New Roman"/>
        <w:b w:val="0"/>
        <w:i w:val="0"/>
        <w:caps w:val="0"/>
        <w:strike w:val="0"/>
        <w:dstrike w:val="0"/>
        <w:vanish w:val="0"/>
        <w:color w:val="auto"/>
        <w:sz w:val="22"/>
        <w:u w:val="none"/>
        <w:vertAlign w:val="baseline"/>
      </w:rPr>
    </w:lvl>
    <w:lvl w:ilvl="5">
      <w:start w:val="1"/>
      <w:numFmt w:val="none"/>
      <w:pStyle w:val="Lindas6"/>
      <w:suff w:val="nothing"/>
      <w:lvlText w:val="%6"/>
      <w:lvlJc w:val="left"/>
      <w:pPr>
        <w:ind w:left="1440" w:firstLine="0"/>
      </w:pPr>
      <w:rPr>
        <w:rFonts w:ascii="Times New Roman" w:hAnsi="Times New Roman" w:cs="Times New Roman"/>
        <w:b w:val="0"/>
        <w:i w:val="0"/>
        <w:caps w:val="0"/>
        <w:strike w:val="0"/>
        <w:dstrike w:val="0"/>
        <w:vanish w:val="0"/>
        <w:color w:val="auto"/>
        <w:sz w:val="24"/>
        <w:u w:val="none"/>
        <w:vertAlign w:val="baseline"/>
      </w:rPr>
    </w:lvl>
    <w:lvl w:ilvl="6">
      <w:start w:val="1"/>
      <w:numFmt w:val="lowerLetter"/>
      <w:pStyle w:val="Lindas7"/>
      <w:lvlText w:val="%7."/>
      <w:lvlJc w:val="left"/>
      <w:pPr>
        <w:ind w:left="5040" w:hanging="720"/>
      </w:pPr>
      <w:rPr>
        <w:rFonts w:ascii="Times New Roman" w:hAnsi="Times New Roman" w:cs="Times New Roman"/>
        <w:b w:val="0"/>
        <w:i w:val="0"/>
        <w:caps w:val="0"/>
        <w:strike w:val="0"/>
        <w:dstrike w:val="0"/>
        <w:vanish w:val="0"/>
        <w:color w:val="auto"/>
        <w:sz w:val="24"/>
        <w:u w:val="none"/>
        <w:vertAlign w:val="baseline"/>
      </w:rPr>
    </w:lvl>
    <w:lvl w:ilvl="7">
      <w:start w:val="1"/>
      <w:numFmt w:val="lowerRoman"/>
      <w:pStyle w:val="Lindas8"/>
      <w:lvlText w:val="%8."/>
      <w:lvlJc w:val="left"/>
      <w:pPr>
        <w:ind w:left="5760" w:hanging="720"/>
      </w:pPr>
      <w:rPr>
        <w:rFonts w:ascii="Times New Roman" w:hAnsi="Times New Roman" w:cs="Times New Roman"/>
        <w:b w:val="0"/>
        <w:i w:val="0"/>
        <w:caps w:val="0"/>
        <w:strike w:val="0"/>
        <w:dstrike w:val="0"/>
        <w:vanish w:val="0"/>
        <w:color w:val="auto"/>
        <w:sz w:val="24"/>
        <w:u w:val="none"/>
        <w:vertAlign w:val="baseline"/>
      </w:rPr>
    </w:lvl>
    <w:lvl w:ilvl="8">
      <w:start w:val="1"/>
      <w:numFmt w:val="decimal"/>
      <w:pStyle w:val="Lindas9"/>
      <w:lvlText w:val="%9."/>
      <w:lvlJc w:val="left"/>
      <w:pPr>
        <w:ind w:left="6480" w:hanging="720"/>
      </w:pPr>
      <w:rPr>
        <w:rFonts w:ascii="Times New Roman" w:hAnsi="Times New Roman" w:cs="Times New Roman"/>
        <w:b w:val="0"/>
        <w:i w:val="0"/>
        <w:caps w:val="0"/>
        <w:strike w:val="0"/>
        <w:dstrike w:val="0"/>
        <w:vanish w:val="0"/>
        <w:color w:val="auto"/>
        <w:sz w:val="24"/>
        <w:u w:val="none"/>
        <w:vertAlign w:val="baseline"/>
      </w:rPr>
    </w:lvl>
  </w:abstractNum>
  <w:abstractNum w:abstractNumId="6" w15:restartNumberingAfterBreak="0">
    <w:nsid w:val="21E22502"/>
    <w:multiLevelType w:val="hybridMultilevel"/>
    <w:tmpl w:val="5F8880EC"/>
    <w:name w:val="List Bullet 4"/>
    <w:lvl w:ilvl="0" w:tplc="EF589768">
      <w:start w:val="1"/>
      <w:numFmt w:val="bullet"/>
      <w:lvlText w:val=""/>
      <w:lvlJc w:val="left"/>
      <w:pPr>
        <w:tabs>
          <w:tab w:val="num" w:pos="2880"/>
        </w:tabs>
        <w:ind w:left="288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000CFB"/>
    <w:multiLevelType w:val="multilevel"/>
    <w:tmpl w:val="6884F2A4"/>
    <w:name w:val="Chapter Para"/>
    <w:lvl w:ilvl="0">
      <w:start w:val="1"/>
      <w:numFmt w:val="upperRoman"/>
      <w:lvlRestart w:val="0"/>
      <w:pStyle w:val="ChapterPara1"/>
      <w:suff w:val="nothing"/>
      <w:lvlText w:val="DO NOT DELETE - Chapter %1"/>
      <w:lvlJc w:val="left"/>
      <w:pPr>
        <w:ind w:left="0" w:firstLine="0"/>
      </w:pPr>
      <w:rPr>
        <w:color w:val="FFFFFF" w:themeColor="background1"/>
      </w:rPr>
    </w:lvl>
    <w:lvl w:ilvl="1">
      <w:start w:val="1"/>
      <w:numFmt w:val="decimal"/>
      <w:pStyle w:val="ChapterPara2"/>
      <w:isLgl/>
      <w:lvlText w:val="%1.%2"/>
      <w:lvlJc w:val="left"/>
      <w:pPr>
        <w:tabs>
          <w:tab w:val="num" w:pos="720"/>
        </w:tabs>
        <w:ind w:left="0" w:firstLine="0"/>
      </w:pPr>
      <w:rPr>
        <w:rFonts w:ascii="Times New Roman" w:hAnsi="Times New Roman" w:cs="Times New Roman"/>
        <w:b w:val="0"/>
        <w:i w:val="0"/>
        <w:caps w:val="0"/>
        <w:strike w:val="0"/>
        <w:dstrike w:val="0"/>
        <w:vanish w:val="0"/>
        <w:color w:val="auto"/>
        <w:sz w:val="22"/>
        <w:u w:val="none"/>
        <w:vertAlign w:val="baseline"/>
      </w:rPr>
    </w:lvl>
    <w:lvl w:ilvl="2">
      <w:start w:val="1"/>
      <w:numFmt w:val="none"/>
      <w:pStyle w:val="ChapterPara3"/>
      <w:suff w:val="nothing"/>
      <w:lvlText w:val=""/>
      <w:lvlJc w:val="left"/>
      <w:pPr>
        <w:ind w:left="0" w:firstLine="0"/>
      </w:pPr>
      <w:rPr>
        <w:rFonts w:ascii="Times New Roman" w:hAnsi="Times New Roman" w:cs="Times New Roman"/>
        <w:b w:val="0"/>
        <w:i w:val="0"/>
        <w:caps w:val="0"/>
        <w:strike w:val="0"/>
        <w:dstrike w:val="0"/>
        <w:vanish w:val="0"/>
        <w:color w:val="auto"/>
        <w:sz w:val="24"/>
        <w:u w:val="none"/>
        <w:vertAlign w:val="baseline"/>
      </w:rPr>
    </w:lvl>
    <w:lvl w:ilvl="3">
      <w:start w:val="1"/>
      <w:numFmt w:val="none"/>
      <w:pStyle w:val="ChapterPara4"/>
      <w:suff w:val="nothing"/>
      <w:lvlText w:val=""/>
      <w:lvlJc w:val="left"/>
      <w:pPr>
        <w:ind w:left="0" w:firstLine="0"/>
      </w:pPr>
      <w:rPr>
        <w:rFonts w:ascii="Times New Roman" w:hAnsi="Times New Roman" w:cs="Times New Roman"/>
        <w:b w:val="0"/>
        <w:i w:val="0"/>
        <w:caps w:val="0"/>
        <w:strike w:val="0"/>
        <w:dstrike w:val="0"/>
        <w:vanish w:val="0"/>
        <w:color w:val="auto"/>
        <w:sz w:val="24"/>
        <w:u w:val="none"/>
        <w:vertAlign w:val="baseline"/>
      </w:rPr>
    </w:lvl>
    <w:lvl w:ilvl="4">
      <w:start w:val="1"/>
      <w:numFmt w:val="none"/>
      <w:pStyle w:val="ChapterPara5"/>
      <w:suff w:val="nothing"/>
      <w:lvlText w:val=""/>
      <w:lvlJc w:val="left"/>
      <w:pPr>
        <w:ind w:left="0" w:firstLine="0"/>
      </w:pPr>
      <w:rPr>
        <w:rFonts w:ascii="Times New Roman" w:hAnsi="Times New Roman" w:cs="Times New Roman"/>
        <w:b w:val="0"/>
        <w:i w:val="0"/>
        <w:caps w:val="0"/>
        <w:strike w:val="0"/>
        <w:dstrike w:val="0"/>
        <w:vanish w:val="0"/>
        <w:color w:val="auto"/>
        <w:sz w:val="24"/>
        <w:u w:val="none"/>
        <w:vertAlign w:val="baseline"/>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6D72D53"/>
    <w:multiLevelType w:val="hybridMultilevel"/>
    <w:tmpl w:val="DF9E35EA"/>
    <w:name w:val="List Bullet 2"/>
    <w:lvl w:ilvl="0" w:tplc="B936D4C0">
      <w:start w:val="1"/>
      <w:numFmt w:val="bullet"/>
      <w:lvlText w:val=""/>
      <w:lvlJc w:val="left"/>
      <w:pPr>
        <w:tabs>
          <w:tab w:val="num" w:pos="1440"/>
        </w:tabs>
        <w:ind w:left="144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A316783"/>
    <w:multiLevelType w:val="hybridMultilevel"/>
    <w:tmpl w:val="D1900DA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4E03668"/>
    <w:multiLevelType w:val="multilevel"/>
    <w:tmpl w:val="94E0BA10"/>
    <w:lvl w:ilvl="0">
      <w:start w:val="1"/>
      <w:numFmt w:val="decimal"/>
      <w:lvlRestart w:val="0"/>
      <w:lvlText w:val="%1."/>
      <w:lvlJc w:val="left"/>
      <w:pPr>
        <w:ind w:left="720" w:hanging="720"/>
      </w:pPr>
      <w:rPr>
        <w:rFonts w:ascii="Times New Roman" w:hAnsi="Times New Roman" w:cs="Times New Roman"/>
        <w:b/>
        <w:i w:val="0"/>
        <w:caps w:val="0"/>
        <w:strike w:val="0"/>
        <w:dstrike w:val="0"/>
        <w:vanish w:val="0"/>
        <w:color w:val="auto"/>
        <w:sz w:val="20"/>
        <w:u w:val="none"/>
        <w:vertAlign w:val="baseline"/>
      </w:rPr>
    </w:lvl>
    <w:lvl w:ilvl="1">
      <w:start w:val="1"/>
      <w:numFmt w:val="decimal"/>
      <w:lvlText w:val="%1.%2"/>
      <w:lvlJc w:val="left"/>
      <w:pPr>
        <w:ind w:left="720" w:hanging="720"/>
      </w:pPr>
      <w:rPr>
        <w:rFonts w:ascii="Times New Roman" w:hAnsi="Times New Roman" w:cs="Times New Roman"/>
        <w:b w:val="0"/>
        <w:i w:val="0"/>
        <w:caps w:val="0"/>
        <w:strike w:val="0"/>
        <w:dstrike w:val="0"/>
        <w:vanish w:val="0"/>
        <w:color w:val="auto"/>
        <w:sz w:val="20"/>
        <w:szCs w:val="20"/>
        <w:u w:val="none"/>
        <w:vertAlign w:val="baseline"/>
      </w:rPr>
    </w:lvl>
    <w:lvl w:ilvl="2">
      <w:start w:val="1"/>
      <w:numFmt w:val="bullet"/>
      <w:lvlText w:val=""/>
      <w:lvlJc w:val="left"/>
      <w:pPr>
        <w:ind w:left="1080" w:hanging="360"/>
      </w:pPr>
      <w:rPr>
        <w:rFonts w:ascii="Symbol" w:hAnsi="Symbol" w:hint="default"/>
      </w:rPr>
    </w:lvl>
    <w:lvl w:ilvl="3">
      <w:start w:val="1"/>
      <w:numFmt w:val="lowerRoman"/>
      <w:lvlText w:val="(%4)"/>
      <w:lvlJc w:val="left"/>
      <w:pPr>
        <w:ind w:left="2160" w:hanging="720"/>
      </w:pPr>
      <w:rPr>
        <w:rFonts w:ascii="Times New Roman" w:hAnsi="Times New Roman" w:cs="Times New Roman"/>
        <w:b w:val="0"/>
        <w:i w:val="0"/>
        <w:caps w:val="0"/>
        <w:strike w:val="0"/>
        <w:dstrike w:val="0"/>
        <w:vanish w:val="0"/>
        <w:color w:val="auto"/>
        <w:sz w:val="20"/>
        <w:szCs w:val="20"/>
        <w:u w:val="none"/>
        <w:vertAlign w:val="baseline"/>
      </w:rPr>
    </w:lvl>
    <w:lvl w:ilvl="4">
      <w:start w:val="1"/>
      <w:numFmt w:val="upperLetter"/>
      <w:lvlText w:val="(%5)"/>
      <w:lvlJc w:val="left"/>
      <w:pPr>
        <w:ind w:left="2880" w:hanging="720"/>
      </w:pPr>
      <w:rPr>
        <w:rFonts w:ascii="Times New Roman" w:hAnsi="Times New Roman" w:cs="Times New Roman"/>
        <w:b w:val="0"/>
        <w:i w:val="0"/>
        <w:caps w:val="0"/>
        <w:strike w:val="0"/>
        <w:dstrike w:val="0"/>
        <w:vanish w:val="0"/>
        <w:color w:val="auto"/>
        <w:sz w:val="20"/>
        <w:szCs w:val="20"/>
        <w:u w:val="none"/>
        <w:vertAlign w:val="baseline"/>
      </w:rPr>
    </w:lvl>
    <w:lvl w:ilvl="5">
      <w:start w:val="1"/>
      <w:numFmt w:val="none"/>
      <w:lvlText w:val=""/>
      <w:lvlJc w:val="left"/>
      <w:pPr>
        <w:ind w:left="0" w:firstLine="0"/>
      </w:pPr>
      <w:rPr>
        <w:rFonts w:ascii="Times New Roman" w:hAnsi="Times New Roman" w:cs="Times New Roman"/>
        <w:b w:val="0"/>
        <w:i w:val="0"/>
        <w:caps w:val="0"/>
        <w:strike w:val="0"/>
        <w:dstrike w:val="0"/>
        <w:vanish w:val="0"/>
        <w:color w:val="auto"/>
        <w:sz w:val="24"/>
        <w:u w:val="none"/>
        <w:vertAlign w:val="baseline"/>
      </w:rPr>
    </w:lvl>
    <w:lvl w:ilvl="6">
      <w:start w:val="1"/>
      <w:numFmt w:val="none"/>
      <w:lvlText w:val=""/>
      <w:lvlJc w:val="left"/>
      <w:pPr>
        <w:ind w:left="0" w:firstLine="0"/>
      </w:pPr>
      <w:rPr>
        <w:rFonts w:ascii="Times New Roman" w:hAnsi="Times New Roman" w:cs="Times New Roman"/>
        <w:b w:val="0"/>
        <w:i w:val="0"/>
        <w:caps w:val="0"/>
        <w:strike w:val="0"/>
        <w:dstrike w:val="0"/>
        <w:vanish w:val="0"/>
        <w:color w:val="auto"/>
        <w:sz w:val="24"/>
        <w:u w:val="none"/>
        <w:vertAlign w:val="baseline"/>
      </w:rPr>
    </w:lvl>
    <w:lvl w:ilvl="7">
      <w:start w:val="1"/>
      <w:numFmt w:val="none"/>
      <w:lvlText w:val=""/>
      <w:lvlJc w:val="left"/>
      <w:pPr>
        <w:ind w:left="0" w:firstLine="0"/>
      </w:pPr>
      <w:rPr>
        <w:rFonts w:ascii="Times New Roman" w:hAnsi="Times New Roman" w:cs="Times New Roman"/>
        <w:b w:val="0"/>
        <w:i w:val="0"/>
        <w:caps w:val="0"/>
        <w:strike w:val="0"/>
        <w:dstrike w:val="0"/>
        <w:vanish w:val="0"/>
        <w:color w:val="auto"/>
        <w:sz w:val="24"/>
        <w:u w:val="none"/>
        <w:vertAlign w:val="baseline"/>
      </w:rPr>
    </w:lvl>
    <w:lvl w:ilvl="8">
      <w:start w:val="1"/>
      <w:numFmt w:val="none"/>
      <w:lvlText w:val=""/>
      <w:lvlJc w:val="left"/>
      <w:pPr>
        <w:ind w:left="0" w:firstLine="0"/>
      </w:pPr>
      <w:rPr>
        <w:rFonts w:ascii="Times New Roman" w:hAnsi="Times New Roman" w:cs="Times New Roman"/>
        <w:b w:val="0"/>
        <w:i w:val="0"/>
        <w:caps w:val="0"/>
        <w:strike w:val="0"/>
        <w:dstrike w:val="0"/>
        <w:vanish w:val="0"/>
        <w:color w:val="auto"/>
        <w:sz w:val="24"/>
        <w:u w:val="none"/>
        <w:vertAlign w:val="baseline"/>
      </w:rPr>
    </w:lvl>
  </w:abstractNum>
  <w:abstractNum w:abstractNumId="11" w15:restartNumberingAfterBreak="0">
    <w:nsid w:val="3E835EE5"/>
    <w:multiLevelType w:val="hybridMultilevel"/>
    <w:tmpl w:val="86D4F40E"/>
    <w:name w:val="List Bullet"/>
    <w:lvl w:ilvl="0" w:tplc="C07012E2">
      <w:start w:val="1"/>
      <w:numFmt w:val="bullet"/>
      <w:lvlText w:val=""/>
      <w:lvlJc w:val="left"/>
      <w:pPr>
        <w:tabs>
          <w:tab w:val="num" w:pos="720"/>
        </w:tabs>
        <w:ind w:left="72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F200142"/>
    <w:multiLevelType w:val="hybridMultilevel"/>
    <w:tmpl w:val="F04A046E"/>
    <w:name w:val="List Bullet 3"/>
    <w:lvl w:ilvl="0" w:tplc="49A6D602">
      <w:start w:val="1"/>
      <w:numFmt w:val="bullet"/>
      <w:lvlText w:val=""/>
      <w:lvlJc w:val="left"/>
      <w:pPr>
        <w:tabs>
          <w:tab w:val="num" w:pos="2160"/>
        </w:tabs>
        <w:ind w:left="216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FFD42A3"/>
    <w:multiLevelType w:val="multilevel"/>
    <w:tmpl w:val="57361C3E"/>
    <w:name w:val="LN UKAgreement"/>
    <w:lvl w:ilvl="0">
      <w:start w:val="1"/>
      <w:numFmt w:val="decimal"/>
      <w:lvlRestart w:val="0"/>
      <w:pStyle w:val="Heading1"/>
      <w:lvlText w:val="%1."/>
      <w:lvlJc w:val="left"/>
      <w:pPr>
        <w:ind w:left="720" w:hanging="720"/>
      </w:pPr>
      <w:rPr>
        <w:rFonts w:ascii="Times New Roman" w:hAnsi="Times New Roman" w:cs="Times New Roman"/>
        <w:b/>
        <w:i w:val="0"/>
        <w:caps w:val="0"/>
        <w:strike w:val="0"/>
        <w:dstrike w:val="0"/>
        <w:vanish w:val="0"/>
        <w:color w:val="auto"/>
        <w:sz w:val="20"/>
        <w:u w:val="none"/>
        <w:vertAlign w:val="baseline"/>
      </w:rPr>
    </w:lvl>
    <w:lvl w:ilvl="1">
      <w:start w:val="1"/>
      <w:numFmt w:val="decimal"/>
      <w:pStyle w:val="Heading2"/>
      <w:lvlText w:val="%1.%2"/>
      <w:lvlJc w:val="left"/>
      <w:pPr>
        <w:ind w:left="720" w:hanging="720"/>
      </w:pPr>
      <w:rPr>
        <w:rFonts w:ascii="Times New Roman" w:hAnsi="Times New Roman" w:cs="Times New Roman"/>
        <w:b w:val="0"/>
        <w:i w:val="0"/>
        <w:caps w:val="0"/>
        <w:strike w:val="0"/>
        <w:dstrike w:val="0"/>
        <w:vanish w:val="0"/>
        <w:color w:val="auto"/>
        <w:sz w:val="20"/>
        <w:szCs w:val="20"/>
        <w:u w:val="none"/>
        <w:vertAlign w:val="baseline"/>
      </w:rPr>
    </w:lvl>
    <w:lvl w:ilvl="2">
      <w:start w:val="1"/>
      <w:numFmt w:val="lowerLetter"/>
      <w:pStyle w:val="Heading3"/>
      <w:lvlText w:val="(%3)"/>
      <w:lvlJc w:val="left"/>
      <w:pPr>
        <w:ind w:left="1440" w:hanging="720"/>
      </w:pPr>
      <w:rPr>
        <w:rFonts w:ascii="Times New Roman" w:hAnsi="Times New Roman" w:cs="Times New Roman"/>
        <w:b w:val="0"/>
        <w:i w:val="0"/>
        <w:caps w:val="0"/>
        <w:strike w:val="0"/>
        <w:dstrike w:val="0"/>
        <w:vanish w:val="0"/>
        <w:color w:val="auto"/>
        <w:sz w:val="20"/>
        <w:szCs w:val="20"/>
        <w:u w:val="none"/>
        <w:vertAlign w:val="baseline"/>
      </w:rPr>
    </w:lvl>
    <w:lvl w:ilvl="3">
      <w:start w:val="1"/>
      <w:numFmt w:val="lowerRoman"/>
      <w:pStyle w:val="Heading4"/>
      <w:lvlText w:val="(%4)"/>
      <w:lvlJc w:val="left"/>
      <w:pPr>
        <w:ind w:left="2160" w:hanging="720"/>
      </w:pPr>
      <w:rPr>
        <w:rFonts w:ascii="Times New Roman" w:hAnsi="Times New Roman" w:cs="Times New Roman"/>
        <w:b w:val="0"/>
        <w:i w:val="0"/>
        <w:caps w:val="0"/>
        <w:strike w:val="0"/>
        <w:dstrike w:val="0"/>
        <w:vanish w:val="0"/>
        <w:color w:val="auto"/>
        <w:sz w:val="20"/>
        <w:szCs w:val="20"/>
        <w:u w:val="none"/>
        <w:vertAlign w:val="baseline"/>
      </w:rPr>
    </w:lvl>
    <w:lvl w:ilvl="4">
      <w:start w:val="1"/>
      <w:numFmt w:val="upperLetter"/>
      <w:pStyle w:val="Heading5"/>
      <w:lvlText w:val="(%5)"/>
      <w:lvlJc w:val="left"/>
      <w:pPr>
        <w:ind w:left="2880" w:hanging="720"/>
      </w:pPr>
      <w:rPr>
        <w:rFonts w:ascii="Times New Roman" w:hAnsi="Times New Roman" w:cs="Times New Roman"/>
        <w:b w:val="0"/>
        <w:i w:val="0"/>
        <w:caps w:val="0"/>
        <w:strike w:val="0"/>
        <w:dstrike w:val="0"/>
        <w:vanish w:val="0"/>
        <w:color w:val="auto"/>
        <w:sz w:val="20"/>
        <w:szCs w:val="20"/>
        <w:u w:val="none"/>
        <w:vertAlign w:val="baseline"/>
      </w:rPr>
    </w:lvl>
    <w:lvl w:ilvl="5">
      <w:start w:val="1"/>
      <w:numFmt w:val="none"/>
      <w:pStyle w:val="Heading6"/>
      <w:lvlText w:val=""/>
      <w:lvlJc w:val="left"/>
      <w:pPr>
        <w:ind w:left="0" w:firstLine="0"/>
      </w:pPr>
      <w:rPr>
        <w:rFonts w:ascii="Times New Roman" w:hAnsi="Times New Roman" w:cs="Times New Roman"/>
        <w:b w:val="0"/>
        <w:i w:val="0"/>
        <w:caps w:val="0"/>
        <w:strike w:val="0"/>
        <w:dstrike w:val="0"/>
        <w:vanish w:val="0"/>
        <w:color w:val="auto"/>
        <w:sz w:val="24"/>
        <w:u w:val="none"/>
        <w:vertAlign w:val="baseline"/>
      </w:rPr>
    </w:lvl>
    <w:lvl w:ilvl="6">
      <w:start w:val="1"/>
      <w:numFmt w:val="none"/>
      <w:pStyle w:val="Heading7"/>
      <w:lvlText w:val=""/>
      <w:lvlJc w:val="left"/>
      <w:pPr>
        <w:ind w:left="0" w:firstLine="0"/>
      </w:pPr>
      <w:rPr>
        <w:rFonts w:ascii="Times New Roman" w:hAnsi="Times New Roman" w:cs="Times New Roman"/>
        <w:b w:val="0"/>
        <w:i w:val="0"/>
        <w:caps w:val="0"/>
        <w:strike w:val="0"/>
        <w:dstrike w:val="0"/>
        <w:vanish w:val="0"/>
        <w:color w:val="auto"/>
        <w:sz w:val="24"/>
        <w:u w:val="none"/>
        <w:vertAlign w:val="baseline"/>
      </w:rPr>
    </w:lvl>
    <w:lvl w:ilvl="7">
      <w:start w:val="1"/>
      <w:numFmt w:val="none"/>
      <w:pStyle w:val="Heading8"/>
      <w:lvlText w:val=""/>
      <w:lvlJc w:val="left"/>
      <w:pPr>
        <w:ind w:left="0" w:firstLine="0"/>
      </w:pPr>
      <w:rPr>
        <w:rFonts w:ascii="Times New Roman" w:hAnsi="Times New Roman" w:cs="Times New Roman"/>
        <w:b w:val="0"/>
        <w:i w:val="0"/>
        <w:caps w:val="0"/>
        <w:strike w:val="0"/>
        <w:dstrike w:val="0"/>
        <w:vanish w:val="0"/>
        <w:color w:val="auto"/>
        <w:sz w:val="24"/>
        <w:u w:val="none"/>
        <w:vertAlign w:val="baseline"/>
      </w:rPr>
    </w:lvl>
    <w:lvl w:ilvl="8">
      <w:start w:val="1"/>
      <w:numFmt w:val="none"/>
      <w:pStyle w:val="Heading9"/>
      <w:lvlText w:val=""/>
      <w:lvlJc w:val="left"/>
      <w:pPr>
        <w:ind w:left="0" w:firstLine="0"/>
      </w:pPr>
      <w:rPr>
        <w:rFonts w:ascii="Times New Roman" w:hAnsi="Times New Roman" w:cs="Times New Roman"/>
        <w:b w:val="0"/>
        <w:i w:val="0"/>
        <w:caps w:val="0"/>
        <w:strike w:val="0"/>
        <w:dstrike w:val="0"/>
        <w:vanish w:val="0"/>
        <w:color w:val="auto"/>
        <w:sz w:val="24"/>
        <w:u w:val="none"/>
        <w:vertAlign w:val="baseline"/>
      </w:rPr>
    </w:lvl>
  </w:abstractNum>
  <w:abstractNum w:abstractNumId="14" w15:restartNumberingAfterBreak="0">
    <w:nsid w:val="6BA7266F"/>
    <w:multiLevelType w:val="hybridMultilevel"/>
    <w:tmpl w:val="11D0BA52"/>
    <w:name w:val="List Bullet 5"/>
    <w:lvl w:ilvl="0" w:tplc="C0365250">
      <w:start w:val="1"/>
      <w:numFmt w:val="bullet"/>
      <w:lvlText w:val=""/>
      <w:lvlJc w:val="left"/>
      <w:pPr>
        <w:tabs>
          <w:tab w:val="num" w:pos="3600"/>
        </w:tabs>
        <w:ind w:left="360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C31A8D"/>
    <w:multiLevelType w:val="multilevel"/>
    <w:tmpl w:val="4ADC6794"/>
    <w:name w:val="DP-Miscellaneous"/>
    <w:lvl w:ilvl="0">
      <w:start w:val="1"/>
      <w:numFmt w:val="upperLetter"/>
      <w:lvlRestart w:val="0"/>
      <w:lvlText w:val="%1."/>
      <w:lvlJc w:val="left"/>
      <w:pPr>
        <w:ind w:left="720" w:hanging="720"/>
      </w:pPr>
      <w:rPr>
        <w:rFonts w:ascii="Times New Roman" w:hAnsi="Times New Roman" w:cs="Times New Roman"/>
        <w:b/>
        <w:i w:val="0"/>
        <w:caps w:val="0"/>
        <w:strike w:val="0"/>
        <w:dstrike w:val="0"/>
        <w:vanish w:val="0"/>
        <w:color w:val="auto"/>
        <w:sz w:val="24"/>
        <w:u w:val="none"/>
        <w:vertAlign w:val="baseline"/>
      </w:rPr>
    </w:lvl>
    <w:lvl w:ilvl="1">
      <w:start w:val="1"/>
      <w:numFmt w:val="decimal"/>
      <w:lvlText w:val="%2."/>
      <w:lvlJc w:val="left"/>
      <w:pPr>
        <w:ind w:left="0" w:firstLine="720"/>
      </w:pPr>
      <w:rPr>
        <w:rFonts w:ascii="Times New Roman" w:hAnsi="Times New Roman" w:cs="Times New Roman"/>
        <w:b w:val="0"/>
        <w:i w:val="0"/>
        <w:caps w:val="0"/>
        <w:strike w:val="0"/>
        <w:dstrike w:val="0"/>
        <w:vanish w:val="0"/>
        <w:color w:val="auto"/>
        <w:sz w:val="24"/>
        <w:u w:val="none"/>
        <w:vertAlign w:val="baseline"/>
      </w:rPr>
    </w:lvl>
    <w:lvl w:ilvl="2">
      <w:start w:val="1"/>
      <w:numFmt w:val="lowerLetter"/>
      <w:lvlRestart w:val="0"/>
      <w:lvlText w:val="%3."/>
      <w:lvlJc w:val="left"/>
      <w:pPr>
        <w:ind w:left="1440" w:hanging="720"/>
      </w:pPr>
      <w:rPr>
        <w:rFonts w:ascii="Times New Roman" w:hAnsi="Times New Roman" w:cs="Times New Roman"/>
        <w:b w:val="0"/>
        <w:i/>
        <w:caps w:val="0"/>
        <w:strike w:val="0"/>
        <w:dstrike w:val="0"/>
        <w:vanish w:val="0"/>
        <w:color w:val="auto"/>
        <w:sz w:val="24"/>
        <w:u w:val="none"/>
        <w:vertAlign w:val="baseline"/>
      </w:rPr>
    </w:lvl>
    <w:lvl w:ilvl="3">
      <w:start w:val="1"/>
      <w:numFmt w:val="lowerRoman"/>
      <w:lvlRestart w:val="0"/>
      <w:lvlText w:val="%4."/>
      <w:lvlJc w:val="left"/>
      <w:pPr>
        <w:ind w:left="2160" w:hanging="720"/>
      </w:pPr>
      <w:rPr>
        <w:rFonts w:ascii="Times New Roman" w:hAnsi="Times New Roman" w:cs="Times New Roman"/>
        <w:b w:val="0"/>
        <w:i/>
        <w:caps w:val="0"/>
        <w:strike w:val="0"/>
        <w:dstrike w:val="0"/>
        <w:vanish w:val="0"/>
        <w:color w:val="auto"/>
        <w:sz w:val="24"/>
        <w:u w:val="none"/>
        <w:vertAlign w:val="baseline"/>
      </w:rPr>
    </w:lvl>
    <w:lvl w:ilvl="4">
      <w:start w:val="1"/>
      <w:numFmt w:val="lowerLetter"/>
      <w:lvlRestart w:val="0"/>
      <w:lvlText w:val="%5."/>
      <w:lvlJc w:val="left"/>
      <w:pPr>
        <w:ind w:left="2880" w:hanging="720"/>
      </w:pPr>
      <w:rPr>
        <w:rFonts w:ascii="Times New Roman" w:hAnsi="Times New Roman" w:cs="Times New Roman"/>
        <w:b w:val="0"/>
        <w:i w:val="0"/>
        <w:caps w:val="0"/>
        <w:strike w:val="0"/>
        <w:dstrike w:val="0"/>
        <w:vanish w:val="0"/>
        <w:color w:val="auto"/>
        <w:sz w:val="24"/>
        <w:u w:val="none"/>
        <w:vertAlign w:val="baseline"/>
      </w:rPr>
    </w:lvl>
    <w:lvl w:ilvl="5">
      <w:start w:val="1"/>
      <w:numFmt w:val="lowerLetter"/>
      <w:lvlText w:val="(%6)"/>
      <w:lvlJc w:val="left"/>
      <w:pPr>
        <w:ind w:left="3600" w:hanging="720"/>
      </w:pPr>
      <w:rPr>
        <w:rFonts w:ascii="Times New Roman" w:hAnsi="Times New Roman" w:cs="Times New Roman"/>
        <w:b w:val="0"/>
        <w:i w:val="0"/>
        <w:caps w:val="0"/>
        <w:strike w:val="0"/>
        <w:dstrike w:val="0"/>
        <w:vanish w:val="0"/>
        <w:color w:val="auto"/>
        <w:sz w:val="24"/>
        <w:u w:val="none"/>
        <w:vertAlign w:val="baseline"/>
      </w:rPr>
    </w:lvl>
    <w:lvl w:ilvl="6">
      <w:start w:val="1"/>
      <w:numFmt w:val="decimal"/>
      <w:lvlText w:val="%7."/>
      <w:lvlJc w:val="left"/>
      <w:pPr>
        <w:ind w:left="4320" w:hanging="720"/>
      </w:pPr>
      <w:rPr>
        <w:rFonts w:ascii="Times New Roman" w:hAnsi="Times New Roman" w:cs="Times New Roman"/>
        <w:b w:val="0"/>
        <w:i w:val="0"/>
        <w:caps w:val="0"/>
        <w:strike w:val="0"/>
        <w:dstrike w:val="0"/>
        <w:vanish w:val="0"/>
        <w:color w:val="auto"/>
        <w:sz w:val="24"/>
        <w:u w:val="none"/>
        <w:vertAlign w:val="baseline"/>
      </w:rPr>
    </w:lvl>
    <w:lvl w:ilvl="7">
      <w:start w:val="1"/>
      <w:numFmt w:val="lowerLetter"/>
      <w:lvlText w:val="%8."/>
      <w:lvlJc w:val="left"/>
      <w:pPr>
        <w:ind w:left="5040" w:hanging="720"/>
      </w:pPr>
      <w:rPr>
        <w:rFonts w:ascii="Times New Roman" w:hAnsi="Times New Roman" w:cs="Times New Roman"/>
        <w:b w:val="0"/>
        <w:i w:val="0"/>
        <w:caps w:val="0"/>
        <w:strike w:val="0"/>
        <w:dstrike w:val="0"/>
        <w:vanish w:val="0"/>
        <w:color w:val="auto"/>
        <w:sz w:val="24"/>
        <w:u w:val="none"/>
        <w:vertAlign w:val="baseline"/>
      </w:rPr>
    </w:lvl>
    <w:lvl w:ilvl="8">
      <w:start w:val="1"/>
      <w:numFmt w:val="lowerRoman"/>
      <w:lvlText w:val="%9."/>
      <w:lvlJc w:val="left"/>
      <w:pPr>
        <w:ind w:left="5760" w:hanging="720"/>
      </w:pPr>
      <w:rPr>
        <w:rFonts w:ascii="Times New Roman" w:hAnsi="Times New Roman" w:cs="Times New Roman"/>
        <w:b w:val="0"/>
        <w:i w:val="0"/>
        <w:caps w:val="0"/>
        <w:strike w:val="0"/>
        <w:dstrike w:val="0"/>
        <w:vanish w:val="0"/>
        <w:color w:val="auto"/>
        <w:sz w:val="24"/>
        <w:u w:val="none"/>
        <w:vertAlign w:val="baseline"/>
      </w:rPr>
    </w:lvl>
  </w:abstractNum>
  <w:abstractNum w:abstractNumId="16" w15:restartNumberingAfterBreak="0">
    <w:nsid w:val="7EB23674"/>
    <w:multiLevelType w:val="hybridMultilevel"/>
    <w:tmpl w:val="A240F678"/>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13"/>
  </w:num>
  <w:num w:numId="4">
    <w:abstractNumId w:val="13"/>
  </w:num>
  <w:num w:numId="5">
    <w:abstractNumId w:val="13"/>
  </w:num>
  <w:num w:numId="6">
    <w:abstractNumId w:val="13"/>
  </w:num>
  <w:num w:numId="7">
    <w:abstractNumId w:val="13"/>
  </w:num>
  <w:num w:numId="8">
    <w:abstractNumId w:val="13"/>
  </w:num>
  <w:num w:numId="9">
    <w:abstractNumId w:val="16"/>
  </w:num>
  <w:num w:numId="10">
    <w:abstractNumId w:val="9"/>
  </w:num>
  <w:num w:numId="11">
    <w:abstractNumId w:val="1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stylePaneFormatFilter w:val="3804" w:allStyles="0" w:customStyles="0" w:latentStyles="1" w:stylesInUse="0" w:headingStyles="0" w:numberingStyles="0" w:tableStyles="0" w:directFormattingOnRuns="0" w:directFormattingOnParagraphs="0" w:directFormattingOnNumbering="0" w:directFormattingOnTables="1" w:clearFormatting="1" w:top3HeadingStyles="1" w:visibleStyles="0" w:alternateStyleNames="0"/>
  <w:stylePaneSortMethod w:val="0000"/>
  <w:defaultTabStop w:val="720"/>
  <w:hyphenationZone w:val="425"/>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302F3"/>
    <w:rsid w:val="00001106"/>
    <w:rsid w:val="00001513"/>
    <w:rsid w:val="00001E9D"/>
    <w:rsid w:val="00001FB9"/>
    <w:rsid w:val="000025BD"/>
    <w:rsid w:val="00004109"/>
    <w:rsid w:val="000041DD"/>
    <w:rsid w:val="0000424B"/>
    <w:rsid w:val="0000449A"/>
    <w:rsid w:val="000059C2"/>
    <w:rsid w:val="00005B5A"/>
    <w:rsid w:val="0000609E"/>
    <w:rsid w:val="00007891"/>
    <w:rsid w:val="00007F5C"/>
    <w:rsid w:val="00010176"/>
    <w:rsid w:val="00010589"/>
    <w:rsid w:val="000107CE"/>
    <w:rsid w:val="0001091D"/>
    <w:rsid w:val="00010D5F"/>
    <w:rsid w:val="00012749"/>
    <w:rsid w:val="000128E4"/>
    <w:rsid w:val="0001317B"/>
    <w:rsid w:val="00013958"/>
    <w:rsid w:val="00013DFD"/>
    <w:rsid w:val="00014EF3"/>
    <w:rsid w:val="00015494"/>
    <w:rsid w:val="000158E4"/>
    <w:rsid w:val="000164BE"/>
    <w:rsid w:val="0001727D"/>
    <w:rsid w:val="00017DF7"/>
    <w:rsid w:val="0002000B"/>
    <w:rsid w:val="000208AA"/>
    <w:rsid w:val="00020A9B"/>
    <w:rsid w:val="00021445"/>
    <w:rsid w:val="00021D60"/>
    <w:rsid w:val="00022146"/>
    <w:rsid w:val="00022C51"/>
    <w:rsid w:val="0002511F"/>
    <w:rsid w:val="00025337"/>
    <w:rsid w:val="00025E9B"/>
    <w:rsid w:val="00026A96"/>
    <w:rsid w:val="000275F4"/>
    <w:rsid w:val="00030044"/>
    <w:rsid w:val="0003072A"/>
    <w:rsid w:val="000307DB"/>
    <w:rsid w:val="00030D44"/>
    <w:rsid w:val="00031925"/>
    <w:rsid w:val="00031DFA"/>
    <w:rsid w:val="0003220E"/>
    <w:rsid w:val="0003238F"/>
    <w:rsid w:val="00034000"/>
    <w:rsid w:val="00034730"/>
    <w:rsid w:val="00034CE9"/>
    <w:rsid w:val="00035CB0"/>
    <w:rsid w:val="0003627E"/>
    <w:rsid w:val="00036963"/>
    <w:rsid w:val="0003733B"/>
    <w:rsid w:val="00037497"/>
    <w:rsid w:val="0003752A"/>
    <w:rsid w:val="00037802"/>
    <w:rsid w:val="00037A5F"/>
    <w:rsid w:val="00037BCF"/>
    <w:rsid w:val="000406ED"/>
    <w:rsid w:val="00040780"/>
    <w:rsid w:val="00043432"/>
    <w:rsid w:val="00044165"/>
    <w:rsid w:val="00044715"/>
    <w:rsid w:val="00044A75"/>
    <w:rsid w:val="0004602B"/>
    <w:rsid w:val="00050A6F"/>
    <w:rsid w:val="0005216A"/>
    <w:rsid w:val="0005269A"/>
    <w:rsid w:val="00052ED0"/>
    <w:rsid w:val="000536E6"/>
    <w:rsid w:val="00054CD6"/>
    <w:rsid w:val="000550C2"/>
    <w:rsid w:val="000555C6"/>
    <w:rsid w:val="0005611A"/>
    <w:rsid w:val="000566B4"/>
    <w:rsid w:val="00056784"/>
    <w:rsid w:val="000568AB"/>
    <w:rsid w:val="00056AE5"/>
    <w:rsid w:val="000576AA"/>
    <w:rsid w:val="00057779"/>
    <w:rsid w:val="000609EB"/>
    <w:rsid w:val="00060BA1"/>
    <w:rsid w:val="00060C32"/>
    <w:rsid w:val="00060FCB"/>
    <w:rsid w:val="000610E3"/>
    <w:rsid w:val="00061540"/>
    <w:rsid w:val="00062192"/>
    <w:rsid w:val="000629A0"/>
    <w:rsid w:val="00062EA9"/>
    <w:rsid w:val="00063015"/>
    <w:rsid w:val="00063A69"/>
    <w:rsid w:val="00063C5F"/>
    <w:rsid w:val="0006541C"/>
    <w:rsid w:val="0006571A"/>
    <w:rsid w:val="0006571B"/>
    <w:rsid w:val="00065B3D"/>
    <w:rsid w:val="00066E1C"/>
    <w:rsid w:val="0006737F"/>
    <w:rsid w:val="00067870"/>
    <w:rsid w:val="00067973"/>
    <w:rsid w:val="00067B7B"/>
    <w:rsid w:val="00067CD5"/>
    <w:rsid w:val="000701EC"/>
    <w:rsid w:val="00070751"/>
    <w:rsid w:val="0007160E"/>
    <w:rsid w:val="00071755"/>
    <w:rsid w:val="00072C79"/>
    <w:rsid w:val="00072F5C"/>
    <w:rsid w:val="00074BF1"/>
    <w:rsid w:val="00075E4F"/>
    <w:rsid w:val="00076F16"/>
    <w:rsid w:val="00076F92"/>
    <w:rsid w:val="0007727C"/>
    <w:rsid w:val="00077812"/>
    <w:rsid w:val="000800B6"/>
    <w:rsid w:val="00080637"/>
    <w:rsid w:val="000816B0"/>
    <w:rsid w:val="00081C5C"/>
    <w:rsid w:val="00082156"/>
    <w:rsid w:val="00083478"/>
    <w:rsid w:val="00083858"/>
    <w:rsid w:val="0008634E"/>
    <w:rsid w:val="00086E85"/>
    <w:rsid w:val="00087AAE"/>
    <w:rsid w:val="00090C82"/>
    <w:rsid w:val="000913D2"/>
    <w:rsid w:val="000917B0"/>
    <w:rsid w:val="00091827"/>
    <w:rsid w:val="00091A4D"/>
    <w:rsid w:val="0009297A"/>
    <w:rsid w:val="00092F97"/>
    <w:rsid w:val="00094862"/>
    <w:rsid w:val="00095F34"/>
    <w:rsid w:val="000964D0"/>
    <w:rsid w:val="0009731C"/>
    <w:rsid w:val="00097823"/>
    <w:rsid w:val="000A0EF8"/>
    <w:rsid w:val="000A1C2C"/>
    <w:rsid w:val="000A2089"/>
    <w:rsid w:val="000A2830"/>
    <w:rsid w:val="000A355F"/>
    <w:rsid w:val="000A3ACD"/>
    <w:rsid w:val="000A40A4"/>
    <w:rsid w:val="000A4157"/>
    <w:rsid w:val="000A4AC9"/>
    <w:rsid w:val="000A4F61"/>
    <w:rsid w:val="000A5AEE"/>
    <w:rsid w:val="000A6375"/>
    <w:rsid w:val="000A6993"/>
    <w:rsid w:val="000A7031"/>
    <w:rsid w:val="000A7C0C"/>
    <w:rsid w:val="000B123D"/>
    <w:rsid w:val="000B1D55"/>
    <w:rsid w:val="000B21FD"/>
    <w:rsid w:val="000B35C7"/>
    <w:rsid w:val="000B39E5"/>
    <w:rsid w:val="000B3BF9"/>
    <w:rsid w:val="000B4E86"/>
    <w:rsid w:val="000B5999"/>
    <w:rsid w:val="000B651D"/>
    <w:rsid w:val="000B6665"/>
    <w:rsid w:val="000B6C92"/>
    <w:rsid w:val="000B6D84"/>
    <w:rsid w:val="000B712D"/>
    <w:rsid w:val="000C0717"/>
    <w:rsid w:val="000C13AA"/>
    <w:rsid w:val="000C183E"/>
    <w:rsid w:val="000C31BC"/>
    <w:rsid w:val="000C393E"/>
    <w:rsid w:val="000C3B02"/>
    <w:rsid w:val="000C3D6B"/>
    <w:rsid w:val="000C3FF1"/>
    <w:rsid w:val="000C5F2C"/>
    <w:rsid w:val="000C5F34"/>
    <w:rsid w:val="000C7628"/>
    <w:rsid w:val="000C7CB0"/>
    <w:rsid w:val="000D0631"/>
    <w:rsid w:val="000D1912"/>
    <w:rsid w:val="000D1C00"/>
    <w:rsid w:val="000D1EF2"/>
    <w:rsid w:val="000D34A5"/>
    <w:rsid w:val="000D36C5"/>
    <w:rsid w:val="000D3A62"/>
    <w:rsid w:val="000D3C51"/>
    <w:rsid w:val="000D4317"/>
    <w:rsid w:val="000D472F"/>
    <w:rsid w:val="000D55EE"/>
    <w:rsid w:val="000D649B"/>
    <w:rsid w:val="000D662A"/>
    <w:rsid w:val="000D7237"/>
    <w:rsid w:val="000E0D75"/>
    <w:rsid w:val="000E16F1"/>
    <w:rsid w:val="000E1A04"/>
    <w:rsid w:val="000E1B4A"/>
    <w:rsid w:val="000E1C41"/>
    <w:rsid w:val="000E2710"/>
    <w:rsid w:val="000E3096"/>
    <w:rsid w:val="000E4039"/>
    <w:rsid w:val="000E42D7"/>
    <w:rsid w:val="000E4911"/>
    <w:rsid w:val="000E4BD4"/>
    <w:rsid w:val="000E54F0"/>
    <w:rsid w:val="000E55AB"/>
    <w:rsid w:val="000E5B4B"/>
    <w:rsid w:val="000E61BE"/>
    <w:rsid w:val="000E6608"/>
    <w:rsid w:val="000E6650"/>
    <w:rsid w:val="000E66AF"/>
    <w:rsid w:val="000F0933"/>
    <w:rsid w:val="000F1A06"/>
    <w:rsid w:val="000F1C36"/>
    <w:rsid w:val="000F1EA6"/>
    <w:rsid w:val="000F2FD1"/>
    <w:rsid w:val="000F30A8"/>
    <w:rsid w:val="000F377B"/>
    <w:rsid w:val="000F3D1A"/>
    <w:rsid w:val="000F43DB"/>
    <w:rsid w:val="000F4BF7"/>
    <w:rsid w:val="000F4F99"/>
    <w:rsid w:val="000F615A"/>
    <w:rsid w:val="000F7757"/>
    <w:rsid w:val="00100EC2"/>
    <w:rsid w:val="0010272C"/>
    <w:rsid w:val="00104331"/>
    <w:rsid w:val="00104350"/>
    <w:rsid w:val="001078CF"/>
    <w:rsid w:val="00107A29"/>
    <w:rsid w:val="00107E10"/>
    <w:rsid w:val="001110B6"/>
    <w:rsid w:val="0011145E"/>
    <w:rsid w:val="001116AB"/>
    <w:rsid w:val="00111BD9"/>
    <w:rsid w:val="001137E8"/>
    <w:rsid w:val="00116768"/>
    <w:rsid w:val="00116D54"/>
    <w:rsid w:val="00117C3C"/>
    <w:rsid w:val="00117C78"/>
    <w:rsid w:val="00121D2C"/>
    <w:rsid w:val="00122609"/>
    <w:rsid w:val="00122B38"/>
    <w:rsid w:val="00123429"/>
    <w:rsid w:val="00125EA6"/>
    <w:rsid w:val="00126EDC"/>
    <w:rsid w:val="00126FEE"/>
    <w:rsid w:val="001278FD"/>
    <w:rsid w:val="00130269"/>
    <w:rsid w:val="0013090E"/>
    <w:rsid w:val="001309B3"/>
    <w:rsid w:val="00130ED5"/>
    <w:rsid w:val="00132336"/>
    <w:rsid w:val="00133A29"/>
    <w:rsid w:val="00133D19"/>
    <w:rsid w:val="00136508"/>
    <w:rsid w:val="00140DEC"/>
    <w:rsid w:val="0014168A"/>
    <w:rsid w:val="00141711"/>
    <w:rsid w:val="001421B7"/>
    <w:rsid w:val="001421D9"/>
    <w:rsid w:val="0014229B"/>
    <w:rsid w:val="0014309C"/>
    <w:rsid w:val="00144F61"/>
    <w:rsid w:val="001451E6"/>
    <w:rsid w:val="0014523D"/>
    <w:rsid w:val="00146B5C"/>
    <w:rsid w:val="001475E9"/>
    <w:rsid w:val="0015006F"/>
    <w:rsid w:val="001504CD"/>
    <w:rsid w:val="001508DF"/>
    <w:rsid w:val="0015123B"/>
    <w:rsid w:val="00152616"/>
    <w:rsid w:val="00152E5E"/>
    <w:rsid w:val="00154370"/>
    <w:rsid w:val="00155EF4"/>
    <w:rsid w:val="00156411"/>
    <w:rsid w:val="00156E4A"/>
    <w:rsid w:val="00156F6D"/>
    <w:rsid w:val="00157169"/>
    <w:rsid w:val="001572FF"/>
    <w:rsid w:val="00157360"/>
    <w:rsid w:val="001602A4"/>
    <w:rsid w:val="00160D25"/>
    <w:rsid w:val="00160FF2"/>
    <w:rsid w:val="0016175B"/>
    <w:rsid w:val="00161872"/>
    <w:rsid w:val="00162547"/>
    <w:rsid w:val="0016294E"/>
    <w:rsid w:val="00163043"/>
    <w:rsid w:val="001630BD"/>
    <w:rsid w:val="00163403"/>
    <w:rsid w:val="00163621"/>
    <w:rsid w:val="0016458D"/>
    <w:rsid w:val="00164795"/>
    <w:rsid w:val="00165068"/>
    <w:rsid w:val="001668B5"/>
    <w:rsid w:val="001668FA"/>
    <w:rsid w:val="00167C51"/>
    <w:rsid w:val="00167D5E"/>
    <w:rsid w:val="001700F3"/>
    <w:rsid w:val="0017134F"/>
    <w:rsid w:val="0017191A"/>
    <w:rsid w:val="00171A2E"/>
    <w:rsid w:val="00171F0D"/>
    <w:rsid w:val="0017238C"/>
    <w:rsid w:val="0017253F"/>
    <w:rsid w:val="0017264C"/>
    <w:rsid w:val="00172AA2"/>
    <w:rsid w:val="001736B8"/>
    <w:rsid w:val="00173CC5"/>
    <w:rsid w:val="00174118"/>
    <w:rsid w:val="00175A31"/>
    <w:rsid w:val="00175ACF"/>
    <w:rsid w:val="001760E8"/>
    <w:rsid w:val="00176130"/>
    <w:rsid w:val="001772D9"/>
    <w:rsid w:val="00177BB5"/>
    <w:rsid w:val="00180D99"/>
    <w:rsid w:val="00181EF0"/>
    <w:rsid w:val="00182160"/>
    <w:rsid w:val="00183054"/>
    <w:rsid w:val="00183CB4"/>
    <w:rsid w:val="001849E2"/>
    <w:rsid w:val="00186321"/>
    <w:rsid w:val="00186C1A"/>
    <w:rsid w:val="00186E15"/>
    <w:rsid w:val="00187062"/>
    <w:rsid w:val="001871F9"/>
    <w:rsid w:val="001874A1"/>
    <w:rsid w:val="001874FA"/>
    <w:rsid w:val="001877BA"/>
    <w:rsid w:val="00190230"/>
    <w:rsid w:val="00190485"/>
    <w:rsid w:val="00190962"/>
    <w:rsid w:val="00190D3D"/>
    <w:rsid w:val="001910E9"/>
    <w:rsid w:val="00191296"/>
    <w:rsid w:val="00191579"/>
    <w:rsid w:val="00191C8C"/>
    <w:rsid w:val="001923EB"/>
    <w:rsid w:val="001924B4"/>
    <w:rsid w:val="0019256E"/>
    <w:rsid w:val="00192877"/>
    <w:rsid w:val="001934F0"/>
    <w:rsid w:val="001939AA"/>
    <w:rsid w:val="00193E93"/>
    <w:rsid w:val="00194351"/>
    <w:rsid w:val="00194715"/>
    <w:rsid w:val="00195C18"/>
    <w:rsid w:val="00196701"/>
    <w:rsid w:val="001969E4"/>
    <w:rsid w:val="001970F6"/>
    <w:rsid w:val="00197931"/>
    <w:rsid w:val="001A050C"/>
    <w:rsid w:val="001A1726"/>
    <w:rsid w:val="001A17BE"/>
    <w:rsid w:val="001A2176"/>
    <w:rsid w:val="001A30EF"/>
    <w:rsid w:val="001A36C0"/>
    <w:rsid w:val="001A389A"/>
    <w:rsid w:val="001A49B6"/>
    <w:rsid w:val="001A5288"/>
    <w:rsid w:val="001A52EC"/>
    <w:rsid w:val="001A5819"/>
    <w:rsid w:val="001A5960"/>
    <w:rsid w:val="001B027E"/>
    <w:rsid w:val="001B130A"/>
    <w:rsid w:val="001B20F4"/>
    <w:rsid w:val="001B26D7"/>
    <w:rsid w:val="001B3A19"/>
    <w:rsid w:val="001B3BA5"/>
    <w:rsid w:val="001B3E3E"/>
    <w:rsid w:val="001B42D0"/>
    <w:rsid w:val="001B4561"/>
    <w:rsid w:val="001B5D45"/>
    <w:rsid w:val="001B7F6B"/>
    <w:rsid w:val="001C0837"/>
    <w:rsid w:val="001C1772"/>
    <w:rsid w:val="001C3A56"/>
    <w:rsid w:val="001C3A86"/>
    <w:rsid w:val="001C4B28"/>
    <w:rsid w:val="001C508E"/>
    <w:rsid w:val="001C529C"/>
    <w:rsid w:val="001C59DE"/>
    <w:rsid w:val="001C607F"/>
    <w:rsid w:val="001C6870"/>
    <w:rsid w:val="001C6ABA"/>
    <w:rsid w:val="001C6E66"/>
    <w:rsid w:val="001D03E0"/>
    <w:rsid w:val="001D11A3"/>
    <w:rsid w:val="001D15B1"/>
    <w:rsid w:val="001D23FA"/>
    <w:rsid w:val="001D2E47"/>
    <w:rsid w:val="001D2F14"/>
    <w:rsid w:val="001D35B7"/>
    <w:rsid w:val="001D627D"/>
    <w:rsid w:val="001D768F"/>
    <w:rsid w:val="001D7FEF"/>
    <w:rsid w:val="001E0A76"/>
    <w:rsid w:val="001E11E8"/>
    <w:rsid w:val="001E1675"/>
    <w:rsid w:val="001E2091"/>
    <w:rsid w:val="001E2904"/>
    <w:rsid w:val="001E32E0"/>
    <w:rsid w:val="001E34B9"/>
    <w:rsid w:val="001E3571"/>
    <w:rsid w:val="001E3AD1"/>
    <w:rsid w:val="001E3B1E"/>
    <w:rsid w:val="001E3DB6"/>
    <w:rsid w:val="001E43B1"/>
    <w:rsid w:val="001E613C"/>
    <w:rsid w:val="001E6B6F"/>
    <w:rsid w:val="001E7548"/>
    <w:rsid w:val="001E7D2E"/>
    <w:rsid w:val="001E7F2C"/>
    <w:rsid w:val="001F000D"/>
    <w:rsid w:val="001F041F"/>
    <w:rsid w:val="001F25DB"/>
    <w:rsid w:val="001F3043"/>
    <w:rsid w:val="001F425C"/>
    <w:rsid w:val="001F5F68"/>
    <w:rsid w:val="001F72F1"/>
    <w:rsid w:val="00200D40"/>
    <w:rsid w:val="00200E41"/>
    <w:rsid w:val="00201128"/>
    <w:rsid w:val="00201E40"/>
    <w:rsid w:val="00202C07"/>
    <w:rsid w:val="00202FA2"/>
    <w:rsid w:val="002041C4"/>
    <w:rsid w:val="002041FA"/>
    <w:rsid w:val="00205015"/>
    <w:rsid w:val="002058F3"/>
    <w:rsid w:val="00205F51"/>
    <w:rsid w:val="002066A5"/>
    <w:rsid w:val="0020712C"/>
    <w:rsid w:val="0020717B"/>
    <w:rsid w:val="0020768E"/>
    <w:rsid w:val="00207ADC"/>
    <w:rsid w:val="00210578"/>
    <w:rsid w:val="002111E1"/>
    <w:rsid w:val="00211E9C"/>
    <w:rsid w:val="002120D0"/>
    <w:rsid w:val="002125BC"/>
    <w:rsid w:val="00212FFB"/>
    <w:rsid w:val="0021377A"/>
    <w:rsid w:val="002146DC"/>
    <w:rsid w:val="00214E16"/>
    <w:rsid w:val="0021510F"/>
    <w:rsid w:val="0021539F"/>
    <w:rsid w:val="0021554D"/>
    <w:rsid w:val="0021616E"/>
    <w:rsid w:val="00217C46"/>
    <w:rsid w:val="00220B1C"/>
    <w:rsid w:val="00220F23"/>
    <w:rsid w:val="0022148C"/>
    <w:rsid w:val="00221CF6"/>
    <w:rsid w:val="00222199"/>
    <w:rsid w:val="00223765"/>
    <w:rsid w:val="0022395D"/>
    <w:rsid w:val="0022402A"/>
    <w:rsid w:val="0022432C"/>
    <w:rsid w:val="00224AA2"/>
    <w:rsid w:val="00226DA9"/>
    <w:rsid w:val="00226DAA"/>
    <w:rsid w:val="002273AC"/>
    <w:rsid w:val="002279ED"/>
    <w:rsid w:val="00227B0B"/>
    <w:rsid w:val="00227C8F"/>
    <w:rsid w:val="002301E7"/>
    <w:rsid w:val="00230F9B"/>
    <w:rsid w:val="00231992"/>
    <w:rsid w:val="00231B90"/>
    <w:rsid w:val="00232071"/>
    <w:rsid w:val="0023295A"/>
    <w:rsid w:val="00232E42"/>
    <w:rsid w:val="0023375E"/>
    <w:rsid w:val="00233B4B"/>
    <w:rsid w:val="002344AB"/>
    <w:rsid w:val="002344E5"/>
    <w:rsid w:val="0023561C"/>
    <w:rsid w:val="00235C78"/>
    <w:rsid w:val="00235F52"/>
    <w:rsid w:val="00236547"/>
    <w:rsid w:val="00236D89"/>
    <w:rsid w:val="00240C96"/>
    <w:rsid w:val="00241813"/>
    <w:rsid w:val="002418A4"/>
    <w:rsid w:val="00241E75"/>
    <w:rsid w:val="00244C70"/>
    <w:rsid w:val="002453A6"/>
    <w:rsid w:val="002454EB"/>
    <w:rsid w:val="002455F7"/>
    <w:rsid w:val="00245CE5"/>
    <w:rsid w:val="00245EC4"/>
    <w:rsid w:val="002469C0"/>
    <w:rsid w:val="00246CFC"/>
    <w:rsid w:val="00247BB4"/>
    <w:rsid w:val="00247F3D"/>
    <w:rsid w:val="00250141"/>
    <w:rsid w:val="00251276"/>
    <w:rsid w:val="00252731"/>
    <w:rsid w:val="00252B3C"/>
    <w:rsid w:val="00252BAF"/>
    <w:rsid w:val="0025323D"/>
    <w:rsid w:val="0025362F"/>
    <w:rsid w:val="00253A2F"/>
    <w:rsid w:val="002541FC"/>
    <w:rsid w:val="002558C8"/>
    <w:rsid w:val="00255D2A"/>
    <w:rsid w:val="0025603A"/>
    <w:rsid w:val="00256770"/>
    <w:rsid w:val="00257027"/>
    <w:rsid w:val="00261792"/>
    <w:rsid w:val="00261FCB"/>
    <w:rsid w:val="00262FE7"/>
    <w:rsid w:val="0026335C"/>
    <w:rsid w:val="002646A0"/>
    <w:rsid w:val="00264902"/>
    <w:rsid w:val="00264F73"/>
    <w:rsid w:val="0026671D"/>
    <w:rsid w:val="00266FE6"/>
    <w:rsid w:val="00267475"/>
    <w:rsid w:val="00270947"/>
    <w:rsid w:val="00270AE1"/>
    <w:rsid w:val="00270D2A"/>
    <w:rsid w:val="00271593"/>
    <w:rsid w:val="00271BEA"/>
    <w:rsid w:val="002727DC"/>
    <w:rsid w:val="00272EEE"/>
    <w:rsid w:val="00273259"/>
    <w:rsid w:val="002759EB"/>
    <w:rsid w:val="00275EFE"/>
    <w:rsid w:val="00276B8F"/>
    <w:rsid w:val="002809A1"/>
    <w:rsid w:val="00280A02"/>
    <w:rsid w:val="00280B5A"/>
    <w:rsid w:val="002829F7"/>
    <w:rsid w:val="00282C73"/>
    <w:rsid w:val="00283463"/>
    <w:rsid w:val="0028419F"/>
    <w:rsid w:val="002841B7"/>
    <w:rsid w:val="00284708"/>
    <w:rsid w:val="0028474B"/>
    <w:rsid w:val="00285098"/>
    <w:rsid w:val="00285C06"/>
    <w:rsid w:val="00285F8F"/>
    <w:rsid w:val="00286F2C"/>
    <w:rsid w:val="00286FA5"/>
    <w:rsid w:val="00287786"/>
    <w:rsid w:val="002924B6"/>
    <w:rsid w:val="00293D61"/>
    <w:rsid w:val="00294836"/>
    <w:rsid w:val="0029489C"/>
    <w:rsid w:val="00294EE7"/>
    <w:rsid w:val="00294FAE"/>
    <w:rsid w:val="00295468"/>
    <w:rsid w:val="00296354"/>
    <w:rsid w:val="00297700"/>
    <w:rsid w:val="002A10EB"/>
    <w:rsid w:val="002A1ADE"/>
    <w:rsid w:val="002A2422"/>
    <w:rsid w:val="002A278F"/>
    <w:rsid w:val="002A4D5E"/>
    <w:rsid w:val="002A5024"/>
    <w:rsid w:val="002A5340"/>
    <w:rsid w:val="002A5959"/>
    <w:rsid w:val="002A5A24"/>
    <w:rsid w:val="002A5A93"/>
    <w:rsid w:val="002A70B1"/>
    <w:rsid w:val="002A741B"/>
    <w:rsid w:val="002A7AF7"/>
    <w:rsid w:val="002B0245"/>
    <w:rsid w:val="002B17A2"/>
    <w:rsid w:val="002B18E5"/>
    <w:rsid w:val="002B3022"/>
    <w:rsid w:val="002B469C"/>
    <w:rsid w:val="002B4B02"/>
    <w:rsid w:val="002B5AF5"/>
    <w:rsid w:val="002B5F4F"/>
    <w:rsid w:val="002B7750"/>
    <w:rsid w:val="002C0005"/>
    <w:rsid w:val="002C0228"/>
    <w:rsid w:val="002C03C2"/>
    <w:rsid w:val="002C23AC"/>
    <w:rsid w:val="002C2B4B"/>
    <w:rsid w:val="002C4B7B"/>
    <w:rsid w:val="002C5DB9"/>
    <w:rsid w:val="002C68B3"/>
    <w:rsid w:val="002C6F7A"/>
    <w:rsid w:val="002C75CC"/>
    <w:rsid w:val="002D11A5"/>
    <w:rsid w:val="002D2D65"/>
    <w:rsid w:val="002D336E"/>
    <w:rsid w:val="002D34E4"/>
    <w:rsid w:val="002D3C5B"/>
    <w:rsid w:val="002D4141"/>
    <w:rsid w:val="002D438B"/>
    <w:rsid w:val="002D43D9"/>
    <w:rsid w:val="002D45CA"/>
    <w:rsid w:val="002D4863"/>
    <w:rsid w:val="002D4D90"/>
    <w:rsid w:val="002D5977"/>
    <w:rsid w:val="002D6A8E"/>
    <w:rsid w:val="002D6AF0"/>
    <w:rsid w:val="002D7519"/>
    <w:rsid w:val="002E0A88"/>
    <w:rsid w:val="002E1616"/>
    <w:rsid w:val="002E19F9"/>
    <w:rsid w:val="002E33FF"/>
    <w:rsid w:val="002E36DE"/>
    <w:rsid w:val="002E4BFF"/>
    <w:rsid w:val="002E556C"/>
    <w:rsid w:val="002E5927"/>
    <w:rsid w:val="002E5C63"/>
    <w:rsid w:val="002E615B"/>
    <w:rsid w:val="002E6254"/>
    <w:rsid w:val="002E6475"/>
    <w:rsid w:val="002E7F2B"/>
    <w:rsid w:val="002F126F"/>
    <w:rsid w:val="002F1E05"/>
    <w:rsid w:val="002F32BA"/>
    <w:rsid w:val="002F40C5"/>
    <w:rsid w:val="002F4533"/>
    <w:rsid w:val="002F474E"/>
    <w:rsid w:val="002F5151"/>
    <w:rsid w:val="002F5B9A"/>
    <w:rsid w:val="002F6292"/>
    <w:rsid w:val="002F7532"/>
    <w:rsid w:val="002F776B"/>
    <w:rsid w:val="002F7895"/>
    <w:rsid w:val="002F7A99"/>
    <w:rsid w:val="002F7C5B"/>
    <w:rsid w:val="002F7C62"/>
    <w:rsid w:val="003005B8"/>
    <w:rsid w:val="00300A20"/>
    <w:rsid w:val="00301CCF"/>
    <w:rsid w:val="00302117"/>
    <w:rsid w:val="00302F38"/>
    <w:rsid w:val="003037D7"/>
    <w:rsid w:val="003039D1"/>
    <w:rsid w:val="003040C9"/>
    <w:rsid w:val="00304142"/>
    <w:rsid w:val="003050F3"/>
    <w:rsid w:val="0030620F"/>
    <w:rsid w:val="00307730"/>
    <w:rsid w:val="0030780A"/>
    <w:rsid w:val="00307908"/>
    <w:rsid w:val="00310CBA"/>
    <w:rsid w:val="003111BB"/>
    <w:rsid w:val="0031136F"/>
    <w:rsid w:val="00312DDD"/>
    <w:rsid w:val="00313EAC"/>
    <w:rsid w:val="003148DD"/>
    <w:rsid w:val="00314F45"/>
    <w:rsid w:val="0031566B"/>
    <w:rsid w:val="003157BE"/>
    <w:rsid w:val="00315B15"/>
    <w:rsid w:val="00316753"/>
    <w:rsid w:val="0031749E"/>
    <w:rsid w:val="0032086F"/>
    <w:rsid w:val="00320EE4"/>
    <w:rsid w:val="0032100D"/>
    <w:rsid w:val="003221AD"/>
    <w:rsid w:val="003224A8"/>
    <w:rsid w:val="00322EB5"/>
    <w:rsid w:val="003239FA"/>
    <w:rsid w:val="00323CE0"/>
    <w:rsid w:val="00323FD2"/>
    <w:rsid w:val="003241E0"/>
    <w:rsid w:val="0032498C"/>
    <w:rsid w:val="00324C99"/>
    <w:rsid w:val="003255AB"/>
    <w:rsid w:val="00325D30"/>
    <w:rsid w:val="003262BD"/>
    <w:rsid w:val="003267FD"/>
    <w:rsid w:val="00326F74"/>
    <w:rsid w:val="003270FC"/>
    <w:rsid w:val="003273D8"/>
    <w:rsid w:val="0032760A"/>
    <w:rsid w:val="00327B58"/>
    <w:rsid w:val="00330985"/>
    <w:rsid w:val="00331158"/>
    <w:rsid w:val="003316EF"/>
    <w:rsid w:val="003323FC"/>
    <w:rsid w:val="003328D3"/>
    <w:rsid w:val="00332E9A"/>
    <w:rsid w:val="003346EC"/>
    <w:rsid w:val="00334B93"/>
    <w:rsid w:val="0033521B"/>
    <w:rsid w:val="003357F0"/>
    <w:rsid w:val="00335BDC"/>
    <w:rsid w:val="00335D97"/>
    <w:rsid w:val="00335EFF"/>
    <w:rsid w:val="00336096"/>
    <w:rsid w:val="003360AC"/>
    <w:rsid w:val="00336C8E"/>
    <w:rsid w:val="003370B5"/>
    <w:rsid w:val="00337D19"/>
    <w:rsid w:val="00337D3B"/>
    <w:rsid w:val="00340D9F"/>
    <w:rsid w:val="00340DAA"/>
    <w:rsid w:val="003412CF"/>
    <w:rsid w:val="00341ED7"/>
    <w:rsid w:val="00341F03"/>
    <w:rsid w:val="00341F56"/>
    <w:rsid w:val="0034240E"/>
    <w:rsid w:val="003426F3"/>
    <w:rsid w:val="00343674"/>
    <w:rsid w:val="0034376D"/>
    <w:rsid w:val="003441CF"/>
    <w:rsid w:val="003449A5"/>
    <w:rsid w:val="00344FA0"/>
    <w:rsid w:val="0034635B"/>
    <w:rsid w:val="0034701F"/>
    <w:rsid w:val="003470BE"/>
    <w:rsid w:val="003503BA"/>
    <w:rsid w:val="00352966"/>
    <w:rsid w:val="0035302A"/>
    <w:rsid w:val="00354104"/>
    <w:rsid w:val="00354839"/>
    <w:rsid w:val="00354997"/>
    <w:rsid w:val="00355089"/>
    <w:rsid w:val="003552A3"/>
    <w:rsid w:val="003552B6"/>
    <w:rsid w:val="00356C3C"/>
    <w:rsid w:val="00357C65"/>
    <w:rsid w:val="00361731"/>
    <w:rsid w:val="003626EB"/>
    <w:rsid w:val="00362C0F"/>
    <w:rsid w:val="003630DE"/>
    <w:rsid w:val="00365764"/>
    <w:rsid w:val="003657EA"/>
    <w:rsid w:val="00367025"/>
    <w:rsid w:val="00367D64"/>
    <w:rsid w:val="00367EED"/>
    <w:rsid w:val="003702C7"/>
    <w:rsid w:val="0037066B"/>
    <w:rsid w:val="00370678"/>
    <w:rsid w:val="003710B4"/>
    <w:rsid w:val="00371399"/>
    <w:rsid w:val="00371C0E"/>
    <w:rsid w:val="00372DFA"/>
    <w:rsid w:val="003731E9"/>
    <w:rsid w:val="00373F96"/>
    <w:rsid w:val="0037403F"/>
    <w:rsid w:val="0037447F"/>
    <w:rsid w:val="003744FA"/>
    <w:rsid w:val="00374614"/>
    <w:rsid w:val="00374645"/>
    <w:rsid w:val="00374B93"/>
    <w:rsid w:val="0037576E"/>
    <w:rsid w:val="00375D3C"/>
    <w:rsid w:val="00375E27"/>
    <w:rsid w:val="00376A6F"/>
    <w:rsid w:val="00377486"/>
    <w:rsid w:val="003779A5"/>
    <w:rsid w:val="00377ABB"/>
    <w:rsid w:val="00381C94"/>
    <w:rsid w:val="00381ED6"/>
    <w:rsid w:val="00382323"/>
    <w:rsid w:val="0038260D"/>
    <w:rsid w:val="0038273F"/>
    <w:rsid w:val="00383B33"/>
    <w:rsid w:val="003843F2"/>
    <w:rsid w:val="00384CB9"/>
    <w:rsid w:val="00384ED6"/>
    <w:rsid w:val="003856D5"/>
    <w:rsid w:val="00385827"/>
    <w:rsid w:val="00386211"/>
    <w:rsid w:val="003862A9"/>
    <w:rsid w:val="003866AB"/>
    <w:rsid w:val="00387387"/>
    <w:rsid w:val="00387BE5"/>
    <w:rsid w:val="00390135"/>
    <w:rsid w:val="00390CBD"/>
    <w:rsid w:val="003912DC"/>
    <w:rsid w:val="00391D88"/>
    <w:rsid w:val="00392078"/>
    <w:rsid w:val="00392A19"/>
    <w:rsid w:val="00392D4D"/>
    <w:rsid w:val="00393051"/>
    <w:rsid w:val="00393589"/>
    <w:rsid w:val="00393789"/>
    <w:rsid w:val="003947FA"/>
    <w:rsid w:val="003952E0"/>
    <w:rsid w:val="003956B1"/>
    <w:rsid w:val="0039655C"/>
    <w:rsid w:val="00396DE8"/>
    <w:rsid w:val="003977E8"/>
    <w:rsid w:val="003A080E"/>
    <w:rsid w:val="003A0A85"/>
    <w:rsid w:val="003A188F"/>
    <w:rsid w:val="003A2A30"/>
    <w:rsid w:val="003A2FA8"/>
    <w:rsid w:val="003A3156"/>
    <w:rsid w:val="003A3B08"/>
    <w:rsid w:val="003A3D9B"/>
    <w:rsid w:val="003A5676"/>
    <w:rsid w:val="003A628C"/>
    <w:rsid w:val="003A6C40"/>
    <w:rsid w:val="003A71D3"/>
    <w:rsid w:val="003A7434"/>
    <w:rsid w:val="003A7777"/>
    <w:rsid w:val="003B06C5"/>
    <w:rsid w:val="003B2F7B"/>
    <w:rsid w:val="003B3DA9"/>
    <w:rsid w:val="003B3F7E"/>
    <w:rsid w:val="003B4072"/>
    <w:rsid w:val="003B4184"/>
    <w:rsid w:val="003B4241"/>
    <w:rsid w:val="003B6CE3"/>
    <w:rsid w:val="003B6E79"/>
    <w:rsid w:val="003C058F"/>
    <w:rsid w:val="003C0D89"/>
    <w:rsid w:val="003C0F5C"/>
    <w:rsid w:val="003C162D"/>
    <w:rsid w:val="003C1B51"/>
    <w:rsid w:val="003C3029"/>
    <w:rsid w:val="003C4047"/>
    <w:rsid w:val="003C5734"/>
    <w:rsid w:val="003C5826"/>
    <w:rsid w:val="003C639E"/>
    <w:rsid w:val="003C6639"/>
    <w:rsid w:val="003C6716"/>
    <w:rsid w:val="003C68C9"/>
    <w:rsid w:val="003C7F28"/>
    <w:rsid w:val="003C7FE3"/>
    <w:rsid w:val="003D10D9"/>
    <w:rsid w:val="003D14D8"/>
    <w:rsid w:val="003D1609"/>
    <w:rsid w:val="003D1745"/>
    <w:rsid w:val="003D17CF"/>
    <w:rsid w:val="003D2E78"/>
    <w:rsid w:val="003D388E"/>
    <w:rsid w:val="003D3B7D"/>
    <w:rsid w:val="003D3FE3"/>
    <w:rsid w:val="003D45D2"/>
    <w:rsid w:val="003D6018"/>
    <w:rsid w:val="003D61BB"/>
    <w:rsid w:val="003D637E"/>
    <w:rsid w:val="003D6413"/>
    <w:rsid w:val="003D66F0"/>
    <w:rsid w:val="003D6AE6"/>
    <w:rsid w:val="003D6C66"/>
    <w:rsid w:val="003D7A00"/>
    <w:rsid w:val="003E1345"/>
    <w:rsid w:val="003E23A8"/>
    <w:rsid w:val="003E37FE"/>
    <w:rsid w:val="003E40E4"/>
    <w:rsid w:val="003E4CBF"/>
    <w:rsid w:val="003E53E8"/>
    <w:rsid w:val="003E5655"/>
    <w:rsid w:val="003E5A4F"/>
    <w:rsid w:val="003E5FF1"/>
    <w:rsid w:val="003E66AE"/>
    <w:rsid w:val="003E68F4"/>
    <w:rsid w:val="003E6D18"/>
    <w:rsid w:val="003E7E46"/>
    <w:rsid w:val="003E7E91"/>
    <w:rsid w:val="003F0AE5"/>
    <w:rsid w:val="003F0C8A"/>
    <w:rsid w:val="003F15A4"/>
    <w:rsid w:val="003F1633"/>
    <w:rsid w:val="003F1E4A"/>
    <w:rsid w:val="003F31C1"/>
    <w:rsid w:val="003F5327"/>
    <w:rsid w:val="003F580F"/>
    <w:rsid w:val="003F589C"/>
    <w:rsid w:val="003F5F23"/>
    <w:rsid w:val="003F668A"/>
    <w:rsid w:val="003F6796"/>
    <w:rsid w:val="003F6C98"/>
    <w:rsid w:val="003F759E"/>
    <w:rsid w:val="003F75A0"/>
    <w:rsid w:val="003F7B77"/>
    <w:rsid w:val="003F7D77"/>
    <w:rsid w:val="00400714"/>
    <w:rsid w:val="00400793"/>
    <w:rsid w:val="00400B50"/>
    <w:rsid w:val="00401C83"/>
    <w:rsid w:val="004021B1"/>
    <w:rsid w:val="004030A4"/>
    <w:rsid w:val="00403351"/>
    <w:rsid w:val="00404D74"/>
    <w:rsid w:val="00406313"/>
    <w:rsid w:val="00406D14"/>
    <w:rsid w:val="004076F6"/>
    <w:rsid w:val="004077D5"/>
    <w:rsid w:val="00407C88"/>
    <w:rsid w:val="004102AA"/>
    <w:rsid w:val="00410BC1"/>
    <w:rsid w:val="00411097"/>
    <w:rsid w:val="00411351"/>
    <w:rsid w:val="004125D8"/>
    <w:rsid w:val="0041326F"/>
    <w:rsid w:val="00413F82"/>
    <w:rsid w:val="00413F94"/>
    <w:rsid w:val="00414394"/>
    <w:rsid w:val="004171DE"/>
    <w:rsid w:val="004173EE"/>
    <w:rsid w:val="004179C9"/>
    <w:rsid w:val="0042026A"/>
    <w:rsid w:val="00421857"/>
    <w:rsid w:val="00421E90"/>
    <w:rsid w:val="004226A8"/>
    <w:rsid w:val="0042311A"/>
    <w:rsid w:val="0042325D"/>
    <w:rsid w:val="004239B3"/>
    <w:rsid w:val="00423BE7"/>
    <w:rsid w:val="0042484F"/>
    <w:rsid w:val="004249F9"/>
    <w:rsid w:val="00425A64"/>
    <w:rsid w:val="0042637E"/>
    <w:rsid w:val="004267FD"/>
    <w:rsid w:val="0042705D"/>
    <w:rsid w:val="004270E8"/>
    <w:rsid w:val="00427B22"/>
    <w:rsid w:val="00432182"/>
    <w:rsid w:val="00432877"/>
    <w:rsid w:val="00434724"/>
    <w:rsid w:val="00434D09"/>
    <w:rsid w:val="00434EDF"/>
    <w:rsid w:val="004350B1"/>
    <w:rsid w:val="00435216"/>
    <w:rsid w:val="004354F8"/>
    <w:rsid w:val="00435622"/>
    <w:rsid w:val="00435A87"/>
    <w:rsid w:val="004360CB"/>
    <w:rsid w:val="00436209"/>
    <w:rsid w:val="0043628C"/>
    <w:rsid w:val="00436F06"/>
    <w:rsid w:val="004371E1"/>
    <w:rsid w:val="004406A3"/>
    <w:rsid w:val="004408B0"/>
    <w:rsid w:val="00440A09"/>
    <w:rsid w:val="00440B27"/>
    <w:rsid w:val="00440ECC"/>
    <w:rsid w:val="004412C8"/>
    <w:rsid w:val="004415B1"/>
    <w:rsid w:val="00441ECB"/>
    <w:rsid w:val="00441F6F"/>
    <w:rsid w:val="0044281C"/>
    <w:rsid w:val="004436DF"/>
    <w:rsid w:val="004437AA"/>
    <w:rsid w:val="00444950"/>
    <w:rsid w:val="00444EDE"/>
    <w:rsid w:val="0044527A"/>
    <w:rsid w:val="00446408"/>
    <w:rsid w:val="0044687C"/>
    <w:rsid w:val="004470E2"/>
    <w:rsid w:val="004471F2"/>
    <w:rsid w:val="004471FF"/>
    <w:rsid w:val="0044736B"/>
    <w:rsid w:val="004502C3"/>
    <w:rsid w:val="00450D86"/>
    <w:rsid w:val="00451B8B"/>
    <w:rsid w:val="00452875"/>
    <w:rsid w:val="00453068"/>
    <w:rsid w:val="00453302"/>
    <w:rsid w:val="00453DD8"/>
    <w:rsid w:val="0045414C"/>
    <w:rsid w:val="004542F6"/>
    <w:rsid w:val="004551A2"/>
    <w:rsid w:val="00455461"/>
    <w:rsid w:val="004554C5"/>
    <w:rsid w:val="00455BB2"/>
    <w:rsid w:val="004561DC"/>
    <w:rsid w:val="00456749"/>
    <w:rsid w:val="00457006"/>
    <w:rsid w:val="00457E28"/>
    <w:rsid w:val="004613AA"/>
    <w:rsid w:val="0046162E"/>
    <w:rsid w:val="0046186D"/>
    <w:rsid w:val="00462097"/>
    <w:rsid w:val="00462752"/>
    <w:rsid w:val="00462B2F"/>
    <w:rsid w:val="00463312"/>
    <w:rsid w:val="00463AB5"/>
    <w:rsid w:val="004642D8"/>
    <w:rsid w:val="0046442E"/>
    <w:rsid w:val="00465465"/>
    <w:rsid w:val="0046662C"/>
    <w:rsid w:val="00466C9B"/>
    <w:rsid w:val="0046721F"/>
    <w:rsid w:val="004701B5"/>
    <w:rsid w:val="00470B60"/>
    <w:rsid w:val="00471492"/>
    <w:rsid w:val="004714E5"/>
    <w:rsid w:val="00471E23"/>
    <w:rsid w:val="00472909"/>
    <w:rsid w:val="004731CF"/>
    <w:rsid w:val="0047345C"/>
    <w:rsid w:val="004748AC"/>
    <w:rsid w:val="00475A1B"/>
    <w:rsid w:val="00475EA1"/>
    <w:rsid w:val="00476583"/>
    <w:rsid w:val="004767AB"/>
    <w:rsid w:val="004768F0"/>
    <w:rsid w:val="00476A81"/>
    <w:rsid w:val="00476F38"/>
    <w:rsid w:val="00480D43"/>
    <w:rsid w:val="00480F01"/>
    <w:rsid w:val="00481567"/>
    <w:rsid w:val="0048167D"/>
    <w:rsid w:val="0048177A"/>
    <w:rsid w:val="00481A6F"/>
    <w:rsid w:val="00481B79"/>
    <w:rsid w:val="00482080"/>
    <w:rsid w:val="00482325"/>
    <w:rsid w:val="00482433"/>
    <w:rsid w:val="004832D6"/>
    <w:rsid w:val="0048356C"/>
    <w:rsid w:val="0048506A"/>
    <w:rsid w:val="00485312"/>
    <w:rsid w:val="00485CCC"/>
    <w:rsid w:val="00486111"/>
    <w:rsid w:val="00487552"/>
    <w:rsid w:val="004903A9"/>
    <w:rsid w:val="00490C81"/>
    <w:rsid w:val="00491798"/>
    <w:rsid w:val="004919B9"/>
    <w:rsid w:val="004928A6"/>
    <w:rsid w:val="004930CD"/>
    <w:rsid w:val="004931FF"/>
    <w:rsid w:val="00493303"/>
    <w:rsid w:val="0049336E"/>
    <w:rsid w:val="0049358F"/>
    <w:rsid w:val="00493768"/>
    <w:rsid w:val="00493D78"/>
    <w:rsid w:val="00495D0B"/>
    <w:rsid w:val="00496A3D"/>
    <w:rsid w:val="00496DDA"/>
    <w:rsid w:val="00497888"/>
    <w:rsid w:val="00497B38"/>
    <w:rsid w:val="004A0E72"/>
    <w:rsid w:val="004A1715"/>
    <w:rsid w:val="004A1F99"/>
    <w:rsid w:val="004A2AD0"/>
    <w:rsid w:val="004A2C66"/>
    <w:rsid w:val="004A30D8"/>
    <w:rsid w:val="004A3154"/>
    <w:rsid w:val="004A322C"/>
    <w:rsid w:val="004A4FBF"/>
    <w:rsid w:val="004A53F2"/>
    <w:rsid w:val="004A5811"/>
    <w:rsid w:val="004A5D36"/>
    <w:rsid w:val="004A66A7"/>
    <w:rsid w:val="004A67EF"/>
    <w:rsid w:val="004A6A49"/>
    <w:rsid w:val="004A7086"/>
    <w:rsid w:val="004A7306"/>
    <w:rsid w:val="004A740C"/>
    <w:rsid w:val="004B0177"/>
    <w:rsid w:val="004B051F"/>
    <w:rsid w:val="004B0D96"/>
    <w:rsid w:val="004B0F70"/>
    <w:rsid w:val="004B1D80"/>
    <w:rsid w:val="004B1E5B"/>
    <w:rsid w:val="004B2615"/>
    <w:rsid w:val="004B26E7"/>
    <w:rsid w:val="004B29C4"/>
    <w:rsid w:val="004B2ACB"/>
    <w:rsid w:val="004B2F73"/>
    <w:rsid w:val="004B3A21"/>
    <w:rsid w:val="004B3B41"/>
    <w:rsid w:val="004B493E"/>
    <w:rsid w:val="004B545F"/>
    <w:rsid w:val="004B5B6C"/>
    <w:rsid w:val="004B6289"/>
    <w:rsid w:val="004B6F66"/>
    <w:rsid w:val="004B706F"/>
    <w:rsid w:val="004B7277"/>
    <w:rsid w:val="004C0CB1"/>
    <w:rsid w:val="004C0F41"/>
    <w:rsid w:val="004C1669"/>
    <w:rsid w:val="004C27FD"/>
    <w:rsid w:val="004C2F80"/>
    <w:rsid w:val="004C3064"/>
    <w:rsid w:val="004C31EC"/>
    <w:rsid w:val="004C39BA"/>
    <w:rsid w:val="004C4E13"/>
    <w:rsid w:val="004C5578"/>
    <w:rsid w:val="004C610B"/>
    <w:rsid w:val="004C75B4"/>
    <w:rsid w:val="004C75EC"/>
    <w:rsid w:val="004C7D4B"/>
    <w:rsid w:val="004D098B"/>
    <w:rsid w:val="004D1FAC"/>
    <w:rsid w:val="004D22FD"/>
    <w:rsid w:val="004D2371"/>
    <w:rsid w:val="004D3150"/>
    <w:rsid w:val="004D33D4"/>
    <w:rsid w:val="004D3D2A"/>
    <w:rsid w:val="004D47F6"/>
    <w:rsid w:val="004D4C41"/>
    <w:rsid w:val="004D51FC"/>
    <w:rsid w:val="004D5374"/>
    <w:rsid w:val="004D5883"/>
    <w:rsid w:val="004D5A60"/>
    <w:rsid w:val="004D60B8"/>
    <w:rsid w:val="004D671D"/>
    <w:rsid w:val="004D6CC4"/>
    <w:rsid w:val="004D7BDE"/>
    <w:rsid w:val="004E013B"/>
    <w:rsid w:val="004E0947"/>
    <w:rsid w:val="004E14ED"/>
    <w:rsid w:val="004E19EE"/>
    <w:rsid w:val="004E272C"/>
    <w:rsid w:val="004E2CBE"/>
    <w:rsid w:val="004E2FB7"/>
    <w:rsid w:val="004E3B75"/>
    <w:rsid w:val="004E4B99"/>
    <w:rsid w:val="004E51DB"/>
    <w:rsid w:val="004E5D1B"/>
    <w:rsid w:val="004E636C"/>
    <w:rsid w:val="004F0157"/>
    <w:rsid w:val="004F2DD7"/>
    <w:rsid w:val="004F401C"/>
    <w:rsid w:val="004F5772"/>
    <w:rsid w:val="004F5778"/>
    <w:rsid w:val="004F5BC9"/>
    <w:rsid w:val="004F794F"/>
    <w:rsid w:val="004F7A79"/>
    <w:rsid w:val="00500795"/>
    <w:rsid w:val="005021EC"/>
    <w:rsid w:val="0050232D"/>
    <w:rsid w:val="0050286B"/>
    <w:rsid w:val="00503DF0"/>
    <w:rsid w:val="005050F3"/>
    <w:rsid w:val="00505720"/>
    <w:rsid w:val="005063F8"/>
    <w:rsid w:val="005100E5"/>
    <w:rsid w:val="00510966"/>
    <w:rsid w:val="0051123B"/>
    <w:rsid w:val="0051127E"/>
    <w:rsid w:val="005120DF"/>
    <w:rsid w:val="00512137"/>
    <w:rsid w:val="00512E07"/>
    <w:rsid w:val="00512F0D"/>
    <w:rsid w:val="00513EB9"/>
    <w:rsid w:val="00514373"/>
    <w:rsid w:val="00514BE1"/>
    <w:rsid w:val="00514F8C"/>
    <w:rsid w:val="00515228"/>
    <w:rsid w:val="0051571B"/>
    <w:rsid w:val="00516010"/>
    <w:rsid w:val="005160D1"/>
    <w:rsid w:val="00517026"/>
    <w:rsid w:val="0052088A"/>
    <w:rsid w:val="0052149A"/>
    <w:rsid w:val="00522894"/>
    <w:rsid w:val="00523B76"/>
    <w:rsid w:val="005241F2"/>
    <w:rsid w:val="0052431D"/>
    <w:rsid w:val="00524878"/>
    <w:rsid w:val="005257AB"/>
    <w:rsid w:val="00525CC9"/>
    <w:rsid w:val="00525FFF"/>
    <w:rsid w:val="00526785"/>
    <w:rsid w:val="00526DB8"/>
    <w:rsid w:val="005270D1"/>
    <w:rsid w:val="00527425"/>
    <w:rsid w:val="00527457"/>
    <w:rsid w:val="00527588"/>
    <w:rsid w:val="00527A60"/>
    <w:rsid w:val="0053001E"/>
    <w:rsid w:val="00530F96"/>
    <w:rsid w:val="00533098"/>
    <w:rsid w:val="005330C3"/>
    <w:rsid w:val="00533393"/>
    <w:rsid w:val="00534048"/>
    <w:rsid w:val="00534D1F"/>
    <w:rsid w:val="00535F4D"/>
    <w:rsid w:val="00536194"/>
    <w:rsid w:val="00536578"/>
    <w:rsid w:val="00540603"/>
    <w:rsid w:val="00540610"/>
    <w:rsid w:val="00540CFF"/>
    <w:rsid w:val="00541C6F"/>
    <w:rsid w:val="00542C51"/>
    <w:rsid w:val="00543D87"/>
    <w:rsid w:val="00543FED"/>
    <w:rsid w:val="00545206"/>
    <w:rsid w:val="005466D0"/>
    <w:rsid w:val="0054685C"/>
    <w:rsid w:val="005472DB"/>
    <w:rsid w:val="00550734"/>
    <w:rsid w:val="00551628"/>
    <w:rsid w:val="00553390"/>
    <w:rsid w:val="0055378D"/>
    <w:rsid w:val="005539E7"/>
    <w:rsid w:val="00553C11"/>
    <w:rsid w:val="00554230"/>
    <w:rsid w:val="00554514"/>
    <w:rsid w:val="00554984"/>
    <w:rsid w:val="005550CD"/>
    <w:rsid w:val="005556E5"/>
    <w:rsid w:val="005557F1"/>
    <w:rsid w:val="00555976"/>
    <w:rsid w:val="00555EB8"/>
    <w:rsid w:val="00556632"/>
    <w:rsid w:val="005569E6"/>
    <w:rsid w:val="0055728B"/>
    <w:rsid w:val="0056099A"/>
    <w:rsid w:val="00561D3C"/>
    <w:rsid w:val="00562452"/>
    <w:rsid w:val="005624D4"/>
    <w:rsid w:val="005627A5"/>
    <w:rsid w:val="00562F26"/>
    <w:rsid w:val="00563353"/>
    <w:rsid w:val="005633C4"/>
    <w:rsid w:val="00563451"/>
    <w:rsid w:val="00563BB9"/>
    <w:rsid w:val="005643AA"/>
    <w:rsid w:val="005643D7"/>
    <w:rsid w:val="00564447"/>
    <w:rsid w:val="00564696"/>
    <w:rsid w:val="0056691C"/>
    <w:rsid w:val="00570460"/>
    <w:rsid w:val="005705E8"/>
    <w:rsid w:val="0057085A"/>
    <w:rsid w:val="00570C68"/>
    <w:rsid w:val="00570E44"/>
    <w:rsid w:val="005715A5"/>
    <w:rsid w:val="0057241A"/>
    <w:rsid w:val="00572EF5"/>
    <w:rsid w:val="00572FA9"/>
    <w:rsid w:val="005737BB"/>
    <w:rsid w:val="00574121"/>
    <w:rsid w:val="00574200"/>
    <w:rsid w:val="00576F15"/>
    <w:rsid w:val="00581322"/>
    <w:rsid w:val="00581C11"/>
    <w:rsid w:val="00581F2C"/>
    <w:rsid w:val="0058210E"/>
    <w:rsid w:val="00582B7D"/>
    <w:rsid w:val="0058385D"/>
    <w:rsid w:val="0058443F"/>
    <w:rsid w:val="0058656E"/>
    <w:rsid w:val="00586991"/>
    <w:rsid w:val="00587196"/>
    <w:rsid w:val="00590CDF"/>
    <w:rsid w:val="00590D74"/>
    <w:rsid w:val="005913DC"/>
    <w:rsid w:val="00591E9D"/>
    <w:rsid w:val="00592B0D"/>
    <w:rsid w:val="0059301B"/>
    <w:rsid w:val="005950DB"/>
    <w:rsid w:val="00595248"/>
    <w:rsid w:val="005968CD"/>
    <w:rsid w:val="00597EC7"/>
    <w:rsid w:val="005A0C16"/>
    <w:rsid w:val="005A11CA"/>
    <w:rsid w:val="005A1B89"/>
    <w:rsid w:val="005A1FD2"/>
    <w:rsid w:val="005A2395"/>
    <w:rsid w:val="005A2732"/>
    <w:rsid w:val="005A2CA6"/>
    <w:rsid w:val="005A2F3A"/>
    <w:rsid w:val="005A3190"/>
    <w:rsid w:val="005A36EB"/>
    <w:rsid w:val="005A3907"/>
    <w:rsid w:val="005A433F"/>
    <w:rsid w:val="005A4894"/>
    <w:rsid w:val="005A48DF"/>
    <w:rsid w:val="005A4BD6"/>
    <w:rsid w:val="005A591B"/>
    <w:rsid w:val="005A5A70"/>
    <w:rsid w:val="005A60EF"/>
    <w:rsid w:val="005A654E"/>
    <w:rsid w:val="005A7CB5"/>
    <w:rsid w:val="005A7FB7"/>
    <w:rsid w:val="005A7FD5"/>
    <w:rsid w:val="005B0486"/>
    <w:rsid w:val="005B07CD"/>
    <w:rsid w:val="005B082A"/>
    <w:rsid w:val="005B0FDF"/>
    <w:rsid w:val="005B10D2"/>
    <w:rsid w:val="005B16E2"/>
    <w:rsid w:val="005B2648"/>
    <w:rsid w:val="005B278E"/>
    <w:rsid w:val="005B2E30"/>
    <w:rsid w:val="005B456E"/>
    <w:rsid w:val="005B4799"/>
    <w:rsid w:val="005B4895"/>
    <w:rsid w:val="005B4BE9"/>
    <w:rsid w:val="005B536A"/>
    <w:rsid w:val="005B5C79"/>
    <w:rsid w:val="005B5DB7"/>
    <w:rsid w:val="005B63E3"/>
    <w:rsid w:val="005B64BE"/>
    <w:rsid w:val="005B6EAE"/>
    <w:rsid w:val="005B7A5A"/>
    <w:rsid w:val="005B7E4D"/>
    <w:rsid w:val="005C0FAF"/>
    <w:rsid w:val="005C1163"/>
    <w:rsid w:val="005C131E"/>
    <w:rsid w:val="005C1936"/>
    <w:rsid w:val="005C20BF"/>
    <w:rsid w:val="005C397C"/>
    <w:rsid w:val="005C40AD"/>
    <w:rsid w:val="005C4687"/>
    <w:rsid w:val="005C51BB"/>
    <w:rsid w:val="005C545D"/>
    <w:rsid w:val="005C5529"/>
    <w:rsid w:val="005C5FB3"/>
    <w:rsid w:val="005C6B74"/>
    <w:rsid w:val="005C71CD"/>
    <w:rsid w:val="005D01ED"/>
    <w:rsid w:val="005D1152"/>
    <w:rsid w:val="005D2437"/>
    <w:rsid w:val="005D2771"/>
    <w:rsid w:val="005D29CE"/>
    <w:rsid w:val="005D2A84"/>
    <w:rsid w:val="005D2C19"/>
    <w:rsid w:val="005D3211"/>
    <w:rsid w:val="005D3578"/>
    <w:rsid w:val="005D366E"/>
    <w:rsid w:val="005D397D"/>
    <w:rsid w:val="005D3CAE"/>
    <w:rsid w:val="005D3FAB"/>
    <w:rsid w:val="005D445E"/>
    <w:rsid w:val="005D5697"/>
    <w:rsid w:val="005D5912"/>
    <w:rsid w:val="005D604C"/>
    <w:rsid w:val="005D6870"/>
    <w:rsid w:val="005D7609"/>
    <w:rsid w:val="005D79D4"/>
    <w:rsid w:val="005E02FE"/>
    <w:rsid w:val="005E03FD"/>
    <w:rsid w:val="005E0A09"/>
    <w:rsid w:val="005E104F"/>
    <w:rsid w:val="005E1492"/>
    <w:rsid w:val="005E3307"/>
    <w:rsid w:val="005E39C9"/>
    <w:rsid w:val="005E544B"/>
    <w:rsid w:val="005E59EF"/>
    <w:rsid w:val="005E68A4"/>
    <w:rsid w:val="005E6AAD"/>
    <w:rsid w:val="005E6D8E"/>
    <w:rsid w:val="005E7233"/>
    <w:rsid w:val="005E74E2"/>
    <w:rsid w:val="005E770E"/>
    <w:rsid w:val="005E7AC8"/>
    <w:rsid w:val="005E7C50"/>
    <w:rsid w:val="005F058D"/>
    <w:rsid w:val="005F167C"/>
    <w:rsid w:val="005F1859"/>
    <w:rsid w:val="005F1E38"/>
    <w:rsid w:val="005F3A38"/>
    <w:rsid w:val="005F3CB9"/>
    <w:rsid w:val="005F5688"/>
    <w:rsid w:val="005F6B76"/>
    <w:rsid w:val="005F6EC2"/>
    <w:rsid w:val="005F761B"/>
    <w:rsid w:val="005F7A95"/>
    <w:rsid w:val="005F7DD7"/>
    <w:rsid w:val="005F7E2E"/>
    <w:rsid w:val="0060030E"/>
    <w:rsid w:val="006005E8"/>
    <w:rsid w:val="006015A9"/>
    <w:rsid w:val="00601B10"/>
    <w:rsid w:val="00601BB0"/>
    <w:rsid w:val="00602BD5"/>
    <w:rsid w:val="0060417A"/>
    <w:rsid w:val="00604E5F"/>
    <w:rsid w:val="00604F0E"/>
    <w:rsid w:val="00606204"/>
    <w:rsid w:val="00606742"/>
    <w:rsid w:val="00606FD4"/>
    <w:rsid w:val="00607733"/>
    <w:rsid w:val="00607B41"/>
    <w:rsid w:val="00607C92"/>
    <w:rsid w:val="006111A2"/>
    <w:rsid w:val="0061155A"/>
    <w:rsid w:val="00611DD0"/>
    <w:rsid w:val="00612172"/>
    <w:rsid w:val="006122A9"/>
    <w:rsid w:val="0061293A"/>
    <w:rsid w:val="00612ACD"/>
    <w:rsid w:val="00613550"/>
    <w:rsid w:val="00614B34"/>
    <w:rsid w:val="00614F10"/>
    <w:rsid w:val="00615805"/>
    <w:rsid w:val="0061587C"/>
    <w:rsid w:val="006160CF"/>
    <w:rsid w:val="00616807"/>
    <w:rsid w:val="00616964"/>
    <w:rsid w:val="0061732A"/>
    <w:rsid w:val="006209B3"/>
    <w:rsid w:val="00621A2F"/>
    <w:rsid w:val="00621C62"/>
    <w:rsid w:val="00621E63"/>
    <w:rsid w:val="00622373"/>
    <w:rsid w:val="0062244C"/>
    <w:rsid w:val="00625840"/>
    <w:rsid w:val="006258E2"/>
    <w:rsid w:val="006262A0"/>
    <w:rsid w:val="006262FE"/>
    <w:rsid w:val="006267F5"/>
    <w:rsid w:val="00626E66"/>
    <w:rsid w:val="00626FC4"/>
    <w:rsid w:val="006270CC"/>
    <w:rsid w:val="0063038E"/>
    <w:rsid w:val="0063085D"/>
    <w:rsid w:val="00630A2D"/>
    <w:rsid w:val="00630E58"/>
    <w:rsid w:val="00632314"/>
    <w:rsid w:val="0063243B"/>
    <w:rsid w:val="006338BC"/>
    <w:rsid w:val="00633E97"/>
    <w:rsid w:val="006342E3"/>
    <w:rsid w:val="006368F5"/>
    <w:rsid w:val="006405A1"/>
    <w:rsid w:val="00640A15"/>
    <w:rsid w:val="00640C93"/>
    <w:rsid w:val="00640DF8"/>
    <w:rsid w:val="00641A2A"/>
    <w:rsid w:val="00641CF0"/>
    <w:rsid w:val="00642303"/>
    <w:rsid w:val="00642955"/>
    <w:rsid w:val="00642FE0"/>
    <w:rsid w:val="00643339"/>
    <w:rsid w:val="00643813"/>
    <w:rsid w:val="006439D8"/>
    <w:rsid w:val="00643AF3"/>
    <w:rsid w:val="00644027"/>
    <w:rsid w:val="0064437F"/>
    <w:rsid w:val="00645143"/>
    <w:rsid w:val="006459AB"/>
    <w:rsid w:val="00645A9A"/>
    <w:rsid w:val="00645AF9"/>
    <w:rsid w:val="00645F89"/>
    <w:rsid w:val="006474EA"/>
    <w:rsid w:val="0064775F"/>
    <w:rsid w:val="0064795A"/>
    <w:rsid w:val="00650E83"/>
    <w:rsid w:val="006515AD"/>
    <w:rsid w:val="00651DD9"/>
    <w:rsid w:val="0065261B"/>
    <w:rsid w:val="00653143"/>
    <w:rsid w:val="0065347E"/>
    <w:rsid w:val="00653ADB"/>
    <w:rsid w:val="0065468C"/>
    <w:rsid w:val="00656EB7"/>
    <w:rsid w:val="00657183"/>
    <w:rsid w:val="00657467"/>
    <w:rsid w:val="00660B10"/>
    <w:rsid w:val="0066138B"/>
    <w:rsid w:val="0066198A"/>
    <w:rsid w:val="00661F6A"/>
    <w:rsid w:val="00663C2F"/>
    <w:rsid w:val="00663F4D"/>
    <w:rsid w:val="0066416E"/>
    <w:rsid w:val="006660CC"/>
    <w:rsid w:val="00666454"/>
    <w:rsid w:val="00666AC1"/>
    <w:rsid w:val="00666EF4"/>
    <w:rsid w:val="006673A0"/>
    <w:rsid w:val="00667EEC"/>
    <w:rsid w:val="00670185"/>
    <w:rsid w:val="00670AD8"/>
    <w:rsid w:val="00670BB5"/>
    <w:rsid w:val="00671A21"/>
    <w:rsid w:val="00673655"/>
    <w:rsid w:val="0067425B"/>
    <w:rsid w:val="00675359"/>
    <w:rsid w:val="006755BA"/>
    <w:rsid w:val="00675613"/>
    <w:rsid w:val="006769E4"/>
    <w:rsid w:val="00677008"/>
    <w:rsid w:val="006774A8"/>
    <w:rsid w:val="00680046"/>
    <w:rsid w:val="006804A6"/>
    <w:rsid w:val="0068097D"/>
    <w:rsid w:val="00680A69"/>
    <w:rsid w:val="00680B31"/>
    <w:rsid w:val="006811A7"/>
    <w:rsid w:val="0068133B"/>
    <w:rsid w:val="00681535"/>
    <w:rsid w:val="006816AB"/>
    <w:rsid w:val="0068191B"/>
    <w:rsid w:val="00681C90"/>
    <w:rsid w:val="00681D6D"/>
    <w:rsid w:val="00681E56"/>
    <w:rsid w:val="00681F6D"/>
    <w:rsid w:val="00682182"/>
    <w:rsid w:val="006826FA"/>
    <w:rsid w:val="006829E6"/>
    <w:rsid w:val="006832E8"/>
    <w:rsid w:val="006834B1"/>
    <w:rsid w:val="00683767"/>
    <w:rsid w:val="00683BD9"/>
    <w:rsid w:val="00683FF2"/>
    <w:rsid w:val="00684920"/>
    <w:rsid w:val="0068594D"/>
    <w:rsid w:val="00686614"/>
    <w:rsid w:val="006868F5"/>
    <w:rsid w:val="00686B5C"/>
    <w:rsid w:val="00687119"/>
    <w:rsid w:val="00687C58"/>
    <w:rsid w:val="00690580"/>
    <w:rsid w:val="0069123E"/>
    <w:rsid w:val="00691C82"/>
    <w:rsid w:val="006920F1"/>
    <w:rsid w:val="00693207"/>
    <w:rsid w:val="00693A21"/>
    <w:rsid w:val="00694B6D"/>
    <w:rsid w:val="00694EB4"/>
    <w:rsid w:val="0069621A"/>
    <w:rsid w:val="00696E88"/>
    <w:rsid w:val="0069747B"/>
    <w:rsid w:val="00697CF0"/>
    <w:rsid w:val="00697FA8"/>
    <w:rsid w:val="00697FDD"/>
    <w:rsid w:val="006A0AA1"/>
    <w:rsid w:val="006A183E"/>
    <w:rsid w:val="006A1AAB"/>
    <w:rsid w:val="006A1E79"/>
    <w:rsid w:val="006A2D6B"/>
    <w:rsid w:val="006A3528"/>
    <w:rsid w:val="006A395B"/>
    <w:rsid w:val="006A4107"/>
    <w:rsid w:val="006A490D"/>
    <w:rsid w:val="006A4B3B"/>
    <w:rsid w:val="006A4EAC"/>
    <w:rsid w:val="006A5102"/>
    <w:rsid w:val="006A5479"/>
    <w:rsid w:val="006A5567"/>
    <w:rsid w:val="006A6413"/>
    <w:rsid w:val="006A7B4C"/>
    <w:rsid w:val="006A7CB0"/>
    <w:rsid w:val="006B01FC"/>
    <w:rsid w:val="006B02BB"/>
    <w:rsid w:val="006B0B43"/>
    <w:rsid w:val="006B0CF9"/>
    <w:rsid w:val="006B2ABA"/>
    <w:rsid w:val="006B32CC"/>
    <w:rsid w:val="006B3EB2"/>
    <w:rsid w:val="006B57E6"/>
    <w:rsid w:val="006B602A"/>
    <w:rsid w:val="006B61E1"/>
    <w:rsid w:val="006B77E2"/>
    <w:rsid w:val="006B78D7"/>
    <w:rsid w:val="006B7E0B"/>
    <w:rsid w:val="006B7F58"/>
    <w:rsid w:val="006B7FC8"/>
    <w:rsid w:val="006C0017"/>
    <w:rsid w:val="006C012A"/>
    <w:rsid w:val="006C0DAB"/>
    <w:rsid w:val="006C1256"/>
    <w:rsid w:val="006C2077"/>
    <w:rsid w:val="006C2250"/>
    <w:rsid w:val="006C26BB"/>
    <w:rsid w:val="006C2BAE"/>
    <w:rsid w:val="006C3108"/>
    <w:rsid w:val="006C315A"/>
    <w:rsid w:val="006C3764"/>
    <w:rsid w:val="006C4438"/>
    <w:rsid w:val="006C50B5"/>
    <w:rsid w:val="006C5AFD"/>
    <w:rsid w:val="006C5E1A"/>
    <w:rsid w:val="006C5EB3"/>
    <w:rsid w:val="006C6D9D"/>
    <w:rsid w:val="006C70EF"/>
    <w:rsid w:val="006D0FA5"/>
    <w:rsid w:val="006D1375"/>
    <w:rsid w:val="006D1AB4"/>
    <w:rsid w:val="006D1C51"/>
    <w:rsid w:val="006D2418"/>
    <w:rsid w:val="006D2882"/>
    <w:rsid w:val="006D2F59"/>
    <w:rsid w:val="006D3E38"/>
    <w:rsid w:val="006D4D85"/>
    <w:rsid w:val="006D5395"/>
    <w:rsid w:val="006D5765"/>
    <w:rsid w:val="006D5955"/>
    <w:rsid w:val="006D5C9C"/>
    <w:rsid w:val="006D5E70"/>
    <w:rsid w:val="006D6953"/>
    <w:rsid w:val="006D6F64"/>
    <w:rsid w:val="006E0564"/>
    <w:rsid w:val="006E0633"/>
    <w:rsid w:val="006E06D8"/>
    <w:rsid w:val="006E0824"/>
    <w:rsid w:val="006E2561"/>
    <w:rsid w:val="006E3053"/>
    <w:rsid w:val="006E431E"/>
    <w:rsid w:val="006E5D50"/>
    <w:rsid w:val="006E66AF"/>
    <w:rsid w:val="006E6C43"/>
    <w:rsid w:val="006E6EF2"/>
    <w:rsid w:val="006E7767"/>
    <w:rsid w:val="006F03EC"/>
    <w:rsid w:val="006F0884"/>
    <w:rsid w:val="006F1895"/>
    <w:rsid w:val="006F2ACD"/>
    <w:rsid w:val="006F3D73"/>
    <w:rsid w:val="006F44C0"/>
    <w:rsid w:val="006F5B96"/>
    <w:rsid w:val="006F6B06"/>
    <w:rsid w:val="00701334"/>
    <w:rsid w:val="007025E8"/>
    <w:rsid w:val="0070306A"/>
    <w:rsid w:val="007031A7"/>
    <w:rsid w:val="00703579"/>
    <w:rsid w:val="00704216"/>
    <w:rsid w:val="0070497B"/>
    <w:rsid w:val="00704C91"/>
    <w:rsid w:val="00704FD0"/>
    <w:rsid w:val="00704FEB"/>
    <w:rsid w:val="007061A8"/>
    <w:rsid w:val="00707AC6"/>
    <w:rsid w:val="00707C30"/>
    <w:rsid w:val="007103AD"/>
    <w:rsid w:val="0071082C"/>
    <w:rsid w:val="00710911"/>
    <w:rsid w:val="007119CF"/>
    <w:rsid w:val="00712188"/>
    <w:rsid w:val="0071277F"/>
    <w:rsid w:val="00712A1E"/>
    <w:rsid w:val="00712C96"/>
    <w:rsid w:val="00713365"/>
    <w:rsid w:val="007137EA"/>
    <w:rsid w:val="007148AE"/>
    <w:rsid w:val="007148C7"/>
    <w:rsid w:val="00715D2B"/>
    <w:rsid w:val="00715D89"/>
    <w:rsid w:val="00715DD9"/>
    <w:rsid w:val="00716CE7"/>
    <w:rsid w:val="00717159"/>
    <w:rsid w:val="007173C9"/>
    <w:rsid w:val="00720537"/>
    <w:rsid w:val="00720684"/>
    <w:rsid w:val="00721183"/>
    <w:rsid w:val="00721843"/>
    <w:rsid w:val="00721B14"/>
    <w:rsid w:val="00721F48"/>
    <w:rsid w:val="007232EE"/>
    <w:rsid w:val="007238BD"/>
    <w:rsid w:val="007249A3"/>
    <w:rsid w:val="00724C01"/>
    <w:rsid w:val="00724CAB"/>
    <w:rsid w:val="00725ECE"/>
    <w:rsid w:val="00727826"/>
    <w:rsid w:val="00727892"/>
    <w:rsid w:val="007314F5"/>
    <w:rsid w:val="0073238D"/>
    <w:rsid w:val="00735095"/>
    <w:rsid w:val="00736CA8"/>
    <w:rsid w:val="007373EC"/>
    <w:rsid w:val="00737898"/>
    <w:rsid w:val="00737C40"/>
    <w:rsid w:val="007401D9"/>
    <w:rsid w:val="0074030C"/>
    <w:rsid w:val="007406D4"/>
    <w:rsid w:val="00742CE7"/>
    <w:rsid w:val="00742FFC"/>
    <w:rsid w:val="0074397C"/>
    <w:rsid w:val="00743DEF"/>
    <w:rsid w:val="00746588"/>
    <w:rsid w:val="00746831"/>
    <w:rsid w:val="007476A1"/>
    <w:rsid w:val="00747F55"/>
    <w:rsid w:val="007503EB"/>
    <w:rsid w:val="007518CA"/>
    <w:rsid w:val="00753690"/>
    <w:rsid w:val="007539B9"/>
    <w:rsid w:val="007539EB"/>
    <w:rsid w:val="007547FC"/>
    <w:rsid w:val="00754817"/>
    <w:rsid w:val="007553CA"/>
    <w:rsid w:val="00755A43"/>
    <w:rsid w:val="007563F6"/>
    <w:rsid w:val="00761493"/>
    <w:rsid w:val="00761D5E"/>
    <w:rsid w:val="00761D89"/>
    <w:rsid w:val="007622DE"/>
    <w:rsid w:val="0076247D"/>
    <w:rsid w:val="00762F58"/>
    <w:rsid w:val="00763D4C"/>
    <w:rsid w:val="00764199"/>
    <w:rsid w:val="007650CA"/>
    <w:rsid w:val="007653E6"/>
    <w:rsid w:val="007665C8"/>
    <w:rsid w:val="007669C4"/>
    <w:rsid w:val="00766FAE"/>
    <w:rsid w:val="0076716E"/>
    <w:rsid w:val="007679AD"/>
    <w:rsid w:val="00767C98"/>
    <w:rsid w:val="00767E0E"/>
    <w:rsid w:val="00772609"/>
    <w:rsid w:val="007732DD"/>
    <w:rsid w:val="007744CA"/>
    <w:rsid w:val="00774602"/>
    <w:rsid w:val="007750A2"/>
    <w:rsid w:val="00775B89"/>
    <w:rsid w:val="00776458"/>
    <w:rsid w:val="00776D50"/>
    <w:rsid w:val="0077700F"/>
    <w:rsid w:val="00777D22"/>
    <w:rsid w:val="00777D73"/>
    <w:rsid w:val="007803CA"/>
    <w:rsid w:val="00781469"/>
    <w:rsid w:val="0078157A"/>
    <w:rsid w:val="00781ED5"/>
    <w:rsid w:val="00782641"/>
    <w:rsid w:val="007832A6"/>
    <w:rsid w:val="00784323"/>
    <w:rsid w:val="00784883"/>
    <w:rsid w:val="00784DCB"/>
    <w:rsid w:val="00786B2A"/>
    <w:rsid w:val="00786FDD"/>
    <w:rsid w:val="00787EB2"/>
    <w:rsid w:val="0079130F"/>
    <w:rsid w:val="007915C1"/>
    <w:rsid w:val="00791C60"/>
    <w:rsid w:val="007931EA"/>
    <w:rsid w:val="00793D7B"/>
    <w:rsid w:val="0079529E"/>
    <w:rsid w:val="007955EA"/>
    <w:rsid w:val="007957DD"/>
    <w:rsid w:val="007958E3"/>
    <w:rsid w:val="0079671F"/>
    <w:rsid w:val="007972FB"/>
    <w:rsid w:val="0079734A"/>
    <w:rsid w:val="007A0496"/>
    <w:rsid w:val="007A13F6"/>
    <w:rsid w:val="007A1744"/>
    <w:rsid w:val="007A26E8"/>
    <w:rsid w:val="007A33C6"/>
    <w:rsid w:val="007A3F1C"/>
    <w:rsid w:val="007A58DE"/>
    <w:rsid w:val="007A663B"/>
    <w:rsid w:val="007A6954"/>
    <w:rsid w:val="007A7515"/>
    <w:rsid w:val="007A7D08"/>
    <w:rsid w:val="007B0C33"/>
    <w:rsid w:val="007B1711"/>
    <w:rsid w:val="007B18D2"/>
    <w:rsid w:val="007B1F1D"/>
    <w:rsid w:val="007B260F"/>
    <w:rsid w:val="007B2FCD"/>
    <w:rsid w:val="007B378E"/>
    <w:rsid w:val="007B4729"/>
    <w:rsid w:val="007B5071"/>
    <w:rsid w:val="007B5B89"/>
    <w:rsid w:val="007B5C47"/>
    <w:rsid w:val="007B6545"/>
    <w:rsid w:val="007B65A9"/>
    <w:rsid w:val="007B6B79"/>
    <w:rsid w:val="007B7887"/>
    <w:rsid w:val="007B7B88"/>
    <w:rsid w:val="007C04E1"/>
    <w:rsid w:val="007C0AC5"/>
    <w:rsid w:val="007C1B82"/>
    <w:rsid w:val="007C230A"/>
    <w:rsid w:val="007C25E1"/>
    <w:rsid w:val="007C3652"/>
    <w:rsid w:val="007C40D6"/>
    <w:rsid w:val="007C46B5"/>
    <w:rsid w:val="007C47CA"/>
    <w:rsid w:val="007C4AD2"/>
    <w:rsid w:val="007C4C0C"/>
    <w:rsid w:val="007C5961"/>
    <w:rsid w:val="007C6C3C"/>
    <w:rsid w:val="007C715A"/>
    <w:rsid w:val="007C78C9"/>
    <w:rsid w:val="007D02F7"/>
    <w:rsid w:val="007D0AA8"/>
    <w:rsid w:val="007D314E"/>
    <w:rsid w:val="007D3429"/>
    <w:rsid w:val="007D3517"/>
    <w:rsid w:val="007D4249"/>
    <w:rsid w:val="007D4C51"/>
    <w:rsid w:val="007D505C"/>
    <w:rsid w:val="007D5594"/>
    <w:rsid w:val="007D589A"/>
    <w:rsid w:val="007D5E7C"/>
    <w:rsid w:val="007D662F"/>
    <w:rsid w:val="007D68D1"/>
    <w:rsid w:val="007D6B04"/>
    <w:rsid w:val="007D7082"/>
    <w:rsid w:val="007D7290"/>
    <w:rsid w:val="007D78C2"/>
    <w:rsid w:val="007D79C0"/>
    <w:rsid w:val="007D7AE3"/>
    <w:rsid w:val="007D7E96"/>
    <w:rsid w:val="007E16D9"/>
    <w:rsid w:val="007E1832"/>
    <w:rsid w:val="007E29AE"/>
    <w:rsid w:val="007E4660"/>
    <w:rsid w:val="007E47F8"/>
    <w:rsid w:val="007E53E8"/>
    <w:rsid w:val="007E5E63"/>
    <w:rsid w:val="007E79C8"/>
    <w:rsid w:val="007F05A2"/>
    <w:rsid w:val="007F15EA"/>
    <w:rsid w:val="007F1E23"/>
    <w:rsid w:val="007F215B"/>
    <w:rsid w:val="007F21DA"/>
    <w:rsid w:val="007F21E4"/>
    <w:rsid w:val="007F2339"/>
    <w:rsid w:val="007F241A"/>
    <w:rsid w:val="007F2A7E"/>
    <w:rsid w:val="007F418E"/>
    <w:rsid w:val="007F46C7"/>
    <w:rsid w:val="007F4768"/>
    <w:rsid w:val="007F4811"/>
    <w:rsid w:val="007F4E24"/>
    <w:rsid w:val="007F54D1"/>
    <w:rsid w:val="007F667B"/>
    <w:rsid w:val="007F6D99"/>
    <w:rsid w:val="007F6F09"/>
    <w:rsid w:val="007F772F"/>
    <w:rsid w:val="007F7ADD"/>
    <w:rsid w:val="007F7D1F"/>
    <w:rsid w:val="007F7D65"/>
    <w:rsid w:val="0080060C"/>
    <w:rsid w:val="00800A9F"/>
    <w:rsid w:val="00801067"/>
    <w:rsid w:val="008023CB"/>
    <w:rsid w:val="00803282"/>
    <w:rsid w:val="00803631"/>
    <w:rsid w:val="00803F18"/>
    <w:rsid w:val="008043C3"/>
    <w:rsid w:val="008044B1"/>
    <w:rsid w:val="00804721"/>
    <w:rsid w:val="00805F8D"/>
    <w:rsid w:val="008079FA"/>
    <w:rsid w:val="00807AC1"/>
    <w:rsid w:val="00807CF9"/>
    <w:rsid w:val="00807E21"/>
    <w:rsid w:val="0081020A"/>
    <w:rsid w:val="00810564"/>
    <w:rsid w:val="0081109D"/>
    <w:rsid w:val="00811204"/>
    <w:rsid w:val="00811AB6"/>
    <w:rsid w:val="0081214F"/>
    <w:rsid w:val="00812191"/>
    <w:rsid w:val="00813338"/>
    <w:rsid w:val="00813BAD"/>
    <w:rsid w:val="00813F54"/>
    <w:rsid w:val="00814463"/>
    <w:rsid w:val="008144B5"/>
    <w:rsid w:val="008144D8"/>
    <w:rsid w:val="008145D9"/>
    <w:rsid w:val="0081483A"/>
    <w:rsid w:val="00814A8C"/>
    <w:rsid w:val="0081598A"/>
    <w:rsid w:val="00815C8F"/>
    <w:rsid w:val="008168AE"/>
    <w:rsid w:val="008178B0"/>
    <w:rsid w:val="00817B63"/>
    <w:rsid w:val="00820841"/>
    <w:rsid w:val="00820890"/>
    <w:rsid w:val="00820ACF"/>
    <w:rsid w:val="00820E7B"/>
    <w:rsid w:val="008215E4"/>
    <w:rsid w:val="008216BA"/>
    <w:rsid w:val="008219F2"/>
    <w:rsid w:val="00822484"/>
    <w:rsid w:val="00822619"/>
    <w:rsid w:val="00823029"/>
    <w:rsid w:val="008231BE"/>
    <w:rsid w:val="008241C0"/>
    <w:rsid w:val="0082440F"/>
    <w:rsid w:val="00824610"/>
    <w:rsid w:val="00824914"/>
    <w:rsid w:val="008249B9"/>
    <w:rsid w:val="00824D90"/>
    <w:rsid w:val="00825CDE"/>
    <w:rsid w:val="00826D44"/>
    <w:rsid w:val="0082700F"/>
    <w:rsid w:val="00827715"/>
    <w:rsid w:val="00827BA9"/>
    <w:rsid w:val="008303B4"/>
    <w:rsid w:val="00830548"/>
    <w:rsid w:val="0083078C"/>
    <w:rsid w:val="0083090E"/>
    <w:rsid w:val="008309B7"/>
    <w:rsid w:val="00830FF3"/>
    <w:rsid w:val="0083123D"/>
    <w:rsid w:val="0083125A"/>
    <w:rsid w:val="00831656"/>
    <w:rsid w:val="0083360A"/>
    <w:rsid w:val="00833B44"/>
    <w:rsid w:val="00833EBC"/>
    <w:rsid w:val="00833F0F"/>
    <w:rsid w:val="00834705"/>
    <w:rsid w:val="00836865"/>
    <w:rsid w:val="00837C3D"/>
    <w:rsid w:val="008401D6"/>
    <w:rsid w:val="00841906"/>
    <w:rsid w:val="008424FB"/>
    <w:rsid w:val="008431B4"/>
    <w:rsid w:val="00843559"/>
    <w:rsid w:val="00844623"/>
    <w:rsid w:val="00846A82"/>
    <w:rsid w:val="00846CD0"/>
    <w:rsid w:val="008472E6"/>
    <w:rsid w:val="00847783"/>
    <w:rsid w:val="008511F8"/>
    <w:rsid w:val="008513C7"/>
    <w:rsid w:val="008533E6"/>
    <w:rsid w:val="00853C42"/>
    <w:rsid w:val="008540CC"/>
    <w:rsid w:val="0085444C"/>
    <w:rsid w:val="0085446B"/>
    <w:rsid w:val="00854A12"/>
    <w:rsid w:val="00854BFB"/>
    <w:rsid w:val="00854EF0"/>
    <w:rsid w:val="0085574D"/>
    <w:rsid w:val="00856186"/>
    <w:rsid w:val="008565BE"/>
    <w:rsid w:val="00856B2F"/>
    <w:rsid w:val="0085770B"/>
    <w:rsid w:val="0085777C"/>
    <w:rsid w:val="00860147"/>
    <w:rsid w:val="00862067"/>
    <w:rsid w:val="0086227E"/>
    <w:rsid w:val="00862C92"/>
    <w:rsid w:val="008635CC"/>
    <w:rsid w:val="00864EDE"/>
    <w:rsid w:val="0086536D"/>
    <w:rsid w:val="00866282"/>
    <w:rsid w:val="008664BF"/>
    <w:rsid w:val="008664C1"/>
    <w:rsid w:val="00866874"/>
    <w:rsid w:val="00870654"/>
    <w:rsid w:val="00871A0D"/>
    <w:rsid w:val="00871E81"/>
    <w:rsid w:val="00872553"/>
    <w:rsid w:val="008733EB"/>
    <w:rsid w:val="008734A7"/>
    <w:rsid w:val="00874BE3"/>
    <w:rsid w:val="00874CB7"/>
    <w:rsid w:val="008753CC"/>
    <w:rsid w:val="008766B6"/>
    <w:rsid w:val="00876B5C"/>
    <w:rsid w:val="00876E8B"/>
    <w:rsid w:val="008772A8"/>
    <w:rsid w:val="008814C7"/>
    <w:rsid w:val="008824BD"/>
    <w:rsid w:val="008835A5"/>
    <w:rsid w:val="00883648"/>
    <w:rsid w:val="008840D9"/>
    <w:rsid w:val="008850A0"/>
    <w:rsid w:val="00886ADC"/>
    <w:rsid w:val="00887607"/>
    <w:rsid w:val="00890507"/>
    <w:rsid w:val="00890FFD"/>
    <w:rsid w:val="0089177D"/>
    <w:rsid w:val="008918D5"/>
    <w:rsid w:val="00891C0F"/>
    <w:rsid w:val="008930F1"/>
    <w:rsid w:val="008932EB"/>
    <w:rsid w:val="008933C5"/>
    <w:rsid w:val="00893508"/>
    <w:rsid w:val="0089470E"/>
    <w:rsid w:val="00894E21"/>
    <w:rsid w:val="00895495"/>
    <w:rsid w:val="0089566D"/>
    <w:rsid w:val="008977AB"/>
    <w:rsid w:val="008A00B8"/>
    <w:rsid w:val="008A054F"/>
    <w:rsid w:val="008A14D5"/>
    <w:rsid w:val="008A16EC"/>
    <w:rsid w:val="008A1FDD"/>
    <w:rsid w:val="008A296C"/>
    <w:rsid w:val="008A2C4F"/>
    <w:rsid w:val="008A4479"/>
    <w:rsid w:val="008A4C60"/>
    <w:rsid w:val="008A4E2E"/>
    <w:rsid w:val="008A54C5"/>
    <w:rsid w:val="008A5595"/>
    <w:rsid w:val="008A6226"/>
    <w:rsid w:val="008A6711"/>
    <w:rsid w:val="008A6785"/>
    <w:rsid w:val="008A6E68"/>
    <w:rsid w:val="008A751E"/>
    <w:rsid w:val="008A7891"/>
    <w:rsid w:val="008B065F"/>
    <w:rsid w:val="008B06D1"/>
    <w:rsid w:val="008B165F"/>
    <w:rsid w:val="008B3672"/>
    <w:rsid w:val="008B3C08"/>
    <w:rsid w:val="008B4CFF"/>
    <w:rsid w:val="008B5560"/>
    <w:rsid w:val="008B56A0"/>
    <w:rsid w:val="008B716F"/>
    <w:rsid w:val="008C0497"/>
    <w:rsid w:val="008C0669"/>
    <w:rsid w:val="008C090D"/>
    <w:rsid w:val="008C09AE"/>
    <w:rsid w:val="008C1275"/>
    <w:rsid w:val="008C2611"/>
    <w:rsid w:val="008C2B77"/>
    <w:rsid w:val="008C2F8A"/>
    <w:rsid w:val="008C48EF"/>
    <w:rsid w:val="008C70FF"/>
    <w:rsid w:val="008C78CD"/>
    <w:rsid w:val="008D01CC"/>
    <w:rsid w:val="008D09F6"/>
    <w:rsid w:val="008D1505"/>
    <w:rsid w:val="008D1E42"/>
    <w:rsid w:val="008D2D99"/>
    <w:rsid w:val="008D322F"/>
    <w:rsid w:val="008D32E1"/>
    <w:rsid w:val="008D37B0"/>
    <w:rsid w:val="008D55EC"/>
    <w:rsid w:val="008D5F50"/>
    <w:rsid w:val="008D6484"/>
    <w:rsid w:val="008D6716"/>
    <w:rsid w:val="008E0CFA"/>
    <w:rsid w:val="008E0D84"/>
    <w:rsid w:val="008E13DC"/>
    <w:rsid w:val="008E1540"/>
    <w:rsid w:val="008E1C93"/>
    <w:rsid w:val="008E2D51"/>
    <w:rsid w:val="008E3282"/>
    <w:rsid w:val="008E5039"/>
    <w:rsid w:val="008E572B"/>
    <w:rsid w:val="008E5DEE"/>
    <w:rsid w:val="008E5F35"/>
    <w:rsid w:val="008E690A"/>
    <w:rsid w:val="008E6F05"/>
    <w:rsid w:val="008E6FA9"/>
    <w:rsid w:val="008E738F"/>
    <w:rsid w:val="008E79A5"/>
    <w:rsid w:val="008F0B61"/>
    <w:rsid w:val="008F0E59"/>
    <w:rsid w:val="008F14B4"/>
    <w:rsid w:val="008F177F"/>
    <w:rsid w:val="008F2600"/>
    <w:rsid w:val="008F2C01"/>
    <w:rsid w:val="008F31EB"/>
    <w:rsid w:val="008F377C"/>
    <w:rsid w:val="008F3AC8"/>
    <w:rsid w:val="008F3B9D"/>
    <w:rsid w:val="008F3EEA"/>
    <w:rsid w:val="008F425E"/>
    <w:rsid w:val="008F4B45"/>
    <w:rsid w:val="008F531B"/>
    <w:rsid w:val="008F6B4C"/>
    <w:rsid w:val="008F70E3"/>
    <w:rsid w:val="008F760D"/>
    <w:rsid w:val="008F77A8"/>
    <w:rsid w:val="009007AA"/>
    <w:rsid w:val="00900B9F"/>
    <w:rsid w:val="009011A1"/>
    <w:rsid w:val="00901671"/>
    <w:rsid w:val="009016C6"/>
    <w:rsid w:val="009018BF"/>
    <w:rsid w:val="00901CCA"/>
    <w:rsid w:val="0090209E"/>
    <w:rsid w:val="0090240D"/>
    <w:rsid w:val="009025C1"/>
    <w:rsid w:val="00902F39"/>
    <w:rsid w:val="00903F9A"/>
    <w:rsid w:val="009043B6"/>
    <w:rsid w:val="00905300"/>
    <w:rsid w:val="009073C5"/>
    <w:rsid w:val="00907BE8"/>
    <w:rsid w:val="00907C5F"/>
    <w:rsid w:val="00910126"/>
    <w:rsid w:val="00910279"/>
    <w:rsid w:val="00910A5F"/>
    <w:rsid w:val="0091144B"/>
    <w:rsid w:val="0091192C"/>
    <w:rsid w:val="00912525"/>
    <w:rsid w:val="00912694"/>
    <w:rsid w:val="00912817"/>
    <w:rsid w:val="00913526"/>
    <w:rsid w:val="0091354D"/>
    <w:rsid w:val="00913E68"/>
    <w:rsid w:val="00914183"/>
    <w:rsid w:val="00914E5D"/>
    <w:rsid w:val="009157E7"/>
    <w:rsid w:val="00916306"/>
    <w:rsid w:val="009163FC"/>
    <w:rsid w:val="009167AF"/>
    <w:rsid w:val="009168C9"/>
    <w:rsid w:val="00917691"/>
    <w:rsid w:val="00917CE9"/>
    <w:rsid w:val="00917D5A"/>
    <w:rsid w:val="00920C5C"/>
    <w:rsid w:val="009212B0"/>
    <w:rsid w:val="0092133A"/>
    <w:rsid w:val="00921AA7"/>
    <w:rsid w:val="00921FB2"/>
    <w:rsid w:val="009220F4"/>
    <w:rsid w:val="00923749"/>
    <w:rsid w:val="00923775"/>
    <w:rsid w:val="00923B8A"/>
    <w:rsid w:val="009245D7"/>
    <w:rsid w:val="00925452"/>
    <w:rsid w:val="009256A0"/>
    <w:rsid w:val="00925A32"/>
    <w:rsid w:val="00925C18"/>
    <w:rsid w:val="009264ED"/>
    <w:rsid w:val="009264F6"/>
    <w:rsid w:val="00926554"/>
    <w:rsid w:val="00926B90"/>
    <w:rsid w:val="00927034"/>
    <w:rsid w:val="009273B4"/>
    <w:rsid w:val="00927CF5"/>
    <w:rsid w:val="00930034"/>
    <w:rsid w:val="009305C9"/>
    <w:rsid w:val="0093060D"/>
    <w:rsid w:val="00930E54"/>
    <w:rsid w:val="00931BF0"/>
    <w:rsid w:val="009320A9"/>
    <w:rsid w:val="009328BB"/>
    <w:rsid w:val="00932A90"/>
    <w:rsid w:val="00933C8D"/>
    <w:rsid w:val="00933EC4"/>
    <w:rsid w:val="00934C08"/>
    <w:rsid w:val="009352B5"/>
    <w:rsid w:val="00936716"/>
    <w:rsid w:val="00936A37"/>
    <w:rsid w:val="009370FA"/>
    <w:rsid w:val="00937574"/>
    <w:rsid w:val="0093789B"/>
    <w:rsid w:val="00940822"/>
    <w:rsid w:val="00943062"/>
    <w:rsid w:val="00943C23"/>
    <w:rsid w:val="00943EE3"/>
    <w:rsid w:val="009444FB"/>
    <w:rsid w:val="00944724"/>
    <w:rsid w:val="00944816"/>
    <w:rsid w:val="00944B62"/>
    <w:rsid w:val="00945F8E"/>
    <w:rsid w:val="009461F4"/>
    <w:rsid w:val="00946DAD"/>
    <w:rsid w:val="00946ED1"/>
    <w:rsid w:val="009474BB"/>
    <w:rsid w:val="009501AE"/>
    <w:rsid w:val="00950D5E"/>
    <w:rsid w:val="00950DDE"/>
    <w:rsid w:val="0095119F"/>
    <w:rsid w:val="009512C0"/>
    <w:rsid w:val="009514B0"/>
    <w:rsid w:val="0095156B"/>
    <w:rsid w:val="009516E3"/>
    <w:rsid w:val="00951942"/>
    <w:rsid w:val="009528D2"/>
    <w:rsid w:val="00952B93"/>
    <w:rsid w:val="00952CE2"/>
    <w:rsid w:val="009530ED"/>
    <w:rsid w:val="009532D0"/>
    <w:rsid w:val="00953363"/>
    <w:rsid w:val="00954EB7"/>
    <w:rsid w:val="009551C4"/>
    <w:rsid w:val="00955F87"/>
    <w:rsid w:val="00956708"/>
    <w:rsid w:val="00956844"/>
    <w:rsid w:val="00956C34"/>
    <w:rsid w:val="0096169E"/>
    <w:rsid w:val="0096373F"/>
    <w:rsid w:val="009639D7"/>
    <w:rsid w:val="00964A94"/>
    <w:rsid w:val="00965FD5"/>
    <w:rsid w:val="00967CB7"/>
    <w:rsid w:val="0097095D"/>
    <w:rsid w:val="00971523"/>
    <w:rsid w:val="00973286"/>
    <w:rsid w:val="0097336F"/>
    <w:rsid w:val="00973C68"/>
    <w:rsid w:val="00973D39"/>
    <w:rsid w:val="009757E8"/>
    <w:rsid w:val="009761B4"/>
    <w:rsid w:val="00976487"/>
    <w:rsid w:val="00981153"/>
    <w:rsid w:val="0098143C"/>
    <w:rsid w:val="009816D9"/>
    <w:rsid w:val="009824BB"/>
    <w:rsid w:val="009827CF"/>
    <w:rsid w:val="0098369A"/>
    <w:rsid w:val="00983D8C"/>
    <w:rsid w:val="00983F93"/>
    <w:rsid w:val="0098420A"/>
    <w:rsid w:val="00985056"/>
    <w:rsid w:val="00985774"/>
    <w:rsid w:val="0098638E"/>
    <w:rsid w:val="00986A32"/>
    <w:rsid w:val="00986E28"/>
    <w:rsid w:val="00986EB3"/>
    <w:rsid w:val="00987706"/>
    <w:rsid w:val="00987882"/>
    <w:rsid w:val="00987B57"/>
    <w:rsid w:val="00990AA7"/>
    <w:rsid w:val="00990BC2"/>
    <w:rsid w:val="00990E54"/>
    <w:rsid w:val="0099169F"/>
    <w:rsid w:val="00991CD1"/>
    <w:rsid w:val="00991DEB"/>
    <w:rsid w:val="00991EA7"/>
    <w:rsid w:val="009926A0"/>
    <w:rsid w:val="00992B7D"/>
    <w:rsid w:val="00992D90"/>
    <w:rsid w:val="00993248"/>
    <w:rsid w:val="009934C2"/>
    <w:rsid w:val="00994220"/>
    <w:rsid w:val="0099465A"/>
    <w:rsid w:val="0099649E"/>
    <w:rsid w:val="00996555"/>
    <w:rsid w:val="00996C16"/>
    <w:rsid w:val="00996F08"/>
    <w:rsid w:val="00997648"/>
    <w:rsid w:val="009976DC"/>
    <w:rsid w:val="009A009D"/>
    <w:rsid w:val="009A0691"/>
    <w:rsid w:val="009A0927"/>
    <w:rsid w:val="009A1E27"/>
    <w:rsid w:val="009A21FB"/>
    <w:rsid w:val="009A3467"/>
    <w:rsid w:val="009A346F"/>
    <w:rsid w:val="009A43C2"/>
    <w:rsid w:val="009A4EA0"/>
    <w:rsid w:val="009A5795"/>
    <w:rsid w:val="009A6B5F"/>
    <w:rsid w:val="009A72B8"/>
    <w:rsid w:val="009A7D95"/>
    <w:rsid w:val="009B0628"/>
    <w:rsid w:val="009B081B"/>
    <w:rsid w:val="009B18C5"/>
    <w:rsid w:val="009B2302"/>
    <w:rsid w:val="009B2591"/>
    <w:rsid w:val="009B2FB6"/>
    <w:rsid w:val="009B33A9"/>
    <w:rsid w:val="009B388D"/>
    <w:rsid w:val="009B3E4E"/>
    <w:rsid w:val="009B4D71"/>
    <w:rsid w:val="009B520F"/>
    <w:rsid w:val="009B705F"/>
    <w:rsid w:val="009B76EE"/>
    <w:rsid w:val="009B7D9D"/>
    <w:rsid w:val="009C0455"/>
    <w:rsid w:val="009C058B"/>
    <w:rsid w:val="009C0A0C"/>
    <w:rsid w:val="009C0D22"/>
    <w:rsid w:val="009C23E6"/>
    <w:rsid w:val="009C245A"/>
    <w:rsid w:val="009C2B88"/>
    <w:rsid w:val="009C2D44"/>
    <w:rsid w:val="009C3B04"/>
    <w:rsid w:val="009C42B5"/>
    <w:rsid w:val="009C55F3"/>
    <w:rsid w:val="009C5E90"/>
    <w:rsid w:val="009C5EA5"/>
    <w:rsid w:val="009C643C"/>
    <w:rsid w:val="009C6516"/>
    <w:rsid w:val="009C66AD"/>
    <w:rsid w:val="009C7380"/>
    <w:rsid w:val="009C7933"/>
    <w:rsid w:val="009C7A76"/>
    <w:rsid w:val="009D043F"/>
    <w:rsid w:val="009D098C"/>
    <w:rsid w:val="009D0DD4"/>
    <w:rsid w:val="009D1869"/>
    <w:rsid w:val="009D1963"/>
    <w:rsid w:val="009D1DBB"/>
    <w:rsid w:val="009D2ADC"/>
    <w:rsid w:val="009D525F"/>
    <w:rsid w:val="009D5A92"/>
    <w:rsid w:val="009D66F6"/>
    <w:rsid w:val="009D710A"/>
    <w:rsid w:val="009E00F5"/>
    <w:rsid w:val="009E063A"/>
    <w:rsid w:val="009E06B9"/>
    <w:rsid w:val="009E08B6"/>
    <w:rsid w:val="009E0AD8"/>
    <w:rsid w:val="009E117E"/>
    <w:rsid w:val="009E16A7"/>
    <w:rsid w:val="009E1730"/>
    <w:rsid w:val="009E1B76"/>
    <w:rsid w:val="009E1C62"/>
    <w:rsid w:val="009E1DE7"/>
    <w:rsid w:val="009E20E7"/>
    <w:rsid w:val="009E218A"/>
    <w:rsid w:val="009E2A33"/>
    <w:rsid w:val="009E2E70"/>
    <w:rsid w:val="009E3673"/>
    <w:rsid w:val="009E46F8"/>
    <w:rsid w:val="009E4C7C"/>
    <w:rsid w:val="009E51B8"/>
    <w:rsid w:val="009E56F9"/>
    <w:rsid w:val="009E7703"/>
    <w:rsid w:val="009F0170"/>
    <w:rsid w:val="009F02BD"/>
    <w:rsid w:val="009F0557"/>
    <w:rsid w:val="009F05EB"/>
    <w:rsid w:val="009F06CD"/>
    <w:rsid w:val="009F06CE"/>
    <w:rsid w:val="009F09EF"/>
    <w:rsid w:val="009F210F"/>
    <w:rsid w:val="009F2357"/>
    <w:rsid w:val="009F31C3"/>
    <w:rsid w:val="009F3F67"/>
    <w:rsid w:val="009F41EA"/>
    <w:rsid w:val="009F4409"/>
    <w:rsid w:val="009F4692"/>
    <w:rsid w:val="009F4D45"/>
    <w:rsid w:val="009F5C16"/>
    <w:rsid w:val="009F61FF"/>
    <w:rsid w:val="009F7082"/>
    <w:rsid w:val="009F736B"/>
    <w:rsid w:val="009F737C"/>
    <w:rsid w:val="00A00794"/>
    <w:rsid w:val="00A00FBC"/>
    <w:rsid w:val="00A0167D"/>
    <w:rsid w:val="00A016C5"/>
    <w:rsid w:val="00A018EC"/>
    <w:rsid w:val="00A01CAE"/>
    <w:rsid w:val="00A0248D"/>
    <w:rsid w:val="00A02A25"/>
    <w:rsid w:val="00A02CC0"/>
    <w:rsid w:val="00A0306B"/>
    <w:rsid w:val="00A035A3"/>
    <w:rsid w:val="00A03984"/>
    <w:rsid w:val="00A03AC1"/>
    <w:rsid w:val="00A043F1"/>
    <w:rsid w:val="00A04F68"/>
    <w:rsid w:val="00A05498"/>
    <w:rsid w:val="00A063D2"/>
    <w:rsid w:val="00A06612"/>
    <w:rsid w:val="00A06622"/>
    <w:rsid w:val="00A06C3B"/>
    <w:rsid w:val="00A071D0"/>
    <w:rsid w:val="00A079F8"/>
    <w:rsid w:val="00A07E64"/>
    <w:rsid w:val="00A106DC"/>
    <w:rsid w:val="00A108CA"/>
    <w:rsid w:val="00A10D35"/>
    <w:rsid w:val="00A1141A"/>
    <w:rsid w:val="00A11DB8"/>
    <w:rsid w:val="00A12011"/>
    <w:rsid w:val="00A125BE"/>
    <w:rsid w:val="00A131A3"/>
    <w:rsid w:val="00A1432F"/>
    <w:rsid w:val="00A15F97"/>
    <w:rsid w:val="00A16E38"/>
    <w:rsid w:val="00A17A71"/>
    <w:rsid w:val="00A2044B"/>
    <w:rsid w:val="00A20B9A"/>
    <w:rsid w:val="00A20CCC"/>
    <w:rsid w:val="00A20ED7"/>
    <w:rsid w:val="00A2111A"/>
    <w:rsid w:val="00A2239B"/>
    <w:rsid w:val="00A22D9D"/>
    <w:rsid w:val="00A22F2D"/>
    <w:rsid w:val="00A236C1"/>
    <w:rsid w:val="00A23ABB"/>
    <w:rsid w:val="00A24E48"/>
    <w:rsid w:val="00A27153"/>
    <w:rsid w:val="00A277E0"/>
    <w:rsid w:val="00A277EB"/>
    <w:rsid w:val="00A27B97"/>
    <w:rsid w:val="00A27C26"/>
    <w:rsid w:val="00A301CC"/>
    <w:rsid w:val="00A304BC"/>
    <w:rsid w:val="00A30CE9"/>
    <w:rsid w:val="00A31CC5"/>
    <w:rsid w:val="00A31F04"/>
    <w:rsid w:val="00A320F4"/>
    <w:rsid w:val="00A32450"/>
    <w:rsid w:val="00A326EA"/>
    <w:rsid w:val="00A330C1"/>
    <w:rsid w:val="00A331AB"/>
    <w:rsid w:val="00A33B74"/>
    <w:rsid w:val="00A34520"/>
    <w:rsid w:val="00A34D97"/>
    <w:rsid w:val="00A352E1"/>
    <w:rsid w:val="00A35A77"/>
    <w:rsid w:val="00A35DC3"/>
    <w:rsid w:val="00A3605E"/>
    <w:rsid w:val="00A361C2"/>
    <w:rsid w:val="00A365C3"/>
    <w:rsid w:val="00A3790A"/>
    <w:rsid w:val="00A37B2D"/>
    <w:rsid w:val="00A37C77"/>
    <w:rsid w:val="00A4041F"/>
    <w:rsid w:val="00A4065A"/>
    <w:rsid w:val="00A4074A"/>
    <w:rsid w:val="00A408C3"/>
    <w:rsid w:val="00A40B38"/>
    <w:rsid w:val="00A4220A"/>
    <w:rsid w:val="00A43101"/>
    <w:rsid w:val="00A439D5"/>
    <w:rsid w:val="00A457E1"/>
    <w:rsid w:val="00A45FB5"/>
    <w:rsid w:val="00A46A18"/>
    <w:rsid w:val="00A46C7C"/>
    <w:rsid w:val="00A474B7"/>
    <w:rsid w:val="00A47810"/>
    <w:rsid w:val="00A504BB"/>
    <w:rsid w:val="00A50718"/>
    <w:rsid w:val="00A50B34"/>
    <w:rsid w:val="00A516C2"/>
    <w:rsid w:val="00A5187D"/>
    <w:rsid w:val="00A518FD"/>
    <w:rsid w:val="00A51A49"/>
    <w:rsid w:val="00A52041"/>
    <w:rsid w:val="00A521F0"/>
    <w:rsid w:val="00A522A8"/>
    <w:rsid w:val="00A5256E"/>
    <w:rsid w:val="00A527CE"/>
    <w:rsid w:val="00A52DD5"/>
    <w:rsid w:val="00A530CD"/>
    <w:rsid w:val="00A53714"/>
    <w:rsid w:val="00A55C02"/>
    <w:rsid w:val="00A56743"/>
    <w:rsid w:val="00A57484"/>
    <w:rsid w:val="00A60045"/>
    <w:rsid w:val="00A60804"/>
    <w:rsid w:val="00A61D0D"/>
    <w:rsid w:val="00A62A8D"/>
    <w:rsid w:val="00A633EE"/>
    <w:rsid w:val="00A64234"/>
    <w:rsid w:val="00A6429C"/>
    <w:rsid w:val="00A654D0"/>
    <w:rsid w:val="00A65785"/>
    <w:rsid w:val="00A65849"/>
    <w:rsid w:val="00A65B04"/>
    <w:rsid w:val="00A65D61"/>
    <w:rsid w:val="00A65FE3"/>
    <w:rsid w:val="00A664FC"/>
    <w:rsid w:val="00A67B76"/>
    <w:rsid w:val="00A7026A"/>
    <w:rsid w:val="00A71374"/>
    <w:rsid w:val="00A71610"/>
    <w:rsid w:val="00A7248D"/>
    <w:rsid w:val="00A72DB0"/>
    <w:rsid w:val="00A73734"/>
    <w:rsid w:val="00A7420B"/>
    <w:rsid w:val="00A74800"/>
    <w:rsid w:val="00A750F5"/>
    <w:rsid w:val="00A75107"/>
    <w:rsid w:val="00A751C6"/>
    <w:rsid w:val="00A75CA4"/>
    <w:rsid w:val="00A75DA6"/>
    <w:rsid w:val="00A75DCB"/>
    <w:rsid w:val="00A75FA5"/>
    <w:rsid w:val="00A76024"/>
    <w:rsid w:val="00A7624A"/>
    <w:rsid w:val="00A76458"/>
    <w:rsid w:val="00A768D5"/>
    <w:rsid w:val="00A76F60"/>
    <w:rsid w:val="00A80088"/>
    <w:rsid w:val="00A80833"/>
    <w:rsid w:val="00A80CD6"/>
    <w:rsid w:val="00A80F28"/>
    <w:rsid w:val="00A818C3"/>
    <w:rsid w:val="00A81E58"/>
    <w:rsid w:val="00A82C27"/>
    <w:rsid w:val="00A840CF"/>
    <w:rsid w:val="00A851CF"/>
    <w:rsid w:val="00A85AF7"/>
    <w:rsid w:val="00A8634D"/>
    <w:rsid w:val="00A86BAF"/>
    <w:rsid w:val="00A874E3"/>
    <w:rsid w:val="00A90600"/>
    <w:rsid w:val="00A90869"/>
    <w:rsid w:val="00A90C3A"/>
    <w:rsid w:val="00A9118F"/>
    <w:rsid w:val="00A91339"/>
    <w:rsid w:val="00A91759"/>
    <w:rsid w:val="00A9192B"/>
    <w:rsid w:val="00A9192D"/>
    <w:rsid w:val="00A92085"/>
    <w:rsid w:val="00A92099"/>
    <w:rsid w:val="00A925E0"/>
    <w:rsid w:val="00A928A9"/>
    <w:rsid w:val="00A92DF2"/>
    <w:rsid w:val="00A93BEC"/>
    <w:rsid w:val="00A94378"/>
    <w:rsid w:val="00A94855"/>
    <w:rsid w:val="00A948D5"/>
    <w:rsid w:val="00A96A79"/>
    <w:rsid w:val="00A96B26"/>
    <w:rsid w:val="00A974A7"/>
    <w:rsid w:val="00A97A15"/>
    <w:rsid w:val="00A97BA2"/>
    <w:rsid w:val="00AA077D"/>
    <w:rsid w:val="00AA2AAC"/>
    <w:rsid w:val="00AA2B9E"/>
    <w:rsid w:val="00AA491E"/>
    <w:rsid w:val="00AA50A1"/>
    <w:rsid w:val="00AA529B"/>
    <w:rsid w:val="00AA5523"/>
    <w:rsid w:val="00AA59C0"/>
    <w:rsid w:val="00AA689E"/>
    <w:rsid w:val="00AA6C9B"/>
    <w:rsid w:val="00AA6D5F"/>
    <w:rsid w:val="00AA6EDD"/>
    <w:rsid w:val="00AA7133"/>
    <w:rsid w:val="00AA7887"/>
    <w:rsid w:val="00AB0247"/>
    <w:rsid w:val="00AB037F"/>
    <w:rsid w:val="00AB0699"/>
    <w:rsid w:val="00AB0ACC"/>
    <w:rsid w:val="00AB1AD4"/>
    <w:rsid w:val="00AB1B50"/>
    <w:rsid w:val="00AB1C08"/>
    <w:rsid w:val="00AB2DB7"/>
    <w:rsid w:val="00AB30DA"/>
    <w:rsid w:val="00AB357B"/>
    <w:rsid w:val="00AB4A06"/>
    <w:rsid w:val="00AB52AB"/>
    <w:rsid w:val="00AB5654"/>
    <w:rsid w:val="00AB6DFA"/>
    <w:rsid w:val="00AB7418"/>
    <w:rsid w:val="00AB7AE7"/>
    <w:rsid w:val="00AB7BFC"/>
    <w:rsid w:val="00AC0FA2"/>
    <w:rsid w:val="00AC117C"/>
    <w:rsid w:val="00AC15AD"/>
    <w:rsid w:val="00AC1631"/>
    <w:rsid w:val="00AC1701"/>
    <w:rsid w:val="00AC3328"/>
    <w:rsid w:val="00AC3594"/>
    <w:rsid w:val="00AC3B4B"/>
    <w:rsid w:val="00AC4705"/>
    <w:rsid w:val="00AC4C82"/>
    <w:rsid w:val="00AC4E26"/>
    <w:rsid w:val="00AC5E1E"/>
    <w:rsid w:val="00AC639F"/>
    <w:rsid w:val="00AC66D8"/>
    <w:rsid w:val="00AC789E"/>
    <w:rsid w:val="00AD04C0"/>
    <w:rsid w:val="00AD089A"/>
    <w:rsid w:val="00AD08C7"/>
    <w:rsid w:val="00AD1150"/>
    <w:rsid w:val="00AD1181"/>
    <w:rsid w:val="00AD1434"/>
    <w:rsid w:val="00AD1A81"/>
    <w:rsid w:val="00AD2659"/>
    <w:rsid w:val="00AD26AB"/>
    <w:rsid w:val="00AD2846"/>
    <w:rsid w:val="00AD3900"/>
    <w:rsid w:val="00AD3C56"/>
    <w:rsid w:val="00AD4F59"/>
    <w:rsid w:val="00AD65B7"/>
    <w:rsid w:val="00AD76E5"/>
    <w:rsid w:val="00AD7DBF"/>
    <w:rsid w:val="00AE228C"/>
    <w:rsid w:val="00AE2A01"/>
    <w:rsid w:val="00AE380F"/>
    <w:rsid w:val="00AE4C20"/>
    <w:rsid w:val="00AE4DC4"/>
    <w:rsid w:val="00AE573B"/>
    <w:rsid w:val="00AE589D"/>
    <w:rsid w:val="00AE5AFB"/>
    <w:rsid w:val="00AE5C15"/>
    <w:rsid w:val="00AE6405"/>
    <w:rsid w:val="00AE6BE9"/>
    <w:rsid w:val="00AE7647"/>
    <w:rsid w:val="00AE7984"/>
    <w:rsid w:val="00AE7C88"/>
    <w:rsid w:val="00AE7EA8"/>
    <w:rsid w:val="00AF003D"/>
    <w:rsid w:val="00AF18E1"/>
    <w:rsid w:val="00AF2282"/>
    <w:rsid w:val="00AF2840"/>
    <w:rsid w:val="00AF296C"/>
    <w:rsid w:val="00AF4C9E"/>
    <w:rsid w:val="00AF5037"/>
    <w:rsid w:val="00AF605C"/>
    <w:rsid w:val="00AF6202"/>
    <w:rsid w:val="00AF6442"/>
    <w:rsid w:val="00AF6856"/>
    <w:rsid w:val="00AF6D7A"/>
    <w:rsid w:val="00AF7B98"/>
    <w:rsid w:val="00B00D2E"/>
    <w:rsid w:val="00B01408"/>
    <w:rsid w:val="00B02BDE"/>
    <w:rsid w:val="00B03128"/>
    <w:rsid w:val="00B033EF"/>
    <w:rsid w:val="00B03A22"/>
    <w:rsid w:val="00B047C4"/>
    <w:rsid w:val="00B05260"/>
    <w:rsid w:val="00B05659"/>
    <w:rsid w:val="00B05802"/>
    <w:rsid w:val="00B05FC6"/>
    <w:rsid w:val="00B0607A"/>
    <w:rsid w:val="00B0621A"/>
    <w:rsid w:val="00B06937"/>
    <w:rsid w:val="00B07DB1"/>
    <w:rsid w:val="00B103A6"/>
    <w:rsid w:val="00B10550"/>
    <w:rsid w:val="00B10763"/>
    <w:rsid w:val="00B10876"/>
    <w:rsid w:val="00B115DA"/>
    <w:rsid w:val="00B11604"/>
    <w:rsid w:val="00B11631"/>
    <w:rsid w:val="00B11C30"/>
    <w:rsid w:val="00B11DE5"/>
    <w:rsid w:val="00B13DC9"/>
    <w:rsid w:val="00B14235"/>
    <w:rsid w:val="00B14402"/>
    <w:rsid w:val="00B1514F"/>
    <w:rsid w:val="00B163F4"/>
    <w:rsid w:val="00B1751C"/>
    <w:rsid w:val="00B175ED"/>
    <w:rsid w:val="00B206A4"/>
    <w:rsid w:val="00B20B56"/>
    <w:rsid w:val="00B21051"/>
    <w:rsid w:val="00B2117B"/>
    <w:rsid w:val="00B211F7"/>
    <w:rsid w:val="00B21437"/>
    <w:rsid w:val="00B2175D"/>
    <w:rsid w:val="00B223A8"/>
    <w:rsid w:val="00B22E5D"/>
    <w:rsid w:val="00B2305E"/>
    <w:rsid w:val="00B2326A"/>
    <w:rsid w:val="00B23325"/>
    <w:rsid w:val="00B24DC4"/>
    <w:rsid w:val="00B260C2"/>
    <w:rsid w:val="00B2626E"/>
    <w:rsid w:val="00B27042"/>
    <w:rsid w:val="00B27316"/>
    <w:rsid w:val="00B27884"/>
    <w:rsid w:val="00B27B24"/>
    <w:rsid w:val="00B27BB1"/>
    <w:rsid w:val="00B30148"/>
    <w:rsid w:val="00B302C4"/>
    <w:rsid w:val="00B306AE"/>
    <w:rsid w:val="00B30847"/>
    <w:rsid w:val="00B31666"/>
    <w:rsid w:val="00B31A95"/>
    <w:rsid w:val="00B32458"/>
    <w:rsid w:val="00B326DB"/>
    <w:rsid w:val="00B34A33"/>
    <w:rsid w:val="00B36882"/>
    <w:rsid w:val="00B379E1"/>
    <w:rsid w:val="00B37B53"/>
    <w:rsid w:val="00B37F3A"/>
    <w:rsid w:val="00B4045F"/>
    <w:rsid w:val="00B40D5D"/>
    <w:rsid w:val="00B40DA2"/>
    <w:rsid w:val="00B4236A"/>
    <w:rsid w:val="00B433A1"/>
    <w:rsid w:val="00B43628"/>
    <w:rsid w:val="00B4390B"/>
    <w:rsid w:val="00B44015"/>
    <w:rsid w:val="00B44428"/>
    <w:rsid w:val="00B4479B"/>
    <w:rsid w:val="00B45105"/>
    <w:rsid w:val="00B45B35"/>
    <w:rsid w:val="00B46462"/>
    <w:rsid w:val="00B46E37"/>
    <w:rsid w:val="00B47BEE"/>
    <w:rsid w:val="00B47F57"/>
    <w:rsid w:val="00B502F0"/>
    <w:rsid w:val="00B508E7"/>
    <w:rsid w:val="00B50D7E"/>
    <w:rsid w:val="00B5121C"/>
    <w:rsid w:val="00B51547"/>
    <w:rsid w:val="00B5182E"/>
    <w:rsid w:val="00B51878"/>
    <w:rsid w:val="00B51BFF"/>
    <w:rsid w:val="00B51F63"/>
    <w:rsid w:val="00B52233"/>
    <w:rsid w:val="00B524B6"/>
    <w:rsid w:val="00B529FD"/>
    <w:rsid w:val="00B52A41"/>
    <w:rsid w:val="00B52DE0"/>
    <w:rsid w:val="00B53671"/>
    <w:rsid w:val="00B536B6"/>
    <w:rsid w:val="00B541BA"/>
    <w:rsid w:val="00B54D34"/>
    <w:rsid w:val="00B54ED4"/>
    <w:rsid w:val="00B5512B"/>
    <w:rsid w:val="00B55B77"/>
    <w:rsid w:val="00B56043"/>
    <w:rsid w:val="00B56CB3"/>
    <w:rsid w:val="00B6003E"/>
    <w:rsid w:val="00B60148"/>
    <w:rsid w:val="00B60823"/>
    <w:rsid w:val="00B60CF2"/>
    <w:rsid w:val="00B60FD6"/>
    <w:rsid w:val="00B61A21"/>
    <w:rsid w:val="00B61FDA"/>
    <w:rsid w:val="00B6399C"/>
    <w:rsid w:val="00B64A90"/>
    <w:rsid w:val="00B64E6E"/>
    <w:rsid w:val="00B64F67"/>
    <w:rsid w:val="00B66714"/>
    <w:rsid w:val="00B66D0F"/>
    <w:rsid w:val="00B673B8"/>
    <w:rsid w:val="00B67899"/>
    <w:rsid w:val="00B67A82"/>
    <w:rsid w:val="00B67B7A"/>
    <w:rsid w:val="00B70774"/>
    <w:rsid w:val="00B70FD3"/>
    <w:rsid w:val="00B7146E"/>
    <w:rsid w:val="00B73955"/>
    <w:rsid w:val="00B73A99"/>
    <w:rsid w:val="00B73BDC"/>
    <w:rsid w:val="00B73E20"/>
    <w:rsid w:val="00B74642"/>
    <w:rsid w:val="00B74A3D"/>
    <w:rsid w:val="00B74A60"/>
    <w:rsid w:val="00B754AF"/>
    <w:rsid w:val="00B75B7D"/>
    <w:rsid w:val="00B802B5"/>
    <w:rsid w:val="00B80500"/>
    <w:rsid w:val="00B8055D"/>
    <w:rsid w:val="00B8152C"/>
    <w:rsid w:val="00B8156A"/>
    <w:rsid w:val="00B82F97"/>
    <w:rsid w:val="00B8425C"/>
    <w:rsid w:val="00B849F3"/>
    <w:rsid w:val="00B84BB4"/>
    <w:rsid w:val="00B856FA"/>
    <w:rsid w:val="00B85CE1"/>
    <w:rsid w:val="00B85D72"/>
    <w:rsid w:val="00B86398"/>
    <w:rsid w:val="00B869F2"/>
    <w:rsid w:val="00B86AC6"/>
    <w:rsid w:val="00B86E40"/>
    <w:rsid w:val="00B874B3"/>
    <w:rsid w:val="00B875B3"/>
    <w:rsid w:val="00B879A2"/>
    <w:rsid w:val="00B9008D"/>
    <w:rsid w:val="00B9039C"/>
    <w:rsid w:val="00B9055E"/>
    <w:rsid w:val="00B906C4"/>
    <w:rsid w:val="00B90714"/>
    <w:rsid w:val="00B90E27"/>
    <w:rsid w:val="00B90EC7"/>
    <w:rsid w:val="00B911C4"/>
    <w:rsid w:val="00B918B2"/>
    <w:rsid w:val="00B918B4"/>
    <w:rsid w:val="00B91BE3"/>
    <w:rsid w:val="00B92E76"/>
    <w:rsid w:val="00B936E2"/>
    <w:rsid w:val="00B94339"/>
    <w:rsid w:val="00B94B3A"/>
    <w:rsid w:val="00B95987"/>
    <w:rsid w:val="00B9649C"/>
    <w:rsid w:val="00B9695D"/>
    <w:rsid w:val="00B96A59"/>
    <w:rsid w:val="00B97BF8"/>
    <w:rsid w:val="00BA01B7"/>
    <w:rsid w:val="00BA0779"/>
    <w:rsid w:val="00BA1B7B"/>
    <w:rsid w:val="00BA30ED"/>
    <w:rsid w:val="00BA3527"/>
    <w:rsid w:val="00BA3839"/>
    <w:rsid w:val="00BA3FFF"/>
    <w:rsid w:val="00BA742E"/>
    <w:rsid w:val="00BB003D"/>
    <w:rsid w:val="00BB33B7"/>
    <w:rsid w:val="00BB44F7"/>
    <w:rsid w:val="00BB5353"/>
    <w:rsid w:val="00BB5873"/>
    <w:rsid w:val="00BB622E"/>
    <w:rsid w:val="00BB647B"/>
    <w:rsid w:val="00BB69FD"/>
    <w:rsid w:val="00BB6B47"/>
    <w:rsid w:val="00BB6E86"/>
    <w:rsid w:val="00BB75BC"/>
    <w:rsid w:val="00BB7CB0"/>
    <w:rsid w:val="00BC0A51"/>
    <w:rsid w:val="00BC0FE3"/>
    <w:rsid w:val="00BC16C0"/>
    <w:rsid w:val="00BC1C08"/>
    <w:rsid w:val="00BC1DBB"/>
    <w:rsid w:val="00BC1ED0"/>
    <w:rsid w:val="00BC1F65"/>
    <w:rsid w:val="00BC1F8D"/>
    <w:rsid w:val="00BC2418"/>
    <w:rsid w:val="00BC29A8"/>
    <w:rsid w:val="00BC324A"/>
    <w:rsid w:val="00BC4068"/>
    <w:rsid w:val="00BC4888"/>
    <w:rsid w:val="00BC49EC"/>
    <w:rsid w:val="00BC5936"/>
    <w:rsid w:val="00BC764B"/>
    <w:rsid w:val="00BC7799"/>
    <w:rsid w:val="00BC7DD3"/>
    <w:rsid w:val="00BD0322"/>
    <w:rsid w:val="00BD0927"/>
    <w:rsid w:val="00BD0942"/>
    <w:rsid w:val="00BD0D2C"/>
    <w:rsid w:val="00BD11DA"/>
    <w:rsid w:val="00BD1648"/>
    <w:rsid w:val="00BD3271"/>
    <w:rsid w:val="00BD3606"/>
    <w:rsid w:val="00BD3CE6"/>
    <w:rsid w:val="00BD49A9"/>
    <w:rsid w:val="00BD52C4"/>
    <w:rsid w:val="00BD736D"/>
    <w:rsid w:val="00BD7861"/>
    <w:rsid w:val="00BD7A3D"/>
    <w:rsid w:val="00BD7EDE"/>
    <w:rsid w:val="00BE0933"/>
    <w:rsid w:val="00BE0E3D"/>
    <w:rsid w:val="00BE1311"/>
    <w:rsid w:val="00BE14E7"/>
    <w:rsid w:val="00BE1D1B"/>
    <w:rsid w:val="00BE20D0"/>
    <w:rsid w:val="00BE2A94"/>
    <w:rsid w:val="00BE2E85"/>
    <w:rsid w:val="00BE3044"/>
    <w:rsid w:val="00BE30A1"/>
    <w:rsid w:val="00BE36F5"/>
    <w:rsid w:val="00BE3ECF"/>
    <w:rsid w:val="00BE43CE"/>
    <w:rsid w:val="00BE4E3E"/>
    <w:rsid w:val="00BE525A"/>
    <w:rsid w:val="00BE552D"/>
    <w:rsid w:val="00BE5B2D"/>
    <w:rsid w:val="00BE5DB3"/>
    <w:rsid w:val="00BE5F1C"/>
    <w:rsid w:val="00BE6099"/>
    <w:rsid w:val="00BE62CE"/>
    <w:rsid w:val="00BE6433"/>
    <w:rsid w:val="00BE6BD9"/>
    <w:rsid w:val="00BE6E35"/>
    <w:rsid w:val="00BE784E"/>
    <w:rsid w:val="00BF1371"/>
    <w:rsid w:val="00BF1513"/>
    <w:rsid w:val="00BF169B"/>
    <w:rsid w:val="00BF1A88"/>
    <w:rsid w:val="00BF1E90"/>
    <w:rsid w:val="00BF2041"/>
    <w:rsid w:val="00BF4230"/>
    <w:rsid w:val="00BF4471"/>
    <w:rsid w:val="00BF4EBF"/>
    <w:rsid w:val="00BF7ABC"/>
    <w:rsid w:val="00C00C77"/>
    <w:rsid w:val="00C00D7D"/>
    <w:rsid w:val="00C02076"/>
    <w:rsid w:val="00C02610"/>
    <w:rsid w:val="00C03476"/>
    <w:rsid w:val="00C04033"/>
    <w:rsid w:val="00C0667E"/>
    <w:rsid w:val="00C06E83"/>
    <w:rsid w:val="00C07028"/>
    <w:rsid w:val="00C076BB"/>
    <w:rsid w:val="00C10073"/>
    <w:rsid w:val="00C116AA"/>
    <w:rsid w:val="00C11715"/>
    <w:rsid w:val="00C12664"/>
    <w:rsid w:val="00C1280F"/>
    <w:rsid w:val="00C13253"/>
    <w:rsid w:val="00C136CF"/>
    <w:rsid w:val="00C13927"/>
    <w:rsid w:val="00C14730"/>
    <w:rsid w:val="00C15565"/>
    <w:rsid w:val="00C158CB"/>
    <w:rsid w:val="00C159A7"/>
    <w:rsid w:val="00C15B9D"/>
    <w:rsid w:val="00C1625A"/>
    <w:rsid w:val="00C16996"/>
    <w:rsid w:val="00C1712C"/>
    <w:rsid w:val="00C1719E"/>
    <w:rsid w:val="00C171B9"/>
    <w:rsid w:val="00C17550"/>
    <w:rsid w:val="00C17F01"/>
    <w:rsid w:val="00C2080C"/>
    <w:rsid w:val="00C20911"/>
    <w:rsid w:val="00C21111"/>
    <w:rsid w:val="00C2151F"/>
    <w:rsid w:val="00C22022"/>
    <w:rsid w:val="00C22031"/>
    <w:rsid w:val="00C23340"/>
    <w:rsid w:val="00C24685"/>
    <w:rsid w:val="00C24F23"/>
    <w:rsid w:val="00C25325"/>
    <w:rsid w:val="00C253AD"/>
    <w:rsid w:val="00C2576E"/>
    <w:rsid w:val="00C259A7"/>
    <w:rsid w:val="00C26B09"/>
    <w:rsid w:val="00C27638"/>
    <w:rsid w:val="00C27B3E"/>
    <w:rsid w:val="00C302F3"/>
    <w:rsid w:val="00C31304"/>
    <w:rsid w:val="00C31485"/>
    <w:rsid w:val="00C31E10"/>
    <w:rsid w:val="00C32716"/>
    <w:rsid w:val="00C328B7"/>
    <w:rsid w:val="00C328C3"/>
    <w:rsid w:val="00C332DE"/>
    <w:rsid w:val="00C33C8D"/>
    <w:rsid w:val="00C34C60"/>
    <w:rsid w:val="00C34CF2"/>
    <w:rsid w:val="00C350BC"/>
    <w:rsid w:val="00C35AA2"/>
    <w:rsid w:val="00C3628F"/>
    <w:rsid w:val="00C36957"/>
    <w:rsid w:val="00C372B4"/>
    <w:rsid w:val="00C372E4"/>
    <w:rsid w:val="00C37918"/>
    <w:rsid w:val="00C37FD6"/>
    <w:rsid w:val="00C404E9"/>
    <w:rsid w:val="00C40F0A"/>
    <w:rsid w:val="00C421D5"/>
    <w:rsid w:val="00C42405"/>
    <w:rsid w:val="00C42DC3"/>
    <w:rsid w:val="00C43054"/>
    <w:rsid w:val="00C434ED"/>
    <w:rsid w:val="00C43511"/>
    <w:rsid w:val="00C43B1E"/>
    <w:rsid w:val="00C44018"/>
    <w:rsid w:val="00C45136"/>
    <w:rsid w:val="00C457F9"/>
    <w:rsid w:val="00C47AF2"/>
    <w:rsid w:val="00C47E00"/>
    <w:rsid w:val="00C47FA7"/>
    <w:rsid w:val="00C50108"/>
    <w:rsid w:val="00C507D6"/>
    <w:rsid w:val="00C50D7F"/>
    <w:rsid w:val="00C514A1"/>
    <w:rsid w:val="00C517E5"/>
    <w:rsid w:val="00C51AF1"/>
    <w:rsid w:val="00C51BB1"/>
    <w:rsid w:val="00C51BCA"/>
    <w:rsid w:val="00C51EB4"/>
    <w:rsid w:val="00C523A2"/>
    <w:rsid w:val="00C52EEA"/>
    <w:rsid w:val="00C53057"/>
    <w:rsid w:val="00C533B8"/>
    <w:rsid w:val="00C5357F"/>
    <w:rsid w:val="00C5491F"/>
    <w:rsid w:val="00C54EF8"/>
    <w:rsid w:val="00C56829"/>
    <w:rsid w:val="00C56DA1"/>
    <w:rsid w:val="00C57226"/>
    <w:rsid w:val="00C57514"/>
    <w:rsid w:val="00C57BE0"/>
    <w:rsid w:val="00C62BE7"/>
    <w:rsid w:val="00C62F93"/>
    <w:rsid w:val="00C6307A"/>
    <w:rsid w:val="00C63B48"/>
    <w:rsid w:val="00C64766"/>
    <w:rsid w:val="00C656CF"/>
    <w:rsid w:val="00C65758"/>
    <w:rsid w:val="00C65996"/>
    <w:rsid w:val="00C6739C"/>
    <w:rsid w:val="00C67F34"/>
    <w:rsid w:val="00C7035A"/>
    <w:rsid w:val="00C71332"/>
    <w:rsid w:val="00C71A3F"/>
    <w:rsid w:val="00C732B1"/>
    <w:rsid w:val="00C73691"/>
    <w:rsid w:val="00C73DD4"/>
    <w:rsid w:val="00C745A3"/>
    <w:rsid w:val="00C74C81"/>
    <w:rsid w:val="00C76F20"/>
    <w:rsid w:val="00C817B9"/>
    <w:rsid w:val="00C82493"/>
    <w:rsid w:val="00C82D5E"/>
    <w:rsid w:val="00C83B83"/>
    <w:rsid w:val="00C84775"/>
    <w:rsid w:val="00C85164"/>
    <w:rsid w:val="00C86180"/>
    <w:rsid w:val="00C861EB"/>
    <w:rsid w:val="00C8653E"/>
    <w:rsid w:val="00C86EFB"/>
    <w:rsid w:val="00C87474"/>
    <w:rsid w:val="00C90230"/>
    <w:rsid w:val="00C90EFD"/>
    <w:rsid w:val="00C90F0C"/>
    <w:rsid w:val="00C910A7"/>
    <w:rsid w:val="00C91307"/>
    <w:rsid w:val="00C925AD"/>
    <w:rsid w:val="00C93245"/>
    <w:rsid w:val="00C93379"/>
    <w:rsid w:val="00C93C5C"/>
    <w:rsid w:val="00C944A6"/>
    <w:rsid w:val="00C945AE"/>
    <w:rsid w:val="00C94718"/>
    <w:rsid w:val="00C97969"/>
    <w:rsid w:val="00C97F08"/>
    <w:rsid w:val="00CA0884"/>
    <w:rsid w:val="00CA1FFF"/>
    <w:rsid w:val="00CA247D"/>
    <w:rsid w:val="00CA2E33"/>
    <w:rsid w:val="00CA3091"/>
    <w:rsid w:val="00CA37EE"/>
    <w:rsid w:val="00CA399C"/>
    <w:rsid w:val="00CA3EF6"/>
    <w:rsid w:val="00CA519E"/>
    <w:rsid w:val="00CA5A5A"/>
    <w:rsid w:val="00CA65D6"/>
    <w:rsid w:val="00CA753A"/>
    <w:rsid w:val="00CA79A0"/>
    <w:rsid w:val="00CB0124"/>
    <w:rsid w:val="00CB020E"/>
    <w:rsid w:val="00CB0672"/>
    <w:rsid w:val="00CB0B30"/>
    <w:rsid w:val="00CB0D6C"/>
    <w:rsid w:val="00CB0E0F"/>
    <w:rsid w:val="00CB29CD"/>
    <w:rsid w:val="00CB2AFB"/>
    <w:rsid w:val="00CB3810"/>
    <w:rsid w:val="00CB3C0A"/>
    <w:rsid w:val="00CB4168"/>
    <w:rsid w:val="00CB4220"/>
    <w:rsid w:val="00CB42C9"/>
    <w:rsid w:val="00CB50AA"/>
    <w:rsid w:val="00CB57D2"/>
    <w:rsid w:val="00CB597B"/>
    <w:rsid w:val="00CB5E42"/>
    <w:rsid w:val="00CB6721"/>
    <w:rsid w:val="00CB70B9"/>
    <w:rsid w:val="00CC0537"/>
    <w:rsid w:val="00CC073C"/>
    <w:rsid w:val="00CC13F0"/>
    <w:rsid w:val="00CC165E"/>
    <w:rsid w:val="00CC167F"/>
    <w:rsid w:val="00CC3104"/>
    <w:rsid w:val="00CC334E"/>
    <w:rsid w:val="00CC4F4E"/>
    <w:rsid w:val="00CC5C57"/>
    <w:rsid w:val="00CC637D"/>
    <w:rsid w:val="00CC6757"/>
    <w:rsid w:val="00CC67D7"/>
    <w:rsid w:val="00CC6B8B"/>
    <w:rsid w:val="00CC78D9"/>
    <w:rsid w:val="00CC7AB0"/>
    <w:rsid w:val="00CC7E57"/>
    <w:rsid w:val="00CD0315"/>
    <w:rsid w:val="00CD032B"/>
    <w:rsid w:val="00CD0638"/>
    <w:rsid w:val="00CD0961"/>
    <w:rsid w:val="00CD0BB9"/>
    <w:rsid w:val="00CD15F2"/>
    <w:rsid w:val="00CD1687"/>
    <w:rsid w:val="00CD16C1"/>
    <w:rsid w:val="00CD1C50"/>
    <w:rsid w:val="00CD1C82"/>
    <w:rsid w:val="00CD1EC1"/>
    <w:rsid w:val="00CD221B"/>
    <w:rsid w:val="00CD2EF1"/>
    <w:rsid w:val="00CD3875"/>
    <w:rsid w:val="00CD3DB5"/>
    <w:rsid w:val="00CD4AC5"/>
    <w:rsid w:val="00CD4EE2"/>
    <w:rsid w:val="00CD4EF8"/>
    <w:rsid w:val="00CD52FD"/>
    <w:rsid w:val="00CD573A"/>
    <w:rsid w:val="00CD5E51"/>
    <w:rsid w:val="00CD5E70"/>
    <w:rsid w:val="00CD6D11"/>
    <w:rsid w:val="00CD7FFB"/>
    <w:rsid w:val="00CE0549"/>
    <w:rsid w:val="00CE18A9"/>
    <w:rsid w:val="00CE1A9C"/>
    <w:rsid w:val="00CE2694"/>
    <w:rsid w:val="00CE30B6"/>
    <w:rsid w:val="00CE37D8"/>
    <w:rsid w:val="00CE3BD4"/>
    <w:rsid w:val="00CE3E91"/>
    <w:rsid w:val="00CE4731"/>
    <w:rsid w:val="00CE548B"/>
    <w:rsid w:val="00CE5C60"/>
    <w:rsid w:val="00CE5F51"/>
    <w:rsid w:val="00CE70C6"/>
    <w:rsid w:val="00CE7462"/>
    <w:rsid w:val="00CE7B53"/>
    <w:rsid w:val="00CE7DB5"/>
    <w:rsid w:val="00CF0226"/>
    <w:rsid w:val="00CF08B5"/>
    <w:rsid w:val="00CF1406"/>
    <w:rsid w:val="00CF28E2"/>
    <w:rsid w:val="00CF2CF4"/>
    <w:rsid w:val="00CF3CC1"/>
    <w:rsid w:val="00CF3E5B"/>
    <w:rsid w:val="00CF4488"/>
    <w:rsid w:val="00CF4793"/>
    <w:rsid w:val="00CF483E"/>
    <w:rsid w:val="00CF5EC6"/>
    <w:rsid w:val="00CF6A2C"/>
    <w:rsid w:val="00CF7909"/>
    <w:rsid w:val="00D00213"/>
    <w:rsid w:val="00D00FF0"/>
    <w:rsid w:val="00D018B6"/>
    <w:rsid w:val="00D01B91"/>
    <w:rsid w:val="00D0351F"/>
    <w:rsid w:val="00D03834"/>
    <w:rsid w:val="00D03C01"/>
    <w:rsid w:val="00D04396"/>
    <w:rsid w:val="00D04FA5"/>
    <w:rsid w:val="00D0545D"/>
    <w:rsid w:val="00D06104"/>
    <w:rsid w:val="00D063B4"/>
    <w:rsid w:val="00D06D88"/>
    <w:rsid w:val="00D07A67"/>
    <w:rsid w:val="00D12232"/>
    <w:rsid w:val="00D12FBC"/>
    <w:rsid w:val="00D13DF4"/>
    <w:rsid w:val="00D14416"/>
    <w:rsid w:val="00D15798"/>
    <w:rsid w:val="00D1599D"/>
    <w:rsid w:val="00D165A5"/>
    <w:rsid w:val="00D169DD"/>
    <w:rsid w:val="00D1769A"/>
    <w:rsid w:val="00D17D03"/>
    <w:rsid w:val="00D20159"/>
    <w:rsid w:val="00D2045A"/>
    <w:rsid w:val="00D211CC"/>
    <w:rsid w:val="00D21C32"/>
    <w:rsid w:val="00D2355A"/>
    <w:rsid w:val="00D240FF"/>
    <w:rsid w:val="00D24CAA"/>
    <w:rsid w:val="00D24EFD"/>
    <w:rsid w:val="00D252CE"/>
    <w:rsid w:val="00D25656"/>
    <w:rsid w:val="00D263C8"/>
    <w:rsid w:val="00D272CB"/>
    <w:rsid w:val="00D2756C"/>
    <w:rsid w:val="00D276DC"/>
    <w:rsid w:val="00D3001B"/>
    <w:rsid w:val="00D30449"/>
    <w:rsid w:val="00D30E72"/>
    <w:rsid w:val="00D3186A"/>
    <w:rsid w:val="00D31E7F"/>
    <w:rsid w:val="00D324D9"/>
    <w:rsid w:val="00D32877"/>
    <w:rsid w:val="00D33447"/>
    <w:rsid w:val="00D33A06"/>
    <w:rsid w:val="00D33EE5"/>
    <w:rsid w:val="00D34C5D"/>
    <w:rsid w:val="00D361B4"/>
    <w:rsid w:val="00D3638F"/>
    <w:rsid w:val="00D36958"/>
    <w:rsid w:val="00D37BE5"/>
    <w:rsid w:val="00D401D3"/>
    <w:rsid w:val="00D4056E"/>
    <w:rsid w:val="00D41506"/>
    <w:rsid w:val="00D41C1C"/>
    <w:rsid w:val="00D41CEA"/>
    <w:rsid w:val="00D41FC5"/>
    <w:rsid w:val="00D421BD"/>
    <w:rsid w:val="00D42EC4"/>
    <w:rsid w:val="00D43081"/>
    <w:rsid w:val="00D432CB"/>
    <w:rsid w:val="00D433A9"/>
    <w:rsid w:val="00D43A7B"/>
    <w:rsid w:val="00D446BF"/>
    <w:rsid w:val="00D4508E"/>
    <w:rsid w:val="00D4570B"/>
    <w:rsid w:val="00D45F5C"/>
    <w:rsid w:val="00D461BA"/>
    <w:rsid w:val="00D4646B"/>
    <w:rsid w:val="00D46E68"/>
    <w:rsid w:val="00D47902"/>
    <w:rsid w:val="00D5024E"/>
    <w:rsid w:val="00D5026E"/>
    <w:rsid w:val="00D5070B"/>
    <w:rsid w:val="00D510FC"/>
    <w:rsid w:val="00D5169B"/>
    <w:rsid w:val="00D518BA"/>
    <w:rsid w:val="00D51ADD"/>
    <w:rsid w:val="00D52C54"/>
    <w:rsid w:val="00D538D2"/>
    <w:rsid w:val="00D53942"/>
    <w:rsid w:val="00D564C5"/>
    <w:rsid w:val="00D56F7D"/>
    <w:rsid w:val="00D57572"/>
    <w:rsid w:val="00D57E4C"/>
    <w:rsid w:val="00D602A3"/>
    <w:rsid w:val="00D61156"/>
    <w:rsid w:val="00D612CA"/>
    <w:rsid w:val="00D61C73"/>
    <w:rsid w:val="00D63DEA"/>
    <w:rsid w:val="00D64592"/>
    <w:rsid w:val="00D64681"/>
    <w:rsid w:val="00D65292"/>
    <w:rsid w:val="00D658C1"/>
    <w:rsid w:val="00D65B09"/>
    <w:rsid w:val="00D65FA7"/>
    <w:rsid w:val="00D665C1"/>
    <w:rsid w:val="00D679D3"/>
    <w:rsid w:val="00D67F50"/>
    <w:rsid w:val="00D70144"/>
    <w:rsid w:val="00D705DD"/>
    <w:rsid w:val="00D71A3F"/>
    <w:rsid w:val="00D71F68"/>
    <w:rsid w:val="00D7298E"/>
    <w:rsid w:val="00D73FB1"/>
    <w:rsid w:val="00D7505E"/>
    <w:rsid w:val="00D758F1"/>
    <w:rsid w:val="00D75A5A"/>
    <w:rsid w:val="00D760AE"/>
    <w:rsid w:val="00D76252"/>
    <w:rsid w:val="00D76771"/>
    <w:rsid w:val="00D767FC"/>
    <w:rsid w:val="00D76D26"/>
    <w:rsid w:val="00D7732D"/>
    <w:rsid w:val="00D778E5"/>
    <w:rsid w:val="00D77C71"/>
    <w:rsid w:val="00D80304"/>
    <w:rsid w:val="00D809D2"/>
    <w:rsid w:val="00D80F61"/>
    <w:rsid w:val="00D810DC"/>
    <w:rsid w:val="00D81445"/>
    <w:rsid w:val="00D81448"/>
    <w:rsid w:val="00D84D30"/>
    <w:rsid w:val="00D859DA"/>
    <w:rsid w:val="00D85E20"/>
    <w:rsid w:val="00D861A6"/>
    <w:rsid w:val="00D86B53"/>
    <w:rsid w:val="00D8760F"/>
    <w:rsid w:val="00D90748"/>
    <w:rsid w:val="00D90AAE"/>
    <w:rsid w:val="00D92C51"/>
    <w:rsid w:val="00D932C6"/>
    <w:rsid w:val="00D93899"/>
    <w:rsid w:val="00D93B6D"/>
    <w:rsid w:val="00D93EAF"/>
    <w:rsid w:val="00D94FD0"/>
    <w:rsid w:val="00D95520"/>
    <w:rsid w:val="00D976A1"/>
    <w:rsid w:val="00D97934"/>
    <w:rsid w:val="00D97E32"/>
    <w:rsid w:val="00DA038B"/>
    <w:rsid w:val="00DA110D"/>
    <w:rsid w:val="00DA1A7D"/>
    <w:rsid w:val="00DA1BF2"/>
    <w:rsid w:val="00DA2F75"/>
    <w:rsid w:val="00DA338B"/>
    <w:rsid w:val="00DA48C4"/>
    <w:rsid w:val="00DA57D5"/>
    <w:rsid w:val="00DA5963"/>
    <w:rsid w:val="00DA5BE5"/>
    <w:rsid w:val="00DA5F25"/>
    <w:rsid w:val="00DA72DA"/>
    <w:rsid w:val="00DA74C2"/>
    <w:rsid w:val="00DA7F66"/>
    <w:rsid w:val="00DB0439"/>
    <w:rsid w:val="00DB21A0"/>
    <w:rsid w:val="00DB4BD4"/>
    <w:rsid w:val="00DB4CD5"/>
    <w:rsid w:val="00DB4D08"/>
    <w:rsid w:val="00DB4E19"/>
    <w:rsid w:val="00DB502A"/>
    <w:rsid w:val="00DB59F7"/>
    <w:rsid w:val="00DB5EFE"/>
    <w:rsid w:val="00DB6C30"/>
    <w:rsid w:val="00DC1833"/>
    <w:rsid w:val="00DC1858"/>
    <w:rsid w:val="00DC1A99"/>
    <w:rsid w:val="00DC25A9"/>
    <w:rsid w:val="00DC2B3C"/>
    <w:rsid w:val="00DC2E6F"/>
    <w:rsid w:val="00DC3166"/>
    <w:rsid w:val="00DC3674"/>
    <w:rsid w:val="00DC3AE3"/>
    <w:rsid w:val="00DC3F1D"/>
    <w:rsid w:val="00DC49DB"/>
    <w:rsid w:val="00DC612B"/>
    <w:rsid w:val="00DC61CE"/>
    <w:rsid w:val="00DC62E0"/>
    <w:rsid w:val="00DC6A42"/>
    <w:rsid w:val="00DC7192"/>
    <w:rsid w:val="00DC7CA7"/>
    <w:rsid w:val="00DD11B5"/>
    <w:rsid w:val="00DD181B"/>
    <w:rsid w:val="00DD1EC9"/>
    <w:rsid w:val="00DD221F"/>
    <w:rsid w:val="00DD24A8"/>
    <w:rsid w:val="00DD2F32"/>
    <w:rsid w:val="00DD3830"/>
    <w:rsid w:val="00DD3A28"/>
    <w:rsid w:val="00DD3ADD"/>
    <w:rsid w:val="00DD3E60"/>
    <w:rsid w:val="00DD42E0"/>
    <w:rsid w:val="00DD57F8"/>
    <w:rsid w:val="00DD605A"/>
    <w:rsid w:val="00DD6621"/>
    <w:rsid w:val="00DD7F2D"/>
    <w:rsid w:val="00DE0B1D"/>
    <w:rsid w:val="00DE1321"/>
    <w:rsid w:val="00DE1469"/>
    <w:rsid w:val="00DE240E"/>
    <w:rsid w:val="00DE24BC"/>
    <w:rsid w:val="00DE26A9"/>
    <w:rsid w:val="00DE27F3"/>
    <w:rsid w:val="00DE2D1C"/>
    <w:rsid w:val="00DE2D9E"/>
    <w:rsid w:val="00DE3069"/>
    <w:rsid w:val="00DE3400"/>
    <w:rsid w:val="00DE34FC"/>
    <w:rsid w:val="00DE38EE"/>
    <w:rsid w:val="00DE68B9"/>
    <w:rsid w:val="00DE6BF8"/>
    <w:rsid w:val="00DE6D5F"/>
    <w:rsid w:val="00DF0536"/>
    <w:rsid w:val="00DF1143"/>
    <w:rsid w:val="00DF259C"/>
    <w:rsid w:val="00DF37E7"/>
    <w:rsid w:val="00DF3D7C"/>
    <w:rsid w:val="00DF43E2"/>
    <w:rsid w:val="00DF522D"/>
    <w:rsid w:val="00DF57F7"/>
    <w:rsid w:val="00DF6313"/>
    <w:rsid w:val="00DF659B"/>
    <w:rsid w:val="00DF684E"/>
    <w:rsid w:val="00DF68E0"/>
    <w:rsid w:val="00DF6DAF"/>
    <w:rsid w:val="00DF723C"/>
    <w:rsid w:val="00E0056A"/>
    <w:rsid w:val="00E0092F"/>
    <w:rsid w:val="00E0192E"/>
    <w:rsid w:val="00E02D20"/>
    <w:rsid w:val="00E0306B"/>
    <w:rsid w:val="00E03222"/>
    <w:rsid w:val="00E0354B"/>
    <w:rsid w:val="00E035A0"/>
    <w:rsid w:val="00E04602"/>
    <w:rsid w:val="00E04872"/>
    <w:rsid w:val="00E04C64"/>
    <w:rsid w:val="00E05664"/>
    <w:rsid w:val="00E06748"/>
    <w:rsid w:val="00E069B8"/>
    <w:rsid w:val="00E071B8"/>
    <w:rsid w:val="00E07296"/>
    <w:rsid w:val="00E105C8"/>
    <w:rsid w:val="00E10E49"/>
    <w:rsid w:val="00E11ED5"/>
    <w:rsid w:val="00E12207"/>
    <w:rsid w:val="00E12260"/>
    <w:rsid w:val="00E12817"/>
    <w:rsid w:val="00E145DC"/>
    <w:rsid w:val="00E146CC"/>
    <w:rsid w:val="00E14D81"/>
    <w:rsid w:val="00E15378"/>
    <w:rsid w:val="00E1670C"/>
    <w:rsid w:val="00E16798"/>
    <w:rsid w:val="00E17BB7"/>
    <w:rsid w:val="00E208B7"/>
    <w:rsid w:val="00E21A1F"/>
    <w:rsid w:val="00E21CD4"/>
    <w:rsid w:val="00E21DDA"/>
    <w:rsid w:val="00E22414"/>
    <w:rsid w:val="00E240DA"/>
    <w:rsid w:val="00E2429F"/>
    <w:rsid w:val="00E24CF6"/>
    <w:rsid w:val="00E24F29"/>
    <w:rsid w:val="00E25ABA"/>
    <w:rsid w:val="00E2671A"/>
    <w:rsid w:val="00E270D2"/>
    <w:rsid w:val="00E27286"/>
    <w:rsid w:val="00E272D8"/>
    <w:rsid w:val="00E274F5"/>
    <w:rsid w:val="00E27CB0"/>
    <w:rsid w:val="00E3080E"/>
    <w:rsid w:val="00E30EA8"/>
    <w:rsid w:val="00E312DA"/>
    <w:rsid w:val="00E31475"/>
    <w:rsid w:val="00E31927"/>
    <w:rsid w:val="00E32681"/>
    <w:rsid w:val="00E32722"/>
    <w:rsid w:val="00E33C47"/>
    <w:rsid w:val="00E33E28"/>
    <w:rsid w:val="00E34564"/>
    <w:rsid w:val="00E3457F"/>
    <w:rsid w:val="00E34DD8"/>
    <w:rsid w:val="00E35C2E"/>
    <w:rsid w:val="00E361C6"/>
    <w:rsid w:val="00E366A8"/>
    <w:rsid w:val="00E36FA3"/>
    <w:rsid w:val="00E400C0"/>
    <w:rsid w:val="00E40C1C"/>
    <w:rsid w:val="00E4133C"/>
    <w:rsid w:val="00E41532"/>
    <w:rsid w:val="00E41739"/>
    <w:rsid w:val="00E41FE3"/>
    <w:rsid w:val="00E42610"/>
    <w:rsid w:val="00E43838"/>
    <w:rsid w:val="00E43ACA"/>
    <w:rsid w:val="00E44CB0"/>
    <w:rsid w:val="00E454AC"/>
    <w:rsid w:val="00E45B73"/>
    <w:rsid w:val="00E45FD7"/>
    <w:rsid w:val="00E46BBA"/>
    <w:rsid w:val="00E4743A"/>
    <w:rsid w:val="00E47991"/>
    <w:rsid w:val="00E50215"/>
    <w:rsid w:val="00E50E39"/>
    <w:rsid w:val="00E51430"/>
    <w:rsid w:val="00E52150"/>
    <w:rsid w:val="00E5395B"/>
    <w:rsid w:val="00E56993"/>
    <w:rsid w:val="00E569E9"/>
    <w:rsid w:val="00E573DA"/>
    <w:rsid w:val="00E57BE5"/>
    <w:rsid w:val="00E6153C"/>
    <w:rsid w:val="00E61BDC"/>
    <w:rsid w:val="00E62314"/>
    <w:rsid w:val="00E62B61"/>
    <w:rsid w:val="00E62EA9"/>
    <w:rsid w:val="00E639EB"/>
    <w:rsid w:val="00E64798"/>
    <w:rsid w:val="00E647EA"/>
    <w:rsid w:val="00E648FE"/>
    <w:rsid w:val="00E64F7E"/>
    <w:rsid w:val="00E650D7"/>
    <w:rsid w:val="00E657B7"/>
    <w:rsid w:val="00E66019"/>
    <w:rsid w:val="00E668D7"/>
    <w:rsid w:val="00E6710C"/>
    <w:rsid w:val="00E7006B"/>
    <w:rsid w:val="00E703A6"/>
    <w:rsid w:val="00E708BD"/>
    <w:rsid w:val="00E70D2F"/>
    <w:rsid w:val="00E72A04"/>
    <w:rsid w:val="00E73036"/>
    <w:rsid w:val="00E73814"/>
    <w:rsid w:val="00E749FC"/>
    <w:rsid w:val="00E74B83"/>
    <w:rsid w:val="00E74DE5"/>
    <w:rsid w:val="00E74E8B"/>
    <w:rsid w:val="00E756F4"/>
    <w:rsid w:val="00E763FB"/>
    <w:rsid w:val="00E76429"/>
    <w:rsid w:val="00E76874"/>
    <w:rsid w:val="00E76FF3"/>
    <w:rsid w:val="00E77085"/>
    <w:rsid w:val="00E772EC"/>
    <w:rsid w:val="00E77466"/>
    <w:rsid w:val="00E80E13"/>
    <w:rsid w:val="00E81075"/>
    <w:rsid w:val="00E81722"/>
    <w:rsid w:val="00E817B9"/>
    <w:rsid w:val="00E81A96"/>
    <w:rsid w:val="00E827A2"/>
    <w:rsid w:val="00E82CB1"/>
    <w:rsid w:val="00E832A6"/>
    <w:rsid w:val="00E8339E"/>
    <w:rsid w:val="00E8355B"/>
    <w:rsid w:val="00E83EA1"/>
    <w:rsid w:val="00E844F5"/>
    <w:rsid w:val="00E848D8"/>
    <w:rsid w:val="00E84AB2"/>
    <w:rsid w:val="00E85109"/>
    <w:rsid w:val="00E854B9"/>
    <w:rsid w:val="00E871F2"/>
    <w:rsid w:val="00E900DE"/>
    <w:rsid w:val="00E90D3F"/>
    <w:rsid w:val="00E90F29"/>
    <w:rsid w:val="00E910B2"/>
    <w:rsid w:val="00E926F6"/>
    <w:rsid w:val="00E93C15"/>
    <w:rsid w:val="00E93D2B"/>
    <w:rsid w:val="00E943B8"/>
    <w:rsid w:val="00E9485D"/>
    <w:rsid w:val="00E94AAB"/>
    <w:rsid w:val="00E94EBB"/>
    <w:rsid w:val="00E95F56"/>
    <w:rsid w:val="00E96B31"/>
    <w:rsid w:val="00E976F1"/>
    <w:rsid w:val="00E97C42"/>
    <w:rsid w:val="00EA068F"/>
    <w:rsid w:val="00EA083B"/>
    <w:rsid w:val="00EA1AB8"/>
    <w:rsid w:val="00EA1E64"/>
    <w:rsid w:val="00EA226A"/>
    <w:rsid w:val="00EA3178"/>
    <w:rsid w:val="00EA374D"/>
    <w:rsid w:val="00EA401D"/>
    <w:rsid w:val="00EA40E7"/>
    <w:rsid w:val="00EA443E"/>
    <w:rsid w:val="00EA5219"/>
    <w:rsid w:val="00EA542C"/>
    <w:rsid w:val="00EA566A"/>
    <w:rsid w:val="00EA572B"/>
    <w:rsid w:val="00EA5D31"/>
    <w:rsid w:val="00EA5DCC"/>
    <w:rsid w:val="00EA79BF"/>
    <w:rsid w:val="00EA7E93"/>
    <w:rsid w:val="00EB01E2"/>
    <w:rsid w:val="00EB0409"/>
    <w:rsid w:val="00EB0450"/>
    <w:rsid w:val="00EB0CD8"/>
    <w:rsid w:val="00EB1836"/>
    <w:rsid w:val="00EB1E50"/>
    <w:rsid w:val="00EB2520"/>
    <w:rsid w:val="00EB28CB"/>
    <w:rsid w:val="00EB290E"/>
    <w:rsid w:val="00EB534A"/>
    <w:rsid w:val="00EB578C"/>
    <w:rsid w:val="00EB5B32"/>
    <w:rsid w:val="00EB5C99"/>
    <w:rsid w:val="00EB5E08"/>
    <w:rsid w:val="00EB5FA1"/>
    <w:rsid w:val="00EB659E"/>
    <w:rsid w:val="00EB6910"/>
    <w:rsid w:val="00EB70D9"/>
    <w:rsid w:val="00EB71DA"/>
    <w:rsid w:val="00EB7DB2"/>
    <w:rsid w:val="00EC03AC"/>
    <w:rsid w:val="00EC1186"/>
    <w:rsid w:val="00EC1A54"/>
    <w:rsid w:val="00EC2A72"/>
    <w:rsid w:val="00EC366A"/>
    <w:rsid w:val="00EC45FF"/>
    <w:rsid w:val="00EC510D"/>
    <w:rsid w:val="00EC5205"/>
    <w:rsid w:val="00EC566C"/>
    <w:rsid w:val="00EC6684"/>
    <w:rsid w:val="00EC6928"/>
    <w:rsid w:val="00EC6FB6"/>
    <w:rsid w:val="00EC7467"/>
    <w:rsid w:val="00ED0E05"/>
    <w:rsid w:val="00ED1B90"/>
    <w:rsid w:val="00ED2509"/>
    <w:rsid w:val="00ED2875"/>
    <w:rsid w:val="00ED2C6D"/>
    <w:rsid w:val="00ED3A4C"/>
    <w:rsid w:val="00ED40EE"/>
    <w:rsid w:val="00ED421D"/>
    <w:rsid w:val="00ED5F02"/>
    <w:rsid w:val="00ED6C3F"/>
    <w:rsid w:val="00ED6E9F"/>
    <w:rsid w:val="00ED6EE2"/>
    <w:rsid w:val="00ED71CD"/>
    <w:rsid w:val="00ED7441"/>
    <w:rsid w:val="00ED7537"/>
    <w:rsid w:val="00ED76F0"/>
    <w:rsid w:val="00ED7EEB"/>
    <w:rsid w:val="00EE0A7D"/>
    <w:rsid w:val="00EE1123"/>
    <w:rsid w:val="00EE1E33"/>
    <w:rsid w:val="00EE262B"/>
    <w:rsid w:val="00EE33BE"/>
    <w:rsid w:val="00EE3D1B"/>
    <w:rsid w:val="00EE504B"/>
    <w:rsid w:val="00EE6233"/>
    <w:rsid w:val="00EE7680"/>
    <w:rsid w:val="00EF0381"/>
    <w:rsid w:val="00EF083C"/>
    <w:rsid w:val="00EF0ACF"/>
    <w:rsid w:val="00EF131D"/>
    <w:rsid w:val="00EF1A08"/>
    <w:rsid w:val="00EF2086"/>
    <w:rsid w:val="00EF215A"/>
    <w:rsid w:val="00EF30B6"/>
    <w:rsid w:val="00EF3639"/>
    <w:rsid w:val="00EF370B"/>
    <w:rsid w:val="00EF3C88"/>
    <w:rsid w:val="00EF4425"/>
    <w:rsid w:val="00EF4877"/>
    <w:rsid w:val="00EF5CCA"/>
    <w:rsid w:val="00EF5F09"/>
    <w:rsid w:val="00EF602C"/>
    <w:rsid w:val="00EF61D7"/>
    <w:rsid w:val="00EF70F2"/>
    <w:rsid w:val="00EF79B8"/>
    <w:rsid w:val="00F02C7F"/>
    <w:rsid w:val="00F032A7"/>
    <w:rsid w:val="00F0446A"/>
    <w:rsid w:val="00F0489E"/>
    <w:rsid w:val="00F0561F"/>
    <w:rsid w:val="00F06141"/>
    <w:rsid w:val="00F06658"/>
    <w:rsid w:val="00F06845"/>
    <w:rsid w:val="00F06C49"/>
    <w:rsid w:val="00F074B7"/>
    <w:rsid w:val="00F07EC8"/>
    <w:rsid w:val="00F1024A"/>
    <w:rsid w:val="00F10D71"/>
    <w:rsid w:val="00F11C3C"/>
    <w:rsid w:val="00F11DB6"/>
    <w:rsid w:val="00F13501"/>
    <w:rsid w:val="00F13548"/>
    <w:rsid w:val="00F13880"/>
    <w:rsid w:val="00F13E2E"/>
    <w:rsid w:val="00F14313"/>
    <w:rsid w:val="00F147C8"/>
    <w:rsid w:val="00F16629"/>
    <w:rsid w:val="00F170F8"/>
    <w:rsid w:val="00F17863"/>
    <w:rsid w:val="00F200E1"/>
    <w:rsid w:val="00F20CD1"/>
    <w:rsid w:val="00F217CF"/>
    <w:rsid w:val="00F224A9"/>
    <w:rsid w:val="00F22D3C"/>
    <w:rsid w:val="00F230A1"/>
    <w:rsid w:val="00F23B5E"/>
    <w:rsid w:val="00F23D1E"/>
    <w:rsid w:val="00F24377"/>
    <w:rsid w:val="00F24405"/>
    <w:rsid w:val="00F24569"/>
    <w:rsid w:val="00F247BB"/>
    <w:rsid w:val="00F254AA"/>
    <w:rsid w:val="00F255FE"/>
    <w:rsid w:val="00F26C0A"/>
    <w:rsid w:val="00F26CF0"/>
    <w:rsid w:val="00F302CD"/>
    <w:rsid w:val="00F303DF"/>
    <w:rsid w:val="00F3102C"/>
    <w:rsid w:val="00F319D1"/>
    <w:rsid w:val="00F32036"/>
    <w:rsid w:val="00F3230E"/>
    <w:rsid w:val="00F32574"/>
    <w:rsid w:val="00F33327"/>
    <w:rsid w:val="00F33E56"/>
    <w:rsid w:val="00F3462E"/>
    <w:rsid w:val="00F34EF4"/>
    <w:rsid w:val="00F3686C"/>
    <w:rsid w:val="00F36A0E"/>
    <w:rsid w:val="00F36A29"/>
    <w:rsid w:val="00F371E9"/>
    <w:rsid w:val="00F37822"/>
    <w:rsid w:val="00F37834"/>
    <w:rsid w:val="00F37A6D"/>
    <w:rsid w:val="00F4029A"/>
    <w:rsid w:val="00F40346"/>
    <w:rsid w:val="00F4052B"/>
    <w:rsid w:val="00F406C0"/>
    <w:rsid w:val="00F4086C"/>
    <w:rsid w:val="00F408B2"/>
    <w:rsid w:val="00F4179C"/>
    <w:rsid w:val="00F43441"/>
    <w:rsid w:val="00F43C7B"/>
    <w:rsid w:val="00F43F0F"/>
    <w:rsid w:val="00F44AE8"/>
    <w:rsid w:val="00F44EDD"/>
    <w:rsid w:val="00F452C3"/>
    <w:rsid w:val="00F454BE"/>
    <w:rsid w:val="00F459CC"/>
    <w:rsid w:val="00F4657D"/>
    <w:rsid w:val="00F46818"/>
    <w:rsid w:val="00F46A83"/>
    <w:rsid w:val="00F47985"/>
    <w:rsid w:val="00F506BA"/>
    <w:rsid w:val="00F50850"/>
    <w:rsid w:val="00F50DC7"/>
    <w:rsid w:val="00F50F3D"/>
    <w:rsid w:val="00F50F76"/>
    <w:rsid w:val="00F512F7"/>
    <w:rsid w:val="00F516C4"/>
    <w:rsid w:val="00F51853"/>
    <w:rsid w:val="00F51E86"/>
    <w:rsid w:val="00F520DF"/>
    <w:rsid w:val="00F53916"/>
    <w:rsid w:val="00F53F1A"/>
    <w:rsid w:val="00F56044"/>
    <w:rsid w:val="00F57D7E"/>
    <w:rsid w:val="00F61E89"/>
    <w:rsid w:val="00F62DBD"/>
    <w:rsid w:val="00F6315B"/>
    <w:rsid w:val="00F64CF7"/>
    <w:rsid w:val="00F65647"/>
    <w:rsid w:val="00F6584C"/>
    <w:rsid w:val="00F65F3C"/>
    <w:rsid w:val="00F66372"/>
    <w:rsid w:val="00F66D87"/>
    <w:rsid w:val="00F67581"/>
    <w:rsid w:val="00F70362"/>
    <w:rsid w:val="00F70718"/>
    <w:rsid w:val="00F71074"/>
    <w:rsid w:val="00F7155B"/>
    <w:rsid w:val="00F72CDC"/>
    <w:rsid w:val="00F7339F"/>
    <w:rsid w:val="00F74788"/>
    <w:rsid w:val="00F748BC"/>
    <w:rsid w:val="00F76437"/>
    <w:rsid w:val="00F77E25"/>
    <w:rsid w:val="00F77ED2"/>
    <w:rsid w:val="00F80283"/>
    <w:rsid w:val="00F81F6D"/>
    <w:rsid w:val="00F82AAB"/>
    <w:rsid w:val="00F83A0B"/>
    <w:rsid w:val="00F83DE9"/>
    <w:rsid w:val="00F846B7"/>
    <w:rsid w:val="00F84857"/>
    <w:rsid w:val="00F84E06"/>
    <w:rsid w:val="00F850FF"/>
    <w:rsid w:val="00F8597F"/>
    <w:rsid w:val="00F8660F"/>
    <w:rsid w:val="00F86CF2"/>
    <w:rsid w:val="00F8775E"/>
    <w:rsid w:val="00F9048A"/>
    <w:rsid w:val="00F90A20"/>
    <w:rsid w:val="00F90C8E"/>
    <w:rsid w:val="00F91899"/>
    <w:rsid w:val="00F91ACD"/>
    <w:rsid w:val="00F92D62"/>
    <w:rsid w:val="00F92FA1"/>
    <w:rsid w:val="00F939D2"/>
    <w:rsid w:val="00F94A38"/>
    <w:rsid w:val="00F94C09"/>
    <w:rsid w:val="00F951BF"/>
    <w:rsid w:val="00F95A04"/>
    <w:rsid w:val="00F963BF"/>
    <w:rsid w:val="00F971EB"/>
    <w:rsid w:val="00F976A5"/>
    <w:rsid w:val="00FA007B"/>
    <w:rsid w:val="00FA04BD"/>
    <w:rsid w:val="00FA22C8"/>
    <w:rsid w:val="00FA2390"/>
    <w:rsid w:val="00FA296F"/>
    <w:rsid w:val="00FA31BC"/>
    <w:rsid w:val="00FA4085"/>
    <w:rsid w:val="00FA4160"/>
    <w:rsid w:val="00FA4B04"/>
    <w:rsid w:val="00FA4E85"/>
    <w:rsid w:val="00FA5434"/>
    <w:rsid w:val="00FA59B3"/>
    <w:rsid w:val="00FA5E5E"/>
    <w:rsid w:val="00FA672C"/>
    <w:rsid w:val="00FA7F7A"/>
    <w:rsid w:val="00FB046B"/>
    <w:rsid w:val="00FB057B"/>
    <w:rsid w:val="00FB0591"/>
    <w:rsid w:val="00FB05CF"/>
    <w:rsid w:val="00FB09A6"/>
    <w:rsid w:val="00FB1810"/>
    <w:rsid w:val="00FB2B3F"/>
    <w:rsid w:val="00FB31F5"/>
    <w:rsid w:val="00FB3EE0"/>
    <w:rsid w:val="00FB464C"/>
    <w:rsid w:val="00FB4B60"/>
    <w:rsid w:val="00FB4BF3"/>
    <w:rsid w:val="00FB51D4"/>
    <w:rsid w:val="00FB53EA"/>
    <w:rsid w:val="00FB5676"/>
    <w:rsid w:val="00FB5E22"/>
    <w:rsid w:val="00FB671B"/>
    <w:rsid w:val="00FB6EEE"/>
    <w:rsid w:val="00FB7101"/>
    <w:rsid w:val="00FB74EF"/>
    <w:rsid w:val="00FB7D20"/>
    <w:rsid w:val="00FB7E05"/>
    <w:rsid w:val="00FC0356"/>
    <w:rsid w:val="00FC0A00"/>
    <w:rsid w:val="00FC0DCD"/>
    <w:rsid w:val="00FC16A1"/>
    <w:rsid w:val="00FC1EFA"/>
    <w:rsid w:val="00FC24B0"/>
    <w:rsid w:val="00FC2978"/>
    <w:rsid w:val="00FC2AA3"/>
    <w:rsid w:val="00FC3BCB"/>
    <w:rsid w:val="00FC477B"/>
    <w:rsid w:val="00FC478F"/>
    <w:rsid w:val="00FC49FD"/>
    <w:rsid w:val="00FC4AB6"/>
    <w:rsid w:val="00FC5024"/>
    <w:rsid w:val="00FC57C9"/>
    <w:rsid w:val="00FC5A74"/>
    <w:rsid w:val="00FC61C6"/>
    <w:rsid w:val="00FC6325"/>
    <w:rsid w:val="00FC71B0"/>
    <w:rsid w:val="00FD01F7"/>
    <w:rsid w:val="00FD07D3"/>
    <w:rsid w:val="00FD0AEE"/>
    <w:rsid w:val="00FD0EA4"/>
    <w:rsid w:val="00FD10FF"/>
    <w:rsid w:val="00FD25AC"/>
    <w:rsid w:val="00FD2858"/>
    <w:rsid w:val="00FD2C88"/>
    <w:rsid w:val="00FD3368"/>
    <w:rsid w:val="00FD34FC"/>
    <w:rsid w:val="00FD3815"/>
    <w:rsid w:val="00FD3A2E"/>
    <w:rsid w:val="00FD4056"/>
    <w:rsid w:val="00FD47EA"/>
    <w:rsid w:val="00FD4CD0"/>
    <w:rsid w:val="00FD5C68"/>
    <w:rsid w:val="00FD5E69"/>
    <w:rsid w:val="00FD6677"/>
    <w:rsid w:val="00FD6EA8"/>
    <w:rsid w:val="00FD6F70"/>
    <w:rsid w:val="00FE034C"/>
    <w:rsid w:val="00FE05B6"/>
    <w:rsid w:val="00FE0D73"/>
    <w:rsid w:val="00FE1025"/>
    <w:rsid w:val="00FE1E39"/>
    <w:rsid w:val="00FE1EE6"/>
    <w:rsid w:val="00FE430F"/>
    <w:rsid w:val="00FE4B74"/>
    <w:rsid w:val="00FE6171"/>
    <w:rsid w:val="00FE66A2"/>
    <w:rsid w:val="00FE6744"/>
    <w:rsid w:val="00FE6B6C"/>
    <w:rsid w:val="00FE76E9"/>
    <w:rsid w:val="00FE7B48"/>
    <w:rsid w:val="00FE7C73"/>
    <w:rsid w:val="00FE7CBC"/>
    <w:rsid w:val="00FF093C"/>
    <w:rsid w:val="00FF29A7"/>
    <w:rsid w:val="00FF2BC9"/>
    <w:rsid w:val="00FF2CBD"/>
    <w:rsid w:val="00FF2F3A"/>
    <w:rsid w:val="00FF3EC8"/>
    <w:rsid w:val="00FF425D"/>
    <w:rsid w:val="00FF4376"/>
    <w:rsid w:val="00FF6DBF"/>
    <w:rsid w:val="00FF70B4"/>
    <w:rsid w:val="10933604"/>
  </w:rsids>
  <m:mathPr>
    <m:mathFont m:val="Cambria Math"/>
    <m:brkBin m:val="before"/>
    <m:brkBinSub m:val="--"/>
    <m:smallFrac m:val="0"/>
    <m:dispDef/>
    <m:lMargin m:val="0"/>
    <m:rMargin m:val="0"/>
    <m:defJc m:val="centerGroup"/>
    <m:wrapIndent m:val="1440"/>
    <m:intLim m:val="subSup"/>
    <m:naryLim m:val="undOvr"/>
  </m:mathPr>
  <w:themeFontLang w:val="fr-FR"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FEEF11B"/>
  <w15:docId w15:val="{B114E0A1-32D0-4D89-8AC5-1D8683F827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EastAsia" w:hAnsi="Times New Roman" w:cs="Times New Roman"/>
        <w:lang w:val="fr-FR" w:eastAsia="zh-CN" w:bidi="ar-SA"/>
      </w:rPr>
    </w:rPrDefault>
    <w:pPrDefault/>
  </w:docDefaults>
  <w:latentStyles w:defLockedState="0" w:defUIPriority="0" w:defSemiHidden="0" w:defUnhideWhenUsed="0" w:defQFormat="0" w:count="371">
    <w:lsdException w:name="Normal" w:qFormat="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99" w:unhideWhenUsed="1"/>
    <w:lsdException w:name="toc 2" w:semiHidden="1" w:uiPriority="99" w:unhideWhenUsed="1"/>
    <w:lsdException w:name="toc 3" w:semiHidden="1" w:uiPriority="99" w:unhideWhenUsed="1"/>
    <w:lsdException w:name="toc 4" w:semiHidden="1" w:uiPriority="99" w:unhideWhenUsed="1"/>
    <w:lsdException w:name="toc 5" w:semiHidden="1" w:unhideWhenUsed="1"/>
    <w:lsdException w:name="toc 6" w:semiHidden="1" w:uiPriority="99" w:unhideWhenUsed="1"/>
    <w:lsdException w:name="toc 7" w:semiHidden="1" w:unhideWhenUsed="1"/>
    <w:lsdException w:name="toc 8" w:semiHidden="1" w:unhideWhenUsed="1"/>
    <w:lsdException w:name="toc 9" w:semiHidden="1" w:uiPriority="99" w:unhideWhenUsed="1"/>
    <w:lsdException w:name="Normal Indent" w:semiHidden="1" w:uiPriority="54" w:unhideWhenUsed="1"/>
    <w:lsdException w:name="footnote text" w:semiHidden="1" w:uiPriority="99"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iPriority="29" w:unhideWhenUsed="1"/>
    <w:lsdException w:name="caption" w:semiHidden="1" w:uiPriority="99" w:unhideWhenUsed="1" w:qFormat="1"/>
    <w:lsdException w:name="table of figures" w:semiHidden="1" w:uiPriority="29" w:unhideWhenUsed="1"/>
    <w:lsdException w:name="envelope address" w:semiHidden="1" w:uiPriority="99" w:unhideWhenUsed="1"/>
    <w:lsdException w:name="envelope return" w:semiHidden="1" w:uiPriority="99"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iPriority="99" w:unhideWhenUsed="1"/>
    <w:lsdException w:name="endnote reference" w:semiHidden="1" w:uiPriority="99" w:unhideWhenUsed="1"/>
    <w:lsdException w:name="endnote text" w:semiHidden="1" w:uiPriority="99" w:unhideWhenUsed="1"/>
    <w:lsdException w:name="table of authorities" w:uiPriority="29"/>
    <w:lsdException w:name="macro" w:semiHidden="1" w:unhideWhenUsed="1"/>
    <w:lsdException w:name="toa heading" w:semiHidden="1" w:uiPriority="29"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4" w:qFormat="1"/>
    <w:lsdException w:name="Closing" w:semiHidden="1" w:uiPriority="11" w:unhideWhenUsed="1"/>
    <w:lsdException w:name="Signature" w:semiHidden="1" w:uiPriority="11" w:unhideWhenUsed="1"/>
    <w:lsdException w:name="Default Paragraph Font" w:semiHidden="1" w:uiPriority="1" w:unhideWhenUsed="1"/>
    <w:lsdException w:name="Body Text" w:semiHidden="1" w:uiPriority="2" w:unhideWhenUsed="1" w:qFormat="1"/>
    <w:lsdException w:name="Body Text Indent" w:semiHidden="1" w:uiPriority="24" w:unhideWhenUsed="1"/>
    <w:lsdException w:name="List Continue" w:semiHidden="1" w:unhideWhenUsed="1"/>
    <w:lsdException w:name="Message Header" w:semiHidden="1" w:unhideWhenUsed="1"/>
    <w:lsdException w:name="Subtitle" w:uiPriority="4" w:qFormat="1"/>
    <w:lsdException w:name="Salutation" w:semiHidden="1" w:uiPriority="11" w:unhideWhenUsed="1"/>
    <w:lsdException w:name="Date" w:semiHidden="1" w:unhideWhenUsed="1"/>
    <w:lsdException w:name="Body Text First Indent" w:semiHidden="1" w:uiPriority="24" w:unhideWhenUsed="1"/>
    <w:lsdException w:name="Body Text First Indent 2" w:semiHidden="1" w:uiPriority="24" w:unhideWhenUsed="1"/>
    <w:lsdException w:name="Note Heading" w:semiHidden="1" w:uiPriority="99" w:unhideWhenUsed="1"/>
    <w:lsdException w:name="Body Text 2" w:semiHidden="1" w:uiPriority="24" w:unhideWhenUsed="1"/>
    <w:lsdException w:name="Body Text 3" w:semiHidden="1" w:uiPriority="24" w:unhideWhenUsed="1"/>
    <w:lsdException w:name="Body Text Indent 2" w:semiHidden="1" w:uiPriority="24" w:unhideWhenUsed="1"/>
    <w:lsdException w:name="Body Text Indent 3" w:semiHidden="1" w:uiPriority="24" w:unhideWhenUsed="1"/>
    <w:lsdException w:name="Block Text" w:semiHidden="1" w:uiPriority="3" w:unhideWhenUsed="1" w:qFormat="1"/>
    <w:lsdException w:name="Hyperlink" w:semiHidden="1" w:uiPriority="99" w:unhideWhenUsed="1"/>
    <w:lsdException w:name="FollowedHyperlink" w:semiHidden="1" w:unhideWhenUsed="1"/>
    <w:lsdException w:name="Strong" w:qFormat="1"/>
    <w:lsdException w:name="Emphasis" w:uiPriority="44"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44"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99"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2F3"/>
    <w:rPr>
      <w:rFonts w:ascii="Calibri" w:eastAsia="Times New Roman" w:hAnsi="Calibri"/>
      <w:sz w:val="22"/>
      <w:szCs w:val="22"/>
      <w:lang w:val="en-US" w:eastAsia="en-US"/>
    </w:rPr>
  </w:style>
  <w:style w:type="paragraph" w:styleId="Heading1">
    <w:name w:val="heading 1"/>
    <w:basedOn w:val="Normal"/>
    <w:next w:val="BodyText"/>
    <w:link w:val="Heading1Char"/>
    <w:rsid w:val="008D37B0"/>
    <w:pPr>
      <w:keepNext/>
      <w:numPr>
        <w:numId w:val="3"/>
      </w:numPr>
      <w:spacing w:before="240" w:after="240"/>
      <w:outlineLvl w:val="0"/>
    </w:pPr>
    <w:rPr>
      <w:rFonts w:ascii="Times New Roman" w:eastAsiaTheme="minorEastAsia" w:hAnsi="Times New Roman"/>
      <w:b/>
      <w:sz w:val="24"/>
      <w:szCs w:val="20"/>
    </w:rPr>
  </w:style>
  <w:style w:type="paragraph" w:styleId="Heading2">
    <w:name w:val="heading 2"/>
    <w:basedOn w:val="Normal"/>
    <w:next w:val="BodyText"/>
    <w:link w:val="Heading2Char"/>
    <w:rsid w:val="008D37B0"/>
    <w:pPr>
      <w:numPr>
        <w:ilvl w:val="1"/>
        <w:numId w:val="3"/>
      </w:numPr>
      <w:spacing w:before="240" w:after="240"/>
      <w:outlineLvl w:val="1"/>
    </w:pPr>
    <w:rPr>
      <w:rFonts w:ascii="Times New Roman"/>
      <w:sz w:val="24"/>
      <w:szCs w:val="20"/>
    </w:rPr>
  </w:style>
  <w:style w:type="paragraph" w:styleId="Heading3">
    <w:name w:val="heading 3"/>
    <w:basedOn w:val="Normal"/>
    <w:next w:val="BodyText"/>
    <w:link w:val="Heading3Char"/>
    <w:rsid w:val="008D37B0"/>
    <w:pPr>
      <w:numPr>
        <w:ilvl w:val="2"/>
        <w:numId w:val="3"/>
      </w:numPr>
      <w:spacing w:before="240" w:after="240"/>
      <w:outlineLvl w:val="2"/>
    </w:pPr>
    <w:rPr>
      <w:rFonts w:ascii="Times New Roman"/>
      <w:sz w:val="24"/>
      <w:szCs w:val="20"/>
    </w:rPr>
  </w:style>
  <w:style w:type="paragraph" w:styleId="Heading4">
    <w:name w:val="heading 4"/>
    <w:basedOn w:val="Normal"/>
    <w:next w:val="BodyText"/>
    <w:link w:val="Heading4Char"/>
    <w:rsid w:val="008D37B0"/>
    <w:pPr>
      <w:numPr>
        <w:ilvl w:val="3"/>
        <w:numId w:val="3"/>
      </w:numPr>
      <w:spacing w:before="240" w:after="240"/>
      <w:outlineLvl w:val="3"/>
    </w:pPr>
    <w:rPr>
      <w:rFonts w:ascii="Times New Roman"/>
      <w:sz w:val="24"/>
      <w:szCs w:val="20"/>
    </w:rPr>
  </w:style>
  <w:style w:type="paragraph" w:styleId="Heading5">
    <w:name w:val="heading 5"/>
    <w:basedOn w:val="Normal"/>
    <w:next w:val="BodyText"/>
    <w:link w:val="Heading5Char"/>
    <w:rsid w:val="008D37B0"/>
    <w:pPr>
      <w:numPr>
        <w:ilvl w:val="4"/>
        <w:numId w:val="3"/>
      </w:numPr>
      <w:spacing w:before="240" w:after="240"/>
      <w:outlineLvl w:val="4"/>
    </w:pPr>
    <w:rPr>
      <w:rFonts w:ascii="Times New Roman"/>
      <w:sz w:val="24"/>
      <w:szCs w:val="20"/>
    </w:rPr>
  </w:style>
  <w:style w:type="paragraph" w:styleId="Heading6">
    <w:name w:val="heading 6"/>
    <w:basedOn w:val="Normal"/>
    <w:next w:val="BodyText"/>
    <w:link w:val="Heading6Char"/>
    <w:rsid w:val="008D37B0"/>
    <w:pPr>
      <w:numPr>
        <w:ilvl w:val="5"/>
        <w:numId w:val="3"/>
      </w:numPr>
      <w:spacing w:before="240" w:after="240"/>
      <w:outlineLvl w:val="5"/>
    </w:pPr>
    <w:rPr>
      <w:rFonts w:ascii="Times New Roman"/>
      <w:sz w:val="24"/>
      <w:szCs w:val="20"/>
    </w:rPr>
  </w:style>
  <w:style w:type="paragraph" w:styleId="Heading7">
    <w:name w:val="heading 7"/>
    <w:basedOn w:val="Normal"/>
    <w:next w:val="BodyText"/>
    <w:link w:val="Heading7Char"/>
    <w:rsid w:val="008D37B0"/>
    <w:pPr>
      <w:numPr>
        <w:ilvl w:val="6"/>
        <w:numId w:val="3"/>
      </w:numPr>
      <w:spacing w:before="240" w:after="240"/>
      <w:outlineLvl w:val="6"/>
    </w:pPr>
    <w:rPr>
      <w:rFonts w:ascii="Times New Roman"/>
      <w:sz w:val="24"/>
      <w:szCs w:val="20"/>
    </w:rPr>
  </w:style>
  <w:style w:type="paragraph" w:styleId="Heading8">
    <w:name w:val="heading 8"/>
    <w:basedOn w:val="Normal"/>
    <w:next w:val="BodyText"/>
    <w:link w:val="Heading8Char"/>
    <w:rsid w:val="008D37B0"/>
    <w:pPr>
      <w:numPr>
        <w:ilvl w:val="7"/>
        <w:numId w:val="3"/>
      </w:numPr>
      <w:spacing w:before="240" w:after="240"/>
      <w:outlineLvl w:val="7"/>
    </w:pPr>
    <w:rPr>
      <w:rFonts w:ascii="Times New Roman"/>
      <w:sz w:val="24"/>
      <w:szCs w:val="20"/>
    </w:rPr>
  </w:style>
  <w:style w:type="paragraph" w:styleId="Heading9">
    <w:name w:val="heading 9"/>
    <w:basedOn w:val="Normal"/>
    <w:next w:val="BodyText"/>
    <w:link w:val="Heading9Char"/>
    <w:rsid w:val="008D37B0"/>
    <w:pPr>
      <w:numPr>
        <w:ilvl w:val="8"/>
        <w:numId w:val="3"/>
      </w:numPr>
      <w:spacing w:before="240" w:after="240"/>
      <w:outlineLvl w:val="8"/>
    </w:pPr>
    <w:rPr>
      <w:rFonts w:ascii="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lockText">
    <w:name w:val="Block Text"/>
    <w:basedOn w:val="Normal"/>
    <w:next w:val="BodyText"/>
    <w:uiPriority w:val="3"/>
    <w:qFormat/>
    <w:rsid w:val="008D37B0"/>
    <w:pPr>
      <w:spacing w:before="240"/>
      <w:ind w:left="1440" w:right="1440"/>
    </w:pPr>
    <w:rPr>
      <w:szCs w:val="20"/>
    </w:rPr>
  </w:style>
  <w:style w:type="paragraph" w:styleId="BodyText">
    <w:name w:val="Body Text"/>
    <w:basedOn w:val="Normal"/>
    <w:link w:val="BodyTextChar"/>
    <w:uiPriority w:val="2"/>
    <w:qFormat/>
    <w:rsid w:val="008D37B0"/>
    <w:pPr>
      <w:spacing w:before="240"/>
      <w:ind w:firstLine="720"/>
    </w:pPr>
    <w:rPr>
      <w:szCs w:val="20"/>
    </w:rPr>
  </w:style>
  <w:style w:type="character" w:customStyle="1" w:styleId="BodyTextChar">
    <w:name w:val="Body Text Char"/>
    <w:link w:val="BodyText"/>
    <w:uiPriority w:val="2"/>
    <w:rsid w:val="008D37B0"/>
    <w:rPr>
      <w:sz w:val="24"/>
      <w:lang w:val="en-US" w:eastAsia="en-US"/>
    </w:rPr>
  </w:style>
  <w:style w:type="paragraph" w:styleId="BodyText2">
    <w:name w:val="Body Text 2"/>
    <w:basedOn w:val="Normal"/>
    <w:link w:val="BodyText2Char"/>
    <w:uiPriority w:val="24"/>
    <w:rsid w:val="008D37B0"/>
    <w:pPr>
      <w:spacing w:line="480" w:lineRule="auto"/>
      <w:ind w:firstLine="720"/>
    </w:pPr>
    <w:rPr>
      <w:szCs w:val="20"/>
    </w:rPr>
  </w:style>
  <w:style w:type="character" w:customStyle="1" w:styleId="BodyText2Char">
    <w:name w:val="Body Text 2 Char"/>
    <w:link w:val="BodyText2"/>
    <w:uiPriority w:val="24"/>
    <w:rsid w:val="008D37B0"/>
    <w:rPr>
      <w:sz w:val="24"/>
      <w:lang w:val="en-US" w:eastAsia="en-US"/>
    </w:rPr>
  </w:style>
  <w:style w:type="paragraph" w:styleId="BodyText3">
    <w:name w:val="Body Text 3"/>
    <w:basedOn w:val="Normal"/>
    <w:link w:val="BodyText3Char"/>
    <w:uiPriority w:val="24"/>
    <w:rsid w:val="008D37B0"/>
    <w:pPr>
      <w:spacing w:before="240"/>
    </w:pPr>
    <w:rPr>
      <w:szCs w:val="16"/>
    </w:rPr>
  </w:style>
  <w:style w:type="character" w:customStyle="1" w:styleId="BodyText3Char">
    <w:name w:val="Body Text 3 Char"/>
    <w:link w:val="BodyText3"/>
    <w:uiPriority w:val="24"/>
    <w:rsid w:val="008D37B0"/>
    <w:rPr>
      <w:sz w:val="24"/>
      <w:szCs w:val="16"/>
      <w:lang w:val="en-US" w:eastAsia="en-US"/>
    </w:rPr>
  </w:style>
  <w:style w:type="paragraph" w:styleId="BodyTextFirstIndent">
    <w:name w:val="Body Text First Indent"/>
    <w:basedOn w:val="BodyText"/>
    <w:link w:val="BodyTextFirstIndentChar"/>
    <w:uiPriority w:val="24"/>
    <w:rsid w:val="008D37B0"/>
    <w:pPr>
      <w:ind w:left="720"/>
    </w:pPr>
  </w:style>
  <w:style w:type="character" w:customStyle="1" w:styleId="BodyTextFirstIndentChar">
    <w:name w:val="Body Text First Indent Char"/>
    <w:link w:val="BodyTextFirstIndent"/>
    <w:uiPriority w:val="24"/>
    <w:rsid w:val="008D37B0"/>
    <w:rPr>
      <w:sz w:val="24"/>
      <w:lang w:val="en-US" w:eastAsia="en-US"/>
    </w:rPr>
  </w:style>
  <w:style w:type="paragraph" w:styleId="BodyTextIndent">
    <w:name w:val="Body Text Indent"/>
    <w:basedOn w:val="Normal"/>
    <w:link w:val="BodyTextIndentChar"/>
    <w:uiPriority w:val="24"/>
    <w:rsid w:val="008D37B0"/>
    <w:pPr>
      <w:spacing w:before="240"/>
      <w:ind w:left="720"/>
    </w:pPr>
    <w:rPr>
      <w:szCs w:val="20"/>
    </w:rPr>
  </w:style>
  <w:style w:type="character" w:customStyle="1" w:styleId="BodyTextIndentChar">
    <w:name w:val="Body Text Indent Char"/>
    <w:link w:val="BodyTextIndent"/>
    <w:uiPriority w:val="24"/>
    <w:rsid w:val="008D37B0"/>
    <w:rPr>
      <w:sz w:val="24"/>
      <w:lang w:val="en-US" w:eastAsia="en-US"/>
    </w:rPr>
  </w:style>
  <w:style w:type="paragraph" w:styleId="BodyTextFirstIndent2">
    <w:name w:val="Body Text First Indent 2"/>
    <w:basedOn w:val="BodyText"/>
    <w:link w:val="BodyTextFirstIndent2Char"/>
    <w:uiPriority w:val="24"/>
    <w:rsid w:val="008D37B0"/>
    <w:pPr>
      <w:spacing w:line="480" w:lineRule="auto"/>
      <w:ind w:left="720"/>
    </w:pPr>
  </w:style>
  <w:style w:type="character" w:customStyle="1" w:styleId="BodyTextFirstIndent2Char">
    <w:name w:val="Body Text First Indent 2 Char"/>
    <w:link w:val="BodyTextFirstIndent2"/>
    <w:uiPriority w:val="24"/>
    <w:rsid w:val="008D37B0"/>
    <w:rPr>
      <w:sz w:val="24"/>
      <w:lang w:val="en-US" w:eastAsia="en-US"/>
    </w:rPr>
  </w:style>
  <w:style w:type="paragraph" w:styleId="BodyTextIndent2">
    <w:name w:val="Body Text Indent 2"/>
    <w:basedOn w:val="Normal"/>
    <w:link w:val="BodyTextIndent2Char"/>
    <w:uiPriority w:val="24"/>
    <w:rsid w:val="008D37B0"/>
    <w:pPr>
      <w:spacing w:line="480" w:lineRule="auto"/>
      <w:ind w:left="720"/>
    </w:pPr>
    <w:rPr>
      <w:szCs w:val="20"/>
    </w:rPr>
  </w:style>
  <w:style w:type="character" w:customStyle="1" w:styleId="BodyTextIndent2Char">
    <w:name w:val="Body Text Indent 2 Char"/>
    <w:link w:val="BodyTextIndent2"/>
    <w:uiPriority w:val="24"/>
    <w:rsid w:val="008D37B0"/>
    <w:rPr>
      <w:sz w:val="24"/>
      <w:lang w:val="en-US" w:eastAsia="en-US"/>
    </w:rPr>
  </w:style>
  <w:style w:type="paragraph" w:styleId="BodyTextIndent3">
    <w:name w:val="Body Text Indent 3"/>
    <w:basedOn w:val="Normal"/>
    <w:link w:val="BodyTextIndent3Char"/>
    <w:uiPriority w:val="24"/>
    <w:rsid w:val="008D37B0"/>
    <w:pPr>
      <w:ind w:left="720"/>
    </w:pPr>
    <w:rPr>
      <w:szCs w:val="16"/>
    </w:rPr>
  </w:style>
  <w:style w:type="character" w:customStyle="1" w:styleId="BodyTextIndent3Char">
    <w:name w:val="Body Text Indent 3 Char"/>
    <w:link w:val="BodyTextIndent3"/>
    <w:uiPriority w:val="24"/>
    <w:rsid w:val="008D37B0"/>
    <w:rPr>
      <w:sz w:val="24"/>
      <w:szCs w:val="16"/>
      <w:lang w:val="en-US" w:eastAsia="en-US"/>
    </w:rPr>
  </w:style>
  <w:style w:type="character" w:styleId="BookTitle">
    <w:name w:val="Book Title"/>
    <w:uiPriority w:val="99"/>
    <w:qFormat/>
    <w:rsid w:val="008D37B0"/>
    <w:rPr>
      <w:b/>
      <w:bCs/>
      <w:smallCaps/>
      <w:spacing w:val="5"/>
    </w:rPr>
  </w:style>
  <w:style w:type="paragraph" w:styleId="Caption">
    <w:name w:val="caption"/>
    <w:basedOn w:val="Normal"/>
    <w:next w:val="Normal"/>
    <w:uiPriority w:val="99"/>
    <w:qFormat/>
    <w:rsid w:val="008D37B0"/>
    <w:pPr>
      <w:keepNext/>
    </w:pPr>
    <w:rPr>
      <w:b/>
      <w:bCs/>
      <w:sz w:val="20"/>
      <w:szCs w:val="20"/>
    </w:rPr>
  </w:style>
  <w:style w:type="paragraph" w:customStyle="1" w:styleId="Center">
    <w:name w:val="Center"/>
    <w:basedOn w:val="Normal"/>
    <w:link w:val="CenterChar"/>
    <w:uiPriority w:val="4"/>
    <w:qFormat/>
    <w:rsid w:val="008D37B0"/>
    <w:pPr>
      <w:spacing w:before="240"/>
      <w:jc w:val="center"/>
    </w:pPr>
    <w:rPr>
      <w:szCs w:val="20"/>
    </w:rPr>
  </w:style>
  <w:style w:type="character" w:customStyle="1" w:styleId="CenterChar">
    <w:name w:val="Center Char"/>
    <w:link w:val="Center"/>
    <w:uiPriority w:val="4"/>
    <w:rsid w:val="008D37B0"/>
    <w:rPr>
      <w:sz w:val="24"/>
      <w:lang w:val="en-US" w:eastAsia="en-US"/>
    </w:rPr>
  </w:style>
  <w:style w:type="paragraph" w:styleId="Closing">
    <w:name w:val="Closing"/>
    <w:basedOn w:val="Normal"/>
    <w:link w:val="ClosingChar"/>
    <w:uiPriority w:val="11"/>
    <w:rsid w:val="008D37B0"/>
    <w:pPr>
      <w:keepLines/>
      <w:tabs>
        <w:tab w:val="left" w:pos="4752"/>
        <w:tab w:val="right" w:pos="8640"/>
      </w:tabs>
      <w:spacing w:before="480" w:after="480"/>
      <w:ind w:left="4320"/>
    </w:pPr>
    <w:rPr>
      <w:szCs w:val="20"/>
    </w:rPr>
  </w:style>
  <w:style w:type="character" w:customStyle="1" w:styleId="ClosingChar">
    <w:name w:val="Closing Char"/>
    <w:link w:val="Closing"/>
    <w:uiPriority w:val="11"/>
    <w:rsid w:val="008D37B0"/>
    <w:rPr>
      <w:sz w:val="24"/>
      <w:lang w:val="en-US" w:eastAsia="en-US"/>
    </w:rPr>
  </w:style>
  <w:style w:type="paragraph" w:customStyle="1" w:styleId="DPComment">
    <w:name w:val="DP Comment"/>
    <w:basedOn w:val="BodyText"/>
    <w:next w:val="BodyText"/>
    <w:uiPriority w:val="44"/>
    <w:rsid w:val="008D37B0"/>
    <w:rPr>
      <w:vanish/>
      <w:color w:val="FF0000"/>
    </w:rPr>
  </w:style>
  <w:style w:type="character" w:styleId="Emphasis">
    <w:name w:val="Emphasis"/>
    <w:uiPriority w:val="44"/>
    <w:rsid w:val="008D37B0"/>
    <w:rPr>
      <w:i/>
      <w:iCs/>
    </w:rPr>
  </w:style>
  <w:style w:type="paragraph" w:styleId="EndnoteText">
    <w:name w:val="endnote text"/>
    <w:basedOn w:val="Normal"/>
    <w:link w:val="EndnoteTextChar"/>
    <w:uiPriority w:val="99"/>
    <w:rsid w:val="009A0691"/>
    <w:pPr>
      <w:spacing w:after="120"/>
    </w:pPr>
    <w:rPr>
      <w:rFonts w:ascii="Times New Roman" w:hAnsi="Times New Roman"/>
      <w:sz w:val="24"/>
      <w:szCs w:val="20"/>
    </w:rPr>
  </w:style>
  <w:style w:type="character" w:customStyle="1" w:styleId="EndnoteTextChar">
    <w:name w:val="Endnote Text Char"/>
    <w:link w:val="EndnoteText"/>
    <w:uiPriority w:val="99"/>
    <w:rsid w:val="009A0691"/>
    <w:rPr>
      <w:rFonts w:eastAsia="Times New Roman"/>
      <w:sz w:val="24"/>
      <w:lang w:val="en-US" w:eastAsia="en-US"/>
    </w:rPr>
  </w:style>
  <w:style w:type="paragraph" w:styleId="EnvelopeAddress">
    <w:name w:val="envelope address"/>
    <w:basedOn w:val="Normal"/>
    <w:uiPriority w:val="99"/>
    <w:rsid w:val="008D37B0"/>
    <w:pPr>
      <w:framePr w:w="7920" w:h="1980" w:hRule="exact" w:hSpace="180" w:wrap="auto" w:hAnchor="page" w:xAlign="center" w:yAlign="bottom"/>
      <w:ind w:left="2880"/>
    </w:pPr>
    <w:rPr>
      <w:rFonts w:cs="Arial"/>
    </w:rPr>
  </w:style>
  <w:style w:type="paragraph" w:styleId="EnvelopeReturn">
    <w:name w:val="envelope return"/>
    <w:basedOn w:val="Normal"/>
    <w:uiPriority w:val="99"/>
    <w:rsid w:val="008D37B0"/>
    <w:rPr>
      <w:rFonts w:cs="Arial"/>
      <w:sz w:val="20"/>
      <w:szCs w:val="20"/>
    </w:rPr>
  </w:style>
  <w:style w:type="paragraph" w:customStyle="1" w:styleId="FlushRight">
    <w:name w:val="Flush Right"/>
    <w:basedOn w:val="Normal"/>
    <w:uiPriority w:val="11"/>
    <w:rsid w:val="008D37B0"/>
    <w:pPr>
      <w:spacing w:before="240"/>
      <w:jc w:val="right"/>
    </w:pPr>
    <w:rPr>
      <w:szCs w:val="20"/>
    </w:rPr>
  </w:style>
  <w:style w:type="paragraph" w:styleId="Footer">
    <w:name w:val="footer"/>
    <w:basedOn w:val="Normal"/>
    <w:link w:val="FooterChar"/>
    <w:uiPriority w:val="99"/>
    <w:rsid w:val="008D37B0"/>
    <w:pPr>
      <w:tabs>
        <w:tab w:val="center" w:pos="4320"/>
        <w:tab w:val="right" w:pos="8640"/>
      </w:tabs>
    </w:pPr>
    <w:rPr>
      <w:szCs w:val="20"/>
    </w:rPr>
  </w:style>
  <w:style w:type="character" w:customStyle="1" w:styleId="FooterChar">
    <w:name w:val="Footer Char"/>
    <w:link w:val="Footer"/>
    <w:uiPriority w:val="99"/>
    <w:rsid w:val="008D37B0"/>
    <w:rPr>
      <w:sz w:val="24"/>
      <w:lang w:val="en-US" w:eastAsia="en-US"/>
    </w:rPr>
  </w:style>
  <w:style w:type="character" w:styleId="FootnoteReference">
    <w:name w:val="footnote reference"/>
    <w:aliases w:val="Ref,de nota al pie,Char1,Nota,(NECG) Footnote Reference,Footnote symbol,Footnote number,Style 6,Footnote Reference1,Footnote,-E Fußnotenzeichen,(Diplomarbeit FZ),(Diplomarbeit FZ)1,(Diplomarbeit FZ)2,(Diplomarbeit FZ)3,11,11 p,11 pt"/>
    <w:uiPriority w:val="99"/>
    <w:qFormat/>
    <w:rsid w:val="008D37B0"/>
    <w:rPr>
      <w:vertAlign w:val="superscript"/>
    </w:rPr>
  </w:style>
  <w:style w:type="paragraph" w:styleId="FootnoteText">
    <w:name w:val="footnote text"/>
    <w:aliases w:val="C,Car,Footnote Text Char Char Char Char,Footnote Text Char1,Footnote Text Char1 Char Char,Footnote ak,Footnote ak Char Char,Footnotes,Footnotes Char Char,VBB Footnote Text,f,fn,fn Char Char,fn cafc,footnote text,footnote text Char Char,ft"/>
    <w:basedOn w:val="Normal"/>
    <w:link w:val="FootnoteTextChar"/>
    <w:uiPriority w:val="99"/>
    <w:qFormat/>
    <w:rsid w:val="00517026"/>
    <w:pPr>
      <w:tabs>
        <w:tab w:val="left" w:pos="432"/>
      </w:tabs>
      <w:ind w:left="432" w:hanging="432"/>
    </w:pPr>
    <w:rPr>
      <w:rFonts w:ascii="Times New Roman" w:hAnsi="Times New Roman"/>
      <w:sz w:val="18"/>
      <w:szCs w:val="18"/>
    </w:rPr>
  </w:style>
  <w:style w:type="character" w:customStyle="1" w:styleId="FootnoteTextChar">
    <w:name w:val="Footnote Text Char"/>
    <w:aliases w:val="C Char,Car Char,Footnote Text Char Char Char Char Char,Footnote Text Char1 Char,Footnote Text Char1 Char Char Char,Footnote ak Char,Footnote ak Char Char Char,Footnotes Char,Footnotes Char Char Char,VBB Footnote Text Char,f Char"/>
    <w:link w:val="FootnoteText"/>
    <w:uiPriority w:val="99"/>
    <w:rsid w:val="00517026"/>
    <w:rPr>
      <w:rFonts w:eastAsia="Times New Roman"/>
      <w:sz w:val="18"/>
      <w:szCs w:val="18"/>
      <w:lang w:val="en-US" w:eastAsia="en-US"/>
    </w:rPr>
  </w:style>
  <w:style w:type="paragraph" w:customStyle="1" w:styleId="HangingIndent">
    <w:name w:val="Hanging Indent"/>
    <w:basedOn w:val="Normal"/>
    <w:uiPriority w:val="11"/>
    <w:rsid w:val="008D37B0"/>
    <w:pPr>
      <w:spacing w:before="240"/>
      <w:ind w:left="720" w:hanging="720"/>
    </w:pPr>
    <w:rPr>
      <w:szCs w:val="20"/>
    </w:rPr>
  </w:style>
  <w:style w:type="paragraph" w:styleId="Header">
    <w:name w:val="header"/>
    <w:basedOn w:val="Normal"/>
    <w:link w:val="HeaderChar"/>
    <w:uiPriority w:val="99"/>
    <w:rsid w:val="008D37B0"/>
    <w:pPr>
      <w:tabs>
        <w:tab w:val="center" w:pos="4320"/>
        <w:tab w:val="right" w:pos="8640"/>
      </w:tabs>
    </w:pPr>
    <w:rPr>
      <w:szCs w:val="20"/>
    </w:rPr>
  </w:style>
  <w:style w:type="character" w:customStyle="1" w:styleId="HeaderChar">
    <w:name w:val="Header Char"/>
    <w:link w:val="Header"/>
    <w:uiPriority w:val="99"/>
    <w:rsid w:val="008D37B0"/>
    <w:rPr>
      <w:sz w:val="24"/>
      <w:lang w:val="en-US" w:eastAsia="en-US"/>
    </w:rPr>
  </w:style>
  <w:style w:type="character" w:customStyle="1" w:styleId="Heading1Char">
    <w:name w:val="Heading 1 Char"/>
    <w:link w:val="Heading1"/>
    <w:rsid w:val="008D37B0"/>
    <w:rPr>
      <w:b/>
      <w:sz w:val="24"/>
      <w:lang w:val="en-US" w:eastAsia="en-US"/>
    </w:rPr>
  </w:style>
  <w:style w:type="character" w:customStyle="1" w:styleId="Heading2Char">
    <w:name w:val="Heading 2 Char"/>
    <w:link w:val="Heading2"/>
    <w:rsid w:val="008D37B0"/>
    <w:rPr>
      <w:rFonts w:eastAsia="Times New Roman" w:hAnsi="Calibri"/>
      <w:sz w:val="24"/>
      <w:lang w:val="en-US" w:eastAsia="en-US"/>
    </w:rPr>
  </w:style>
  <w:style w:type="character" w:customStyle="1" w:styleId="Heading3Char">
    <w:name w:val="Heading 3 Char"/>
    <w:link w:val="Heading3"/>
    <w:rsid w:val="008D37B0"/>
    <w:rPr>
      <w:rFonts w:eastAsia="Times New Roman" w:hAnsi="Calibri"/>
      <w:sz w:val="24"/>
      <w:lang w:val="en-US" w:eastAsia="en-US"/>
    </w:rPr>
  </w:style>
  <w:style w:type="character" w:customStyle="1" w:styleId="Heading4Char">
    <w:name w:val="Heading 4 Char"/>
    <w:link w:val="Heading4"/>
    <w:rsid w:val="008D37B0"/>
    <w:rPr>
      <w:rFonts w:eastAsia="Times New Roman" w:hAnsi="Calibri"/>
      <w:sz w:val="24"/>
      <w:lang w:val="en-US" w:eastAsia="en-US"/>
    </w:rPr>
  </w:style>
  <w:style w:type="character" w:customStyle="1" w:styleId="Heading5Char">
    <w:name w:val="Heading 5 Char"/>
    <w:link w:val="Heading5"/>
    <w:rsid w:val="008D37B0"/>
    <w:rPr>
      <w:rFonts w:eastAsia="Times New Roman" w:hAnsi="Calibri"/>
      <w:sz w:val="24"/>
      <w:lang w:val="en-US" w:eastAsia="en-US"/>
    </w:rPr>
  </w:style>
  <w:style w:type="character" w:customStyle="1" w:styleId="Heading6Char">
    <w:name w:val="Heading 6 Char"/>
    <w:link w:val="Heading6"/>
    <w:rsid w:val="008D37B0"/>
    <w:rPr>
      <w:rFonts w:eastAsia="Times New Roman" w:hAnsi="Calibri"/>
      <w:sz w:val="24"/>
      <w:lang w:val="en-US" w:eastAsia="en-US"/>
    </w:rPr>
  </w:style>
  <w:style w:type="character" w:customStyle="1" w:styleId="Heading7Char">
    <w:name w:val="Heading 7 Char"/>
    <w:link w:val="Heading7"/>
    <w:rsid w:val="008D37B0"/>
    <w:rPr>
      <w:rFonts w:eastAsia="Times New Roman" w:hAnsi="Calibri"/>
      <w:sz w:val="24"/>
      <w:lang w:val="en-US" w:eastAsia="en-US"/>
    </w:rPr>
  </w:style>
  <w:style w:type="character" w:customStyle="1" w:styleId="Heading8Char">
    <w:name w:val="Heading 8 Char"/>
    <w:link w:val="Heading8"/>
    <w:rsid w:val="008D37B0"/>
    <w:rPr>
      <w:rFonts w:eastAsia="Times New Roman" w:hAnsi="Calibri"/>
      <w:sz w:val="24"/>
      <w:lang w:val="en-US" w:eastAsia="en-US"/>
    </w:rPr>
  </w:style>
  <w:style w:type="character" w:customStyle="1" w:styleId="Heading9Char">
    <w:name w:val="Heading 9 Char"/>
    <w:link w:val="Heading9"/>
    <w:rsid w:val="008D37B0"/>
    <w:rPr>
      <w:rFonts w:eastAsia="Times New Roman" w:hAnsi="Calibri"/>
      <w:sz w:val="24"/>
      <w:lang w:val="en-US" w:eastAsia="en-US"/>
    </w:rPr>
  </w:style>
  <w:style w:type="paragraph" w:styleId="Index1">
    <w:name w:val="index 1"/>
    <w:basedOn w:val="Normal"/>
    <w:autoRedefine/>
    <w:uiPriority w:val="99"/>
    <w:rsid w:val="008D37B0"/>
    <w:pPr>
      <w:ind w:left="360" w:hanging="360"/>
    </w:pPr>
    <w:rPr>
      <w:szCs w:val="20"/>
    </w:rPr>
  </w:style>
  <w:style w:type="paragraph" w:styleId="Index2">
    <w:name w:val="index 2"/>
    <w:basedOn w:val="Normal"/>
    <w:autoRedefine/>
    <w:uiPriority w:val="99"/>
    <w:rsid w:val="008D37B0"/>
    <w:pPr>
      <w:ind w:left="720" w:hanging="360"/>
    </w:pPr>
    <w:rPr>
      <w:szCs w:val="20"/>
    </w:rPr>
  </w:style>
  <w:style w:type="paragraph" w:styleId="Index3">
    <w:name w:val="index 3"/>
    <w:basedOn w:val="Normal"/>
    <w:autoRedefine/>
    <w:uiPriority w:val="99"/>
    <w:rsid w:val="008D37B0"/>
    <w:pPr>
      <w:ind w:left="1080" w:hanging="360"/>
    </w:pPr>
    <w:rPr>
      <w:szCs w:val="20"/>
    </w:rPr>
  </w:style>
  <w:style w:type="paragraph" w:styleId="Index4">
    <w:name w:val="index 4"/>
    <w:basedOn w:val="Normal"/>
    <w:autoRedefine/>
    <w:uiPriority w:val="99"/>
    <w:rsid w:val="008D37B0"/>
    <w:pPr>
      <w:ind w:left="1440" w:hanging="360"/>
    </w:pPr>
    <w:rPr>
      <w:szCs w:val="20"/>
    </w:rPr>
  </w:style>
  <w:style w:type="paragraph" w:styleId="Index5">
    <w:name w:val="index 5"/>
    <w:basedOn w:val="Normal"/>
    <w:autoRedefine/>
    <w:uiPriority w:val="99"/>
    <w:rsid w:val="008D37B0"/>
    <w:pPr>
      <w:ind w:left="1800" w:hanging="360"/>
    </w:pPr>
    <w:rPr>
      <w:szCs w:val="20"/>
    </w:rPr>
  </w:style>
  <w:style w:type="paragraph" w:styleId="Index6">
    <w:name w:val="index 6"/>
    <w:basedOn w:val="Normal"/>
    <w:autoRedefine/>
    <w:uiPriority w:val="99"/>
    <w:rsid w:val="008D37B0"/>
    <w:pPr>
      <w:ind w:left="2160" w:hanging="360"/>
    </w:pPr>
    <w:rPr>
      <w:szCs w:val="20"/>
    </w:rPr>
  </w:style>
  <w:style w:type="paragraph" w:styleId="Index7">
    <w:name w:val="index 7"/>
    <w:basedOn w:val="Normal"/>
    <w:autoRedefine/>
    <w:uiPriority w:val="99"/>
    <w:rsid w:val="008D37B0"/>
    <w:pPr>
      <w:ind w:left="2520" w:hanging="360"/>
    </w:pPr>
    <w:rPr>
      <w:szCs w:val="20"/>
    </w:rPr>
  </w:style>
  <w:style w:type="paragraph" w:styleId="Index8">
    <w:name w:val="index 8"/>
    <w:basedOn w:val="Normal"/>
    <w:autoRedefine/>
    <w:uiPriority w:val="99"/>
    <w:rsid w:val="008D37B0"/>
    <w:pPr>
      <w:ind w:left="2880" w:hanging="360"/>
    </w:pPr>
    <w:rPr>
      <w:szCs w:val="20"/>
    </w:rPr>
  </w:style>
  <w:style w:type="paragraph" w:styleId="Index9">
    <w:name w:val="index 9"/>
    <w:basedOn w:val="Normal"/>
    <w:autoRedefine/>
    <w:uiPriority w:val="99"/>
    <w:rsid w:val="008D37B0"/>
    <w:pPr>
      <w:ind w:left="3240" w:hanging="360"/>
    </w:pPr>
    <w:rPr>
      <w:szCs w:val="20"/>
    </w:rPr>
  </w:style>
  <w:style w:type="paragraph" w:styleId="IndexHeading">
    <w:name w:val="index heading"/>
    <w:basedOn w:val="Normal"/>
    <w:next w:val="Index1"/>
    <w:uiPriority w:val="29"/>
    <w:rsid w:val="008D37B0"/>
    <w:rPr>
      <w:rFonts w:cs="Arial"/>
      <w:b/>
      <w:bCs/>
      <w:szCs w:val="20"/>
    </w:rPr>
  </w:style>
  <w:style w:type="paragraph" w:styleId="ListParagraph">
    <w:name w:val="List Paragraph"/>
    <w:basedOn w:val="Normal"/>
    <w:uiPriority w:val="34"/>
    <w:qFormat/>
    <w:rsid w:val="008D37B0"/>
    <w:pPr>
      <w:ind w:left="720"/>
      <w:contextualSpacing/>
    </w:pPr>
  </w:style>
  <w:style w:type="paragraph" w:styleId="NoSpacing">
    <w:name w:val="No Spacing"/>
    <w:uiPriority w:val="1"/>
    <w:qFormat/>
    <w:rsid w:val="008D37B0"/>
    <w:pPr>
      <w:spacing w:after="240"/>
      <w:contextualSpacing/>
    </w:pPr>
    <w:rPr>
      <w:rFonts w:cstheme="minorBidi"/>
      <w:sz w:val="24"/>
      <w:szCs w:val="24"/>
      <w:lang w:val="en-US" w:eastAsia="en-US"/>
    </w:rPr>
  </w:style>
  <w:style w:type="character" w:customStyle="1" w:styleId="NoNumber">
    <w:name w:val="NoNumber"/>
    <w:uiPriority w:val="99"/>
    <w:semiHidden/>
    <w:rsid w:val="00BB003D"/>
    <w:rPr>
      <w:rFonts w:ascii="Arial" w:hAnsi="Arial"/>
      <w:sz w:val="18"/>
    </w:rPr>
  </w:style>
  <w:style w:type="paragraph" w:styleId="NormalIndent">
    <w:name w:val="Normal Indent"/>
    <w:basedOn w:val="Normal"/>
    <w:uiPriority w:val="54"/>
    <w:rsid w:val="008D37B0"/>
    <w:pPr>
      <w:ind w:left="1440"/>
    </w:pPr>
    <w:rPr>
      <w:szCs w:val="20"/>
    </w:rPr>
  </w:style>
  <w:style w:type="paragraph" w:styleId="NoteHeading">
    <w:name w:val="Note Heading"/>
    <w:basedOn w:val="Normal"/>
    <w:next w:val="Normal"/>
    <w:link w:val="NoteHeadingChar"/>
    <w:uiPriority w:val="99"/>
    <w:rsid w:val="008D37B0"/>
    <w:rPr>
      <w:szCs w:val="20"/>
    </w:rPr>
  </w:style>
  <w:style w:type="character" w:customStyle="1" w:styleId="NoteHeadingChar">
    <w:name w:val="Note Heading Char"/>
    <w:link w:val="NoteHeading"/>
    <w:uiPriority w:val="99"/>
    <w:rsid w:val="008D37B0"/>
    <w:rPr>
      <w:sz w:val="24"/>
      <w:lang w:val="en-US" w:eastAsia="en-US"/>
    </w:rPr>
  </w:style>
  <w:style w:type="character" w:styleId="PageNumber">
    <w:name w:val="page number"/>
    <w:uiPriority w:val="99"/>
    <w:rsid w:val="008D37B0"/>
    <w:rPr>
      <w:rFonts w:ascii="Times New Roman" w:hAnsi="Times New Roman"/>
      <w:sz w:val="24"/>
    </w:rPr>
  </w:style>
  <w:style w:type="paragraph" w:styleId="PlainText">
    <w:name w:val="Plain Text"/>
    <w:basedOn w:val="Normal"/>
    <w:link w:val="PlainTextChar"/>
    <w:uiPriority w:val="99"/>
    <w:unhideWhenUsed/>
    <w:rsid w:val="008D37B0"/>
    <w:rPr>
      <w:rFonts w:cs="Courier New"/>
      <w:szCs w:val="20"/>
    </w:rPr>
  </w:style>
  <w:style w:type="character" w:customStyle="1" w:styleId="PlainTextChar">
    <w:name w:val="Plain Text Char"/>
    <w:link w:val="PlainText"/>
    <w:uiPriority w:val="99"/>
    <w:rsid w:val="008D37B0"/>
    <w:rPr>
      <w:rFonts w:cs="Courier New"/>
      <w:sz w:val="24"/>
      <w:lang w:val="en-US" w:eastAsia="en-US"/>
    </w:rPr>
  </w:style>
  <w:style w:type="paragraph" w:styleId="Quote">
    <w:name w:val="Quote"/>
    <w:basedOn w:val="Normal"/>
    <w:next w:val="Normal"/>
    <w:link w:val="QuoteChar"/>
    <w:uiPriority w:val="44"/>
    <w:rsid w:val="008D37B0"/>
    <w:rPr>
      <w:i/>
      <w:iCs/>
      <w:color w:val="000000"/>
    </w:rPr>
  </w:style>
  <w:style w:type="character" w:customStyle="1" w:styleId="QuoteChar">
    <w:name w:val="Quote Char"/>
    <w:link w:val="Quote"/>
    <w:uiPriority w:val="44"/>
    <w:rsid w:val="008D37B0"/>
    <w:rPr>
      <w:rFonts w:eastAsiaTheme="minorHAnsi" w:cstheme="minorBidi"/>
      <w:i/>
      <w:iCs/>
      <w:color w:val="000000"/>
      <w:sz w:val="24"/>
      <w:szCs w:val="24"/>
      <w:lang w:val="en-US" w:eastAsia="en-US"/>
    </w:rPr>
  </w:style>
  <w:style w:type="paragraph" w:styleId="Salutation">
    <w:name w:val="Salutation"/>
    <w:basedOn w:val="Normal"/>
    <w:next w:val="Normal"/>
    <w:link w:val="SalutationChar"/>
    <w:uiPriority w:val="11"/>
    <w:rsid w:val="008D37B0"/>
    <w:rPr>
      <w:szCs w:val="20"/>
    </w:rPr>
  </w:style>
  <w:style w:type="character" w:customStyle="1" w:styleId="SalutationChar">
    <w:name w:val="Salutation Char"/>
    <w:link w:val="Salutation"/>
    <w:uiPriority w:val="11"/>
    <w:rsid w:val="008D37B0"/>
    <w:rPr>
      <w:sz w:val="24"/>
      <w:lang w:val="en-US" w:eastAsia="en-US"/>
    </w:rPr>
  </w:style>
  <w:style w:type="paragraph" w:styleId="Signature">
    <w:name w:val="Signature"/>
    <w:basedOn w:val="Normal"/>
    <w:link w:val="SignatureChar"/>
    <w:uiPriority w:val="11"/>
    <w:rsid w:val="008D37B0"/>
    <w:pPr>
      <w:keepLines/>
      <w:tabs>
        <w:tab w:val="left" w:pos="4752"/>
        <w:tab w:val="right" w:pos="8640"/>
      </w:tabs>
      <w:spacing w:before="480" w:after="480"/>
      <w:ind w:left="4320"/>
    </w:pPr>
    <w:rPr>
      <w:szCs w:val="20"/>
    </w:rPr>
  </w:style>
  <w:style w:type="character" w:customStyle="1" w:styleId="SignatureChar">
    <w:name w:val="Signature Char"/>
    <w:link w:val="Signature"/>
    <w:uiPriority w:val="11"/>
    <w:rsid w:val="008D37B0"/>
    <w:rPr>
      <w:sz w:val="24"/>
      <w:lang w:val="en-US" w:eastAsia="en-US"/>
    </w:rPr>
  </w:style>
  <w:style w:type="paragraph" w:customStyle="1" w:styleId="SignatureLeft">
    <w:name w:val="Signature Left"/>
    <w:basedOn w:val="Normal"/>
    <w:uiPriority w:val="11"/>
    <w:rsid w:val="008D37B0"/>
    <w:pPr>
      <w:keepLines/>
      <w:tabs>
        <w:tab w:val="left" w:pos="432"/>
        <w:tab w:val="right" w:pos="4320"/>
      </w:tabs>
      <w:spacing w:before="480" w:after="480"/>
    </w:pPr>
    <w:rPr>
      <w:szCs w:val="20"/>
    </w:rPr>
  </w:style>
  <w:style w:type="paragraph" w:styleId="Subtitle">
    <w:name w:val="Subtitle"/>
    <w:basedOn w:val="Normal"/>
    <w:next w:val="BodyText"/>
    <w:link w:val="SubtitleChar"/>
    <w:uiPriority w:val="4"/>
    <w:qFormat/>
    <w:rsid w:val="008D37B0"/>
    <w:pPr>
      <w:keepNext/>
      <w:spacing w:before="240"/>
      <w:jc w:val="center"/>
    </w:pPr>
    <w:rPr>
      <w:szCs w:val="20"/>
    </w:rPr>
  </w:style>
  <w:style w:type="character" w:customStyle="1" w:styleId="SubtitleChar">
    <w:name w:val="Subtitle Char"/>
    <w:link w:val="Subtitle"/>
    <w:uiPriority w:val="4"/>
    <w:rsid w:val="008D37B0"/>
    <w:rPr>
      <w:sz w:val="24"/>
      <w:lang w:val="en-US" w:eastAsia="en-US"/>
    </w:rPr>
  </w:style>
  <w:style w:type="paragraph" w:customStyle="1" w:styleId="Table">
    <w:name w:val="Table"/>
    <w:basedOn w:val="Normal"/>
    <w:uiPriority w:val="14"/>
    <w:qFormat/>
    <w:rsid w:val="008D37B0"/>
    <w:rPr>
      <w:szCs w:val="20"/>
    </w:rPr>
  </w:style>
  <w:style w:type="paragraph" w:customStyle="1" w:styleId="TableFinancial">
    <w:name w:val="Table Financial"/>
    <w:basedOn w:val="Normal"/>
    <w:next w:val="Normal"/>
    <w:uiPriority w:val="17"/>
    <w:rsid w:val="008D37B0"/>
    <w:pPr>
      <w:tabs>
        <w:tab w:val="left" w:pos="216"/>
        <w:tab w:val="decimal" w:pos="432"/>
      </w:tabs>
    </w:pPr>
    <w:rPr>
      <w:szCs w:val="20"/>
    </w:rPr>
  </w:style>
  <w:style w:type="paragraph" w:styleId="TableofAuthorities">
    <w:name w:val="table of authorities"/>
    <w:basedOn w:val="Normal"/>
    <w:next w:val="Normal"/>
    <w:uiPriority w:val="29"/>
    <w:unhideWhenUsed/>
    <w:rsid w:val="008D37B0"/>
    <w:pPr>
      <w:ind w:left="240" w:hanging="240"/>
    </w:pPr>
    <w:rPr>
      <w:szCs w:val="20"/>
    </w:rPr>
  </w:style>
  <w:style w:type="paragraph" w:styleId="TableofFigures">
    <w:name w:val="table of figures"/>
    <w:basedOn w:val="Normal"/>
    <w:next w:val="Normal"/>
    <w:uiPriority w:val="29"/>
    <w:unhideWhenUsed/>
    <w:rsid w:val="008D37B0"/>
    <w:pPr>
      <w:ind w:left="432" w:hanging="432"/>
    </w:pPr>
    <w:rPr>
      <w:szCs w:val="20"/>
    </w:rPr>
  </w:style>
  <w:style w:type="character" w:customStyle="1" w:styleId="Table10pt">
    <w:name w:val="Table10pt"/>
    <w:uiPriority w:val="15"/>
    <w:rsid w:val="008D37B0"/>
    <w:rPr>
      <w:sz w:val="20"/>
    </w:rPr>
  </w:style>
  <w:style w:type="character" w:customStyle="1" w:styleId="Table11pt">
    <w:name w:val="Table11pt"/>
    <w:uiPriority w:val="15"/>
    <w:rsid w:val="008D37B0"/>
    <w:rPr>
      <w:sz w:val="22"/>
    </w:rPr>
  </w:style>
  <w:style w:type="character" w:customStyle="1" w:styleId="Table8pt">
    <w:name w:val="Table8pt"/>
    <w:uiPriority w:val="14"/>
    <w:rsid w:val="008D37B0"/>
    <w:rPr>
      <w:sz w:val="16"/>
    </w:rPr>
  </w:style>
  <w:style w:type="character" w:customStyle="1" w:styleId="Table9pt">
    <w:name w:val="Table9pt"/>
    <w:uiPriority w:val="14"/>
    <w:rsid w:val="008D37B0"/>
    <w:rPr>
      <w:sz w:val="18"/>
    </w:rPr>
  </w:style>
  <w:style w:type="paragraph" w:customStyle="1" w:styleId="TableNote10pt">
    <w:name w:val="TableNote10pt"/>
    <w:basedOn w:val="Normal"/>
    <w:uiPriority w:val="17"/>
    <w:rsid w:val="008D37B0"/>
    <w:pPr>
      <w:ind w:left="432" w:hanging="432"/>
    </w:pPr>
    <w:rPr>
      <w:sz w:val="20"/>
      <w:szCs w:val="20"/>
    </w:rPr>
  </w:style>
  <w:style w:type="paragraph" w:customStyle="1" w:styleId="TableNote11pt">
    <w:name w:val="TableNote11pt"/>
    <w:basedOn w:val="Normal"/>
    <w:uiPriority w:val="17"/>
    <w:rsid w:val="008D37B0"/>
    <w:pPr>
      <w:ind w:left="432" w:hanging="432"/>
    </w:pPr>
    <w:rPr>
      <w:szCs w:val="20"/>
    </w:rPr>
  </w:style>
  <w:style w:type="paragraph" w:customStyle="1" w:styleId="TableNote8pt">
    <w:name w:val="TableNote8pt"/>
    <w:basedOn w:val="Normal"/>
    <w:uiPriority w:val="16"/>
    <w:rsid w:val="008D37B0"/>
    <w:pPr>
      <w:ind w:left="432" w:hanging="432"/>
    </w:pPr>
    <w:rPr>
      <w:sz w:val="16"/>
      <w:szCs w:val="20"/>
    </w:rPr>
  </w:style>
  <w:style w:type="paragraph" w:customStyle="1" w:styleId="TableNote9pt">
    <w:name w:val="TableNote9pt"/>
    <w:basedOn w:val="Normal"/>
    <w:uiPriority w:val="16"/>
    <w:rsid w:val="008D37B0"/>
    <w:pPr>
      <w:ind w:left="432" w:hanging="432"/>
    </w:pPr>
    <w:rPr>
      <w:sz w:val="18"/>
      <w:szCs w:val="20"/>
    </w:rPr>
  </w:style>
  <w:style w:type="paragraph" w:customStyle="1" w:styleId="TableNoteLine">
    <w:name w:val="TableNoteLine"/>
    <w:basedOn w:val="Normal"/>
    <w:next w:val="TableNote8pt"/>
    <w:uiPriority w:val="16"/>
    <w:rsid w:val="008D37B0"/>
    <w:pPr>
      <w:pBdr>
        <w:bottom w:val="single" w:sz="4" w:space="1" w:color="auto"/>
      </w:pBdr>
      <w:spacing w:after="120"/>
      <w:ind w:right="6480"/>
    </w:pPr>
    <w:rPr>
      <w:szCs w:val="20"/>
    </w:rPr>
  </w:style>
  <w:style w:type="paragraph" w:styleId="Title">
    <w:name w:val="Title"/>
    <w:basedOn w:val="Normal"/>
    <w:next w:val="Subtitle"/>
    <w:link w:val="TitleChar"/>
    <w:uiPriority w:val="4"/>
    <w:qFormat/>
    <w:rsid w:val="008D37B0"/>
    <w:pPr>
      <w:keepNext/>
      <w:jc w:val="center"/>
    </w:pPr>
    <w:rPr>
      <w:b/>
      <w:szCs w:val="20"/>
    </w:rPr>
  </w:style>
  <w:style w:type="character" w:customStyle="1" w:styleId="TitleChar">
    <w:name w:val="Title Char"/>
    <w:link w:val="Title"/>
    <w:uiPriority w:val="4"/>
    <w:rsid w:val="008D37B0"/>
    <w:rPr>
      <w:b/>
      <w:sz w:val="24"/>
      <w:lang w:val="en-US" w:eastAsia="en-US"/>
    </w:rPr>
  </w:style>
  <w:style w:type="paragraph" w:customStyle="1" w:styleId="Title16">
    <w:name w:val="Title 16"/>
    <w:basedOn w:val="Title"/>
    <w:next w:val="Subtitle"/>
    <w:link w:val="Title16Char"/>
    <w:uiPriority w:val="4"/>
    <w:qFormat/>
    <w:rsid w:val="008D37B0"/>
    <w:rPr>
      <w:sz w:val="32"/>
    </w:rPr>
  </w:style>
  <w:style w:type="character" w:customStyle="1" w:styleId="Title16Char">
    <w:name w:val="Title 16 Char"/>
    <w:link w:val="Title16"/>
    <w:uiPriority w:val="4"/>
    <w:rsid w:val="008D37B0"/>
    <w:rPr>
      <w:b/>
      <w:sz w:val="32"/>
      <w:lang w:val="en-US" w:eastAsia="en-US"/>
    </w:rPr>
  </w:style>
  <w:style w:type="paragraph" w:styleId="TOAHeading">
    <w:name w:val="toa heading"/>
    <w:basedOn w:val="Normal"/>
    <w:next w:val="Normal"/>
    <w:uiPriority w:val="29"/>
    <w:unhideWhenUsed/>
    <w:rsid w:val="008D37B0"/>
    <w:rPr>
      <w:rFonts w:cs="Arial"/>
      <w:b/>
      <w:bCs/>
    </w:rPr>
  </w:style>
  <w:style w:type="paragraph" w:styleId="TOC1">
    <w:name w:val="toc 1"/>
    <w:basedOn w:val="Normal"/>
    <w:next w:val="Normal"/>
    <w:autoRedefine/>
    <w:uiPriority w:val="99"/>
    <w:rsid w:val="008D37B0"/>
    <w:pPr>
      <w:ind w:right="720"/>
    </w:pPr>
    <w:rPr>
      <w:szCs w:val="20"/>
    </w:rPr>
  </w:style>
  <w:style w:type="paragraph" w:styleId="TOC2">
    <w:name w:val="toc 2"/>
    <w:basedOn w:val="Normal"/>
    <w:next w:val="Normal"/>
    <w:autoRedefine/>
    <w:uiPriority w:val="99"/>
    <w:rsid w:val="008D37B0"/>
    <w:pPr>
      <w:ind w:left="245" w:right="720"/>
    </w:pPr>
    <w:rPr>
      <w:szCs w:val="20"/>
    </w:rPr>
  </w:style>
  <w:style w:type="paragraph" w:styleId="TOC3">
    <w:name w:val="toc 3"/>
    <w:basedOn w:val="Normal"/>
    <w:next w:val="Normal"/>
    <w:autoRedefine/>
    <w:uiPriority w:val="99"/>
    <w:rsid w:val="008D37B0"/>
    <w:pPr>
      <w:ind w:left="475" w:right="720"/>
    </w:pPr>
    <w:rPr>
      <w:szCs w:val="20"/>
    </w:rPr>
  </w:style>
  <w:style w:type="paragraph" w:styleId="TOC4">
    <w:name w:val="toc 4"/>
    <w:basedOn w:val="Normal"/>
    <w:next w:val="Normal"/>
    <w:autoRedefine/>
    <w:uiPriority w:val="99"/>
    <w:rsid w:val="008D37B0"/>
    <w:pPr>
      <w:ind w:left="720" w:right="720"/>
    </w:pPr>
    <w:rPr>
      <w:szCs w:val="20"/>
    </w:rPr>
  </w:style>
  <w:style w:type="paragraph" w:styleId="TOC6">
    <w:name w:val="toc 6"/>
    <w:basedOn w:val="Normal"/>
    <w:next w:val="Normal"/>
    <w:autoRedefine/>
    <w:uiPriority w:val="99"/>
    <w:rsid w:val="008D37B0"/>
    <w:pPr>
      <w:ind w:left="1200"/>
    </w:pPr>
    <w:rPr>
      <w:szCs w:val="20"/>
    </w:rPr>
  </w:style>
  <w:style w:type="paragraph" w:styleId="TOC9">
    <w:name w:val="toc 9"/>
    <w:basedOn w:val="Normal"/>
    <w:next w:val="Normal"/>
    <w:autoRedefine/>
    <w:uiPriority w:val="99"/>
    <w:rsid w:val="008D37B0"/>
    <w:pPr>
      <w:ind w:left="1920"/>
    </w:pPr>
    <w:rPr>
      <w:szCs w:val="20"/>
    </w:rPr>
  </w:style>
  <w:style w:type="character" w:styleId="Hyperlink">
    <w:name w:val="Hyperlink"/>
    <w:basedOn w:val="DefaultParagraphFont"/>
    <w:uiPriority w:val="99"/>
    <w:unhideWhenUsed/>
    <w:rsid w:val="005A654E"/>
    <w:rPr>
      <w:color w:val="0000FF" w:themeColor="hyperlink"/>
      <w:u w:val="single"/>
    </w:rPr>
  </w:style>
  <w:style w:type="paragraph" w:customStyle="1" w:styleId="ChapterPara4">
    <w:name w:val="Chapter Para 4"/>
    <w:basedOn w:val="Normal"/>
    <w:rsid w:val="005569E6"/>
    <w:pPr>
      <w:numPr>
        <w:ilvl w:val="3"/>
        <w:numId w:val="1"/>
      </w:numPr>
      <w:spacing w:before="240" w:after="240"/>
      <w:jc w:val="both"/>
    </w:pPr>
    <w:rPr>
      <w:rFonts w:ascii="Times New Roman" w:hAnsi="Times New Roman" w:cstheme="minorBidi"/>
      <w:sz w:val="24"/>
    </w:rPr>
  </w:style>
  <w:style w:type="paragraph" w:customStyle="1" w:styleId="ChapterPara3">
    <w:name w:val="Chapter Para 3"/>
    <w:basedOn w:val="Normal"/>
    <w:rsid w:val="005569E6"/>
    <w:pPr>
      <w:numPr>
        <w:ilvl w:val="2"/>
        <w:numId w:val="1"/>
      </w:numPr>
      <w:spacing w:before="240" w:after="240"/>
      <w:jc w:val="both"/>
    </w:pPr>
    <w:rPr>
      <w:rFonts w:ascii="Times New Roman" w:hAnsi="Times New Roman" w:cstheme="minorBidi"/>
      <w:sz w:val="24"/>
    </w:rPr>
  </w:style>
  <w:style w:type="paragraph" w:customStyle="1" w:styleId="ChapterPara2">
    <w:name w:val="Chapter Para 2"/>
    <w:basedOn w:val="Normal"/>
    <w:link w:val="ChapterPara2Char"/>
    <w:rsid w:val="005569E6"/>
    <w:pPr>
      <w:numPr>
        <w:ilvl w:val="1"/>
        <w:numId w:val="1"/>
      </w:numPr>
      <w:spacing w:before="240" w:after="360" w:line="360" w:lineRule="auto"/>
      <w:jc w:val="both"/>
    </w:pPr>
    <w:rPr>
      <w:rFonts w:ascii="Times New Roman" w:hAnsi="Times New Roman" w:cstheme="minorBidi"/>
      <w:sz w:val="24"/>
    </w:rPr>
  </w:style>
  <w:style w:type="character" w:customStyle="1" w:styleId="ChapterPara2Char">
    <w:name w:val="Chapter Para 2 Char"/>
    <w:basedOn w:val="BodyTextChar"/>
    <w:link w:val="ChapterPara2"/>
    <w:rsid w:val="005569E6"/>
    <w:rPr>
      <w:rFonts w:eastAsia="Times New Roman" w:cstheme="minorBidi"/>
      <w:sz w:val="24"/>
      <w:szCs w:val="22"/>
      <w:lang w:val="en-US" w:eastAsia="en-US"/>
    </w:rPr>
  </w:style>
  <w:style w:type="paragraph" w:customStyle="1" w:styleId="ChapterPara1">
    <w:name w:val="Chapter Para 1"/>
    <w:basedOn w:val="Normal"/>
    <w:next w:val="ChapterPara2"/>
    <w:rsid w:val="005569E6"/>
    <w:pPr>
      <w:keepLines/>
      <w:numPr>
        <w:numId w:val="1"/>
      </w:numPr>
      <w:spacing w:before="240" w:after="240"/>
      <w:jc w:val="center"/>
    </w:pPr>
    <w:rPr>
      <w:rFonts w:ascii="Times New Roman" w:hAnsi="Times New Roman" w:cstheme="minorBidi"/>
      <w:color w:val="FF0000"/>
      <w:sz w:val="24"/>
    </w:rPr>
  </w:style>
  <w:style w:type="paragraph" w:customStyle="1" w:styleId="ChapterPara5">
    <w:name w:val="Chapter Para 5"/>
    <w:basedOn w:val="Normal"/>
    <w:next w:val="ChapterPara2"/>
    <w:rsid w:val="005569E6"/>
    <w:pPr>
      <w:numPr>
        <w:ilvl w:val="4"/>
        <w:numId w:val="1"/>
      </w:numPr>
      <w:spacing w:before="240" w:after="240"/>
      <w:jc w:val="both"/>
      <w:outlineLvl w:val="4"/>
    </w:pPr>
    <w:rPr>
      <w:rFonts w:ascii="Times New Roman" w:eastAsia="MS Mincho" w:hAnsi="Times New Roman" w:cstheme="minorBidi"/>
      <w:sz w:val="24"/>
      <w:szCs w:val="24"/>
    </w:rPr>
  </w:style>
  <w:style w:type="paragraph" w:styleId="BalloonText">
    <w:name w:val="Balloon Text"/>
    <w:basedOn w:val="Normal"/>
    <w:link w:val="BalloonTextChar"/>
    <w:rsid w:val="004A30D8"/>
    <w:rPr>
      <w:rFonts w:ascii="Tahoma" w:hAnsi="Tahoma" w:cs="Tahoma"/>
      <w:sz w:val="16"/>
      <w:szCs w:val="16"/>
    </w:rPr>
  </w:style>
  <w:style w:type="character" w:customStyle="1" w:styleId="BalloonTextChar">
    <w:name w:val="Balloon Text Char"/>
    <w:basedOn w:val="DefaultParagraphFont"/>
    <w:link w:val="BalloonText"/>
    <w:rsid w:val="004A30D8"/>
    <w:rPr>
      <w:rFonts w:ascii="Tahoma" w:eastAsia="Times New Roman" w:hAnsi="Tahoma" w:cs="Tahoma"/>
      <w:sz w:val="16"/>
      <w:szCs w:val="16"/>
      <w:lang w:val="en-US" w:eastAsia="en-US"/>
    </w:rPr>
  </w:style>
  <w:style w:type="paragraph" w:customStyle="1" w:styleId="Lindas9">
    <w:name w:val="Lindas_9"/>
    <w:basedOn w:val="Normal"/>
    <w:next w:val="BodyText"/>
    <w:rsid w:val="00A320F4"/>
    <w:pPr>
      <w:numPr>
        <w:ilvl w:val="8"/>
        <w:numId w:val="2"/>
      </w:numPr>
      <w:spacing w:before="240" w:after="240"/>
      <w:outlineLvl w:val="8"/>
    </w:pPr>
    <w:rPr>
      <w:rFonts w:ascii="Times New Roman" w:hAnsi="Times New Roman"/>
      <w:sz w:val="24"/>
      <w:szCs w:val="24"/>
    </w:rPr>
  </w:style>
  <w:style w:type="paragraph" w:customStyle="1" w:styleId="Lindas8">
    <w:name w:val="Lindas_8"/>
    <w:basedOn w:val="Normal"/>
    <w:next w:val="BodyText"/>
    <w:rsid w:val="00A320F4"/>
    <w:pPr>
      <w:numPr>
        <w:ilvl w:val="7"/>
        <w:numId w:val="2"/>
      </w:numPr>
      <w:spacing w:before="240" w:after="240"/>
      <w:outlineLvl w:val="7"/>
    </w:pPr>
    <w:rPr>
      <w:rFonts w:ascii="Times New Roman" w:hAnsi="Times New Roman"/>
      <w:sz w:val="24"/>
      <w:szCs w:val="24"/>
    </w:rPr>
  </w:style>
  <w:style w:type="paragraph" w:customStyle="1" w:styleId="Lindas7">
    <w:name w:val="Lindas_7"/>
    <w:basedOn w:val="Normal"/>
    <w:next w:val="BodyText"/>
    <w:rsid w:val="00A320F4"/>
    <w:pPr>
      <w:numPr>
        <w:ilvl w:val="6"/>
        <w:numId w:val="2"/>
      </w:numPr>
      <w:spacing w:before="240" w:after="240"/>
      <w:outlineLvl w:val="6"/>
    </w:pPr>
    <w:rPr>
      <w:rFonts w:ascii="Times New Roman" w:hAnsi="Times New Roman"/>
      <w:sz w:val="24"/>
      <w:szCs w:val="24"/>
    </w:rPr>
  </w:style>
  <w:style w:type="paragraph" w:customStyle="1" w:styleId="Lindas6">
    <w:name w:val="Lindas_6"/>
    <w:basedOn w:val="Normal"/>
    <w:next w:val="BodyText"/>
    <w:rsid w:val="00A320F4"/>
    <w:pPr>
      <w:numPr>
        <w:ilvl w:val="5"/>
        <w:numId w:val="2"/>
      </w:numPr>
      <w:spacing w:before="240" w:after="240" w:line="360" w:lineRule="auto"/>
      <w:jc w:val="both"/>
      <w:outlineLvl w:val="5"/>
    </w:pPr>
    <w:rPr>
      <w:rFonts w:ascii="Times New Roman" w:hAnsi="Times New Roman"/>
      <w:i/>
      <w:sz w:val="24"/>
      <w:szCs w:val="24"/>
    </w:rPr>
  </w:style>
  <w:style w:type="paragraph" w:customStyle="1" w:styleId="Lindas5">
    <w:name w:val="Lindas_5"/>
    <w:basedOn w:val="Normal"/>
    <w:next w:val="BodyText"/>
    <w:rsid w:val="00A320F4"/>
    <w:pPr>
      <w:numPr>
        <w:ilvl w:val="4"/>
        <w:numId w:val="2"/>
      </w:numPr>
      <w:spacing w:before="240" w:after="240" w:line="480" w:lineRule="auto"/>
      <w:jc w:val="both"/>
      <w:outlineLvl w:val="4"/>
    </w:pPr>
    <w:rPr>
      <w:rFonts w:ascii="Times New Roman" w:hAnsi="Times New Roman"/>
      <w:sz w:val="24"/>
      <w:szCs w:val="24"/>
    </w:rPr>
  </w:style>
  <w:style w:type="paragraph" w:customStyle="1" w:styleId="Lindas4">
    <w:name w:val="Lindas_4"/>
    <w:basedOn w:val="Normal"/>
    <w:next w:val="BodyText"/>
    <w:rsid w:val="00A320F4"/>
    <w:pPr>
      <w:numPr>
        <w:ilvl w:val="3"/>
        <w:numId w:val="2"/>
      </w:numPr>
      <w:spacing w:before="240" w:after="240" w:line="480" w:lineRule="auto"/>
      <w:jc w:val="both"/>
      <w:outlineLvl w:val="3"/>
    </w:pPr>
    <w:rPr>
      <w:rFonts w:ascii="Times New Roman" w:hAnsi="Times New Roman"/>
      <w:sz w:val="24"/>
      <w:szCs w:val="24"/>
    </w:rPr>
  </w:style>
  <w:style w:type="paragraph" w:customStyle="1" w:styleId="Lindas3">
    <w:name w:val="Lindas_3"/>
    <w:basedOn w:val="Normal"/>
    <w:next w:val="BodyText"/>
    <w:rsid w:val="00A320F4"/>
    <w:pPr>
      <w:numPr>
        <w:ilvl w:val="2"/>
        <w:numId w:val="2"/>
      </w:numPr>
      <w:spacing w:before="240" w:after="240" w:line="480" w:lineRule="auto"/>
      <w:jc w:val="both"/>
      <w:outlineLvl w:val="2"/>
    </w:pPr>
    <w:rPr>
      <w:rFonts w:ascii="Times New Roman" w:hAnsi="Times New Roman"/>
      <w:sz w:val="24"/>
      <w:szCs w:val="24"/>
    </w:rPr>
  </w:style>
  <w:style w:type="paragraph" w:customStyle="1" w:styleId="Lindas2">
    <w:name w:val="Lindas_2"/>
    <w:basedOn w:val="Normal"/>
    <w:next w:val="BodyText"/>
    <w:rsid w:val="00A320F4"/>
    <w:pPr>
      <w:widowControl w:val="0"/>
      <w:numPr>
        <w:ilvl w:val="1"/>
        <w:numId w:val="2"/>
      </w:numPr>
      <w:spacing w:before="240" w:after="240" w:line="360" w:lineRule="auto"/>
      <w:jc w:val="both"/>
      <w:outlineLvl w:val="1"/>
    </w:pPr>
    <w:rPr>
      <w:rFonts w:ascii="Times New Roman Bold" w:hAnsi="Times New Roman"/>
      <w:b/>
      <w:sz w:val="24"/>
      <w:szCs w:val="24"/>
    </w:rPr>
  </w:style>
  <w:style w:type="paragraph" w:customStyle="1" w:styleId="Lindas1">
    <w:name w:val="Lindas_1"/>
    <w:basedOn w:val="Normal"/>
    <w:next w:val="BodyText"/>
    <w:rsid w:val="00A320F4"/>
    <w:pPr>
      <w:keepNext/>
      <w:widowControl w:val="0"/>
      <w:numPr>
        <w:numId w:val="2"/>
      </w:numPr>
      <w:spacing w:before="240" w:after="240" w:line="360" w:lineRule="auto"/>
      <w:jc w:val="both"/>
      <w:outlineLvl w:val="0"/>
    </w:pPr>
    <w:rPr>
      <w:rFonts w:ascii="Times New Roman" w:hAnsi="Times New Roman"/>
      <w:b/>
      <w:caps/>
      <w:sz w:val="24"/>
      <w:szCs w:val="24"/>
    </w:rPr>
  </w:style>
  <w:style w:type="character" w:styleId="EndnoteReference">
    <w:name w:val="endnote reference"/>
    <w:uiPriority w:val="99"/>
    <w:unhideWhenUsed/>
    <w:rsid w:val="00A320F4"/>
    <w:rPr>
      <w:vertAlign w:val="superscript"/>
    </w:rPr>
  </w:style>
  <w:style w:type="character" w:styleId="CommentReference">
    <w:name w:val="annotation reference"/>
    <w:basedOn w:val="DefaultParagraphFont"/>
    <w:rsid w:val="00AC639F"/>
    <w:rPr>
      <w:sz w:val="16"/>
      <w:szCs w:val="16"/>
    </w:rPr>
  </w:style>
  <w:style w:type="paragraph" w:styleId="CommentText">
    <w:name w:val="annotation text"/>
    <w:basedOn w:val="Normal"/>
    <w:link w:val="CommentTextChar"/>
    <w:uiPriority w:val="99"/>
    <w:rsid w:val="00AC639F"/>
    <w:rPr>
      <w:sz w:val="20"/>
      <w:szCs w:val="20"/>
    </w:rPr>
  </w:style>
  <w:style w:type="character" w:customStyle="1" w:styleId="CommentTextChar">
    <w:name w:val="Comment Text Char"/>
    <w:basedOn w:val="DefaultParagraphFont"/>
    <w:link w:val="CommentText"/>
    <w:uiPriority w:val="99"/>
    <w:rsid w:val="00AC639F"/>
    <w:rPr>
      <w:rFonts w:ascii="Calibri" w:eastAsia="Times New Roman" w:hAnsi="Calibri"/>
      <w:lang w:val="en-US" w:eastAsia="en-US"/>
    </w:rPr>
  </w:style>
  <w:style w:type="paragraph" w:styleId="CommentSubject">
    <w:name w:val="annotation subject"/>
    <w:basedOn w:val="CommentText"/>
    <w:next w:val="CommentText"/>
    <w:link w:val="CommentSubjectChar"/>
    <w:rsid w:val="00AC639F"/>
    <w:rPr>
      <w:b/>
      <w:bCs/>
    </w:rPr>
  </w:style>
  <w:style w:type="character" w:customStyle="1" w:styleId="CommentSubjectChar">
    <w:name w:val="Comment Subject Char"/>
    <w:basedOn w:val="CommentTextChar"/>
    <w:link w:val="CommentSubject"/>
    <w:rsid w:val="00AC639F"/>
    <w:rPr>
      <w:rFonts w:ascii="Calibri" w:eastAsia="Times New Roman" w:hAnsi="Calibri"/>
      <w:b/>
      <w:bCs/>
      <w:lang w:val="en-US" w:eastAsia="en-US"/>
    </w:rPr>
  </w:style>
  <w:style w:type="paragraph" w:styleId="Revision">
    <w:name w:val="Revision"/>
    <w:hidden/>
    <w:uiPriority w:val="99"/>
    <w:semiHidden/>
    <w:rsid w:val="00332E9A"/>
    <w:rPr>
      <w:rFonts w:ascii="Calibri" w:eastAsia="Times New Roman" w:hAnsi="Calibri"/>
      <w:sz w:val="22"/>
      <w:szCs w:val="22"/>
      <w:lang w:val="en-US" w:eastAsia="en-US"/>
    </w:rPr>
  </w:style>
  <w:style w:type="paragraph" w:styleId="ListBullet">
    <w:name w:val="List Bullet"/>
    <w:basedOn w:val="Normal"/>
    <w:rsid w:val="0002511F"/>
    <w:pPr>
      <w:tabs>
        <w:tab w:val="num" w:pos="360"/>
      </w:tabs>
      <w:adjustRightInd w:val="0"/>
      <w:snapToGrid w:val="0"/>
      <w:spacing w:after="240"/>
      <w:ind w:left="360" w:hanging="360"/>
      <w:jc w:val="both"/>
    </w:pPr>
    <w:rPr>
      <w:rFonts w:ascii="Times New Roman" w:eastAsiaTheme="minorEastAsia" w:hAnsi="Times New Roman" w:cstheme="minorBidi"/>
      <w:sz w:val="24"/>
      <w:szCs w:val="24"/>
      <w:lang w:val="en-GB"/>
    </w:rPr>
  </w:style>
  <w:style w:type="character" w:styleId="FollowedHyperlink">
    <w:name w:val="FollowedHyperlink"/>
    <w:basedOn w:val="DefaultParagraphFont"/>
    <w:rsid w:val="00A86BAF"/>
    <w:rPr>
      <w:color w:val="800080" w:themeColor="followedHyperlink"/>
      <w:u w:val="single"/>
    </w:rPr>
  </w:style>
  <w:style w:type="paragraph" w:customStyle="1" w:styleId="paragraph">
    <w:name w:val="paragraph"/>
    <w:basedOn w:val="Normal"/>
    <w:rsid w:val="00657467"/>
    <w:pPr>
      <w:spacing w:before="100" w:beforeAutospacing="1" w:after="100" w:afterAutospacing="1"/>
    </w:pPr>
    <w:rPr>
      <w:rFonts w:ascii="Times New Roman" w:hAnsi="Times New Roman"/>
      <w:sz w:val="24"/>
      <w:szCs w:val="24"/>
      <w:lang w:val="en-CA"/>
    </w:rPr>
  </w:style>
  <w:style w:type="character" w:customStyle="1" w:styleId="normaltextrun">
    <w:name w:val="normaltextrun"/>
    <w:basedOn w:val="DefaultParagraphFont"/>
    <w:rsid w:val="00657467"/>
  </w:style>
  <w:style w:type="character" w:customStyle="1" w:styleId="eop">
    <w:name w:val="eop"/>
    <w:basedOn w:val="DefaultParagraphFont"/>
    <w:rsid w:val="00657467"/>
  </w:style>
  <w:style w:type="character" w:customStyle="1" w:styleId="UnresolvedMention">
    <w:name w:val="Unresolved Mention"/>
    <w:basedOn w:val="DefaultParagraphFont"/>
    <w:uiPriority w:val="99"/>
    <w:semiHidden/>
    <w:unhideWhenUsed/>
    <w:rsid w:val="0004602B"/>
    <w:rPr>
      <w:color w:val="605E5C"/>
      <w:shd w:val="clear" w:color="auto" w:fill="E1DFDD"/>
    </w:rPr>
  </w:style>
  <w:style w:type="table" w:styleId="TableGrid">
    <w:name w:val="Table Grid"/>
    <w:basedOn w:val="TableNormal"/>
    <w:uiPriority w:val="39"/>
    <w:rsid w:val="000609EB"/>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line-238">
    <w:name w:val="contentline-238"/>
    <w:basedOn w:val="DefaultParagraphFont"/>
    <w:rsid w:val="000609EB"/>
  </w:style>
  <w:style w:type="character" w:customStyle="1" w:styleId="cf01">
    <w:name w:val="cf01"/>
    <w:basedOn w:val="DefaultParagraphFont"/>
    <w:rsid w:val="00A90869"/>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510586">
      <w:bodyDiv w:val="1"/>
      <w:marLeft w:val="0"/>
      <w:marRight w:val="0"/>
      <w:marTop w:val="0"/>
      <w:marBottom w:val="0"/>
      <w:divBdr>
        <w:top w:val="none" w:sz="0" w:space="0" w:color="auto"/>
        <w:left w:val="none" w:sz="0" w:space="0" w:color="auto"/>
        <w:bottom w:val="none" w:sz="0" w:space="0" w:color="auto"/>
        <w:right w:val="none" w:sz="0" w:space="0" w:color="auto"/>
      </w:divBdr>
    </w:div>
    <w:div w:id="102262495">
      <w:bodyDiv w:val="1"/>
      <w:marLeft w:val="0"/>
      <w:marRight w:val="0"/>
      <w:marTop w:val="0"/>
      <w:marBottom w:val="0"/>
      <w:divBdr>
        <w:top w:val="none" w:sz="0" w:space="0" w:color="auto"/>
        <w:left w:val="none" w:sz="0" w:space="0" w:color="auto"/>
        <w:bottom w:val="none" w:sz="0" w:space="0" w:color="auto"/>
        <w:right w:val="none" w:sz="0" w:space="0" w:color="auto"/>
      </w:divBdr>
    </w:div>
    <w:div w:id="144441889">
      <w:bodyDiv w:val="1"/>
      <w:marLeft w:val="0"/>
      <w:marRight w:val="0"/>
      <w:marTop w:val="0"/>
      <w:marBottom w:val="0"/>
      <w:divBdr>
        <w:top w:val="none" w:sz="0" w:space="0" w:color="auto"/>
        <w:left w:val="none" w:sz="0" w:space="0" w:color="auto"/>
        <w:bottom w:val="none" w:sz="0" w:space="0" w:color="auto"/>
        <w:right w:val="none" w:sz="0" w:space="0" w:color="auto"/>
      </w:divBdr>
    </w:div>
    <w:div w:id="402802792">
      <w:bodyDiv w:val="1"/>
      <w:marLeft w:val="0"/>
      <w:marRight w:val="0"/>
      <w:marTop w:val="0"/>
      <w:marBottom w:val="0"/>
      <w:divBdr>
        <w:top w:val="none" w:sz="0" w:space="0" w:color="auto"/>
        <w:left w:val="none" w:sz="0" w:space="0" w:color="auto"/>
        <w:bottom w:val="none" w:sz="0" w:space="0" w:color="auto"/>
        <w:right w:val="none" w:sz="0" w:space="0" w:color="auto"/>
      </w:divBdr>
    </w:div>
    <w:div w:id="1213268857">
      <w:bodyDiv w:val="1"/>
      <w:marLeft w:val="0"/>
      <w:marRight w:val="0"/>
      <w:marTop w:val="0"/>
      <w:marBottom w:val="0"/>
      <w:divBdr>
        <w:top w:val="none" w:sz="0" w:space="0" w:color="auto"/>
        <w:left w:val="none" w:sz="0" w:space="0" w:color="auto"/>
        <w:bottom w:val="none" w:sz="0" w:space="0" w:color="auto"/>
        <w:right w:val="none" w:sz="0" w:space="0" w:color="auto"/>
      </w:divBdr>
    </w:div>
    <w:div w:id="1256591874">
      <w:bodyDiv w:val="1"/>
      <w:marLeft w:val="0"/>
      <w:marRight w:val="0"/>
      <w:marTop w:val="0"/>
      <w:marBottom w:val="0"/>
      <w:divBdr>
        <w:top w:val="none" w:sz="0" w:space="0" w:color="auto"/>
        <w:left w:val="none" w:sz="0" w:space="0" w:color="auto"/>
        <w:bottom w:val="none" w:sz="0" w:space="0" w:color="auto"/>
        <w:right w:val="none" w:sz="0" w:space="0" w:color="auto"/>
      </w:divBdr>
    </w:div>
    <w:div w:id="1257247106">
      <w:bodyDiv w:val="1"/>
      <w:marLeft w:val="0"/>
      <w:marRight w:val="0"/>
      <w:marTop w:val="0"/>
      <w:marBottom w:val="0"/>
      <w:divBdr>
        <w:top w:val="none" w:sz="0" w:space="0" w:color="auto"/>
        <w:left w:val="none" w:sz="0" w:space="0" w:color="auto"/>
        <w:bottom w:val="none" w:sz="0" w:space="0" w:color="auto"/>
        <w:right w:val="none" w:sz="0" w:space="0" w:color="auto"/>
      </w:divBdr>
    </w:div>
    <w:div w:id="1326973826">
      <w:bodyDiv w:val="1"/>
      <w:marLeft w:val="0"/>
      <w:marRight w:val="0"/>
      <w:marTop w:val="0"/>
      <w:marBottom w:val="0"/>
      <w:divBdr>
        <w:top w:val="none" w:sz="0" w:space="0" w:color="auto"/>
        <w:left w:val="none" w:sz="0" w:space="0" w:color="auto"/>
        <w:bottom w:val="none" w:sz="0" w:space="0" w:color="auto"/>
        <w:right w:val="none" w:sz="0" w:space="0" w:color="auto"/>
      </w:divBdr>
    </w:div>
    <w:div w:id="1330326064">
      <w:bodyDiv w:val="1"/>
      <w:marLeft w:val="0"/>
      <w:marRight w:val="0"/>
      <w:marTop w:val="0"/>
      <w:marBottom w:val="0"/>
      <w:divBdr>
        <w:top w:val="none" w:sz="0" w:space="0" w:color="auto"/>
        <w:left w:val="none" w:sz="0" w:space="0" w:color="auto"/>
        <w:bottom w:val="none" w:sz="0" w:space="0" w:color="auto"/>
        <w:right w:val="none" w:sz="0" w:space="0" w:color="auto"/>
      </w:divBdr>
    </w:div>
    <w:div w:id="1562786622">
      <w:bodyDiv w:val="1"/>
      <w:marLeft w:val="0"/>
      <w:marRight w:val="0"/>
      <w:marTop w:val="0"/>
      <w:marBottom w:val="0"/>
      <w:divBdr>
        <w:top w:val="none" w:sz="0" w:space="0" w:color="auto"/>
        <w:left w:val="none" w:sz="0" w:space="0" w:color="auto"/>
        <w:bottom w:val="none" w:sz="0" w:space="0" w:color="auto"/>
        <w:right w:val="none" w:sz="0" w:space="0" w:color="auto"/>
      </w:divBdr>
    </w:div>
    <w:div w:id="1565220111">
      <w:bodyDiv w:val="1"/>
      <w:marLeft w:val="0"/>
      <w:marRight w:val="0"/>
      <w:marTop w:val="0"/>
      <w:marBottom w:val="0"/>
      <w:divBdr>
        <w:top w:val="none" w:sz="0" w:space="0" w:color="auto"/>
        <w:left w:val="none" w:sz="0" w:space="0" w:color="auto"/>
        <w:bottom w:val="none" w:sz="0" w:space="0" w:color="auto"/>
        <w:right w:val="none" w:sz="0" w:space="0" w:color="auto"/>
      </w:divBdr>
    </w:div>
    <w:div w:id="1899974145">
      <w:bodyDiv w:val="1"/>
      <w:marLeft w:val="0"/>
      <w:marRight w:val="0"/>
      <w:marTop w:val="0"/>
      <w:marBottom w:val="0"/>
      <w:divBdr>
        <w:top w:val="none" w:sz="0" w:space="0" w:color="auto"/>
        <w:left w:val="none" w:sz="0" w:space="0" w:color="auto"/>
        <w:bottom w:val="none" w:sz="0" w:space="0" w:color="auto"/>
        <w:right w:val="none" w:sz="0" w:space="0" w:color="auto"/>
      </w:divBdr>
    </w:div>
    <w:div w:id="1923105986">
      <w:bodyDiv w:val="1"/>
      <w:marLeft w:val="0"/>
      <w:marRight w:val="0"/>
      <w:marTop w:val="0"/>
      <w:marBottom w:val="0"/>
      <w:divBdr>
        <w:top w:val="none" w:sz="0" w:space="0" w:color="auto"/>
        <w:left w:val="none" w:sz="0" w:space="0" w:color="auto"/>
        <w:bottom w:val="none" w:sz="0" w:space="0" w:color="auto"/>
        <w:right w:val="none" w:sz="0" w:space="0" w:color="auto"/>
      </w:divBdr>
    </w:div>
    <w:div w:id="2083067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cmartinez@reprorights.org" TargetMode="External"/><Relationship Id="rId18" Type="http://schemas.openxmlformats.org/officeDocument/2006/relationships/footer" Target="footer2.xml"/><Relationship Id="rId3" Type="http://schemas.openxmlformats.org/officeDocument/2006/relationships/customXml" Target="../customXml/item2.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footer" Target="footer1.xml"/><Relationship Id="rId2" Type="http://schemas.openxmlformats.org/officeDocument/2006/relationships/customXml" Target="../customXml/item1.xml"/><Relationship Id="rId16" Type="http://schemas.openxmlformats.org/officeDocument/2006/relationships/header" Target="header1.xml"/><Relationship Id="rId20" Type="http://schemas.openxmlformats.org/officeDocument/2006/relationships/footer" Target="footer3.xml"/><Relationship Id="rId1" Type="http://schemas.microsoft.com/office/2006/relationships/keyMapCustomizations" Target="customizations.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4.xml"/><Relationship Id="rId15" Type="http://schemas.openxmlformats.org/officeDocument/2006/relationships/hyperlink" Target="mailto:saragarciagross@gmail.com" TargetMode="External"/><Relationship Id="rId10" Type="http://schemas.openxmlformats.org/officeDocument/2006/relationships/footnotes" Target="footnotes.xml"/><Relationship Id="rId19" Type="http://schemas.openxmlformats.org/officeDocument/2006/relationships/header" Target="header2.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hyperlink" Target="mailto:acoll@reprorights.org" TargetMode="External"/><Relationship Id="rId22" Type="http://schemas.openxmlformats.org/officeDocument/2006/relationships/theme" Target="theme/theme1.xml"/></Relationships>
</file>

<file path=word/_rels/endnotes.xml.rels><?xml version="1.0" encoding="UTF-8" standalone="yes"?>
<Relationships xmlns="http://schemas.openxmlformats.org/package/2006/relationships"><Relationship Id="rId8" Type="http://schemas.openxmlformats.org/officeDocument/2006/relationships/hyperlink" Target="https://www.guttmacher.org/sites/default/files/factsheet/fs-aww-lac-es.pdf" TargetMode="External"/><Relationship Id="rId13" Type="http://schemas.openxmlformats.org/officeDocument/2006/relationships/hyperlink" Target="https://twitter.com/SaludSV/status/1098633536804929536" TargetMode="External"/><Relationship Id="rId18" Type="http://schemas.openxmlformats.org/officeDocument/2006/relationships/hyperlink" Target="https://agrupacionciudadana.org/download/del-hospital-a-la-carcel-consecuencias-para-las-mujeres-por-la-penalizacion-sin-excepciones-de-la-interrupcion-del-embarazo-en-el-salvador/?wpdmdl=130&amp;ind=1548617048843" TargetMode="External"/><Relationship Id="rId26" Type="http://schemas.openxmlformats.org/officeDocument/2006/relationships/hyperlink" Target="https://www.unwomen.org/-/media/headquarters/attachments/sections/library/publications/2020/brief-covid-19-and-essential-services-provision-for-survivors-of-violence-against-women-and-girls-en.pdf?la=en&amp;vs=3834" TargetMode="External"/><Relationship Id="rId3" Type="http://schemas.openxmlformats.org/officeDocument/2006/relationships/hyperlink" Target="http://www.oas.org/en/iachr/media_center/PReleases/2019/335.asp" TargetMode="External"/><Relationship Id="rId21" Type="http://schemas.openxmlformats.org/officeDocument/2006/relationships/hyperlink" Target="https://www.un.org/sites/un2.un.org/files/policy_brief_on_covid_impact_on_women_9_apr_2020_updated.pdf" TargetMode="External"/><Relationship Id="rId7" Type="http://schemas.openxmlformats.org/officeDocument/2006/relationships/hyperlink" Target="https://www.amnesty.be/IMG/pdf/salvador.pdf" TargetMode="External"/><Relationship Id="rId12" Type="http://schemas.openxmlformats.org/officeDocument/2006/relationships/hyperlink" Target="http://www.odselsalvador.gob.sv/wp-content/uploads/2019/05/Informe_ODS-1.pdf" TargetMode="External"/><Relationship Id="rId17" Type="http://schemas.openxmlformats.org/officeDocument/2006/relationships/hyperlink" Target="https://sv.boell.org/es/2020/05/28/se-registran-3979-inscripciones-de-embarazo-en-ninas-y-adolescentes-en-los-primeros-tres" TargetMode="External"/><Relationship Id="rId25" Type="http://schemas.openxmlformats.org/officeDocument/2006/relationships/hyperlink" Target="http://www.oas.org/es/cim/docs/COVID-19-RespuestasViolencia-EN.pdf" TargetMode="External"/><Relationship Id="rId2" Type="http://schemas.openxmlformats.org/officeDocument/2006/relationships/hyperlink" Target="http://www.asamblea.gob.sv/eparlamento/indice-legislativo/buscador-de-documentos-legislativos/constitucion-de-larepublica" TargetMode="External"/><Relationship Id="rId16" Type="http://schemas.openxmlformats.org/officeDocument/2006/relationships/hyperlink" Target="https://apps.who.int/gho/data/node.main.REPADO39?lang=en" TargetMode="External"/><Relationship Id="rId20" Type="http://schemas.openxmlformats.org/officeDocument/2006/relationships/hyperlink" Target="http://www.oas.org/es/cim/docs/COVID-19-RespuestasViolencia-EN.pdf" TargetMode="External"/><Relationship Id="rId1" Type="http://schemas.openxmlformats.org/officeDocument/2006/relationships/hyperlink" Target="https://www.oas.org/dil/esp/Codigo_Penal_El_Salvador.pdf" TargetMode="External"/><Relationship Id="rId6" Type="http://schemas.openxmlformats.org/officeDocument/2006/relationships/hyperlink" Target="https://www.corteidh.or.cr/docs/casos/articulos/seriec_441_esp.pdf" TargetMode="External"/><Relationship Id="rId11" Type="http://schemas.openxmlformats.org/officeDocument/2006/relationships/hyperlink" Target="http://www.oas.org/en/iachr/docs/annual/2018/docs/IA2018cap4A-en.pdf" TargetMode="External"/><Relationship Id="rId24" Type="http://schemas.openxmlformats.org/officeDocument/2006/relationships/hyperlink" Target="https://www.unfpa.org/sites/default/files/resource-pdf/COVID-19_Preparedness_and_Response_-_UNFPA_Interim_Technical_Briefs_Contraceptices_and_Medical_Supplies_23_March.pdf" TargetMode="External"/><Relationship Id="rId5" Type="http://schemas.openxmlformats.org/officeDocument/2006/relationships/hyperlink" Target="https://reproductiverights.org/sites/default/files/documents/El-Salvador-CriminalizationOfAbortion-Report.pdf" TargetMode="External"/><Relationship Id="rId15" Type="http://schemas.openxmlformats.org/officeDocument/2006/relationships/hyperlink" Target="https://www.paho.org/els/index.php?option=com_content&amp;view=article&amp;id=527:naciones-unidas-llama-proteger-ninas-adolescentes-mujeres-ante-violencia&amp;Itemid=291%20" TargetMode="External"/><Relationship Id="rId23" Type="http://schemas.openxmlformats.org/officeDocument/2006/relationships/hyperlink" Target="https://www.oas.org/en/iachr/media_center/PReleases/2020/074.asp" TargetMode="External"/><Relationship Id="rId10" Type="http://schemas.openxmlformats.org/officeDocument/2006/relationships/hyperlink" Target="https://www.guttmacher.org/sites/default/files/factsheet/fs-aww-lac-es.pdf" TargetMode="External"/><Relationship Id="rId19" Type="http://schemas.openxmlformats.org/officeDocument/2006/relationships/hyperlink" Target="http://www.oas.org/es/cim/docs/COVID-19-RespuestasViolencia-EN.pdf" TargetMode="External"/><Relationship Id="rId4" Type="http://schemas.openxmlformats.org/officeDocument/2006/relationships/hyperlink" Target="http://www.oas.org/en/iachr/media_center/PReleases/2019/335.asp" TargetMode="External"/><Relationship Id="rId9" Type="http://schemas.openxmlformats.org/officeDocument/2006/relationships/hyperlink" Target="https://www.guttmacher.org/sites/default/files/factsheet/fs-aww-lac-es.pdf" TargetMode="External"/><Relationship Id="rId14" Type="http://schemas.openxmlformats.org/officeDocument/2006/relationships/hyperlink" Target="https://agrupacionciudadana.org/download/del-hospital-a-la-carcel-consecuencias-para-las-mujeres-por-la-penalizacion-sin-excepciones-de-la-interrupcion-del-embarazo-en-el-salvador/?wpdmdl=130&amp;ind=1548617048843" TargetMode="External"/><Relationship Id="rId22" Type="http://schemas.openxmlformats.org/officeDocument/2006/relationships/hyperlink" Target="https://www2.unwomen.org/-/media/field%20office%20americas/documentos/publicaciones/2020/03/briefing%20coronavirusv1117032020.pdf?la=es&amp;vs=930" TargetMode="External"/><Relationship Id="rId27" Type="http://schemas.openxmlformats.org/officeDocument/2006/relationships/hyperlink" Target="https://www.insightcrime.org/news/analysis/unbelievable-hell-inside-el-salvador-prison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5CD09A-57B8-45C4-9E76-4C89C1C36DE7}">
  <ds:schemaRefs>
    <ds:schemaRef ds:uri="http://schemas.microsoft.com/sharepoint/v3/contenttype/forms"/>
  </ds:schemaRefs>
</ds:datastoreItem>
</file>

<file path=customXml/itemProps2.xml><?xml version="1.0" encoding="utf-8"?>
<ds:datastoreItem xmlns:ds="http://schemas.openxmlformats.org/officeDocument/2006/customXml" ds:itemID="{F7F7C7EC-49A4-4226-A1CF-F2DF0CD8C6C7}"/>
</file>

<file path=customXml/itemProps3.xml><?xml version="1.0" encoding="utf-8"?>
<ds:datastoreItem xmlns:ds="http://schemas.openxmlformats.org/officeDocument/2006/customXml" ds:itemID="{E5211EDF-01BD-4DF6-9782-DA8746FA9787}">
  <ds:schemaRefs>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http://purl.org/dc/dcmitype/"/>
    <ds:schemaRef ds:uri="http://purl.org/dc/terms/"/>
    <ds:schemaRef ds:uri="http://schemas.microsoft.com/office/infopath/2007/PartnerControls"/>
    <ds:schemaRef ds:uri="00beebf4-22c1-4b20-bb3e-7c58ee9318cc"/>
    <ds:schemaRef ds:uri="899c5785-fa8d-446c-ba53-88c6640d582c"/>
    <ds:schemaRef ds:uri="http://www.w3.org/XML/1998/namespace"/>
  </ds:schemaRefs>
</ds:datastoreItem>
</file>

<file path=customXml/itemProps4.xml><?xml version="1.0" encoding="utf-8"?>
<ds:datastoreItem xmlns:ds="http://schemas.openxmlformats.org/officeDocument/2006/customXml" ds:itemID="{D6E489CB-4FC6-4154-BC3E-95A8F34B1ADD}">
  <ds:schemaRefs>
    <ds:schemaRef ds:uri="http://schemas.openxmlformats.org/officeDocument/2006/bibliography"/>
  </ds:schemaRefs>
</ds:datastoreItem>
</file>

<file path=docMetadata/LabelInfo.xml><?xml version="1.0" encoding="utf-8"?>
<clbl:labelList xmlns:clbl="http://schemas.microsoft.com/office/2020/mipLabelMetadata">
  <clbl:label id="{e5451579-057a-4682-9656-b9548f94b665}" enabled="0" method="" siteId="{e5451579-057a-4682-9656-b9548f94b665}" removed="1"/>
</clbl:labelList>
</file>

<file path=docProps/app.xml><?xml version="1.0" encoding="utf-8"?>
<Properties xmlns="http://schemas.openxmlformats.org/officeDocument/2006/extended-properties" xmlns:vt="http://schemas.openxmlformats.org/officeDocument/2006/docPropsVTypes">
  <Template>Normal.dotm</Template>
  <TotalTime>0</TotalTime>
  <Pages>7</Pages>
  <Words>6961</Words>
  <Characters>39678</Characters>
  <Application>Microsoft Office Word</Application>
  <DocSecurity>0</DocSecurity>
  <Lines>330</Lines>
  <Paragraphs>93</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46546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Alejandra Coll</dc:creator>
  <cp:keywords>, docId:3C3D35D5E52FBFE07539172CB580A0C6</cp:keywords>
  <cp:lastModifiedBy>REYNAUD Céline</cp:lastModifiedBy>
  <cp:revision>2</cp:revision>
  <cp:lastPrinted>2020-08-11T01:43:00Z</cp:lastPrinted>
  <dcterms:created xsi:type="dcterms:W3CDTF">2022-08-30T12:40:00Z</dcterms:created>
  <dcterms:modified xsi:type="dcterms:W3CDTF">2022-08-30T12:40:00Z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