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2397C" w:rsidRDefault="0082397C">
      <w:pPr>
        <w:rPr>
          <w:b/>
          <w:sz w:val="40"/>
          <w:szCs w:val="40"/>
        </w:rPr>
      </w:pPr>
    </w:p>
    <w:p w14:paraId="00000002" w14:textId="77777777" w:rsidR="0082397C" w:rsidRDefault="0082397C"/>
    <w:p w14:paraId="00000003" w14:textId="77777777" w:rsidR="0082397C" w:rsidRDefault="0082397C"/>
    <w:p w14:paraId="4DD2538B" w14:textId="77777777" w:rsidR="0034188F" w:rsidRDefault="0034188F" w:rsidP="0034188F">
      <w:pPr>
        <w:jc w:val="center"/>
        <w:rPr>
          <w:rFonts w:ascii="Times New Roman" w:eastAsia="Times New Roman" w:hAnsi="Times New Roman" w:cs="Times New Roman"/>
          <w:sz w:val="30"/>
          <w:szCs w:val="30"/>
        </w:rPr>
      </w:pPr>
      <w:bookmarkStart w:id="0" w:name="_cyh0tt6rvpoo" w:colFirst="0" w:colLast="0"/>
      <w:bookmarkEnd w:id="0"/>
    </w:p>
    <w:p w14:paraId="47939362" w14:textId="77777777" w:rsidR="0034188F" w:rsidRDefault="0034188F" w:rsidP="0034188F">
      <w:pPr>
        <w:jc w:val="center"/>
        <w:rPr>
          <w:rFonts w:ascii="Times New Roman" w:eastAsia="Times New Roman" w:hAnsi="Times New Roman" w:cs="Times New Roman"/>
          <w:sz w:val="30"/>
          <w:szCs w:val="30"/>
        </w:rPr>
      </w:pPr>
    </w:p>
    <w:p w14:paraId="5F9D3C6B" w14:textId="77777777" w:rsidR="0034188F" w:rsidRDefault="0034188F" w:rsidP="0034188F">
      <w:pPr>
        <w:jc w:val="center"/>
        <w:rPr>
          <w:rFonts w:ascii="Times New Roman" w:eastAsia="Times New Roman" w:hAnsi="Times New Roman" w:cs="Times New Roman"/>
          <w:sz w:val="30"/>
          <w:szCs w:val="30"/>
        </w:rPr>
      </w:pPr>
    </w:p>
    <w:p w14:paraId="5F993FB9" w14:textId="0389FC35" w:rsidR="0034188F" w:rsidRPr="0034188F" w:rsidRDefault="0034188F" w:rsidP="0034188F">
      <w:pPr>
        <w:jc w:val="center"/>
        <w:rPr>
          <w:rFonts w:ascii="Times New Roman" w:eastAsia="Times New Roman" w:hAnsi="Times New Roman" w:cs="Times New Roman"/>
          <w:sz w:val="40"/>
          <w:szCs w:val="40"/>
        </w:rPr>
      </w:pPr>
      <w:r w:rsidRPr="0034188F">
        <w:rPr>
          <w:rFonts w:ascii="Times New Roman" w:eastAsia="Times New Roman" w:hAnsi="Times New Roman" w:cs="Times New Roman"/>
          <w:sz w:val="40"/>
          <w:szCs w:val="40"/>
        </w:rPr>
        <w:t>Submission to the 88th CEDAW Session</w:t>
      </w:r>
    </w:p>
    <w:p w14:paraId="328A7AFF" w14:textId="5967DE2B" w:rsidR="0034188F" w:rsidRDefault="0034188F" w:rsidP="0034188F">
      <w:pPr>
        <w:jc w:val="center"/>
        <w:rPr>
          <w:rFonts w:ascii="Times New Roman" w:eastAsia="Times New Roman" w:hAnsi="Times New Roman" w:cs="Times New Roman"/>
          <w:sz w:val="40"/>
          <w:szCs w:val="40"/>
        </w:rPr>
      </w:pPr>
      <w:r w:rsidRPr="0034188F">
        <w:rPr>
          <w:rFonts w:ascii="Times New Roman" w:eastAsia="Times New Roman" w:hAnsi="Times New Roman" w:cs="Times New Roman"/>
          <w:sz w:val="40"/>
          <w:szCs w:val="40"/>
        </w:rPr>
        <w:t>May 2024</w:t>
      </w:r>
    </w:p>
    <w:p w14:paraId="17B71FC6" w14:textId="4A036EE0" w:rsidR="0034188F" w:rsidRPr="0034188F" w:rsidRDefault="0034188F" w:rsidP="0034188F">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MALAYSIA</w:t>
      </w:r>
    </w:p>
    <w:p w14:paraId="059D676D" w14:textId="77777777" w:rsidR="0034188F" w:rsidRPr="0034188F" w:rsidRDefault="0034188F" w:rsidP="0034188F">
      <w:pPr>
        <w:jc w:val="center"/>
        <w:rPr>
          <w:rFonts w:ascii="Times New Roman" w:eastAsia="Times New Roman" w:hAnsi="Times New Roman" w:cs="Times New Roman"/>
          <w:sz w:val="24"/>
          <w:szCs w:val="24"/>
        </w:rPr>
      </w:pPr>
    </w:p>
    <w:p w14:paraId="7891BBBA" w14:textId="77777777" w:rsidR="0034188F" w:rsidRDefault="0034188F" w:rsidP="0034188F">
      <w:pPr>
        <w:jc w:val="center"/>
        <w:rPr>
          <w:rFonts w:ascii="Times New Roman" w:eastAsia="Times New Roman" w:hAnsi="Times New Roman" w:cs="Times New Roman"/>
          <w:b/>
          <w:sz w:val="60"/>
          <w:szCs w:val="60"/>
        </w:rPr>
      </w:pPr>
    </w:p>
    <w:p w14:paraId="39483D73" w14:textId="1C28223A" w:rsidR="0034188F" w:rsidRDefault="0034188F" w:rsidP="0034188F">
      <w:pPr>
        <w:jc w:val="center"/>
        <w:rPr>
          <w:rFonts w:ascii="Times New Roman" w:eastAsia="Times New Roman" w:hAnsi="Times New Roman" w:cs="Times New Roman"/>
          <w:b/>
          <w:sz w:val="70"/>
          <w:szCs w:val="70"/>
        </w:rPr>
      </w:pPr>
      <w:r w:rsidRPr="0034188F">
        <w:rPr>
          <w:rFonts w:ascii="Times New Roman" w:eastAsia="Times New Roman" w:hAnsi="Times New Roman" w:cs="Times New Roman"/>
          <w:b/>
          <w:sz w:val="70"/>
          <w:szCs w:val="70"/>
        </w:rPr>
        <w:t>Women and Climate Crisis in Peninsula Malaysia</w:t>
      </w:r>
    </w:p>
    <w:p w14:paraId="1C386C35" w14:textId="77777777" w:rsidR="0034188F" w:rsidRPr="0034188F" w:rsidRDefault="0034188F" w:rsidP="0034188F">
      <w:pPr>
        <w:jc w:val="center"/>
        <w:rPr>
          <w:rFonts w:ascii="Times New Roman" w:eastAsia="Times New Roman" w:hAnsi="Times New Roman" w:cs="Times New Roman"/>
          <w:b/>
          <w:sz w:val="70"/>
          <w:szCs w:val="70"/>
        </w:rPr>
      </w:pPr>
    </w:p>
    <w:p w14:paraId="7A64C94C" w14:textId="77777777" w:rsidR="0034188F" w:rsidRPr="0034188F" w:rsidRDefault="0034188F" w:rsidP="0034188F">
      <w:pPr>
        <w:spacing w:before="240" w:after="240"/>
        <w:jc w:val="center"/>
        <w:rPr>
          <w:rFonts w:ascii="Times New Roman" w:eastAsia="Times New Roman" w:hAnsi="Times New Roman" w:cs="Times New Roman"/>
          <w:sz w:val="30"/>
          <w:szCs w:val="30"/>
        </w:rPr>
      </w:pPr>
      <w:r w:rsidRPr="0034188F">
        <w:rPr>
          <w:rFonts w:ascii="Times New Roman" w:eastAsia="Times New Roman" w:hAnsi="Times New Roman" w:cs="Times New Roman"/>
          <w:sz w:val="30"/>
          <w:szCs w:val="30"/>
        </w:rPr>
        <w:t xml:space="preserve">Submitted by </w:t>
      </w:r>
      <w:r w:rsidRPr="0034188F">
        <w:rPr>
          <w:rFonts w:ascii="Times New Roman" w:eastAsia="Times New Roman" w:hAnsi="Times New Roman" w:cs="Times New Roman"/>
          <w:b/>
          <w:sz w:val="30"/>
          <w:szCs w:val="30"/>
        </w:rPr>
        <w:t>Klima Action Malaysia - KAMY</w:t>
      </w:r>
      <w:r w:rsidRPr="0034188F">
        <w:rPr>
          <w:rFonts w:ascii="Times New Roman" w:eastAsia="Times New Roman" w:hAnsi="Times New Roman" w:cs="Times New Roman"/>
          <w:b/>
          <w:sz w:val="30"/>
          <w:szCs w:val="30"/>
          <w:vertAlign w:val="superscript"/>
        </w:rPr>
        <w:footnoteReference w:id="1"/>
      </w:r>
      <w:r w:rsidRPr="0034188F">
        <w:rPr>
          <w:rFonts w:ascii="Times New Roman" w:eastAsia="Times New Roman" w:hAnsi="Times New Roman" w:cs="Times New Roman"/>
          <w:sz w:val="30"/>
          <w:szCs w:val="30"/>
        </w:rPr>
        <w:t xml:space="preserve"> on 15th April 2024</w:t>
      </w:r>
    </w:p>
    <w:p w14:paraId="00000007" w14:textId="1ED9F84A" w:rsidR="0082397C" w:rsidRPr="0034188F" w:rsidRDefault="0034188F" w:rsidP="0034188F">
      <w:pPr>
        <w:jc w:val="center"/>
        <w:rPr>
          <w:rFonts w:ascii="Times New Roman" w:eastAsia="Times New Roman" w:hAnsi="Times New Roman" w:cs="Times New Roman"/>
          <w:sz w:val="30"/>
          <w:szCs w:val="30"/>
        </w:rPr>
      </w:pPr>
      <w:r w:rsidRPr="0034188F">
        <w:rPr>
          <w:rFonts w:ascii="Times New Roman" w:eastAsia="Times New Roman" w:hAnsi="Times New Roman" w:cs="Times New Roman"/>
          <w:sz w:val="30"/>
          <w:szCs w:val="30"/>
        </w:rPr>
        <w:t>This document can be published on the OHCHR website for CEDAW.</w:t>
      </w:r>
    </w:p>
    <w:p w14:paraId="00000008" w14:textId="77777777" w:rsidR="0082397C" w:rsidRDefault="0082397C">
      <w:pPr>
        <w:jc w:val="both"/>
        <w:rPr>
          <w:rFonts w:ascii="Times New Roman" w:eastAsia="Times New Roman" w:hAnsi="Times New Roman" w:cs="Times New Roman"/>
          <w:sz w:val="24"/>
          <w:szCs w:val="24"/>
        </w:rPr>
      </w:pPr>
    </w:p>
    <w:p w14:paraId="00000009" w14:textId="77777777" w:rsidR="0082397C" w:rsidRDefault="0082397C">
      <w:pPr>
        <w:jc w:val="both"/>
        <w:rPr>
          <w:rFonts w:ascii="Times New Roman" w:eastAsia="Times New Roman" w:hAnsi="Times New Roman" w:cs="Times New Roman"/>
          <w:sz w:val="24"/>
          <w:szCs w:val="24"/>
        </w:rPr>
      </w:pPr>
    </w:p>
    <w:p w14:paraId="0000000A" w14:textId="77777777" w:rsidR="0082397C" w:rsidRDefault="0082397C">
      <w:pPr>
        <w:jc w:val="both"/>
        <w:rPr>
          <w:rFonts w:ascii="Times New Roman" w:eastAsia="Times New Roman" w:hAnsi="Times New Roman" w:cs="Times New Roman"/>
          <w:sz w:val="24"/>
          <w:szCs w:val="24"/>
        </w:rPr>
      </w:pPr>
    </w:p>
    <w:p w14:paraId="0000000B" w14:textId="77777777" w:rsidR="0082397C" w:rsidRDefault="0082397C">
      <w:pPr>
        <w:jc w:val="both"/>
        <w:rPr>
          <w:rFonts w:ascii="Times New Roman" w:eastAsia="Times New Roman" w:hAnsi="Times New Roman" w:cs="Times New Roman"/>
          <w:sz w:val="24"/>
          <w:szCs w:val="24"/>
        </w:rPr>
      </w:pPr>
    </w:p>
    <w:p w14:paraId="0000000C" w14:textId="77777777" w:rsidR="0082397C" w:rsidRDefault="0082397C">
      <w:pPr>
        <w:jc w:val="both"/>
        <w:rPr>
          <w:rFonts w:ascii="Times New Roman" w:eastAsia="Times New Roman" w:hAnsi="Times New Roman" w:cs="Times New Roman"/>
          <w:sz w:val="24"/>
          <w:szCs w:val="24"/>
        </w:rPr>
      </w:pPr>
    </w:p>
    <w:p w14:paraId="0000000D" w14:textId="77777777" w:rsidR="0082397C" w:rsidRDefault="0082397C">
      <w:pPr>
        <w:jc w:val="both"/>
        <w:rPr>
          <w:rFonts w:ascii="Times New Roman" w:eastAsia="Times New Roman" w:hAnsi="Times New Roman" w:cs="Times New Roman"/>
          <w:sz w:val="24"/>
          <w:szCs w:val="24"/>
        </w:rPr>
      </w:pPr>
    </w:p>
    <w:p w14:paraId="0000000E" w14:textId="77777777" w:rsidR="0082397C" w:rsidRDefault="0082397C">
      <w:pPr>
        <w:jc w:val="both"/>
        <w:rPr>
          <w:rFonts w:ascii="Times New Roman" w:eastAsia="Times New Roman" w:hAnsi="Times New Roman" w:cs="Times New Roman"/>
          <w:sz w:val="24"/>
          <w:szCs w:val="24"/>
        </w:rPr>
      </w:pPr>
    </w:p>
    <w:p w14:paraId="0000000F" w14:textId="77777777" w:rsidR="0082397C" w:rsidRDefault="0082397C">
      <w:pPr>
        <w:jc w:val="both"/>
        <w:rPr>
          <w:rFonts w:ascii="Times New Roman" w:eastAsia="Times New Roman" w:hAnsi="Times New Roman" w:cs="Times New Roman"/>
          <w:sz w:val="24"/>
          <w:szCs w:val="24"/>
        </w:rPr>
      </w:pPr>
    </w:p>
    <w:p w14:paraId="00000010" w14:textId="77777777" w:rsidR="0082397C" w:rsidRDefault="0082397C">
      <w:pPr>
        <w:jc w:val="both"/>
        <w:rPr>
          <w:rFonts w:ascii="Times New Roman" w:eastAsia="Times New Roman" w:hAnsi="Times New Roman" w:cs="Times New Roman"/>
          <w:sz w:val="24"/>
          <w:szCs w:val="24"/>
        </w:rPr>
      </w:pPr>
    </w:p>
    <w:p w14:paraId="0000001C" w14:textId="77777777" w:rsidR="0082397C" w:rsidRDefault="00000000">
      <w:pPr>
        <w:pStyle w:val="Heading2"/>
        <w:jc w:val="both"/>
        <w:rPr>
          <w:rFonts w:ascii="Times New Roman" w:eastAsia="Times New Roman" w:hAnsi="Times New Roman" w:cs="Times New Roman"/>
          <w:b/>
        </w:rPr>
      </w:pPr>
      <w:bookmarkStart w:id="1" w:name="_wbq75c2pow91" w:colFirst="0" w:colLast="0"/>
      <w:bookmarkEnd w:id="1"/>
      <w:r>
        <w:rPr>
          <w:rFonts w:ascii="Times New Roman" w:eastAsia="Times New Roman" w:hAnsi="Times New Roman" w:cs="Times New Roman"/>
          <w:b/>
        </w:rPr>
        <w:lastRenderedPageBreak/>
        <w:t>Introduction</w:t>
      </w:r>
    </w:p>
    <w:p w14:paraId="0000001D" w14:textId="77777777" w:rsidR="0082397C" w:rsidRDefault="0082397C">
      <w:pPr>
        <w:jc w:val="both"/>
        <w:rPr>
          <w:rFonts w:ascii="Times New Roman" w:eastAsia="Times New Roman" w:hAnsi="Times New Roman" w:cs="Times New Roman"/>
        </w:rPr>
      </w:pPr>
    </w:p>
    <w:p w14:paraId="0000001E" w14:textId="751AE114" w:rsidR="0082397C"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General Recommendation No. 37 highlights the structural challenges exacerbating gender inequities during climate disasters. Despite Malaysia's commitment to the Paris Agreement and participation in the Conference of the Parties (COP) and Commission on the Status of Women (CSW), its efforts to address the intersection of climate </w:t>
      </w:r>
      <w:r w:rsidR="00390994">
        <w:rPr>
          <w:rFonts w:ascii="Times New Roman" w:eastAsia="Times New Roman" w:hAnsi="Times New Roman" w:cs="Times New Roman"/>
        </w:rPr>
        <w:t>change</w:t>
      </w:r>
      <w:r>
        <w:rPr>
          <w:rFonts w:ascii="Times New Roman" w:eastAsia="Times New Roman" w:hAnsi="Times New Roman" w:cs="Times New Roman"/>
        </w:rPr>
        <w:t xml:space="preserve"> and women's rights are lacking. Malaysia's sixth CEDAW report overlooks the climate crisis's disproportionate impact on women, especially those marginalised, impeding substantive equality. To adhere to CEDAW Articles 1 and 3, Malaysia must integrate strategies promoting a safe, clean, and healthy environment to advance gender equality amid climate challenges.</w:t>
      </w:r>
    </w:p>
    <w:p w14:paraId="0000001F" w14:textId="77777777" w:rsidR="0082397C" w:rsidRDefault="00000000">
      <w:pPr>
        <w:pStyle w:val="Heading3"/>
        <w:jc w:val="both"/>
        <w:rPr>
          <w:rFonts w:ascii="Times New Roman" w:eastAsia="Times New Roman" w:hAnsi="Times New Roman" w:cs="Times New Roman"/>
          <w:b/>
          <w:color w:val="000000"/>
        </w:rPr>
      </w:pPr>
      <w:bookmarkStart w:id="2" w:name="_ejtqgf86i6n8" w:colFirst="0" w:colLast="0"/>
      <w:bookmarkEnd w:id="2"/>
      <w:r>
        <w:rPr>
          <w:rFonts w:ascii="Times New Roman" w:eastAsia="Times New Roman" w:hAnsi="Times New Roman" w:cs="Times New Roman"/>
          <w:b/>
          <w:color w:val="000000"/>
        </w:rPr>
        <w:t>KEY ISSUE 1: Data gap and lack of evidence for gender-mainstreaming climate policies, regulations and legal mechanisms</w:t>
      </w:r>
    </w:p>
    <w:p w14:paraId="00000020" w14:textId="77777777" w:rsidR="0082397C" w:rsidRDefault="0082397C">
      <w:pPr>
        <w:jc w:val="both"/>
        <w:rPr>
          <w:rFonts w:ascii="Times New Roman" w:eastAsia="Times New Roman" w:hAnsi="Times New Roman" w:cs="Times New Roman"/>
        </w:rPr>
      </w:pPr>
    </w:p>
    <w:p w14:paraId="6491FB35" w14:textId="659E7FCA" w:rsidR="002E5EC3" w:rsidRDefault="002E5EC3" w:rsidP="002E5EC3">
      <w:pPr>
        <w:pStyle w:val="NormalWeb"/>
        <w:spacing w:before="0" w:beforeAutospacing="0" w:after="0" w:afterAutospacing="0"/>
        <w:jc w:val="both"/>
      </w:pPr>
      <w:r>
        <w:rPr>
          <w:color w:val="000000"/>
          <w:sz w:val="22"/>
          <w:szCs w:val="22"/>
        </w:rPr>
        <w:t xml:space="preserve">Addressing the intersectionality between women and climate change faces challenges due to a widening data gap. This lack of comprehensive, gender-disaggregated data impairs the understanding of the interaction between these critical areas, resulting in a </w:t>
      </w:r>
      <w:r>
        <w:rPr>
          <w:b/>
          <w:bCs/>
          <w:color w:val="000000"/>
          <w:sz w:val="22"/>
          <w:szCs w:val="22"/>
        </w:rPr>
        <w:t>shortage of robust evidence needed to effectively integrate gender considerations into climate policies, regulations, and legal frameworks</w:t>
      </w:r>
      <w:r>
        <w:rPr>
          <w:color w:val="000000"/>
          <w:sz w:val="22"/>
          <w:szCs w:val="22"/>
        </w:rPr>
        <w:t>. Current data is often fragmented and insufficient, lacking a systematic gender-disaggregated analysis that combines women's perspectives with climate disaster statistics, which hinders holistic evaluations.</w:t>
      </w:r>
    </w:p>
    <w:p w14:paraId="00000022" w14:textId="77777777" w:rsidR="0082397C" w:rsidRDefault="0082397C">
      <w:pPr>
        <w:jc w:val="both"/>
        <w:rPr>
          <w:rFonts w:ascii="Times New Roman" w:eastAsia="Times New Roman" w:hAnsi="Times New Roman" w:cs="Times New Roman"/>
        </w:rPr>
      </w:pPr>
    </w:p>
    <w:p w14:paraId="00000023" w14:textId="4CE17557" w:rsidR="0082397C"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Moreover, the </w:t>
      </w:r>
      <w:r>
        <w:rPr>
          <w:rFonts w:ascii="Times New Roman" w:eastAsia="Times New Roman" w:hAnsi="Times New Roman" w:cs="Times New Roman"/>
          <w:b/>
        </w:rPr>
        <w:t xml:space="preserve">decentralisation </w:t>
      </w:r>
      <w:r>
        <w:rPr>
          <w:rFonts w:ascii="Times New Roman" w:eastAsia="Times New Roman" w:hAnsi="Times New Roman" w:cs="Times New Roman"/>
        </w:rPr>
        <w:t>of these datasets, coupled with limited public data accessibility, poses an additional obstacle for multi-stakeholders, particularly those involved in policy making. The tendency to excessively employ the Official Secrecy Act (OSA)</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xml:space="preserve"> restricts the sharing of data, a valuable resource for policymakers and researchers alike. </w:t>
      </w:r>
      <w:r w:rsidR="002E5EC3" w:rsidRPr="002E5EC3">
        <w:rPr>
          <w:rFonts w:ascii="Times New Roman" w:eastAsia="Times New Roman" w:hAnsi="Times New Roman" w:cs="Times New Roman"/>
        </w:rPr>
        <w:t xml:space="preserve">Furthermore, frequent changes in key positions within Malaysia's environment ministry, due to constant restructuring, contribute to </w:t>
      </w:r>
      <w:r w:rsidR="002E5EC3" w:rsidRPr="002E5EC3">
        <w:rPr>
          <w:rFonts w:ascii="Times New Roman" w:eastAsia="Times New Roman" w:hAnsi="Times New Roman" w:cs="Times New Roman"/>
          <w:b/>
          <w:bCs/>
        </w:rPr>
        <w:t>institutional memory loss</w:t>
      </w:r>
      <w:r w:rsidR="002E5EC3" w:rsidRPr="002E5EC3">
        <w:rPr>
          <w:rFonts w:ascii="Times New Roman" w:eastAsia="Times New Roman" w:hAnsi="Times New Roman" w:cs="Times New Roman"/>
        </w:rPr>
        <w:t>, disrupting the progression of initiatives.</w:t>
      </w:r>
    </w:p>
    <w:p w14:paraId="00000024" w14:textId="77777777" w:rsidR="0082397C" w:rsidRDefault="0082397C">
      <w:pPr>
        <w:jc w:val="both"/>
        <w:rPr>
          <w:rFonts w:ascii="Times New Roman" w:eastAsia="Times New Roman" w:hAnsi="Times New Roman" w:cs="Times New Roman"/>
        </w:rPr>
      </w:pPr>
    </w:p>
    <w:p w14:paraId="00000025" w14:textId="1DBCB158" w:rsidR="0082397C" w:rsidRDefault="00000000" w:rsidP="00FA00E7">
      <w:pPr>
        <w:jc w:val="both"/>
        <w:rPr>
          <w:rFonts w:ascii="Times New Roman" w:eastAsia="Times New Roman" w:hAnsi="Times New Roman" w:cs="Times New Roman"/>
        </w:rPr>
      </w:pPr>
      <w:r>
        <w:rPr>
          <w:rFonts w:ascii="Times New Roman" w:eastAsia="Times New Roman" w:hAnsi="Times New Roman" w:cs="Times New Roman"/>
        </w:rPr>
        <w:t xml:space="preserve">The disregard for Malaysia's Indigenous Peoples' (IP) traditional knowledge, especially that of Indigenous Women (IW) recognised as land custodians in General Recommendation </w:t>
      </w:r>
      <w:r w:rsidR="0010522B">
        <w:rPr>
          <w:rFonts w:ascii="Times New Roman" w:eastAsia="Times New Roman" w:hAnsi="Times New Roman" w:cs="Times New Roman"/>
        </w:rPr>
        <w:t>39, undermines</w:t>
      </w:r>
      <w:r>
        <w:rPr>
          <w:rFonts w:ascii="Times New Roman" w:eastAsia="Times New Roman" w:hAnsi="Times New Roman" w:cs="Times New Roman"/>
        </w:rPr>
        <w:t xml:space="preserve"> valuable resources for policy development and innovation in addressing the triple planetary crisis. Act 134</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xml:space="preserve">, meant to protect Indigenous Peoples’ (IP) rights, fails to safeguard those of Indigenous Women (IW) and is criticised for leaving vital matters under state government jurisdiction. While a review is scheduled for 2024, concerns remain regarding inclusivity and IW protection in the upcoming amendment. </w:t>
      </w:r>
      <w:r w:rsidR="00FA00E7" w:rsidRPr="00FA00E7">
        <w:rPr>
          <w:rFonts w:ascii="Times New Roman" w:eastAsia="Times New Roman" w:hAnsi="Times New Roman" w:cs="Times New Roman"/>
        </w:rPr>
        <w:t>Moreover, agricultural practices of Indigenous women and rural women provide strategies for climate adaptation, such as adjusting to changes in crop yields, soil conditions, and increased pest resilience. However, these contributions are often overlooked and poorly documented.</w:t>
      </w:r>
      <w:r>
        <w:rPr>
          <w:rFonts w:ascii="Times New Roman" w:eastAsia="Times New Roman" w:hAnsi="Times New Roman" w:cs="Times New Roman"/>
        </w:rPr>
        <w:br/>
      </w:r>
      <w:r>
        <w:rPr>
          <w:rFonts w:ascii="Times New Roman" w:eastAsia="Times New Roman" w:hAnsi="Times New Roman" w:cs="Times New Roman"/>
        </w:rPr>
        <w:br/>
      </w:r>
    </w:p>
    <w:p w14:paraId="6A894B45" w14:textId="77777777" w:rsidR="00EA0100" w:rsidRDefault="00EA0100" w:rsidP="00FA00E7">
      <w:pPr>
        <w:jc w:val="both"/>
        <w:rPr>
          <w:rFonts w:ascii="Times New Roman" w:eastAsia="Times New Roman" w:hAnsi="Times New Roman" w:cs="Times New Roman"/>
        </w:rPr>
      </w:pPr>
    </w:p>
    <w:p w14:paraId="00000026" w14:textId="77777777" w:rsidR="0082397C" w:rsidRDefault="0082397C">
      <w:pPr>
        <w:jc w:val="both"/>
        <w:rPr>
          <w:rFonts w:ascii="Times New Roman" w:eastAsia="Times New Roman" w:hAnsi="Times New Roman" w:cs="Times New Roman"/>
        </w:rPr>
      </w:pPr>
    </w:p>
    <w:p w14:paraId="00000027" w14:textId="29E0B487" w:rsidR="0082397C" w:rsidRDefault="00000000">
      <w:pPr>
        <w:jc w:val="both"/>
        <w:rPr>
          <w:rFonts w:ascii="Times New Roman" w:eastAsia="Times New Roman" w:hAnsi="Times New Roman" w:cs="Times New Roman"/>
        </w:rPr>
      </w:pPr>
      <w:r>
        <w:rPr>
          <w:rFonts w:ascii="Times New Roman" w:eastAsia="Times New Roman" w:hAnsi="Times New Roman" w:cs="Times New Roman"/>
        </w:rPr>
        <w:lastRenderedPageBreak/>
        <w:t>The</w:t>
      </w:r>
      <w:r w:rsidR="0010522B">
        <w:rPr>
          <w:rFonts w:ascii="Times New Roman" w:eastAsia="Times New Roman" w:hAnsi="Times New Roman" w:cs="Times New Roman"/>
        </w:rPr>
        <w:t>se</w:t>
      </w:r>
      <w:r>
        <w:rPr>
          <w:rFonts w:ascii="Times New Roman" w:eastAsia="Times New Roman" w:hAnsi="Times New Roman" w:cs="Times New Roman"/>
        </w:rPr>
        <w:t xml:space="preserve"> </w:t>
      </w:r>
      <w:r w:rsidR="0010522B">
        <w:rPr>
          <w:rFonts w:ascii="Times New Roman" w:eastAsia="Times New Roman" w:hAnsi="Times New Roman" w:cs="Times New Roman"/>
        </w:rPr>
        <w:t>gaps</w:t>
      </w:r>
      <w:r>
        <w:rPr>
          <w:rFonts w:ascii="Times New Roman" w:eastAsia="Times New Roman" w:hAnsi="Times New Roman" w:cs="Times New Roman"/>
        </w:rPr>
        <w:t xml:space="preserve"> collectively </w:t>
      </w:r>
      <w:r>
        <w:rPr>
          <w:rFonts w:ascii="Times New Roman" w:eastAsia="Times New Roman" w:hAnsi="Times New Roman" w:cs="Times New Roman"/>
          <w:b/>
        </w:rPr>
        <w:t>impede the timely advancement of effective policies and legal mechanisms in climate governance and women's rights</w:t>
      </w:r>
      <w:r>
        <w:rPr>
          <w:rFonts w:ascii="Times New Roman" w:eastAsia="Times New Roman" w:hAnsi="Times New Roman" w:cs="Times New Roman"/>
        </w:rPr>
        <w:t xml:space="preserve"> contrary to Article 2. This is because there is limited understanding and evidence to inform said policies on top of other logistical challenges such as financing and capacity. Notably, critical policies such as the National Policy on Climate Change</w:t>
      </w:r>
      <w:r>
        <w:rPr>
          <w:rFonts w:ascii="Times New Roman" w:eastAsia="Times New Roman" w:hAnsi="Times New Roman" w:cs="Times New Roman"/>
          <w:vertAlign w:val="superscript"/>
        </w:rPr>
        <w:footnoteReference w:id="4"/>
      </w:r>
      <w:r>
        <w:rPr>
          <w:rFonts w:ascii="Times New Roman" w:eastAsia="Times New Roman" w:hAnsi="Times New Roman" w:cs="Times New Roman"/>
        </w:rPr>
        <w:t xml:space="preserve"> and National Women's Policy and Action Plan</w:t>
      </w:r>
      <w:r>
        <w:rPr>
          <w:rFonts w:ascii="Times New Roman" w:eastAsia="Times New Roman" w:hAnsi="Times New Roman" w:cs="Times New Roman"/>
          <w:vertAlign w:val="superscript"/>
        </w:rPr>
        <w:footnoteReference w:id="5"/>
      </w:r>
      <w:r>
        <w:rPr>
          <w:rFonts w:ascii="Times New Roman" w:eastAsia="Times New Roman" w:hAnsi="Times New Roman" w:cs="Times New Roman"/>
        </w:rPr>
        <w:t xml:space="preserve"> have not been updated since 2009, contributing to a stagnation in progress. Additionally, Malaysia has yet to formulate a National Adaptation Plan or any national legislation on addressing climate change, with the Climate Change Bill drafting process slated to be completed by 2025. Government actions have been primarily mitigation-centric, focusing on developments such as the National Energy Transition Roadmap</w:t>
      </w:r>
      <w:r>
        <w:rPr>
          <w:rFonts w:ascii="Times New Roman" w:eastAsia="Times New Roman" w:hAnsi="Times New Roman" w:cs="Times New Roman"/>
          <w:vertAlign w:val="superscript"/>
        </w:rPr>
        <w:footnoteReference w:id="6"/>
      </w:r>
      <w:r>
        <w:rPr>
          <w:rFonts w:ascii="Times New Roman" w:eastAsia="Times New Roman" w:hAnsi="Times New Roman" w:cs="Times New Roman"/>
        </w:rPr>
        <w:t xml:space="preserve"> (NETR) but it is essential to afford equal attention to adaptation measures. This approach is crucial for enhancing the resilience of women against the multifaceted impacts of climate change, necessitating a comprehensive consideration of the gendered impacts associated with policies regarding adaptation, mitigation and disaster risk reduction. </w:t>
      </w:r>
    </w:p>
    <w:p w14:paraId="00000028" w14:textId="77777777" w:rsidR="0082397C" w:rsidRDefault="0082397C">
      <w:pPr>
        <w:jc w:val="both"/>
        <w:rPr>
          <w:rFonts w:ascii="Times New Roman" w:eastAsia="Times New Roman" w:hAnsi="Times New Roman" w:cs="Times New Roman"/>
        </w:rPr>
      </w:pPr>
    </w:p>
    <w:p w14:paraId="00000029" w14:textId="77777777" w:rsidR="0082397C"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As environmental and climate change policies lag, gender considerations become a secondary challenge, often marginalised under the perception of time constraints or insignificance. Consequently, a poor analysis of the gendered context of climate change and disaster policies is made, the intersectional lens is omitted, and unclear gendered targets are set leading to a lack of accountability mechanisms. The United Nations Framework Convention on Climate Change (UNFCCC) mandates that governments engage the public through a gender-responsive approach, yet the provided response in Malaysia's 2021 revision of the Nationally Determined Contribution (NDC) was vague in its execution. </w:t>
      </w:r>
    </w:p>
    <w:p w14:paraId="0000002A" w14:textId="77777777" w:rsidR="0082397C" w:rsidRDefault="0082397C">
      <w:pPr>
        <w:jc w:val="both"/>
        <w:rPr>
          <w:rFonts w:ascii="Times New Roman" w:eastAsia="Times New Roman" w:hAnsi="Times New Roman" w:cs="Times New Roman"/>
        </w:rPr>
      </w:pPr>
    </w:p>
    <w:p w14:paraId="0000002B" w14:textId="77777777" w:rsidR="0082397C" w:rsidRDefault="00000000">
      <w:pPr>
        <w:jc w:val="both"/>
        <w:rPr>
          <w:rFonts w:ascii="Times New Roman" w:eastAsia="Times New Roman" w:hAnsi="Times New Roman" w:cs="Times New Roman"/>
        </w:rPr>
      </w:pPr>
      <w:r>
        <w:rPr>
          <w:rFonts w:ascii="Times New Roman" w:eastAsia="Times New Roman" w:hAnsi="Times New Roman" w:cs="Times New Roman"/>
        </w:rPr>
        <w:t>Streamlining policies is crucial for aligning national strategies such as the 12th Malaysian Plan with international commitments, including CEDAW and UNFCCC, to promote holistic climate governance and women's rights. Although Malaysia has begun embracing intersectionality, as shown by the Special Rapporteur's participation in the ASEAN Intergovernmental Commission on Human Rights (AICHR) panel on climate change and human rights</w:t>
      </w:r>
      <w:r>
        <w:rPr>
          <w:rFonts w:ascii="Times New Roman" w:eastAsia="Times New Roman" w:hAnsi="Times New Roman" w:cs="Times New Roman"/>
          <w:vertAlign w:val="superscript"/>
        </w:rPr>
        <w:footnoteReference w:id="7"/>
      </w:r>
      <w:r>
        <w:rPr>
          <w:rFonts w:ascii="Times New Roman" w:eastAsia="Times New Roman" w:hAnsi="Times New Roman" w:cs="Times New Roman"/>
        </w:rPr>
        <w:t>, this effort must accelerate and integrate locally.</w:t>
      </w:r>
    </w:p>
    <w:p w14:paraId="0000002C" w14:textId="77777777" w:rsidR="0082397C" w:rsidRDefault="0082397C">
      <w:pPr>
        <w:jc w:val="both"/>
        <w:rPr>
          <w:rFonts w:ascii="Times New Roman" w:eastAsia="Times New Roman" w:hAnsi="Times New Roman" w:cs="Times New Roman"/>
        </w:rPr>
      </w:pPr>
    </w:p>
    <w:p w14:paraId="0000002D" w14:textId="0CCAD316" w:rsidR="0082397C"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The Malaysian delegation's absence in gender discussions at COP28, as analysed through </w:t>
      </w:r>
      <w:r w:rsidR="00FA00E7">
        <w:rPr>
          <w:rFonts w:ascii="Times New Roman" w:eastAsia="Times New Roman" w:hAnsi="Times New Roman" w:cs="Times New Roman"/>
        </w:rPr>
        <w:t>Malaysia’s</w:t>
      </w:r>
      <w:r>
        <w:rPr>
          <w:rFonts w:ascii="Times New Roman" w:eastAsia="Times New Roman" w:hAnsi="Times New Roman" w:cs="Times New Roman"/>
        </w:rPr>
        <w:t xml:space="preserve"> post-COP28 report</w:t>
      </w:r>
      <w:r>
        <w:rPr>
          <w:rFonts w:ascii="Times New Roman" w:eastAsia="Times New Roman" w:hAnsi="Times New Roman" w:cs="Times New Roman"/>
          <w:vertAlign w:val="superscript"/>
        </w:rPr>
        <w:footnoteReference w:id="8"/>
      </w:r>
      <w:r>
        <w:rPr>
          <w:rFonts w:ascii="Times New Roman" w:eastAsia="Times New Roman" w:hAnsi="Times New Roman" w:cs="Times New Roman"/>
        </w:rPr>
        <w:t>, hinders the representation of Malaysian women in all their diversity. Reciprocal engagement would enable Malaysia to learn from countries advanced in gender equality and simultaneously share insights on Malaysian women's experiences, ensuring decisions at international platforms are informed by and relevant to the Malaysian context, thus improving national gender policies.</w:t>
      </w:r>
    </w:p>
    <w:p w14:paraId="0000002E" w14:textId="77777777" w:rsidR="0082397C" w:rsidRDefault="0082397C">
      <w:pPr>
        <w:jc w:val="both"/>
        <w:rPr>
          <w:rFonts w:ascii="Times New Roman" w:eastAsia="Times New Roman" w:hAnsi="Times New Roman" w:cs="Times New Roman"/>
        </w:rPr>
      </w:pPr>
    </w:p>
    <w:p w14:paraId="0000002F" w14:textId="77777777" w:rsidR="0082397C" w:rsidRDefault="00000000">
      <w:pPr>
        <w:jc w:val="both"/>
        <w:rPr>
          <w:rFonts w:ascii="Times New Roman" w:eastAsia="Times New Roman" w:hAnsi="Times New Roman" w:cs="Times New Roman"/>
        </w:rPr>
      </w:pPr>
      <w:r>
        <w:rPr>
          <w:rFonts w:ascii="Times New Roman" w:eastAsia="Times New Roman" w:hAnsi="Times New Roman" w:cs="Times New Roman"/>
        </w:rPr>
        <w:t>A major issue is Malaysia’s lack of gender-responsive indicators aligned with the Lima Work Programme on Gender (LWPG), which widens the implementation gap and limits effective guidance for engaging diverse stakeholders.</w:t>
      </w:r>
      <w:r>
        <w:rPr>
          <w:rFonts w:ascii="Times New Roman" w:eastAsia="Times New Roman" w:hAnsi="Times New Roman" w:cs="Times New Roman"/>
          <w:b/>
        </w:rPr>
        <w:t xml:space="preserve"> This highlights the urgent need to establish a National Gender and Climate Change Focal Point (NGCCFP)</w:t>
      </w:r>
      <w:r>
        <w:rPr>
          <w:rFonts w:ascii="Times New Roman" w:eastAsia="Times New Roman" w:hAnsi="Times New Roman" w:cs="Times New Roman"/>
          <w:vertAlign w:val="superscript"/>
        </w:rPr>
        <w:footnoteReference w:id="9"/>
      </w:r>
      <w:r>
        <w:rPr>
          <w:rFonts w:ascii="Times New Roman" w:eastAsia="Times New Roman" w:hAnsi="Times New Roman" w:cs="Times New Roman"/>
          <w:b/>
        </w:rPr>
        <w:t xml:space="preserve"> under the LWPG, in line with Malaysia's UNFCCC commitments.</w:t>
      </w:r>
      <w:r>
        <w:rPr>
          <w:rFonts w:ascii="Times New Roman" w:eastAsia="Times New Roman" w:hAnsi="Times New Roman" w:cs="Times New Roman"/>
        </w:rPr>
        <w:t xml:space="preserve"> However, Malaysia has not yet appointed an individual to this pivotal role despite having a Gender Focal Point and Gender Focal Team at each of the ministries and agencies alongside the establishment of a Special </w:t>
      </w:r>
      <w:r>
        <w:rPr>
          <w:rFonts w:ascii="Times New Roman" w:eastAsia="Times New Roman" w:hAnsi="Times New Roman" w:cs="Times New Roman"/>
        </w:rPr>
        <w:lastRenderedPageBreak/>
        <w:t>Select Committee on Women, Children, and Community Development</w:t>
      </w:r>
      <w:r>
        <w:rPr>
          <w:rFonts w:ascii="Times New Roman" w:eastAsia="Times New Roman" w:hAnsi="Times New Roman" w:cs="Times New Roman"/>
          <w:vertAlign w:val="superscript"/>
        </w:rPr>
        <w:footnoteReference w:id="10"/>
      </w:r>
      <w:r>
        <w:rPr>
          <w:rFonts w:ascii="Times New Roman" w:eastAsia="Times New Roman" w:hAnsi="Times New Roman" w:cs="Times New Roman"/>
        </w:rPr>
        <w:t>. The NGCCFP, guided by the UNFCCC, must specialise in gender to effectively integrate gender considerations into climate policies and actions, facilitate collaboration across ministries and civil societies, and ensure inclusive participation in public policy formulation as per Article 7. These experts can be equipped to mobilise gender-responsive analysis, planning, programming, and accountable climate change policy implementation, budgeting, and data collection.</w:t>
      </w:r>
    </w:p>
    <w:p w14:paraId="00000030" w14:textId="77777777" w:rsidR="0082397C" w:rsidRDefault="0082397C">
      <w:pPr>
        <w:jc w:val="both"/>
        <w:rPr>
          <w:rFonts w:ascii="Times New Roman" w:eastAsia="Times New Roman" w:hAnsi="Times New Roman" w:cs="Times New Roman"/>
          <w:highlight w:val="yellow"/>
        </w:rPr>
      </w:pPr>
    </w:p>
    <w:p w14:paraId="00000031" w14:textId="77777777" w:rsidR="0082397C" w:rsidRDefault="0082397C">
      <w:pPr>
        <w:jc w:val="both"/>
        <w:rPr>
          <w:rFonts w:ascii="Times New Roman" w:eastAsia="Times New Roman" w:hAnsi="Times New Roman" w:cs="Times New Roman"/>
          <w:highlight w:val="yellow"/>
        </w:rPr>
      </w:pPr>
    </w:p>
    <w:p w14:paraId="00000032" w14:textId="77777777" w:rsidR="0082397C" w:rsidRDefault="00000000">
      <w:pPr>
        <w:pStyle w:val="Heading3"/>
        <w:jc w:val="both"/>
        <w:rPr>
          <w:rFonts w:ascii="Times New Roman" w:eastAsia="Times New Roman" w:hAnsi="Times New Roman" w:cs="Times New Roman"/>
          <w:b/>
          <w:color w:val="000000"/>
        </w:rPr>
      </w:pPr>
      <w:bookmarkStart w:id="3" w:name="_kx2pp9qekjdo" w:colFirst="0" w:colLast="0"/>
      <w:bookmarkEnd w:id="3"/>
      <w:r>
        <w:rPr>
          <w:rFonts w:ascii="Times New Roman" w:eastAsia="Times New Roman" w:hAnsi="Times New Roman" w:cs="Times New Roman"/>
          <w:b/>
          <w:color w:val="000000"/>
        </w:rPr>
        <w:t>KEY ISSUE 2: Direct impacts of climate disasters on women</w:t>
      </w:r>
    </w:p>
    <w:p w14:paraId="00000033" w14:textId="77777777" w:rsidR="0082397C" w:rsidRDefault="0082397C">
      <w:pPr>
        <w:jc w:val="both"/>
        <w:rPr>
          <w:rFonts w:ascii="Times New Roman" w:eastAsia="Times New Roman" w:hAnsi="Times New Roman" w:cs="Times New Roman"/>
        </w:rPr>
      </w:pPr>
    </w:p>
    <w:p w14:paraId="00000034" w14:textId="77777777" w:rsidR="0082397C" w:rsidRDefault="00000000">
      <w:pPr>
        <w:jc w:val="both"/>
        <w:rPr>
          <w:rFonts w:ascii="Times New Roman" w:eastAsia="Times New Roman" w:hAnsi="Times New Roman" w:cs="Times New Roman"/>
          <w:b/>
        </w:rPr>
      </w:pPr>
      <w:r>
        <w:rPr>
          <w:rFonts w:ascii="Times New Roman" w:eastAsia="Times New Roman" w:hAnsi="Times New Roman" w:cs="Times New Roman"/>
          <w:b/>
        </w:rPr>
        <w:t>ARTICLE 12 - HEALTHCARE</w:t>
      </w:r>
    </w:p>
    <w:p w14:paraId="00000035" w14:textId="647E87C1" w:rsidR="0082397C" w:rsidRDefault="00000000">
      <w:pPr>
        <w:jc w:val="both"/>
        <w:rPr>
          <w:rFonts w:ascii="Times New Roman" w:eastAsia="Times New Roman" w:hAnsi="Times New Roman" w:cs="Times New Roman"/>
        </w:rPr>
      </w:pPr>
      <w:r>
        <w:rPr>
          <w:rFonts w:ascii="Times New Roman" w:eastAsia="Times New Roman" w:hAnsi="Times New Roman" w:cs="Times New Roman"/>
        </w:rPr>
        <w:t>Recent climate trends in Malaysia have been severe</w:t>
      </w:r>
      <w:r>
        <w:rPr>
          <w:rFonts w:ascii="Times New Roman" w:eastAsia="Times New Roman" w:hAnsi="Times New Roman" w:cs="Times New Roman"/>
          <w:vertAlign w:val="superscript"/>
        </w:rPr>
        <w:footnoteReference w:id="11"/>
      </w:r>
      <w:r>
        <w:rPr>
          <w:rFonts w:ascii="Times New Roman" w:eastAsia="Times New Roman" w:hAnsi="Times New Roman" w:cs="Times New Roman"/>
        </w:rPr>
        <w:t>. Over four weeks in 2023</w:t>
      </w:r>
      <w:r>
        <w:rPr>
          <w:rFonts w:ascii="Times New Roman" w:eastAsia="Times New Roman" w:hAnsi="Times New Roman" w:cs="Times New Roman"/>
          <w:vertAlign w:val="superscript"/>
        </w:rPr>
        <w:footnoteReference w:id="12"/>
      </w:r>
      <w:r>
        <w:rPr>
          <w:rFonts w:ascii="Times New Roman" w:eastAsia="Times New Roman" w:hAnsi="Times New Roman" w:cs="Times New Roman"/>
        </w:rPr>
        <w:t>, 39 cases of heat-related illnesses</w:t>
      </w:r>
      <w:r w:rsidR="00FA00E7">
        <w:rPr>
          <w:rFonts w:ascii="Times New Roman" w:eastAsia="Times New Roman" w:hAnsi="Times New Roman" w:cs="Times New Roman"/>
        </w:rPr>
        <w:t xml:space="preserve"> were reported</w:t>
      </w:r>
      <w:r>
        <w:rPr>
          <w:rFonts w:ascii="Times New Roman" w:eastAsia="Times New Roman" w:hAnsi="Times New Roman" w:cs="Times New Roman"/>
        </w:rPr>
        <w:t>, including heat exhaustion, heatstroke, and heat cramps, resulted in two child fatalities. The trend continues into 2024</w:t>
      </w:r>
      <w:r>
        <w:rPr>
          <w:rFonts w:ascii="Times New Roman" w:eastAsia="Times New Roman" w:hAnsi="Times New Roman" w:cs="Times New Roman"/>
          <w:vertAlign w:val="superscript"/>
        </w:rPr>
        <w:footnoteReference w:id="13"/>
      </w:r>
      <w:r>
        <w:rPr>
          <w:rFonts w:ascii="Times New Roman" w:eastAsia="Times New Roman" w:hAnsi="Times New Roman" w:cs="Times New Roman"/>
        </w:rPr>
        <w:t>, with 45 heat-related illnesses and two heatstroke deaths reported nationwide between March until April 13. While specific data on the gender distribution of these victims is lacking, studies suggest that women are at a higher risk of hospitalisation due to heatwaves</w:t>
      </w:r>
      <w:r>
        <w:rPr>
          <w:rFonts w:ascii="Times New Roman" w:eastAsia="Times New Roman" w:hAnsi="Times New Roman" w:cs="Times New Roman"/>
          <w:vertAlign w:val="superscript"/>
        </w:rPr>
        <w:footnoteReference w:id="14"/>
      </w:r>
      <w:r>
        <w:rPr>
          <w:rFonts w:ascii="Times New Roman" w:eastAsia="Times New Roman" w:hAnsi="Times New Roman" w:cs="Times New Roman"/>
        </w:rPr>
        <w:t>.</w:t>
      </w:r>
    </w:p>
    <w:p w14:paraId="00000036" w14:textId="77777777" w:rsidR="0082397C" w:rsidRDefault="0082397C">
      <w:pPr>
        <w:jc w:val="both"/>
        <w:rPr>
          <w:rFonts w:ascii="Times New Roman" w:eastAsia="Times New Roman" w:hAnsi="Times New Roman" w:cs="Times New Roman"/>
        </w:rPr>
      </w:pPr>
    </w:p>
    <w:p w14:paraId="00000037" w14:textId="77777777" w:rsidR="0082397C" w:rsidRDefault="00000000">
      <w:pPr>
        <w:jc w:val="both"/>
        <w:rPr>
          <w:rFonts w:ascii="Times New Roman" w:eastAsia="Times New Roman" w:hAnsi="Times New Roman" w:cs="Times New Roman"/>
        </w:rPr>
      </w:pPr>
      <w:r>
        <w:rPr>
          <w:rFonts w:ascii="Times New Roman" w:eastAsia="Times New Roman" w:hAnsi="Times New Roman" w:cs="Times New Roman"/>
        </w:rPr>
        <w:t>Exposure to contaminated water following floods, water pollution or environmental degradation, is a known catalyst for waterborne and vector-borne diseases according to IPCC reports. Case studies</w:t>
      </w:r>
      <w:r>
        <w:rPr>
          <w:rFonts w:ascii="Times New Roman" w:eastAsia="Times New Roman" w:hAnsi="Times New Roman" w:cs="Times New Roman"/>
          <w:vertAlign w:val="superscript"/>
        </w:rPr>
        <w:footnoteReference w:id="15"/>
      </w:r>
      <w:r>
        <w:rPr>
          <w:rFonts w:ascii="Times New Roman" w:eastAsia="Times New Roman" w:hAnsi="Times New Roman" w:cs="Times New Roman"/>
        </w:rPr>
        <w:t xml:space="preserve"> indicate a troubling correlation between river water contamination in indigenous areas and dermatological afflictions speculatively attributed to river pollution from logging, mining and effluents from palm oil processing. Severe mental health issues among women were also noted stemming from the cumulative trauma of enduring climate disasters such as heightened anxiety, depression and </w:t>
      </w:r>
      <w:proofErr w:type="gramStart"/>
      <w:r>
        <w:rPr>
          <w:rFonts w:ascii="Times New Roman" w:eastAsia="Times New Roman" w:hAnsi="Times New Roman" w:cs="Times New Roman"/>
        </w:rPr>
        <w:t>Post-traumatic</w:t>
      </w:r>
      <w:proofErr w:type="gramEnd"/>
      <w:r>
        <w:rPr>
          <w:rFonts w:ascii="Times New Roman" w:eastAsia="Times New Roman" w:hAnsi="Times New Roman" w:cs="Times New Roman"/>
        </w:rPr>
        <w:t xml:space="preserve"> stress disorder (PTSD). Women's concerns in crises include protecting loved ones, damage and loss of property, returning to normalcy post-disaster, and fear of sexual abuse, particularly in temporary disaster relief shelters with limited privacy. Additionally, survivors of sexual and gender-based violence (SGBV) during environmental crises face challenges in accessing healthcare and legal assistance, compounded by the unpredictable nature of disaster relief and the presence of unfamiliar volunteers, which can increase risks. The accessibility of healthcare services has been cited as inadequate, with women facing numerous obstacles in obtaining care, including difficulties in evacuating hazardous areas, impediments to medical aid access, and loss of essential documents during disasters.</w:t>
      </w:r>
    </w:p>
    <w:p w14:paraId="00000038" w14:textId="77777777" w:rsidR="0082397C" w:rsidRDefault="0082397C">
      <w:pPr>
        <w:jc w:val="both"/>
        <w:rPr>
          <w:rFonts w:ascii="Times New Roman" w:eastAsia="Times New Roman" w:hAnsi="Times New Roman" w:cs="Times New Roman"/>
        </w:rPr>
      </w:pPr>
    </w:p>
    <w:p w14:paraId="00000039" w14:textId="77777777" w:rsidR="0082397C" w:rsidRDefault="0082397C">
      <w:pPr>
        <w:jc w:val="both"/>
        <w:rPr>
          <w:rFonts w:ascii="Times New Roman" w:eastAsia="Times New Roman" w:hAnsi="Times New Roman" w:cs="Times New Roman"/>
        </w:rPr>
      </w:pPr>
    </w:p>
    <w:p w14:paraId="0000003A" w14:textId="77777777" w:rsidR="0082397C" w:rsidRDefault="0082397C">
      <w:pPr>
        <w:jc w:val="both"/>
        <w:rPr>
          <w:rFonts w:ascii="Times New Roman" w:eastAsia="Times New Roman" w:hAnsi="Times New Roman" w:cs="Times New Roman"/>
        </w:rPr>
      </w:pPr>
    </w:p>
    <w:p w14:paraId="6075C8EF" w14:textId="77777777" w:rsidR="00EA0100" w:rsidRDefault="00EA0100">
      <w:pPr>
        <w:jc w:val="both"/>
        <w:rPr>
          <w:rFonts w:ascii="Times New Roman" w:eastAsia="Times New Roman" w:hAnsi="Times New Roman" w:cs="Times New Roman"/>
        </w:rPr>
      </w:pPr>
    </w:p>
    <w:p w14:paraId="22E0BF81" w14:textId="77777777" w:rsidR="00EA0100" w:rsidRDefault="00EA0100">
      <w:pPr>
        <w:jc w:val="both"/>
        <w:rPr>
          <w:rFonts w:ascii="Times New Roman" w:eastAsia="Times New Roman" w:hAnsi="Times New Roman" w:cs="Times New Roman"/>
        </w:rPr>
      </w:pPr>
    </w:p>
    <w:p w14:paraId="0000003C" w14:textId="77777777" w:rsidR="0082397C" w:rsidRDefault="00000000">
      <w:pPr>
        <w:jc w:val="both"/>
        <w:rPr>
          <w:rFonts w:ascii="Times New Roman" w:eastAsia="Times New Roman" w:hAnsi="Times New Roman" w:cs="Times New Roman"/>
          <w:b/>
        </w:rPr>
      </w:pPr>
      <w:r>
        <w:rPr>
          <w:rFonts w:ascii="Times New Roman" w:eastAsia="Times New Roman" w:hAnsi="Times New Roman" w:cs="Times New Roman"/>
          <w:b/>
        </w:rPr>
        <w:lastRenderedPageBreak/>
        <w:t xml:space="preserve">ARTICLE 5,11 and 12 - CAREWORK </w:t>
      </w:r>
    </w:p>
    <w:p w14:paraId="0000003D" w14:textId="77777777" w:rsidR="0082397C" w:rsidRDefault="00000000">
      <w:pPr>
        <w:jc w:val="both"/>
        <w:rPr>
          <w:rFonts w:ascii="Times New Roman" w:eastAsia="Times New Roman" w:hAnsi="Times New Roman" w:cs="Times New Roman"/>
        </w:rPr>
      </w:pPr>
      <w:r>
        <w:rPr>
          <w:rFonts w:ascii="Times New Roman" w:eastAsia="Times New Roman" w:hAnsi="Times New Roman" w:cs="Times New Roman"/>
        </w:rPr>
        <w:t>Traditional gender roles place women at the forefront of disease exposure as primary caregivers and leaders in disaster recovery efforts. A time-use survey revealed that on average, Malaysian women dedicate 63.6% more time to unpaid care work than men, even though they spend nearly the same amount of time as men in paid employment</w:t>
      </w:r>
      <w:r>
        <w:rPr>
          <w:rFonts w:ascii="Times New Roman" w:eastAsia="Times New Roman" w:hAnsi="Times New Roman" w:cs="Times New Roman"/>
          <w:vertAlign w:val="superscript"/>
        </w:rPr>
        <w:footnoteReference w:id="16"/>
      </w:r>
      <w:r>
        <w:rPr>
          <w:rFonts w:ascii="Times New Roman" w:eastAsia="Times New Roman" w:hAnsi="Times New Roman" w:cs="Times New Roman"/>
        </w:rPr>
        <w:t xml:space="preserve">. This burden intensifies during and after environmental calamities. Women are often the first to ensure the safety of their children, secure clean food and water, and manage household recovery post-disaster. This exacerbates their responsibilities, making acquiring clean water and food, particularly in rural and indigenous communities increasingly difficult. The burden escalates when women fall ill, resulting in a tripling of responsibilities as tasks accumulate or are postponed until their recovery. </w:t>
      </w:r>
    </w:p>
    <w:p w14:paraId="0000003E" w14:textId="77777777" w:rsidR="0082397C" w:rsidRDefault="0082397C">
      <w:pPr>
        <w:jc w:val="both"/>
        <w:rPr>
          <w:rFonts w:ascii="Times New Roman" w:eastAsia="Times New Roman" w:hAnsi="Times New Roman" w:cs="Times New Roman"/>
        </w:rPr>
      </w:pPr>
    </w:p>
    <w:p w14:paraId="0000003F" w14:textId="77777777" w:rsidR="0082397C" w:rsidRDefault="00000000">
      <w:pPr>
        <w:jc w:val="both"/>
        <w:rPr>
          <w:rFonts w:ascii="Times New Roman" w:eastAsia="Times New Roman" w:hAnsi="Times New Roman" w:cs="Times New Roman"/>
        </w:rPr>
      </w:pPr>
      <w:r>
        <w:rPr>
          <w:rFonts w:ascii="Times New Roman" w:eastAsia="Times New Roman" w:hAnsi="Times New Roman" w:cs="Times New Roman"/>
          <w:b/>
        </w:rPr>
        <w:t>ARTICLE 11 - EMPLOYMENT</w:t>
      </w:r>
    </w:p>
    <w:p w14:paraId="00000040" w14:textId="77777777" w:rsidR="0082397C" w:rsidRDefault="00000000">
      <w:pPr>
        <w:jc w:val="both"/>
        <w:rPr>
          <w:rFonts w:ascii="Times New Roman" w:eastAsia="Times New Roman" w:hAnsi="Times New Roman" w:cs="Times New Roman"/>
        </w:rPr>
      </w:pPr>
      <w:r>
        <w:rPr>
          <w:rFonts w:ascii="Times New Roman" w:eastAsia="Times New Roman" w:hAnsi="Times New Roman" w:cs="Times New Roman"/>
        </w:rPr>
        <w:t>Women's labour force participation stands at 55.8% versus men's 80.9% in 2022</w:t>
      </w:r>
      <w:r>
        <w:rPr>
          <w:rFonts w:ascii="Times New Roman" w:eastAsia="Times New Roman" w:hAnsi="Times New Roman" w:cs="Times New Roman"/>
          <w:vertAlign w:val="superscript"/>
        </w:rPr>
        <w:footnoteReference w:id="17"/>
      </w:r>
      <w:r>
        <w:rPr>
          <w:rFonts w:ascii="Times New Roman" w:eastAsia="Times New Roman" w:hAnsi="Times New Roman" w:cs="Times New Roman"/>
        </w:rPr>
        <w:t xml:space="preserve">, with a slight increase over time but a growing underemployment rate among women. The climate crisis exacerbates challenges like compromised healthcare, increased care responsibilities, and halted education, violating Article 11 and impacting women's productivity and mobility in employment. Particularly vulnerable are those in part-time, </w:t>
      </w:r>
      <w:proofErr w:type="gramStart"/>
      <w:r>
        <w:rPr>
          <w:rFonts w:ascii="Times New Roman" w:eastAsia="Times New Roman" w:hAnsi="Times New Roman" w:cs="Times New Roman"/>
        </w:rPr>
        <w:t>daily-paid</w:t>
      </w:r>
      <w:proofErr w:type="gramEnd"/>
      <w:r>
        <w:rPr>
          <w:rFonts w:ascii="Times New Roman" w:eastAsia="Times New Roman" w:hAnsi="Times New Roman" w:cs="Times New Roman"/>
        </w:rPr>
        <w:t>, or informal roles, facing job loss post-disaster due to rigid leave policies and inadequate social protection. Their health and well-being suffer from insufficient medical benefits and reproductive health provisions, leading to income loss when extended leaves are required. Solutions include more flexible work arrangements and better-paid leave policies, including for fathers. In extreme cases, women leave formal employment entirely, a decision influenced by the compounded demands of environmental degradation, climate-related disasters, and existing societal expectations.</w:t>
      </w:r>
    </w:p>
    <w:p w14:paraId="00000041" w14:textId="77777777" w:rsidR="0082397C" w:rsidRDefault="0082397C">
      <w:pPr>
        <w:jc w:val="both"/>
        <w:rPr>
          <w:rFonts w:ascii="Times New Roman" w:eastAsia="Times New Roman" w:hAnsi="Times New Roman" w:cs="Times New Roman"/>
          <w:highlight w:val="yellow"/>
        </w:rPr>
      </w:pPr>
    </w:p>
    <w:p w14:paraId="00000042" w14:textId="77777777" w:rsidR="0082397C" w:rsidRDefault="00000000">
      <w:pPr>
        <w:pStyle w:val="Heading3"/>
        <w:jc w:val="both"/>
        <w:rPr>
          <w:rFonts w:ascii="Times New Roman" w:eastAsia="Times New Roman" w:hAnsi="Times New Roman" w:cs="Times New Roman"/>
        </w:rPr>
      </w:pPr>
      <w:bookmarkStart w:id="4" w:name="_r73bnbdtlom7" w:colFirst="0" w:colLast="0"/>
      <w:bookmarkEnd w:id="4"/>
      <w:r>
        <w:rPr>
          <w:rFonts w:ascii="Times New Roman" w:eastAsia="Times New Roman" w:hAnsi="Times New Roman" w:cs="Times New Roman"/>
          <w:b/>
          <w:color w:val="000000"/>
        </w:rPr>
        <w:t>KEY ISSUE 3: Financing women in the climate crisis</w:t>
      </w:r>
    </w:p>
    <w:p w14:paraId="00000044" w14:textId="7B44EEA7" w:rsidR="0082397C" w:rsidRDefault="00F447E5">
      <w:pPr>
        <w:jc w:val="both"/>
        <w:rPr>
          <w:rFonts w:ascii="Times New Roman" w:eastAsia="Times New Roman" w:hAnsi="Times New Roman" w:cs="Times New Roman"/>
        </w:rPr>
      </w:pPr>
      <w:r w:rsidRPr="00F447E5">
        <w:rPr>
          <w:rFonts w:ascii="Times New Roman" w:eastAsia="Times New Roman" w:hAnsi="Times New Roman" w:cs="Times New Roman"/>
        </w:rPr>
        <w:t>Malaysia's 2024 national budget includes funds for disaster risk reduction and aid, yet the distribution often overlooks women, typically favouring male-headed households. This limits women's access to essential resources and financial assistance, particularly problematic in familial conflicts or polygamous settings. Single mothers especially face hurdles accessing aid due to required documents like marriage or death certificates, which may be lost or destroyed in disasters.</w:t>
      </w:r>
    </w:p>
    <w:p w14:paraId="5D5DD5D2" w14:textId="77777777" w:rsidR="00F447E5" w:rsidRDefault="00F447E5">
      <w:pPr>
        <w:jc w:val="both"/>
        <w:rPr>
          <w:rFonts w:ascii="Times New Roman" w:eastAsia="Times New Roman" w:hAnsi="Times New Roman" w:cs="Times New Roman"/>
        </w:rPr>
      </w:pPr>
    </w:p>
    <w:p w14:paraId="00000045" w14:textId="77777777" w:rsidR="0082397C" w:rsidRDefault="00000000">
      <w:pPr>
        <w:jc w:val="both"/>
        <w:rPr>
          <w:rFonts w:ascii="Times New Roman" w:eastAsia="Times New Roman" w:hAnsi="Times New Roman" w:cs="Times New Roman"/>
        </w:rPr>
      </w:pPr>
      <w:r>
        <w:rPr>
          <w:rFonts w:ascii="Times New Roman" w:eastAsia="Times New Roman" w:hAnsi="Times New Roman" w:cs="Times New Roman"/>
        </w:rPr>
        <w:t>The lack of data-driven aid allocations and ignorance of women’s specific needs such as period poverty and healthcare access leads to insufficiency, non-functionality, or superfluity among affected communities. For instance, IP families received inadequate recovery funds</w:t>
      </w:r>
      <w:r>
        <w:rPr>
          <w:rFonts w:ascii="Times New Roman" w:eastAsia="Times New Roman" w:hAnsi="Times New Roman" w:cs="Times New Roman"/>
          <w:vertAlign w:val="superscript"/>
        </w:rPr>
        <w:footnoteReference w:id="18"/>
      </w:r>
      <w:r>
        <w:rPr>
          <w:rFonts w:ascii="Times New Roman" w:eastAsia="Times New Roman" w:hAnsi="Times New Roman" w:cs="Times New Roman"/>
        </w:rPr>
        <w:t>, highlighting the disproportionate impacts on large households, the elderly and disabled, and those reliant on natural resources for income and livelihood. Low financial literacy and barriers such as social norms, fear, distance, and language hinder financial access for rural populations and IW, reducing their financial autonomy and increasing vulnerability to disasters. In 2016, national statistics on the financial distribution of monetary aid categorised by disaster and gender</w:t>
      </w:r>
      <w:r>
        <w:rPr>
          <w:rFonts w:ascii="Times New Roman" w:eastAsia="Times New Roman" w:hAnsi="Times New Roman" w:cs="Times New Roman"/>
          <w:vertAlign w:val="superscript"/>
        </w:rPr>
        <w:footnoteReference w:id="19"/>
      </w:r>
      <w:r>
        <w:rPr>
          <w:rFonts w:ascii="Times New Roman" w:eastAsia="Times New Roman" w:hAnsi="Times New Roman" w:cs="Times New Roman"/>
        </w:rPr>
        <w:t xml:space="preserve"> revealed a significant disparity in the amount and frequency of aid received by women. This demonstrates that women often face barriers to accessing justice, which hinders </w:t>
      </w:r>
      <w:r>
        <w:rPr>
          <w:rFonts w:ascii="Times New Roman" w:eastAsia="Times New Roman" w:hAnsi="Times New Roman" w:cs="Times New Roman"/>
        </w:rPr>
        <w:lastRenderedPageBreak/>
        <w:t>their ability to secure essential compensation and financial support for recovery and adaptation to climate change, violating Article 15 (1) and GR 37.</w:t>
      </w:r>
    </w:p>
    <w:p w14:paraId="00000046" w14:textId="77777777" w:rsidR="0082397C" w:rsidRDefault="0082397C">
      <w:pPr>
        <w:jc w:val="both"/>
        <w:rPr>
          <w:rFonts w:ascii="Times New Roman" w:eastAsia="Times New Roman" w:hAnsi="Times New Roman" w:cs="Times New Roman"/>
        </w:rPr>
      </w:pPr>
    </w:p>
    <w:p w14:paraId="16BF2767" w14:textId="2FF67F4D" w:rsidR="00093E5E" w:rsidRDefault="00000000">
      <w:pPr>
        <w:jc w:val="both"/>
        <w:rPr>
          <w:rFonts w:ascii="Times New Roman" w:eastAsia="Times New Roman" w:hAnsi="Times New Roman" w:cs="Times New Roman"/>
        </w:rPr>
      </w:pPr>
      <w:r>
        <w:rPr>
          <w:rFonts w:ascii="Times New Roman" w:eastAsia="Times New Roman" w:hAnsi="Times New Roman" w:cs="Times New Roman"/>
        </w:rPr>
        <w:t>Malaysia's use of the Green Climate Fund (GCF) remains unclear for funding women-led adaptation projects or initiatives addressing gendered impacts of disaster risk reduction. International climate finance is often mitigation-centric and prioritises developing profit-making energy policies, neglecting adaptation strategies and gender considerations within those plans. This oversight in assessing the potential social impacts of financing these projects on women and grassroots communities has led to their displacement and inadequate compensation, with no legal protection against the loss of ancestral land</w:t>
      </w:r>
      <w:r w:rsidR="00093E5E">
        <w:rPr>
          <w:rFonts w:ascii="Times New Roman" w:eastAsia="Times New Roman" w:hAnsi="Times New Roman" w:cs="Times New Roman"/>
        </w:rPr>
        <w:t>, as evidenced in several mega dams’ development projects. The Bakun dam</w:t>
      </w:r>
      <w:r>
        <w:rPr>
          <w:rFonts w:ascii="Times New Roman" w:eastAsia="Times New Roman" w:hAnsi="Times New Roman" w:cs="Times New Roman"/>
        </w:rPr>
        <w:t xml:space="preserve"> project resulted in more than 75% of community participants being dissatisfied with consultations as Environmental Impact Assessments (EIA) conducted were unreliable and not reflective of their opinions. </w:t>
      </w:r>
      <w:r w:rsidR="00093E5E" w:rsidRPr="00093E5E">
        <w:rPr>
          <w:rFonts w:ascii="Times New Roman" w:eastAsia="Times New Roman" w:hAnsi="Times New Roman" w:cs="Times New Roman"/>
        </w:rPr>
        <w:t xml:space="preserve">An IW leader criticizes the government's handling of the </w:t>
      </w:r>
      <w:proofErr w:type="spellStart"/>
      <w:r w:rsidR="00093E5E" w:rsidRPr="00093E5E">
        <w:rPr>
          <w:rFonts w:ascii="Times New Roman" w:eastAsia="Times New Roman" w:hAnsi="Times New Roman" w:cs="Times New Roman"/>
        </w:rPr>
        <w:t>Nenggiri</w:t>
      </w:r>
      <w:proofErr w:type="spellEnd"/>
      <w:r w:rsidR="00093E5E" w:rsidRPr="00093E5E">
        <w:rPr>
          <w:rFonts w:ascii="Times New Roman" w:eastAsia="Times New Roman" w:hAnsi="Times New Roman" w:cs="Times New Roman"/>
        </w:rPr>
        <w:t xml:space="preserve"> Dam</w:t>
      </w:r>
      <w:r w:rsidR="00093E5E">
        <w:rPr>
          <w:rFonts w:ascii="Times New Roman" w:eastAsia="Times New Roman" w:hAnsi="Times New Roman" w:cs="Times New Roman"/>
          <w:vertAlign w:val="superscript"/>
        </w:rPr>
        <w:footnoteReference w:id="20"/>
      </w:r>
      <w:r w:rsidR="00093E5E" w:rsidRPr="00093E5E">
        <w:rPr>
          <w:rFonts w:ascii="Times New Roman" w:eastAsia="Times New Roman" w:hAnsi="Times New Roman" w:cs="Times New Roman"/>
        </w:rPr>
        <w:t xml:space="preserve"> project, highlighting the lack of consultation with the Indigenous community and the government's misleading claims of </w:t>
      </w:r>
      <w:r w:rsidR="00093E5E">
        <w:rPr>
          <w:rFonts w:ascii="Times New Roman" w:eastAsia="Times New Roman" w:hAnsi="Times New Roman" w:cs="Times New Roman"/>
        </w:rPr>
        <w:t xml:space="preserve">IP </w:t>
      </w:r>
      <w:r w:rsidR="00093E5E" w:rsidRPr="00093E5E">
        <w:rPr>
          <w:rFonts w:ascii="Times New Roman" w:eastAsia="Times New Roman" w:hAnsi="Times New Roman" w:cs="Times New Roman"/>
        </w:rPr>
        <w:t>broad support, despite only a few endorsements.</w:t>
      </w:r>
    </w:p>
    <w:p w14:paraId="7C72CC01" w14:textId="77777777" w:rsidR="002E3462" w:rsidRDefault="002E3462">
      <w:pPr>
        <w:jc w:val="both"/>
        <w:rPr>
          <w:rFonts w:ascii="Times New Roman" w:eastAsia="Times New Roman" w:hAnsi="Times New Roman" w:cs="Times New Roman"/>
        </w:rPr>
      </w:pPr>
    </w:p>
    <w:p w14:paraId="0000004B" w14:textId="4CD58261" w:rsidR="0082397C" w:rsidRDefault="002E3462">
      <w:pPr>
        <w:jc w:val="both"/>
        <w:rPr>
          <w:rFonts w:ascii="Times New Roman" w:eastAsia="Times New Roman" w:hAnsi="Times New Roman" w:cs="Times New Roman"/>
        </w:rPr>
      </w:pPr>
      <w:r w:rsidRPr="002E3462">
        <w:rPr>
          <w:rFonts w:ascii="Times New Roman" w:eastAsia="Times New Roman" w:hAnsi="Times New Roman" w:cs="Times New Roman"/>
        </w:rPr>
        <w:t>Malaysia's s</w:t>
      </w:r>
      <w:r>
        <w:rPr>
          <w:rFonts w:ascii="Times New Roman" w:eastAsia="Times New Roman" w:hAnsi="Times New Roman" w:cs="Times New Roman"/>
        </w:rPr>
        <w:t>luggish</w:t>
      </w:r>
      <w:r w:rsidRPr="002E3462">
        <w:rPr>
          <w:rFonts w:ascii="Times New Roman" w:eastAsia="Times New Roman" w:hAnsi="Times New Roman" w:cs="Times New Roman"/>
        </w:rPr>
        <w:t xml:space="preserve"> progress in implementing Gender Responsive Budgeting (GRB) within its national budget starkly contrasts with Article 13. The 2024 budget's lack of transparency in previous allocations hampers the development of budgets that truly reflect diverse demographic needs. Although </w:t>
      </w:r>
      <w:r>
        <w:rPr>
          <w:rFonts w:ascii="Times New Roman" w:eastAsia="Times New Roman" w:hAnsi="Times New Roman" w:cs="Times New Roman"/>
        </w:rPr>
        <w:t xml:space="preserve">incremental </w:t>
      </w:r>
      <w:r w:rsidRPr="002E3462">
        <w:rPr>
          <w:rFonts w:ascii="Times New Roman" w:eastAsia="Times New Roman" w:hAnsi="Times New Roman" w:cs="Times New Roman"/>
        </w:rPr>
        <w:t xml:space="preserve">increases in care work funding are commendable, they fail to incorporate gender considerations in climate finance frameworks, </w:t>
      </w:r>
      <w:r>
        <w:rPr>
          <w:rFonts w:ascii="Times New Roman" w:eastAsia="Times New Roman" w:hAnsi="Times New Roman" w:cs="Times New Roman"/>
        </w:rPr>
        <w:t>highlighting</w:t>
      </w:r>
      <w:r w:rsidRPr="002E3462">
        <w:rPr>
          <w:rFonts w:ascii="Times New Roman" w:eastAsia="Times New Roman" w:hAnsi="Times New Roman" w:cs="Times New Roman"/>
        </w:rPr>
        <w:t xml:space="preserve"> the need for Gender and Climate budget Tagging in fund distribution.</w:t>
      </w:r>
      <w:r>
        <w:rPr>
          <w:rFonts w:ascii="Times New Roman" w:eastAsia="Times New Roman" w:hAnsi="Times New Roman" w:cs="Times New Roman"/>
        </w:rPr>
        <w:t xml:space="preserve"> Moreover, specifics on how budgetary provisions, like those for the National Disaster Management Agency (NADMA), cater to gender responsiveness remain undisclosed. </w:t>
      </w:r>
      <w:r w:rsidR="006634B3" w:rsidRPr="006634B3">
        <w:rPr>
          <w:rFonts w:ascii="Times New Roman" w:eastAsia="Times New Roman" w:hAnsi="Times New Roman" w:cs="Times New Roman"/>
        </w:rPr>
        <w:t xml:space="preserve">The presence of an </w:t>
      </w:r>
      <w:r w:rsidR="006634B3" w:rsidRPr="006634B3">
        <w:rPr>
          <w:rFonts w:ascii="Times New Roman" w:eastAsia="Times New Roman" w:hAnsi="Times New Roman" w:cs="Times New Roman"/>
          <w:b/>
          <w:bCs/>
        </w:rPr>
        <w:t xml:space="preserve">informal </w:t>
      </w:r>
      <w:r w:rsidR="006634B3" w:rsidRPr="006634B3">
        <w:rPr>
          <w:rFonts w:ascii="Times New Roman" w:eastAsia="Times New Roman" w:hAnsi="Times New Roman" w:cs="Times New Roman"/>
        </w:rPr>
        <w:t>Gender Budget Group highlights the systemic barriers still preventing equitable gender resource distribution.</w:t>
      </w:r>
    </w:p>
    <w:p w14:paraId="0000004C" w14:textId="77777777" w:rsidR="0082397C" w:rsidRDefault="00000000">
      <w:pPr>
        <w:pStyle w:val="Heading3"/>
        <w:jc w:val="both"/>
        <w:rPr>
          <w:rFonts w:ascii="Times New Roman" w:eastAsia="Times New Roman" w:hAnsi="Times New Roman" w:cs="Times New Roman"/>
        </w:rPr>
      </w:pPr>
      <w:bookmarkStart w:id="5" w:name="_7qp44lcuvl8z" w:colFirst="0" w:colLast="0"/>
      <w:bookmarkEnd w:id="5"/>
      <w:r>
        <w:rPr>
          <w:rFonts w:ascii="Times New Roman" w:eastAsia="Times New Roman" w:hAnsi="Times New Roman" w:cs="Times New Roman"/>
          <w:b/>
          <w:color w:val="000000"/>
        </w:rPr>
        <w:t xml:space="preserve">KEY ISSUE 4: Inequality in the participation of women in Just Transition </w:t>
      </w:r>
    </w:p>
    <w:p w14:paraId="0000004D" w14:textId="77777777" w:rsidR="0082397C" w:rsidRDefault="00000000">
      <w:pPr>
        <w:jc w:val="both"/>
        <w:rPr>
          <w:rFonts w:ascii="Times New Roman" w:eastAsia="Times New Roman" w:hAnsi="Times New Roman" w:cs="Times New Roman"/>
        </w:rPr>
      </w:pPr>
      <w:r>
        <w:rPr>
          <w:rFonts w:ascii="Times New Roman" w:eastAsia="Times New Roman" w:hAnsi="Times New Roman" w:cs="Times New Roman"/>
        </w:rPr>
        <w:t>Despite the government's efforts to track Just Transition in COP28, the absence of national delegation participation in gendered discussions highlights a significant oversight, missing a crucial opportunity to integrate gender considerations into climate action which takes away the ‘just’ from a just transition. Domestically, women hold only 30 out of 222 (13.5%) parliamentary seats, and a drop in female Cabinet representation from 17.8% to 16.1%</w:t>
      </w:r>
      <w:r>
        <w:rPr>
          <w:rFonts w:ascii="Times New Roman" w:eastAsia="Times New Roman" w:hAnsi="Times New Roman" w:cs="Times New Roman"/>
          <w:vertAlign w:val="superscript"/>
        </w:rPr>
        <w:footnoteReference w:id="21"/>
      </w:r>
      <w:r>
        <w:rPr>
          <w:rFonts w:ascii="Times New Roman" w:eastAsia="Times New Roman" w:hAnsi="Times New Roman" w:cs="Times New Roman"/>
        </w:rPr>
        <w:t xml:space="preserve"> has further reduced their presence in decision-making roles. This is mirrored in the composition of the Malaysia Climate Change Action Council (</w:t>
      </w:r>
      <w:proofErr w:type="spellStart"/>
      <w:r>
        <w:rPr>
          <w:rFonts w:ascii="Times New Roman" w:eastAsia="Times New Roman" w:hAnsi="Times New Roman" w:cs="Times New Roman"/>
        </w:rPr>
        <w:t>MyCAC</w:t>
      </w:r>
      <w:proofErr w:type="spellEnd"/>
      <w:r>
        <w:rPr>
          <w:rFonts w:ascii="Times New Roman" w:eastAsia="Times New Roman" w:hAnsi="Times New Roman" w:cs="Times New Roman"/>
        </w:rPr>
        <w:t>). Gender disparities continue in sectors like forestry, agriculture, transportation, and construction, highlighting a crucial gap in integrating climate change and gender policies, which complicates policy formulation and understanding.</w:t>
      </w:r>
    </w:p>
    <w:p w14:paraId="600BA9D6" w14:textId="1DCBB676" w:rsidR="00F91C9D"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Women's participation in decision-making is further hindered by threats like harassment and </w:t>
      </w:r>
      <w:r w:rsidR="00643517">
        <w:rPr>
          <w:rFonts w:ascii="Times New Roman" w:eastAsia="Times New Roman" w:hAnsi="Times New Roman" w:cs="Times New Roman"/>
        </w:rPr>
        <w:t>doxing</w:t>
      </w:r>
      <w:r>
        <w:rPr>
          <w:rFonts w:ascii="Times New Roman" w:eastAsia="Times New Roman" w:hAnsi="Times New Roman" w:cs="Times New Roman"/>
        </w:rPr>
        <w:t xml:space="preserve">, affecting environmental defenders with variations in risk across ethnicity and socio-economic lines—IW face physical threats, while online activists deal with cyberbullying, contributing to their reduced presence. </w:t>
      </w:r>
    </w:p>
    <w:p w14:paraId="426588BD" w14:textId="77777777" w:rsidR="00F91C9D" w:rsidRDefault="00F91C9D">
      <w:pPr>
        <w:jc w:val="both"/>
        <w:rPr>
          <w:rFonts w:ascii="Times New Roman" w:eastAsia="Times New Roman" w:hAnsi="Times New Roman" w:cs="Times New Roman"/>
        </w:rPr>
      </w:pPr>
    </w:p>
    <w:p w14:paraId="0000004E" w14:textId="7287A198" w:rsidR="0082397C" w:rsidRDefault="00F91C9D">
      <w:pPr>
        <w:jc w:val="both"/>
        <w:rPr>
          <w:rFonts w:ascii="Times New Roman" w:eastAsia="Times New Roman" w:hAnsi="Times New Roman" w:cs="Times New Roman"/>
        </w:rPr>
      </w:pPr>
      <w:r w:rsidRPr="00F91C9D">
        <w:rPr>
          <w:rFonts w:ascii="Times New Roman" w:eastAsia="Times New Roman" w:hAnsi="Times New Roman" w:cs="Times New Roman"/>
        </w:rPr>
        <w:lastRenderedPageBreak/>
        <w:br/>
        <w:t xml:space="preserve">From 2021 to 2023, </w:t>
      </w:r>
      <w:r>
        <w:rPr>
          <w:rFonts w:ascii="Times New Roman" w:eastAsia="Times New Roman" w:hAnsi="Times New Roman" w:cs="Times New Roman"/>
        </w:rPr>
        <w:t>incidents</w:t>
      </w:r>
      <w:r w:rsidRPr="00F91C9D">
        <w:rPr>
          <w:rFonts w:ascii="Times New Roman" w:eastAsia="Times New Roman" w:hAnsi="Times New Roman" w:cs="Times New Roman"/>
        </w:rPr>
        <w:t xml:space="preserve"> of online sexual harassment</w:t>
      </w:r>
      <w:r w:rsidR="001E7CCD">
        <w:rPr>
          <w:rStyle w:val="FootnoteReference"/>
          <w:rFonts w:ascii="Times New Roman" w:eastAsia="Times New Roman" w:hAnsi="Times New Roman" w:cs="Times New Roman"/>
        </w:rPr>
        <w:footnoteReference w:id="22"/>
      </w:r>
      <w:r w:rsidRPr="00F91C9D">
        <w:rPr>
          <w:rFonts w:ascii="Times New Roman" w:eastAsia="Times New Roman" w:hAnsi="Times New Roman" w:cs="Times New Roman"/>
        </w:rPr>
        <w:t xml:space="preserve"> and court-charged physical abuse</w:t>
      </w:r>
      <w:r w:rsidR="001E7CCD">
        <w:rPr>
          <w:rStyle w:val="FootnoteReference"/>
          <w:rFonts w:ascii="Times New Roman" w:eastAsia="Times New Roman" w:hAnsi="Times New Roman" w:cs="Times New Roman"/>
        </w:rPr>
        <w:footnoteReference w:id="23"/>
      </w:r>
      <w:r w:rsidRPr="00F91C9D">
        <w:rPr>
          <w:rFonts w:ascii="Times New Roman" w:eastAsia="Times New Roman" w:hAnsi="Times New Roman" w:cs="Times New Roman"/>
        </w:rPr>
        <w:t xml:space="preserve"> highlight the severity of these threats</w:t>
      </w:r>
      <w:r>
        <w:rPr>
          <w:rFonts w:ascii="Times New Roman" w:eastAsia="Times New Roman" w:hAnsi="Times New Roman" w:cs="Times New Roman"/>
        </w:rPr>
        <w:t xml:space="preserve">. Additionally, obstacles such as language, accessibility, and care responsibilities limit women's engagement in development discussions. Ensuring that IW, not just male leaders, </w:t>
      </w:r>
      <w:r w:rsidRPr="00F91C9D">
        <w:rPr>
          <w:rFonts w:ascii="Times New Roman" w:eastAsia="Times New Roman" w:hAnsi="Times New Roman" w:cs="Times New Roman"/>
        </w:rPr>
        <w:t>provide Free, Prior, and Informed Consent (FPIC) to preserve cultural knowledge and address environmental and social impacts.</w:t>
      </w:r>
    </w:p>
    <w:p w14:paraId="5EE185D7" w14:textId="66BAD738" w:rsidR="00643517" w:rsidRDefault="00643517">
      <w:pPr>
        <w:jc w:val="both"/>
        <w:rPr>
          <w:rFonts w:ascii="Times New Roman" w:eastAsia="Times New Roman" w:hAnsi="Times New Roman" w:cs="Times New Roman"/>
        </w:rPr>
      </w:pPr>
      <w:r w:rsidRPr="00643517">
        <w:rPr>
          <w:rFonts w:ascii="Times New Roman" w:eastAsia="Times New Roman" w:hAnsi="Times New Roman" w:cs="Times New Roman"/>
        </w:rPr>
        <w:br/>
        <w:t>Malaysia’s aim for net zero by 2050 may create job</w:t>
      </w:r>
      <w:r>
        <w:rPr>
          <w:rFonts w:ascii="Times New Roman" w:eastAsia="Times New Roman" w:hAnsi="Times New Roman" w:cs="Times New Roman"/>
        </w:rPr>
        <w:t xml:space="preserve"> opportunities</w:t>
      </w:r>
      <w:r w:rsidRPr="00643517">
        <w:rPr>
          <w:rFonts w:ascii="Times New Roman" w:eastAsia="Times New Roman" w:hAnsi="Times New Roman" w:cs="Times New Roman"/>
        </w:rPr>
        <w:t>, but disproportionately</w:t>
      </w:r>
      <w:r>
        <w:rPr>
          <w:rFonts w:ascii="Times New Roman" w:eastAsia="Times New Roman" w:hAnsi="Times New Roman" w:cs="Times New Roman"/>
        </w:rPr>
        <w:t xml:space="preserve"> benefits</w:t>
      </w:r>
      <w:r w:rsidRPr="00643517">
        <w:rPr>
          <w:rFonts w:ascii="Times New Roman" w:eastAsia="Times New Roman" w:hAnsi="Times New Roman" w:cs="Times New Roman"/>
        </w:rPr>
        <w:t xml:space="preserve"> male-dominated sectors, with UN Women</w:t>
      </w:r>
      <w:r>
        <w:rPr>
          <w:rFonts w:ascii="Times New Roman" w:eastAsia="Times New Roman" w:hAnsi="Times New Roman" w:cs="Times New Roman"/>
          <w:vertAlign w:val="superscript"/>
        </w:rPr>
        <w:footnoteReference w:id="24"/>
      </w:r>
      <w:r w:rsidRPr="00643517">
        <w:rPr>
          <w:rFonts w:ascii="Times New Roman" w:eastAsia="Times New Roman" w:hAnsi="Times New Roman" w:cs="Times New Roman"/>
        </w:rPr>
        <w:t xml:space="preserve"> estimating 80% of new jobs emerging in these fields, leaving few accessible to women. This imbalance is worsened by persistent gender stereotypes, segregation in STEM</w:t>
      </w:r>
      <w:r>
        <w:rPr>
          <w:rFonts w:ascii="Times New Roman" w:eastAsia="Times New Roman" w:hAnsi="Times New Roman" w:cs="Times New Roman"/>
          <w:vertAlign w:val="superscript"/>
        </w:rPr>
        <w:footnoteReference w:id="25"/>
      </w:r>
      <w:r w:rsidRPr="00643517">
        <w:rPr>
          <w:rFonts w:ascii="Times New Roman" w:eastAsia="Times New Roman" w:hAnsi="Times New Roman" w:cs="Times New Roman"/>
        </w:rPr>
        <w:t xml:space="preserve"> education and careers, and discriminatory social norms that restrict women's participation in the green and blue economies. Concerns about extended maternity leave affecting women's employability further highlight the barriers to female labour force participation, despite evidence showing that higher female workforce engagement contributes to GDP growth and socio-economic progress.</w:t>
      </w:r>
    </w:p>
    <w:p w14:paraId="00000051" w14:textId="77777777" w:rsidR="0082397C" w:rsidRDefault="0082397C">
      <w:pPr>
        <w:jc w:val="both"/>
        <w:rPr>
          <w:rFonts w:ascii="Times New Roman" w:eastAsia="Times New Roman" w:hAnsi="Times New Roman" w:cs="Times New Roman"/>
        </w:rPr>
      </w:pPr>
    </w:p>
    <w:p w14:paraId="00000052" w14:textId="77777777" w:rsidR="0082397C" w:rsidRDefault="00000000">
      <w:pPr>
        <w:jc w:val="both"/>
        <w:rPr>
          <w:rFonts w:ascii="Times New Roman" w:eastAsia="Times New Roman" w:hAnsi="Times New Roman" w:cs="Times New Roman"/>
        </w:rPr>
      </w:pPr>
      <w:r>
        <w:rPr>
          <w:rFonts w:ascii="Times New Roman" w:eastAsia="Times New Roman" w:hAnsi="Times New Roman" w:cs="Times New Roman"/>
        </w:rPr>
        <w:t>Malaysia's allocation of RM 10 million for childcare improvements and social support initiatives like Single Mothers Special Assistance, Housewives Social Security Scheme and microcredit financing marks progress towards integrating climate action with care work considerations</w:t>
      </w:r>
      <w:r>
        <w:rPr>
          <w:rFonts w:ascii="Times New Roman" w:eastAsia="Times New Roman" w:hAnsi="Times New Roman" w:cs="Times New Roman"/>
          <w:vertAlign w:val="superscript"/>
        </w:rPr>
        <w:footnoteReference w:id="26"/>
      </w:r>
      <w:r>
        <w:rPr>
          <w:rFonts w:ascii="Times New Roman" w:eastAsia="Times New Roman" w:hAnsi="Times New Roman" w:cs="Times New Roman"/>
        </w:rPr>
        <w:t>. However, further efforts should prioritise skill development for quality, low-carbon employment and the minimisation of unpaid labour through climate-adaptive technologies and better social protection and infrastructure.</w:t>
      </w:r>
    </w:p>
    <w:p w14:paraId="00000053" w14:textId="77777777" w:rsidR="0082397C" w:rsidRDefault="0082397C">
      <w:pPr>
        <w:jc w:val="both"/>
        <w:rPr>
          <w:rFonts w:ascii="Times New Roman" w:eastAsia="Times New Roman" w:hAnsi="Times New Roman" w:cs="Times New Roman"/>
        </w:rPr>
      </w:pPr>
    </w:p>
    <w:p w14:paraId="00000054" w14:textId="77777777" w:rsidR="0082397C"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Energy transition</w:t>
      </w:r>
    </w:p>
    <w:p w14:paraId="00000055" w14:textId="77777777" w:rsidR="0082397C"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A just energy transition requires overcoming current deficiencies in policy and regulatory framework towards shifting to sustainable and responsible energy. Malaysia’s dependency on fossil fuels for three-quarters of its power needs poses a significant barrier to environmental sustainability and exacerbates gender inequalities. This is compounded by the nation's focus on </w:t>
      </w:r>
      <w:proofErr w:type="spellStart"/>
      <w:r>
        <w:rPr>
          <w:rFonts w:ascii="Times New Roman" w:eastAsia="Times New Roman" w:hAnsi="Times New Roman" w:cs="Times New Roman"/>
        </w:rPr>
        <w:t>extractivist</w:t>
      </w:r>
      <w:proofErr w:type="spellEnd"/>
      <w:r>
        <w:rPr>
          <w:rFonts w:ascii="Times New Roman" w:eastAsia="Times New Roman" w:hAnsi="Times New Roman" w:cs="Times New Roman"/>
        </w:rPr>
        <w:t xml:space="preserve"> practices in its push towards renewable energy, such as mining and large-scale hydro infrastructures. This approach conceals the detrimental effects on communities and the environment, revealing these "solutions" to be neither sustainable nor equitable, and misaligned with the goal of genuine climate action. To align with the standards and obligations set by international frameworks such as the ILO</w:t>
      </w:r>
      <w:r>
        <w:rPr>
          <w:rFonts w:ascii="Times New Roman" w:eastAsia="Times New Roman" w:hAnsi="Times New Roman" w:cs="Times New Roman"/>
          <w:vertAlign w:val="superscript"/>
        </w:rPr>
        <w:footnoteReference w:id="27"/>
      </w:r>
      <w:r>
        <w:rPr>
          <w:rFonts w:ascii="Times New Roman" w:eastAsia="Times New Roman" w:hAnsi="Times New Roman" w:cs="Times New Roman"/>
        </w:rPr>
        <w:t xml:space="preserve">, UNFCCC, and CEDAW, Malaysia must comprehensively reassess and evaluate its current decarbonisation strategies to avoid </w:t>
      </w:r>
      <w:r>
        <w:rPr>
          <w:rFonts w:ascii="Times New Roman" w:eastAsia="Times New Roman" w:hAnsi="Times New Roman" w:cs="Times New Roman"/>
          <w:b/>
        </w:rPr>
        <w:t>false solutions</w:t>
      </w:r>
      <w:r>
        <w:rPr>
          <w:rFonts w:ascii="Times New Roman" w:eastAsia="Times New Roman" w:hAnsi="Times New Roman" w:cs="Times New Roman"/>
        </w:rPr>
        <w:t xml:space="preserve"> to the climate crisis.</w:t>
      </w:r>
    </w:p>
    <w:p w14:paraId="351287EC" w14:textId="77777777" w:rsidR="00EA0100" w:rsidRDefault="00EA0100">
      <w:pPr>
        <w:jc w:val="both"/>
        <w:rPr>
          <w:rFonts w:ascii="Times New Roman" w:eastAsia="Times New Roman" w:hAnsi="Times New Roman" w:cs="Times New Roman"/>
        </w:rPr>
      </w:pPr>
    </w:p>
    <w:p w14:paraId="00000057" w14:textId="77777777" w:rsidR="0082397C"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Women, particularly in rural and indigenous communities, bear the brunt of energy poverty, which exacerbates their caregiving responsibilities and limits their opportunities for education and economic </w:t>
      </w:r>
      <w:r>
        <w:rPr>
          <w:rFonts w:ascii="Times New Roman" w:eastAsia="Times New Roman" w:hAnsi="Times New Roman" w:cs="Times New Roman"/>
        </w:rPr>
        <w:lastRenderedPageBreak/>
        <w:t>participation. Solar energy intermittency and costly maintenance faced by IW</w:t>
      </w:r>
      <w:r>
        <w:rPr>
          <w:rFonts w:ascii="Times New Roman" w:eastAsia="Times New Roman" w:hAnsi="Times New Roman" w:cs="Times New Roman"/>
          <w:vertAlign w:val="superscript"/>
        </w:rPr>
        <w:footnoteReference w:id="28"/>
      </w:r>
      <w:r>
        <w:rPr>
          <w:rFonts w:ascii="Times New Roman" w:eastAsia="Times New Roman" w:hAnsi="Times New Roman" w:cs="Times New Roman"/>
        </w:rPr>
        <w:t xml:space="preserve"> in rural villages hinder access to basic infrastructure like water pumps, adversely affecting their well-being and limiting their right to clean water.</w:t>
      </w:r>
    </w:p>
    <w:p w14:paraId="00000058" w14:textId="77777777" w:rsidR="0082397C"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00000059" w14:textId="77777777" w:rsidR="0082397C" w:rsidRDefault="00000000">
      <w:pPr>
        <w:jc w:val="both"/>
        <w:rPr>
          <w:rFonts w:ascii="Times New Roman" w:eastAsia="Times New Roman" w:hAnsi="Times New Roman" w:cs="Times New Roman"/>
        </w:rPr>
      </w:pPr>
      <w:r>
        <w:rPr>
          <w:rFonts w:ascii="Times New Roman" w:eastAsia="Times New Roman" w:hAnsi="Times New Roman" w:cs="Times New Roman"/>
        </w:rPr>
        <w:t>The construction of large-scale projects like the Bakun Dam has had profound socio-economic impacts, especially on IW, by displacing communities and undermining traditional livelihoods. Furthermore, the demand for rare earth minerals for renewable energy technologies poses significant risks to land rights and environmental integrity, disproportionately affecting marginalised communities.</w:t>
      </w:r>
    </w:p>
    <w:p w14:paraId="0000005A" w14:textId="77777777" w:rsidR="0082397C" w:rsidRDefault="0082397C">
      <w:pPr>
        <w:jc w:val="both"/>
        <w:rPr>
          <w:rFonts w:ascii="Times New Roman" w:eastAsia="Times New Roman" w:hAnsi="Times New Roman" w:cs="Times New Roman"/>
        </w:rPr>
      </w:pPr>
    </w:p>
    <w:p w14:paraId="0000005B" w14:textId="598B4E6A" w:rsidR="0082397C" w:rsidRDefault="00000000">
      <w:pPr>
        <w:jc w:val="both"/>
      </w:pPr>
      <w:r>
        <w:rPr>
          <w:rFonts w:ascii="Times New Roman" w:eastAsia="Times New Roman" w:hAnsi="Times New Roman" w:cs="Times New Roman"/>
        </w:rPr>
        <w:t xml:space="preserve">The NETR notably omits references to women as integral participants in the transition, lacking any acknowledgement </w:t>
      </w:r>
      <w:r w:rsidR="00543F2D">
        <w:rPr>
          <w:rFonts w:ascii="Times New Roman" w:eastAsia="Times New Roman" w:hAnsi="Times New Roman" w:cs="Times New Roman"/>
        </w:rPr>
        <w:t>for</w:t>
      </w:r>
      <w:r>
        <w:rPr>
          <w:rFonts w:ascii="Times New Roman" w:eastAsia="Times New Roman" w:hAnsi="Times New Roman" w:cs="Times New Roman"/>
        </w:rPr>
        <w:t xml:space="preserve"> assessments </w:t>
      </w:r>
      <w:r w:rsidR="00543F2D" w:rsidRPr="00543F2D">
        <w:rPr>
          <w:rFonts w:ascii="Times New Roman" w:eastAsia="Times New Roman" w:hAnsi="Times New Roman" w:cs="Times New Roman"/>
        </w:rPr>
        <w:t>of the projects' impacts on women</w:t>
      </w:r>
      <w:r w:rsidR="00543F2D">
        <w:rPr>
          <w:rFonts w:ascii="Times New Roman" w:eastAsia="Times New Roman" w:hAnsi="Times New Roman" w:cs="Times New Roman"/>
        </w:rPr>
        <w:t xml:space="preserve"> </w:t>
      </w:r>
      <w:r>
        <w:rPr>
          <w:rFonts w:ascii="Times New Roman" w:eastAsia="Times New Roman" w:hAnsi="Times New Roman" w:cs="Times New Roman"/>
        </w:rPr>
        <w:t xml:space="preserve">in communities—a concerning oversight </w:t>
      </w:r>
      <w:r w:rsidR="00543F2D">
        <w:rPr>
          <w:rFonts w:ascii="Times New Roman" w:eastAsia="Times New Roman" w:hAnsi="Times New Roman" w:cs="Times New Roman"/>
        </w:rPr>
        <w:t>considering</w:t>
      </w:r>
      <w:r>
        <w:rPr>
          <w:rFonts w:ascii="Times New Roman" w:eastAsia="Times New Roman" w:hAnsi="Times New Roman" w:cs="Times New Roman"/>
        </w:rPr>
        <w:t xml:space="preserve"> existing data demonstrating the adverse effects of these initiatives.  </w:t>
      </w:r>
      <w:bookmarkStart w:id="6" w:name="_u9o9azok8o22" w:colFirst="0" w:colLast="0"/>
      <w:bookmarkEnd w:id="6"/>
      <w:r w:rsidR="00543F2D" w:rsidRPr="00543F2D">
        <w:rPr>
          <w:rFonts w:ascii="Times New Roman" w:eastAsia="Times New Roman" w:hAnsi="Times New Roman" w:cs="Times New Roman"/>
        </w:rPr>
        <w:t>Without a gender-sensitive approach, energy transition policies risk perpetuating systemic inequities and exacerbating challenges related to energy access, care burdens, and economic empowerment for women.</w:t>
      </w:r>
    </w:p>
    <w:p w14:paraId="0000005C" w14:textId="77777777" w:rsidR="0082397C" w:rsidRDefault="00000000">
      <w:pPr>
        <w:pStyle w:val="Heading3"/>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rPr>
        <w:t>KEY RECOMMENDATIONS</w:t>
      </w:r>
    </w:p>
    <w:p w14:paraId="0000005D" w14:textId="77777777" w:rsidR="0082397C" w:rsidRDefault="0082397C">
      <w:pPr>
        <w:jc w:val="both"/>
        <w:rPr>
          <w:rFonts w:ascii="Times New Roman" w:eastAsia="Times New Roman" w:hAnsi="Times New Roman" w:cs="Times New Roman"/>
          <w:sz w:val="24"/>
          <w:szCs w:val="24"/>
        </w:rPr>
      </w:pPr>
    </w:p>
    <w:p w14:paraId="0000005E" w14:textId="77777777" w:rsidR="0082397C" w:rsidRDefault="00000000">
      <w:pPr>
        <w:numPr>
          <w:ilvl w:val="0"/>
          <w:numId w:val="1"/>
        </w:numPr>
        <w:jc w:val="both"/>
        <w:rPr>
          <w:rFonts w:ascii="Times New Roman" w:eastAsia="Times New Roman" w:hAnsi="Times New Roman" w:cs="Times New Roman"/>
        </w:rPr>
      </w:pPr>
      <w:r>
        <w:rPr>
          <w:rFonts w:ascii="Times New Roman" w:eastAsia="Times New Roman" w:hAnsi="Times New Roman" w:cs="Times New Roman"/>
        </w:rPr>
        <w:t>Declare a climate emergency with gender-specific interventions.</w:t>
      </w:r>
    </w:p>
    <w:p w14:paraId="0000005F" w14:textId="77777777" w:rsidR="0082397C" w:rsidRDefault="00000000">
      <w:pPr>
        <w:numPr>
          <w:ilvl w:val="0"/>
          <w:numId w:val="1"/>
        </w:numPr>
        <w:jc w:val="both"/>
        <w:rPr>
          <w:rFonts w:ascii="Times New Roman" w:eastAsia="Times New Roman" w:hAnsi="Times New Roman" w:cs="Times New Roman"/>
        </w:rPr>
      </w:pPr>
      <w:r>
        <w:rPr>
          <w:rFonts w:ascii="Times New Roman" w:eastAsia="Times New Roman" w:hAnsi="Times New Roman" w:cs="Times New Roman"/>
        </w:rPr>
        <w:t>Address gender-specific impacts of climate change by aligning national laws such as the Climate Change Bill with CEDAW.</w:t>
      </w:r>
    </w:p>
    <w:p w14:paraId="00000060" w14:textId="77777777" w:rsidR="0082397C" w:rsidRDefault="00000000">
      <w:pPr>
        <w:numPr>
          <w:ilvl w:val="0"/>
          <w:numId w:val="1"/>
        </w:numPr>
        <w:jc w:val="both"/>
        <w:rPr>
          <w:rFonts w:ascii="Times New Roman" w:eastAsia="Times New Roman" w:hAnsi="Times New Roman" w:cs="Times New Roman"/>
        </w:rPr>
      </w:pPr>
      <w:r>
        <w:rPr>
          <w:rFonts w:ascii="Times New Roman" w:eastAsia="Times New Roman" w:hAnsi="Times New Roman" w:cs="Times New Roman"/>
        </w:rPr>
        <w:t xml:space="preserve">Prioritise the formation and gender-responsiveness of climate policies by utilising gender policy indicators and markers. </w:t>
      </w:r>
    </w:p>
    <w:p w14:paraId="00000061" w14:textId="77777777" w:rsidR="0082397C" w:rsidRDefault="00000000">
      <w:pPr>
        <w:numPr>
          <w:ilvl w:val="0"/>
          <w:numId w:val="1"/>
        </w:numPr>
        <w:jc w:val="both"/>
        <w:rPr>
          <w:rFonts w:ascii="Times New Roman" w:eastAsia="Times New Roman" w:hAnsi="Times New Roman" w:cs="Times New Roman"/>
        </w:rPr>
      </w:pPr>
      <w:r>
        <w:rPr>
          <w:rFonts w:ascii="Times New Roman" w:eastAsia="Times New Roman" w:hAnsi="Times New Roman" w:cs="Times New Roman"/>
        </w:rPr>
        <w:t>Appoint and support a national UNFCCC Gender and Climate Change Focal Point under the UNFCCC Gender and Climate Change Decision 3/CP.25, paragraph 11 through a transparent and inclusive process, with clear criteria and Terms of Reference.</w:t>
      </w:r>
    </w:p>
    <w:p w14:paraId="00000062" w14:textId="77777777" w:rsidR="0082397C" w:rsidRDefault="00000000">
      <w:pPr>
        <w:numPr>
          <w:ilvl w:val="0"/>
          <w:numId w:val="1"/>
        </w:numPr>
        <w:jc w:val="both"/>
        <w:rPr>
          <w:rFonts w:ascii="Times New Roman" w:eastAsia="Times New Roman" w:hAnsi="Times New Roman" w:cs="Times New Roman"/>
        </w:rPr>
      </w:pPr>
      <w:r>
        <w:rPr>
          <w:rFonts w:ascii="Times New Roman" w:eastAsia="Times New Roman" w:hAnsi="Times New Roman" w:cs="Times New Roman"/>
        </w:rPr>
        <w:t>Reject false solutions and adopt economic approaches prioritising people's well-being and caregiving.</w:t>
      </w:r>
    </w:p>
    <w:p w14:paraId="00000063" w14:textId="77777777" w:rsidR="0082397C" w:rsidRDefault="00000000">
      <w:pPr>
        <w:numPr>
          <w:ilvl w:val="0"/>
          <w:numId w:val="1"/>
        </w:numPr>
        <w:jc w:val="both"/>
        <w:rPr>
          <w:rFonts w:ascii="Times New Roman" w:eastAsia="Times New Roman" w:hAnsi="Times New Roman" w:cs="Times New Roman"/>
        </w:rPr>
      </w:pPr>
      <w:r>
        <w:rPr>
          <w:rFonts w:ascii="Times New Roman" w:eastAsia="Times New Roman" w:hAnsi="Times New Roman" w:cs="Times New Roman"/>
        </w:rPr>
        <w:t>Implement gender-transformative sectoral policies in Just Energy Transition frameworks.</w:t>
      </w:r>
    </w:p>
    <w:p w14:paraId="00000064" w14:textId="77777777" w:rsidR="0082397C" w:rsidRDefault="00000000">
      <w:pPr>
        <w:numPr>
          <w:ilvl w:val="0"/>
          <w:numId w:val="1"/>
        </w:numPr>
        <w:jc w:val="both"/>
        <w:rPr>
          <w:rFonts w:ascii="Times New Roman" w:eastAsia="Times New Roman" w:hAnsi="Times New Roman" w:cs="Times New Roman"/>
        </w:rPr>
      </w:pPr>
      <w:r>
        <w:rPr>
          <w:rFonts w:ascii="Times New Roman" w:eastAsia="Times New Roman" w:hAnsi="Times New Roman" w:cs="Times New Roman"/>
        </w:rPr>
        <w:t>Recognise care work’s role in green transitions and enact social protection that promotes green job opportunities for women, enhances their financial service access, boosts STEM engagement, and offers sustainable care solutions to reduce unpaid work.</w:t>
      </w:r>
    </w:p>
    <w:p w14:paraId="00000065" w14:textId="77777777" w:rsidR="0082397C" w:rsidRDefault="00000000">
      <w:pPr>
        <w:numPr>
          <w:ilvl w:val="0"/>
          <w:numId w:val="1"/>
        </w:numPr>
        <w:jc w:val="both"/>
        <w:rPr>
          <w:rFonts w:ascii="Times New Roman" w:eastAsia="Times New Roman" w:hAnsi="Times New Roman" w:cs="Times New Roman"/>
        </w:rPr>
      </w:pPr>
      <w:r>
        <w:rPr>
          <w:rFonts w:ascii="Times New Roman" w:eastAsia="Times New Roman" w:hAnsi="Times New Roman" w:cs="Times New Roman"/>
        </w:rPr>
        <w:t>Integrate Gender Equality, Social Inclusion, and Disability (GEDSI) in renewable energy investments, ensuring access to fair, transparent, and rights-compatible grievance mechanisms.</w:t>
      </w:r>
    </w:p>
    <w:p w14:paraId="00000066" w14:textId="77777777" w:rsidR="0082397C" w:rsidRDefault="00000000">
      <w:pPr>
        <w:numPr>
          <w:ilvl w:val="0"/>
          <w:numId w:val="1"/>
        </w:numPr>
        <w:jc w:val="both"/>
        <w:rPr>
          <w:rFonts w:ascii="Times New Roman" w:eastAsia="Times New Roman" w:hAnsi="Times New Roman" w:cs="Times New Roman"/>
        </w:rPr>
      </w:pPr>
      <w:r>
        <w:rPr>
          <w:rFonts w:ascii="Times New Roman" w:eastAsia="Times New Roman" w:hAnsi="Times New Roman" w:cs="Times New Roman"/>
        </w:rPr>
        <w:t>Uphold Free, Prior, and Informed Consent (FPIC) and ensure women's safety and participation in decision-making, increasing women's representation, especially in renewable energy and just transition decisions.</w:t>
      </w:r>
    </w:p>
    <w:p w14:paraId="00000067" w14:textId="77777777" w:rsidR="0082397C" w:rsidRDefault="00000000">
      <w:pPr>
        <w:numPr>
          <w:ilvl w:val="0"/>
          <w:numId w:val="1"/>
        </w:numPr>
        <w:jc w:val="both"/>
        <w:rPr>
          <w:rFonts w:ascii="Times New Roman" w:eastAsia="Times New Roman" w:hAnsi="Times New Roman" w:cs="Times New Roman"/>
        </w:rPr>
      </w:pPr>
      <w:r>
        <w:rPr>
          <w:rFonts w:ascii="Times New Roman" w:eastAsia="Times New Roman" w:hAnsi="Times New Roman" w:cs="Times New Roman"/>
        </w:rPr>
        <w:t>Formalise Gender Responsive Budgeting and focus on existing opportunities for financing gender-responsive just energy transition.</w:t>
      </w:r>
    </w:p>
    <w:sectPr w:rsidR="0082397C">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01603" w14:textId="77777777" w:rsidR="00E80C21" w:rsidRDefault="00E80C21">
      <w:pPr>
        <w:spacing w:line="240" w:lineRule="auto"/>
      </w:pPr>
      <w:r>
        <w:separator/>
      </w:r>
    </w:p>
  </w:endnote>
  <w:endnote w:type="continuationSeparator" w:id="0">
    <w:p w14:paraId="3C80CE19" w14:textId="77777777" w:rsidR="00E80C21" w:rsidRDefault="00E80C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D" w14:textId="77CA92C7" w:rsidR="0082397C" w:rsidRDefault="00000000">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10522B">
      <w:rPr>
        <w:rFonts w:ascii="Times New Roman" w:eastAsia="Times New Roman" w:hAnsi="Times New Roman" w:cs="Times New Roman"/>
        <w:noProof/>
        <w:sz w:val="20"/>
        <w:szCs w:val="20"/>
      </w:rPr>
      <w:t>1</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F5446" w14:textId="77777777" w:rsidR="00E80C21" w:rsidRDefault="00E80C21">
      <w:pPr>
        <w:spacing w:line="240" w:lineRule="auto"/>
      </w:pPr>
      <w:r>
        <w:separator/>
      </w:r>
    </w:p>
  </w:footnote>
  <w:footnote w:type="continuationSeparator" w:id="0">
    <w:p w14:paraId="7CFFC301" w14:textId="77777777" w:rsidR="00E80C21" w:rsidRDefault="00E80C21">
      <w:pPr>
        <w:spacing w:line="240" w:lineRule="auto"/>
      </w:pPr>
      <w:r>
        <w:continuationSeparator/>
      </w:r>
    </w:p>
  </w:footnote>
  <w:footnote w:id="1">
    <w:p w14:paraId="078B5C27" w14:textId="77777777" w:rsidR="0034188F" w:rsidRPr="00EA0100" w:rsidRDefault="0034188F" w:rsidP="0034188F">
      <w:pPr>
        <w:spacing w:line="240" w:lineRule="auto"/>
        <w:rPr>
          <w:rFonts w:ascii="Times New Roman" w:eastAsia="Times New Roman" w:hAnsi="Times New Roman" w:cs="Times New Roman"/>
          <w:sz w:val="18"/>
          <w:szCs w:val="18"/>
        </w:rPr>
      </w:pPr>
      <w:r w:rsidRPr="00EA0100">
        <w:rPr>
          <w:rFonts w:ascii="Times New Roman" w:hAnsi="Times New Roman" w:cs="Times New Roman"/>
          <w:sz w:val="18"/>
          <w:szCs w:val="18"/>
          <w:vertAlign w:val="superscript"/>
        </w:rPr>
        <w:footnoteRef/>
      </w:r>
      <w:r w:rsidRPr="00EA0100">
        <w:rPr>
          <w:rFonts w:ascii="Times New Roman" w:hAnsi="Times New Roman" w:cs="Times New Roman"/>
          <w:sz w:val="18"/>
          <w:szCs w:val="18"/>
        </w:rPr>
        <w:t xml:space="preserve"> </w:t>
      </w:r>
      <w:r w:rsidRPr="00EA0100">
        <w:rPr>
          <w:rFonts w:ascii="Times New Roman" w:eastAsia="Times New Roman" w:hAnsi="Times New Roman" w:cs="Times New Roman"/>
          <w:sz w:val="18"/>
          <w:szCs w:val="18"/>
        </w:rPr>
        <w:t xml:space="preserve">For information, contact </w:t>
      </w:r>
      <w:hyperlink r:id="rId1">
        <w:r w:rsidRPr="00EA0100">
          <w:rPr>
            <w:rFonts w:ascii="Times New Roman" w:eastAsia="Times New Roman" w:hAnsi="Times New Roman" w:cs="Times New Roman"/>
            <w:color w:val="1155CC"/>
            <w:sz w:val="18"/>
            <w:szCs w:val="18"/>
            <w:u w:val="single"/>
          </w:rPr>
          <w:t>inquiry@klimaactionmalaysia.org</w:t>
        </w:r>
      </w:hyperlink>
    </w:p>
  </w:footnote>
  <w:footnote w:id="2">
    <w:p w14:paraId="00000068" w14:textId="77777777" w:rsidR="0082397C" w:rsidRPr="00EA0100" w:rsidRDefault="00000000">
      <w:pPr>
        <w:spacing w:line="240" w:lineRule="auto"/>
        <w:rPr>
          <w:rFonts w:ascii="Times New Roman" w:eastAsia="Times New Roman" w:hAnsi="Times New Roman" w:cs="Times New Roman"/>
          <w:sz w:val="18"/>
          <w:szCs w:val="18"/>
        </w:rPr>
      </w:pPr>
      <w:r w:rsidRPr="00EA0100">
        <w:rPr>
          <w:rFonts w:ascii="Times New Roman" w:hAnsi="Times New Roman" w:cs="Times New Roman"/>
          <w:sz w:val="18"/>
          <w:szCs w:val="18"/>
          <w:vertAlign w:val="superscript"/>
        </w:rPr>
        <w:footnoteRef/>
      </w:r>
      <w:hyperlink r:id="rId2">
        <w:r w:rsidRPr="00EA0100">
          <w:rPr>
            <w:rFonts w:ascii="Times New Roman" w:eastAsia="Times New Roman" w:hAnsi="Times New Roman" w:cs="Times New Roman"/>
            <w:color w:val="1155CC"/>
            <w:sz w:val="18"/>
            <w:szCs w:val="18"/>
            <w:u w:val="single"/>
          </w:rPr>
          <w:t xml:space="preserve"> LAWS OF MALAYSIA ACT 88 Official Secrets Act 1972. (2006) </w:t>
        </w:r>
      </w:hyperlink>
    </w:p>
  </w:footnote>
  <w:footnote w:id="3">
    <w:p w14:paraId="0000007C" w14:textId="77777777" w:rsidR="0082397C" w:rsidRDefault="00000000">
      <w:pPr>
        <w:spacing w:line="240" w:lineRule="auto"/>
        <w:rPr>
          <w:rFonts w:ascii="Times New Roman" w:eastAsia="Times New Roman" w:hAnsi="Times New Roman" w:cs="Times New Roman"/>
          <w:sz w:val="18"/>
          <w:szCs w:val="18"/>
        </w:rPr>
      </w:pPr>
      <w:r w:rsidRPr="00EA0100">
        <w:rPr>
          <w:rFonts w:ascii="Times New Roman" w:hAnsi="Times New Roman" w:cs="Times New Roman"/>
          <w:sz w:val="18"/>
          <w:szCs w:val="18"/>
          <w:vertAlign w:val="superscript"/>
        </w:rPr>
        <w:footnoteRef/>
      </w:r>
      <w:hyperlink r:id="rId3">
        <w:r w:rsidRPr="00EA0100">
          <w:rPr>
            <w:rFonts w:ascii="Times New Roman" w:eastAsia="Times New Roman" w:hAnsi="Times New Roman" w:cs="Times New Roman"/>
            <w:color w:val="1155CC"/>
            <w:sz w:val="18"/>
            <w:szCs w:val="18"/>
            <w:u w:val="single"/>
          </w:rPr>
          <w:t xml:space="preserve"> LAWS OF MALAYSIA ACT 134 Aboriginal Peoples Act 1954 (2006)</w:t>
        </w:r>
      </w:hyperlink>
    </w:p>
  </w:footnote>
  <w:footnote w:id="4">
    <w:p w14:paraId="00000069" w14:textId="77777777" w:rsidR="0082397C" w:rsidRPr="00EA0100" w:rsidRDefault="00000000">
      <w:pPr>
        <w:spacing w:line="240" w:lineRule="auto"/>
        <w:rPr>
          <w:rFonts w:ascii="Times New Roman" w:hAnsi="Times New Roman" w:cs="Times New Roman"/>
          <w:sz w:val="18"/>
          <w:szCs w:val="18"/>
        </w:rPr>
      </w:pPr>
      <w:r w:rsidRPr="00EA0100">
        <w:rPr>
          <w:rFonts w:ascii="Times New Roman" w:hAnsi="Times New Roman" w:cs="Times New Roman"/>
          <w:sz w:val="18"/>
          <w:szCs w:val="18"/>
          <w:vertAlign w:val="superscript"/>
        </w:rPr>
        <w:footnoteRef/>
      </w:r>
      <w:hyperlink r:id="rId4">
        <w:r w:rsidRPr="00EA0100">
          <w:rPr>
            <w:rFonts w:ascii="Times New Roman" w:eastAsia="Times New Roman" w:hAnsi="Times New Roman" w:cs="Times New Roman"/>
            <w:color w:val="1155CC"/>
            <w:sz w:val="18"/>
            <w:szCs w:val="18"/>
            <w:u w:val="single"/>
          </w:rPr>
          <w:t xml:space="preserve"> National Policy on Climate Change (2009)</w:t>
        </w:r>
      </w:hyperlink>
    </w:p>
  </w:footnote>
  <w:footnote w:id="5">
    <w:p w14:paraId="0000006A" w14:textId="77777777" w:rsidR="0082397C" w:rsidRPr="00EA0100" w:rsidRDefault="00000000">
      <w:pPr>
        <w:spacing w:line="240" w:lineRule="auto"/>
        <w:rPr>
          <w:rFonts w:ascii="Times New Roman" w:hAnsi="Times New Roman" w:cs="Times New Roman"/>
          <w:sz w:val="18"/>
          <w:szCs w:val="18"/>
        </w:rPr>
      </w:pPr>
      <w:r w:rsidRPr="00EA0100">
        <w:rPr>
          <w:rFonts w:ascii="Times New Roman" w:hAnsi="Times New Roman" w:cs="Times New Roman"/>
          <w:sz w:val="18"/>
          <w:szCs w:val="18"/>
          <w:vertAlign w:val="superscript"/>
        </w:rPr>
        <w:footnoteRef/>
      </w:r>
      <w:r w:rsidRPr="00EA0100">
        <w:rPr>
          <w:rFonts w:ascii="Times New Roman" w:eastAsia="Times New Roman" w:hAnsi="Times New Roman" w:cs="Times New Roman"/>
          <w:sz w:val="18"/>
          <w:szCs w:val="18"/>
        </w:rPr>
        <w:t xml:space="preserve"> </w:t>
      </w:r>
      <w:hyperlink r:id="rId5">
        <w:r w:rsidRPr="00EA0100">
          <w:rPr>
            <w:rFonts w:ascii="Times New Roman" w:eastAsia="Times New Roman" w:hAnsi="Times New Roman" w:cs="Times New Roman"/>
            <w:color w:val="1155CC"/>
            <w:sz w:val="18"/>
            <w:szCs w:val="18"/>
            <w:u w:val="single"/>
          </w:rPr>
          <w:t>National Women's Policy and Action Plan (2009)</w:t>
        </w:r>
      </w:hyperlink>
      <w:r w:rsidRPr="00EA0100">
        <w:rPr>
          <w:rFonts w:ascii="Times New Roman" w:eastAsia="Times New Roman" w:hAnsi="Times New Roman" w:cs="Times New Roman"/>
          <w:sz w:val="18"/>
          <w:szCs w:val="18"/>
        </w:rPr>
        <w:t xml:space="preserve"> </w:t>
      </w:r>
    </w:p>
  </w:footnote>
  <w:footnote w:id="6">
    <w:p w14:paraId="00000076" w14:textId="77777777" w:rsidR="0082397C" w:rsidRPr="00EA0100" w:rsidRDefault="00000000">
      <w:pPr>
        <w:spacing w:line="240" w:lineRule="auto"/>
        <w:rPr>
          <w:rFonts w:ascii="Times New Roman" w:hAnsi="Times New Roman" w:cs="Times New Roman"/>
          <w:sz w:val="18"/>
          <w:szCs w:val="18"/>
        </w:rPr>
      </w:pPr>
      <w:r w:rsidRPr="00EA0100">
        <w:rPr>
          <w:rFonts w:ascii="Times New Roman" w:hAnsi="Times New Roman" w:cs="Times New Roman"/>
          <w:sz w:val="18"/>
          <w:szCs w:val="18"/>
          <w:vertAlign w:val="superscript"/>
        </w:rPr>
        <w:footnoteRef/>
      </w:r>
      <w:hyperlink r:id="rId6">
        <w:r w:rsidRPr="00EA0100">
          <w:rPr>
            <w:rFonts w:ascii="Times New Roman" w:hAnsi="Times New Roman" w:cs="Times New Roman"/>
            <w:color w:val="1155CC"/>
            <w:sz w:val="18"/>
            <w:szCs w:val="18"/>
            <w:u w:val="single"/>
          </w:rPr>
          <w:t xml:space="preserve"> </w:t>
        </w:r>
      </w:hyperlink>
      <w:hyperlink r:id="rId7">
        <w:r w:rsidRPr="00EA0100">
          <w:rPr>
            <w:rFonts w:ascii="Times New Roman" w:eastAsia="Times New Roman" w:hAnsi="Times New Roman" w:cs="Times New Roman"/>
            <w:color w:val="1155CC"/>
            <w:sz w:val="18"/>
            <w:szCs w:val="18"/>
            <w:u w:val="single"/>
          </w:rPr>
          <w:t>National Energy Transition Roadmap (2003)</w:t>
        </w:r>
      </w:hyperlink>
      <w:r w:rsidRPr="00EA0100">
        <w:rPr>
          <w:rFonts w:ascii="Times New Roman" w:eastAsia="Times New Roman" w:hAnsi="Times New Roman" w:cs="Times New Roman"/>
          <w:sz w:val="18"/>
          <w:szCs w:val="18"/>
        </w:rPr>
        <w:t xml:space="preserve"> </w:t>
      </w:r>
    </w:p>
  </w:footnote>
  <w:footnote w:id="7">
    <w:p w14:paraId="00000073" w14:textId="77777777" w:rsidR="0082397C" w:rsidRPr="00EA0100" w:rsidRDefault="00000000">
      <w:pPr>
        <w:spacing w:line="240" w:lineRule="auto"/>
        <w:rPr>
          <w:rFonts w:ascii="Times New Roman" w:hAnsi="Times New Roman" w:cs="Times New Roman"/>
          <w:sz w:val="18"/>
          <w:szCs w:val="18"/>
        </w:rPr>
      </w:pPr>
      <w:r w:rsidRPr="00EA0100">
        <w:rPr>
          <w:rFonts w:ascii="Times New Roman" w:hAnsi="Times New Roman" w:cs="Times New Roman"/>
          <w:sz w:val="18"/>
          <w:szCs w:val="18"/>
          <w:vertAlign w:val="superscript"/>
        </w:rPr>
        <w:footnoteRef/>
      </w:r>
      <w:r w:rsidRPr="00EA0100">
        <w:rPr>
          <w:rFonts w:ascii="Times New Roman" w:eastAsia="Times New Roman" w:hAnsi="Times New Roman" w:cs="Times New Roman"/>
          <w:sz w:val="18"/>
          <w:szCs w:val="18"/>
        </w:rPr>
        <w:t xml:space="preserve"> National report submitted pursuant to Human Rights Council resolutions 5/1 and </w:t>
      </w:r>
      <w:proofErr w:type="gramStart"/>
      <w:r w:rsidRPr="00EA0100">
        <w:rPr>
          <w:rFonts w:ascii="Times New Roman" w:eastAsia="Times New Roman" w:hAnsi="Times New Roman" w:cs="Times New Roman"/>
          <w:sz w:val="18"/>
          <w:szCs w:val="18"/>
        </w:rPr>
        <w:t>16/21</w:t>
      </w:r>
      <w:proofErr w:type="gramEnd"/>
    </w:p>
  </w:footnote>
  <w:footnote w:id="8">
    <w:p w14:paraId="00000077" w14:textId="77777777" w:rsidR="0082397C" w:rsidRPr="00EA0100" w:rsidRDefault="00000000">
      <w:pPr>
        <w:spacing w:line="240" w:lineRule="auto"/>
        <w:rPr>
          <w:rFonts w:ascii="Times New Roman" w:eastAsia="Times New Roman" w:hAnsi="Times New Roman" w:cs="Times New Roman"/>
          <w:sz w:val="18"/>
          <w:szCs w:val="18"/>
        </w:rPr>
      </w:pPr>
      <w:r w:rsidRPr="00EA0100">
        <w:rPr>
          <w:rFonts w:ascii="Times New Roman" w:hAnsi="Times New Roman" w:cs="Times New Roman"/>
          <w:sz w:val="18"/>
          <w:szCs w:val="18"/>
          <w:vertAlign w:val="superscript"/>
        </w:rPr>
        <w:footnoteRef/>
      </w:r>
      <w:hyperlink r:id="rId8">
        <w:r w:rsidRPr="00EA0100">
          <w:rPr>
            <w:rFonts w:ascii="Times New Roman" w:hAnsi="Times New Roman" w:cs="Times New Roman"/>
            <w:color w:val="1155CC"/>
            <w:sz w:val="18"/>
            <w:szCs w:val="18"/>
            <w:u w:val="single"/>
          </w:rPr>
          <w:t xml:space="preserve"> </w:t>
        </w:r>
      </w:hyperlink>
      <w:hyperlink r:id="rId9">
        <w:r w:rsidRPr="00EA0100">
          <w:rPr>
            <w:rFonts w:ascii="Times New Roman" w:eastAsia="Times New Roman" w:hAnsi="Times New Roman" w:cs="Times New Roman"/>
            <w:color w:val="1155CC"/>
            <w:sz w:val="18"/>
            <w:szCs w:val="18"/>
            <w:u w:val="single"/>
          </w:rPr>
          <w:t>Malaysia’s Participation in UNFCCC-COP28 (2024)</w:t>
        </w:r>
      </w:hyperlink>
      <w:r w:rsidRPr="00EA0100">
        <w:rPr>
          <w:rFonts w:ascii="Times New Roman" w:eastAsia="Times New Roman" w:hAnsi="Times New Roman" w:cs="Times New Roman"/>
          <w:sz w:val="18"/>
          <w:szCs w:val="18"/>
        </w:rPr>
        <w:t xml:space="preserve"> </w:t>
      </w:r>
    </w:p>
  </w:footnote>
  <w:footnote w:id="9">
    <w:p w14:paraId="00000080" w14:textId="77777777" w:rsidR="0082397C" w:rsidRDefault="00000000">
      <w:pPr>
        <w:spacing w:line="240" w:lineRule="auto"/>
        <w:rPr>
          <w:rFonts w:ascii="Times New Roman" w:eastAsia="Times New Roman" w:hAnsi="Times New Roman" w:cs="Times New Roman"/>
          <w:sz w:val="18"/>
          <w:szCs w:val="18"/>
        </w:rPr>
      </w:pPr>
      <w:r w:rsidRPr="00EA0100">
        <w:rPr>
          <w:rFonts w:ascii="Times New Roman" w:hAnsi="Times New Roman" w:cs="Times New Roman"/>
          <w:sz w:val="18"/>
          <w:szCs w:val="18"/>
          <w:vertAlign w:val="superscript"/>
        </w:rPr>
        <w:footnoteRef/>
      </w:r>
      <w:r w:rsidRPr="00EA0100">
        <w:rPr>
          <w:rFonts w:ascii="Times New Roman" w:eastAsia="Times New Roman" w:hAnsi="Times New Roman" w:cs="Times New Roman"/>
          <w:sz w:val="18"/>
          <w:szCs w:val="18"/>
        </w:rPr>
        <w:t xml:space="preserve"> </w:t>
      </w:r>
      <w:hyperlink r:id="rId10">
        <w:r w:rsidRPr="00EA0100">
          <w:rPr>
            <w:rFonts w:ascii="Times New Roman" w:eastAsia="Times New Roman" w:hAnsi="Times New Roman" w:cs="Times New Roman"/>
            <w:color w:val="1155CC"/>
            <w:sz w:val="18"/>
            <w:szCs w:val="18"/>
            <w:u w:val="single"/>
          </w:rPr>
          <w:t>National Gender &amp; Climate Change Focal Points, Unfccc.int</w:t>
        </w:r>
      </w:hyperlink>
    </w:p>
  </w:footnote>
  <w:footnote w:id="10">
    <w:p w14:paraId="00000070" w14:textId="77777777" w:rsidR="0082397C" w:rsidRPr="00EA0100" w:rsidRDefault="00000000">
      <w:pPr>
        <w:spacing w:line="240" w:lineRule="auto"/>
        <w:rPr>
          <w:rFonts w:ascii="Times New Roman" w:hAnsi="Times New Roman" w:cs="Times New Roman"/>
          <w:sz w:val="18"/>
          <w:szCs w:val="18"/>
        </w:rPr>
      </w:pPr>
      <w:r w:rsidRPr="00EA0100">
        <w:rPr>
          <w:rFonts w:ascii="Times New Roman" w:hAnsi="Times New Roman" w:cs="Times New Roman"/>
          <w:sz w:val="18"/>
          <w:szCs w:val="18"/>
          <w:vertAlign w:val="superscript"/>
        </w:rPr>
        <w:footnoteRef/>
      </w:r>
      <w:r w:rsidRPr="00EA0100">
        <w:rPr>
          <w:rFonts w:ascii="Times New Roman" w:eastAsia="Times New Roman" w:hAnsi="Times New Roman" w:cs="Times New Roman"/>
          <w:sz w:val="18"/>
          <w:szCs w:val="18"/>
        </w:rPr>
        <w:t xml:space="preserve"> National report submitted pursuant to Human Rights Council resolutions 5/1 and </w:t>
      </w:r>
      <w:proofErr w:type="gramStart"/>
      <w:r w:rsidRPr="00EA0100">
        <w:rPr>
          <w:rFonts w:ascii="Times New Roman" w:eastAsia="Times New Roman" w:hAnsi="Times New Roman" w:cs="Times New Roman"/>
          <w:sz w:val="18"/>
          <w:szCs w:val="18"/>
        </w:rPr>
        <w:t>16/21</w:t>
      </w:r>
      <w:proofErr w:type="gramEnd"/>
    </w:p>
  </w:footnote>
  <w:footnote w:id="11">
    <w:p w14:paraId="00000084" w14:textId="77777777" w:rsidR="0082397C" w:rsidRPr="00EA0100" w:rsidRDefault="00000000">
      <w:pPr>
        <w:spacing w:line="240" w:lineRule="auto"/>
        <w:rPr>
          <w:rFonts w:ascii="Times New Roman" w:hAnsi="Times New Roman" w:cs="Times New Roman"/>
          <w:sz w:val="18"/>
          <w:szCs w:val="18"/>
        </w:rPr>
      </w:pPr>
      <w:r w:rsidRPr="00EA0100">
        <w:rPr>
          <w:rFonts w:ascii="Times New Roman" w:hAnsi="Times New Roman" w:cs="Times New Roman"/>
          <w:sz w:val="18"/>
          <w:szCs w:val="18"/>
          <w:vertAlign w:val="superscript"/>
        </w:rPr>
        <w:footnoteRef/>
      </w:r>
      <w:r w:rsidRPr="00EA0100">
        <w:rPr>
          <w:rFonts w:ascii="Times New Roman" w:eastAsia="Times New Roman" w:hAnsi="Times New Roman" w:cs="Times New Roman"/>
          <w:sz w:val="18"/>
          <w:szCs w:val="18"/>
        </w:rPr>
        <w:t xml:space="preserve">  </w:t>
      </w:r>
      <w:hyperlink r:id="rId11">
        <w:r w:rsidRPr="00EA0100">
          <w:rPr>
            <w:rFonts w:ascii="Times New Roman" w:eastAsia="Times New Roman" w:hAnsi="Times New Roman" w:cs="Times New Roman"/>
            <w:color w:val="1155CC"/>
            <w:sz w:val="18"/>
            <w:szCs w:val="18"/>
            <w:u w:val="single"/>
          </w:rPr>
          <w:t xml:space="preserve">Zunaira </w:t>
        </w:r>
        <w:proofErr w:type="spellStart"/>
        <w:r w:rsidRPr="00EA0100">
          <w:rPr>
            <w:rFonts w:ascii="Times New Roman" w:eastAsia="Times New Roman" w:hAnsi="Times New Roman" w:cs="Times New Roman"/>
            <w:color w:val="1155CC"/>
            <w:sz w:val="18"/>
            <w:szCs w:val="18"/>
            <w:u w:val="single"/>
          </w:rPr>
          <w:t>Saieed</w:t>
        </w:r>
        <w:proofErr w:type="spellEnd"/>
        <w:r w:rsidRPr="00EA0100">
          <w:rPr>
            <w:rFonts w:ascii="Times New Roman" w:eastAsia="Times New Roman" w:hAnsi="Times New Roman" w:cs="Times New Roman"/>
            <w:color w:val="1155CC"/>
            <w:sz w:val="18"/>
            <w:szCs w:val="18"/>
            <w:u w:val="single"/>
          </w:rPr>
          <w:t>, “Malaysia’s Heatwave Expected to Last until June, with Haze Likely to Follow,” The Straits Times, (May 2023)</w:t>
        </w:r>
      </w:hyperlink>
      <w:r w:rsidRPr="00EA0100">
        <w:rPr>
          <w:rFonts w:ascii="Times New Roman" w:eastAsia="Times New Roman" w:hAnsi="Times New Roman" w:cs="Times New Roman"/>
          <w:sz w:val="18"/>
          <w:szCs w:val="18"/>
        </w:rPr>
        <w:t xml:space="preserve">  </w:t>
      </w:r>
    </w:p>
  </w:footnote>
  <w:footnote w:id="12">
    <w:p w14:paraId="00000081" w14:textId="77777777" w:rsidR="0082397C" w:rsidRPr="00EA0100" w:rsidRDefault="00000000">
      <w:pPr>
        <w:spacing w:line="240" w:lineRule="auto"/>
        <w:rPr>
          <w:rFonts w:ascii="Times New Roman" w:hAnsi="Times New Roman" w:cs="Times New Roman"/>
          <w:sz w:val="18"/>
          <w:szCs w:val="18"/>
        </w:rPr>
      </w:pPr>
      <w:r w:rsidRPr="00EA0100">
        <w:rPr>
          <w:rFonts w:ascii="Times New Roman" w:hAnsi="Times New Roman" w:cs="Times New Roman"/>
          <w:sz w:val="18"/>
          <w:szCs w:val="18"/>
          <w:vertAlign w:val="superscript"/>
        </w:rPr>
        <w:footnoteRef/>
      </w:r>
      <w:r w:rsidRPr="00EA0100">
        <w:rPr>
          <w:rFonts w:ascii="Times New Roman" w:hAnsi="Times New Roman" w:cs="Times New Roman"/>
          <w:sz w:val="18"/>
          <w:szCs w:val="18"/>
        </w:rPr>
        <w:t xml:space="preserve"> </w:t>
      </w:r>
      <w:hyperlink r:id="rId12">
        <w:r w:rsidRPr="00EA0100">
          <w:rPr>
            <w:rFonts w:ascii="Times New Roman" w:eastAsia="Times New Roman" w:hAnsi="Times New Roman" w:cs="Times New Roman"/>
            <w:color w:val="1155CC"/>
            <w:sz w:val="18"/>
            <w:szCs w:val="18"/>
            <w:u w:val="single"/>
          </w:rPr>
          <w:t>Santhakumar a/l Mahalingam, “Health Ministry Records 39 Heat-Related Cases,” The Star, (June 2023)</w:t>
        </w:r>
      </w:hyperlink>
      <w:r w:rsidRPr="00EA0100">
        <w:rPr>
          <w:rFonts w:ascii="Times New Roman" w:eastAsia="Times New Roman" w:hAnsi="Times New Roman" w:cs="Times New Roman"/>
          <w:sz w:val="18"/>
          <w:szCs w:val="18"/>
        </w:rPr>
        <w:t xml:space="preserve"> </w:t>
      </w:r>
    </w:p>
  </w:footnote>
  <w:footnote w:id="13">
    <w:p w14:paraId="00000082" w14:textId="77777777" w:rsidR="0082397C" w:rsidRPr="00EA0100" w:rsidRDefault="00000000">
      <w:pPr>
        <w:spacing w:line="240" w:lineRule="auto"/>
        <w:rPr>
          <w:rFonts w:ascii="Times New Roman" w:eastAsia="Times New Roman" w:hAnsi="Times New Roman" w:cs="Times New Roman"/>
          <w:sz w:val="18"/>
          <w:szCs w:val="18"/>
        </w:rPr>
      </w:pPr>
      <w:r w:rsidRPr="00EA0100">
        <w:rPr>
          <w:rFonts w:ascii="Times New Roman" w:hAnsi="Times New Roman" w:cs="Times New Roman"/>
          <w:sz w:val="18"/>
          <w:szCs w:val="18"/>
          <w:vertAlign w:val="superscript"/>
        </w:rPr>
        <w:footnoteRef/>
      </w:r>
      <w:r w:rsidRPr="00EA0100">
        <w:rPr>
          <w:rFonts w:ascii="Times New Roman" w:hAnsi="Times New Roman" w:cs="Times New Roman"/>
          <w:sz w:val="18"/>
          <w:szCs w:val="18"/>
        </w:rPr>
        <w:t xml:space="preserve"> </w:t>
      </w:r>
      <w:hyperlink r:id="rId13">
        <w:r w:rsidRPr="00EA0100">
          <w:rPr>
            <w:rFonts w:ascii="Times New Roman" w:eastAsia="Times New Roman" w:hAnsi="Times New Roman" w:cs="Times New Roman"/>
            <w:color w:val="1155CC"/>
            <w:sz w:val="18"/>
            <w:szCs w:val="18"/>
            <w:u w:val="single"/>
          </w:rPr>
          <w:t>“45 cases of heat-related illnesses, two deaths recorded to date” The Star, (April 2024)</w:t>
        </w:r>
      </w:hyperlink>
    </w:p>
  </w:footnote>
  <w:footnote w:id="14">
    <w:p w14:paraId="00000074" w14:textId="77777777" w:rsidR="0082397C" w:rsidRPr="00EA0100" w:rsidRDefault="00000000">
      <w:pPr>
        <w:spacing w:line="240" w:lineRule="auto"/>
        <w:rPr>
          <w:rFonts w:ascii="Times New Roman" w:eastAsia="Times New Roman" w:hAnsi="Times New Roman" w:cs="Times New Roman"/>
          <w:sz w:val="18"/>
          <w:szCs w:val="18"/>
        </w:rPr>
      </w:pPr>
      <w:r w:rsidRPr="00EA0100">
        <w:rPr>
          <w:rFonts w:ascii="Times New Roman" w:hAnsi="Times New Roman" w:cs="Times New Roman"/>
          <w:sz w:val="18"/>
          <w:szCs w:val="18"/>
          <w:vertAlign w:val="superscript"/>
        </w:rPr>
        <w:footnoteRef/>
      </w:r>
      <w:hyperlink r:id="rId14">
        <w:r w:rsidRPr="00EA0100">
          <w:rPr>
            <w:rFonts w:ascii="Times New Roman" w:hAnsi="Times New Roman" w:cs="Times New Roman"/>
            <w:color w:val="1155CC"/>
            <w:sz w:val="18"/>
            <w:szCs w:val="18"/>
            <w:u w:val="single"/>
          </w:rPr>
          <w:t xml:space="preserve"> </w:t>
        </w:r>
      </w:hyperlink>
      <w:hyperlink r:id="rId15">
        <w:r w:rsidRPr="00EA0100">
          <w:rPr>
            <w:rFonts w:ascii="Times New Roman" w:eastAsia="Times New Roman" w:hAnsi="Times New Roman" w:cs="Times New Roman"/>
            <w:color w:val="1155CC"/>
            <w:sz w:val="18"/>
            <w:szCs w:val="18"/>
            <w:u w:val="single"/>
          </w:rPr>
          <w:t xml:space="preserve">Kun Hing Yong et al., “The Scorching Truth: Investigating the Impact of Heatwaves on Selangor’s Elderly Hospitalisations,” International Journal of Environmental Research and Public Health 20, no. 10 (May 2023): 5910, </w:t>
        </w:r>
      </w:hyperlink>
    </w:p>
  </w:footnote>
  <w:footnote w:id="15">
    <w:p w14:paraId="0000006B" w14:textId="77777777" w:rsidR="0082397C" w:rsidRDefault="00000000">
      <w:pPr>
        <w:spacing w:line="240" w:lineRule="auto"/>
        <w:rPr>
          <w:rFonts w:ascii="Times New Roman" w:eastAsia="Times New Roman" w:hAnsi="Times New Roman" w:cs="Times New Roman"/>
          <w:sz w:val="18"/>
          <w:szCs w:val="18"/>
        </w:rPr>
      </w:pPr>
      <w:r w:rsidRPr="00EA0100">
        <w:rPr>
          <w:rFonts w:ascii="Times New Roman" w:hAnsi="Times New Roman" w:cs="Times New Roman"/>
          <w:sz w:val="18"/>
          <w:szCs w:val="18"/>
          <w:vertAlign w:val="superscript"/>
        </w:rPr>
        <w:footnoteRef/>
      </w:r>
      <w:r w:rsidRPr="00EA0100">
        <w:rPr>
          <w:rFonts w:ascii="Times New Roman" w:eastAsia="Times New Roman" w:hAnsi="Times New Roman" w:cs="Times New Roman"/>
          <w:sz w:val="18"/>
          <w:szCs w:val="18"/>
        </w:rPr>
        <w:t xml:space="preserve"> </w:t>
      </w:r>
      <w:hyperlink r:id="rId16">
        <w:r w:rsidRPr="00EA0100">
          <w:rPr>
            <w:rFonts w:ascii="Times New Roman" w:eastAsia="Times New Roman" w:hAnsi="Times New Roman" w:cs="Times New Roman"/>
            <w:color w:val="1155CC"/>
            <w:sz w:val="18"/>
            <w:szCs w:val="18"/>
            <w:u w:val="single"/>
          </w:rPr>
          <w:t>Klima Action Malaysia, Women and Climate Change Policy Paper (2024)</w:t>
        </w:r>
      </w:hyperlink>
      <w:r>
        <w:rPr>
          <w:rFonts w:ascii="Times New Roman" w:eastAsia="Times New Roman" w:hAnsi="Times New Roman" w:cs="Times New Roman"/>
          <w:sz w:val="18"/>
          <w:szCs w:val="18"/>
        </w:rPr>
        <w:t xml:space="preserve"> </w:t>
      </w:r>
    </w:p>
  </w:footnote>
  <w:footnote w:id="16">
    <w:p w14:paraId="0000006C" w14:textId="77777777" w:rsidR="0082397C" w:rsidRPr="00EA0100" w:rsidRDefault="00000000">
      <w:pPr>
        <w:spacing w:line="240" w:lineRule="auto"/>
        <w:rPr>
          <w:rFonts w:ascii="Times New Roman" w:eastAsia="Times New Roman" w:hAnsi="Times New Roman" w:cs="Times New Roman"/>
          <w:sz w:val="18"/>
          <w:szCs w:val="18"/>
        </w:rPr>
      </w:pPr>
      <w:r w:rsidRPr="00EA0100">
        <w:rPr>
          <w:rFonts w:ascii="Times New Roman" w:hAnsi="Times New Roman" w:cs="Times New Roman"/>
          <w:sz w:val="18"/>
          <w:szCs w:val="18"/>
          <w:vertAlign w:val="superscript"/>
        </w:rPr>
        <w:footnoteRef/>
      </w:r>
      <w:hyperlink r:id="rId17">
        <w:r w:rsidRPr="00EA0100">
          <w:rPr>
            <w:rFonts w:ascii="Times New Roman" w:hAnsi="Times New Roman" w:cs="Times New Roman"/>
            <w:color w:val="1155CC"/>
            <w:sz w:val="18"/>
            <w:szCs w:val="18"/>
            <w:u w:val="single"/>
          </w:rPr>
          <w:t xml:space="preserve"> </w:t>
        </w:r>
      </w:hyperlink>
      <w:hyperlink r:id="rId18">
        <w:r w:rsidRPr="00EA0100">
          <w:rPr>
            <w:rFonts w:ascii="Times New Roman" w:eastAsia="Times New Roman" w:hAnsi="Times New Roman" w:cs="Times New Roman"/>
            <w:color w:val="1155CC"/>
            <w:sz w:val="18"/>
            <w:szCs w:val="18"/>
            <w:u w:val="single"/>
          </w:rPr>
          <w:t xml:space="preserve"> Khazanah Research Institute, Time to Care: Gender </w:t>
        </w:r>
        <w:proofErr w:type="spellStart"/>
        <w:proofErr w:type="gramStart"/>
        <w:r w:rsidRPr="00EA0100">
          <w:rPr>
            <w:rFonts w:ascii="Times New Roman" w:eastAsia="Times New Roman" w:hAnsi="Times New Roman" w:cs="Times New Roman"/>
            <w:color w:val="1155CC"/>
            <w:sz w:val="18"/>
            <w:szCs w:val="18"/>
            <w:u w:val="single"/>
          </w:rPr>
          <w:t>Inequality,Unpaid</w:t>
        </w:r>
        <w:proofErr w:type="spellEnd"/>
        <w:proofErr w:type="gramEnd"/>
        <w:r w:rsidRPr="00EA0100">
          <w:rPr>
            <w:rFonts w:ascii="Times New Roman" w:eastAsia="Times New Roman" w:hAnsi="Times New Roman" w:cs="Times New Roman"/>
            <w:color w:val="1155CC"/>
            <w:sz w:val="18"/>
            <w:szCs w:val="18"/>
            <w:u w:val="single"/>
          </w:rPr>
          <w:t xml:space="preserve"> Care Work and Time Use  Survey (2019) </w:t>
        </w:r>
      </w:hyperlink>
    </w:p>
  </w:footnote>
  <w:footnote w:id="17">
    <w:p w14:paraId="00000078" w14:textId="77777777" w:rsidR="0082397C" w:rsidRPr="00EA0100" w:rsidRDefault="00000000">
      <w:pPr>
        <w:spacing w:line="240" w:lineRule="auto"/>
        <w:rPr>
          <w:rFonts w:ascii="Times New Roman" w:eastAsia="Times New Roman" w:hAnsi="Times New Roman" w:cs="Times New Roman"/>
          <w:sz w:val="18"/>
          <w:szCs w:val="18"/>
        </w:rPr>
      </w:pPr>
      <w:r w:rsidRPr="00EA0100">
        <w:rPr>
          <w:rFonts w:ascii="Times New Roman" w:hAnsi="Times New Roman" w:cs="Times New Roman"/>
          <w:sz w:val="18"/>
          <w:szCs w:val="18"/>
          <w:vertAlign w:val="superscript"/>
        </w:rPr>
        <w:footnoteRef/>
      </w:r>
      <w:r w:rsidRPr="00EA0100">
        <w:rPr>
          <w:rFonts w:ascii="Times New Roman" w:hAnsi="Times New Roman" w:cs="Times New Roman"/>
          <w:sz w:val="18"/>
          <w:szCs w:val="18"/>
        </w:rPr>
        <w:t xml:space="preserve"> </w:t>
      </w:r>
      <w:hyperlink r:id="rId19">
        <w:r w:rsidRPr="00EA0100">
          <w:rPr>
            <w:rFonts w:ascii="Times New Roman" w:eastAsia="Times New Roman" w:hAnsi="Times New Roman" w:cs="Times New Roman"/>
            <w:color w:val="1155CC"/>
            <w:sz w:val="18"/>
            <w:szCs w:val="18"/>
            <w:u w:val="single"/>
          </w:rPr>
          <w:t>Sharifah Nabilah Syed Salleh and Norma Mansor, “Women and Labour Force Participation in Malaysia,” Malaysian Journal of Social Sciences and Humanities (MJSSH) 7, no. 7 (July 2022)</w:t>
        </w:r>
      </w:hyperlink>
    </w:p>
  </w:footnote>
  <w:footnote w:id="18">
    <w:p w14:paraId="00000071" w14:textId="77777777" w:rsidR="0082397C" w:rsidRPr="00EA0100" w:rsidRDefault="00000000">
      <w:pPr>
        <w:spacing w:line="240" w:lineRule="auto"/>
        <w:rPr>
          <w:rFonts w:ascii="Times New Roman" w:hAnsi="Times New Roman" w:cs="Times New Roman"/>
          <w:sz w:val="18"/>
          <w:szCs w:val="18"/>
        </w:rPr>
      </w:pPr>
      <w:r w:rsidRPr="00EA0100">
        <w:rPr>
          <w:rFonts w:ascii="Times New Roman" w:hAnsi="Times New Roman" w:cs="Times New Roman"/>
          <w:sz w:val="18"/>
          <w:szCs w:val="18"/>
          <w:vertAlign w:val="superscript"/>
        </w:rPr>
        <w:footnoteRef/>
      </w:r>
      <w:r w:rsidRPr="00EA0100">
        <w:rPr>
          <w:rFonts w:ascii="Times New Roman" w:hAnsi="Times New Roman" w:cs="Times New Roman"/>
          <w:sz w:val="18"/>
          <w:szCs w:val="18"/>
        </w:rPr>
        <w:t xml:space="preserve"> </w:t>
      </w:r>
      <w:r w:rsidRPr="00EA0100">
        <w:rPr>
          <w:rFonts w:ascii="Times New Roman" w:eastAsia="Times New Roman" w:hAnsi="Times New Roman" w:cs="Times New Roman"/>
          <w:sz w:val="18"/>
          <w:szCs w:val="18"/>
        </w:rPr>
        <w:t xml:space="preserve">Klima Action Malaysia, Women and Climate Change Policy Brief (2024) </w:t>
      </w:r>
    </w:p>
  </w:footnote>
  <w:footnote w:id="19">
    <w:p w14:paraId="00000072" w14:textId="77777777" w:rsidR="0082397C" w:rsidRDefault="00000000">
      <w:pPr>
        <w:spacing w:line="240" w:lineRule="auto"/>
        <w:rPr>
          <w:rFonts w:ascii="Times New Roman" w:eastAsia="Times New Roman" w:hAnsi="Times New Roman" w:cs="Times New Roman"/>
          <w:sz w:val="18"/>
          <w:szCs w:val="18"/>
        </w:rPr>
      </w:pPr>
      <w:r w:rsidRPr="00EA0100">
        <w:rPr>
          <w:rFonts w:ascii="Times New Roman" w:hAnsi="Times New Roman" w:cs="Times New Roman"/>
          <w:sz w:val="18"/>
          <w:szCs w:val="18"/>
          <w:vertAlign w:val="superscript"/>
        </w:rPr>
        <w:footnoteRef/>
      </w:r>
      <w:r w:rsidRPr="00EA0100">
        <w:rPr>
          <w:rFonts w:ascii="Times New Roman" w:hAnsi="Times New Roman" w:cs="Times New Roman"/>
          <w:sz w:val="18"/>
          <w:szCs w:val="18"/>
        </w:rPr>
        <w:t xml:space="preserve"> </w:t>
      </w:r>
      <w:hyperlink r:id="rId20">
        <w:r w:rsidRPr="00EA0100">
          <w:rPr>
            <w:rFonts w:ascii="Times New Roman" w:eastAsia="Times New Roman" w:hAnsi="Times New Roman" w:cs="Times New Roman"/>
            <w:color w:val="1155CC"/>
            <w:sz w:val="18"/>
            <w:szCs w:val="18"/>
            <w:u w:val="single"/>
          </w:rPr>
          <w:t xml:space="preserve">Ministry of Women, Family and Community Development. (2015). Maklumat </w:t>
        </w:r>
        <w:proofErr w:type="spellStart"/>
        <w:r w:rsidRPr="00EA0100">
          <w:rPr>
            <w:rFonts w:ascii="Times New Roman" w:eastAsia="Times New Roman" w:hAnsi="Times New Roman" w:cs="Times New Roman"/>
            <w:color w:val="1155CC"/>
            <w:sz w:val="18"/>
            <w:szCs w:val="18"/>
            <w:u w:val="single"/>
          </w:rPr>
          <w:t>Bantuan</w:t>
        </w:r>
        <w:proofErr w:type="spellEnd"/>
        <w:r w:rsidRPr="00EA0100">
          <w:rPr>
            <w:rFonts w:ascii="Times New Roman" w:eastAsia="Times New Roman" w:hAnsi="Times New Roman" w:cs="Times New Roman"/>
            <w:color w:val="1155CC"/>
            <w:sz w:val="18"/>
            <w:szCs w:val="18"/>
            <w:u w:val="single"/>
          </w:rPr>
          <w:t xml:space="preserve"> </w:t>
        </w:r>
        <w:proofErr w:type="spellStart"/>
        <w:r w:rsidRPr="00EA0100">
          <w:rPr>
            <w:rFonts w:ascii="Times New Roman" w:eastAsia="Times New Roman" w:hAnsi="Times New Roman" w:cs="Times New Roman"/>
            <w:color w:val="1155CC"/>
            <w:sz w:val="18"/>
            <w:szCs w:val="18"/>
            <w:u w:val="single"/>
          </w:rPr>
          <w:t>Bencana</w:t>
        </w:r>
        <w:proofErr w:type="spellEnd"/>
        <w:r w:rsidRPr="00EA0100">
          <w:rPr>
            <w:rFonts w:ascii="Times New Roman" w:eastAsia="Times New Roman" w:hAnsi="Times New Roman" w:cs="Times New Roman"/>
            <w:color w:val="1155CC"/>
            <w:sz w:val="18"/>
            <w:szCs w:val="18"/>
            <w:u w:val="single"/>
          </w:rPr>
          <w:t xml:space="preserve"> Alam [Dataset]</w:t>
        </w:r>
      </w:hyperlink>
      <w:r w:rsidRPr="00EA0100">
        <w:rPr>
          <w:rFonts w:ascii="Times New Roman" w:eastAsia="Times New Roman" w:hAnsi="Times New Roman" w:cs="Times New Roman"/>
          <w:sz w:val="18"/>
          <w:szCs w:val="18"/>
        </w:rPr>
        <w:t>.</w:t>
      </w:r>
      <w:r>
        <w:rPr>
          <w:rFonts w:ascii="Times New Roman" w:eastAsia="Times New Roman" w:hAnsi="Times New Roman" w:cs="Times New Roman"/>
          <w:sz w:val="18"/>
          <w:szCs w:val="18"/>
        </w:rPr>
        <w:t xml:space="preserve"> </w:t>
      </w:r>
    </w:p>
  </w:footnote>
  <w:footnote w:id="20">
    <w:p w14:paraId="6D1FD52A" w14:textId="77777777" w:rsidR="00093E5E" w:rsidRPr="00EA0100" w:rsidRDefault="00093E5E" w:rsidP="00093E5E">
      <w:pPr>
        <w:spacing w:line="240" w:lineRule="auto"/>
        <w:rPr>
          <w:rFonts w:ascii="Times New Roman" w:hAnsi="Times New Roman" w:cs="Times New Roman"/>
          <w:sz w:val="18"/>
          <w:szCs w:val="18"/>
        </w:rPr>
      </w:pPr>
      <w:r w:rsidRPr="00EA0100">
        <w:rPr>
          <w:rFonts w:ascii="Times New Roman" w:hAnsi="Times New Roman" w:cs="Times New Roman"/>
          <w:sz w:val="18"/>
          <w:szCs w:val="18"/>
          <w:vertAlign w:val="superscript"/>
        </w:rPr>
        <w:footnoteRef/>
      </w:r>
      <w:r w:rsidRPr="00EA0100">
        <w:rPr>
          <w:rFonts w:ascii="Times New Roman" w:hAnsi="Times New Roman" w:cs="Times New Roman"/>
          <w:sz w:val="18"/>
          <w:szCs w:val="18"/>
        </w:rPr>
        <w:t xml:space="preserve"> </w:t>
      </w:r>
      <w:r w:rsidRPr="00EA0100">
        <w:rPr>
          <w:rFonts w:ascii="Times New Roman" w:eastAsia="Times New Roman" w:hAnsi="Times New Roman" w:cs="Times New Roman"/>
          <w:sz w:val="18"/>
          <w:szCs w:val="18"/>
        </w:rPr>
        <w:t xml:space="preserve"> </w:t>
      </w:r>
      <w:hyperlink r:id="rId21">
        <w:r w:rsidRPr="00EA0100">
          <w:rPr>
            <w:rFonts w:ascii="Times New Roman" w:eastAsia="Times New Roman" w:hAnsi="Times New Roman" w:cs="Times New Roman"/>
            <w:color w:val="1155CC"/>
            <w:sz w:val="18"/>
            <w:szCs w:val="18"/>
            <w:u w:val="single"/>
          </w:rPr>
          <w:t xml:space="preserve">Klima Action Malaysia, Suara Nadi Belia Orang Asli </w:t>
        </w:r>
        <w:proofErr w:type="spellStart"/>
        <w:r w:rsidRPr="00EA0100">
          <w:rPr>
            <w:rFonts w:ascii="Times New Roman" w:eastAsia="Times New Roman" w:hAnsi="Times New Roman" w:cs="Times New Roman"/>
            <w:color w:val="1155CC"/>
            <w:sz w:val="18"/>
            <w:szCs w:val="18"/>
            <w:u w:val="single"/>
          </w:rPr>
          <w:t>Semenanjung</w:t>
        </w:r>
        <w:proofErr w:type="spellEnd"/>
        <w:r w:rsidRPr="00EA0100">
          <w:rPr>
            <w:rFonts w:ascii="Times New Roman" w:eastAsia="Times New Roman" w:hAnsi="Times New Roman" w:cs="Times New Roman"/>
            <w:color w:val="1155CC"/>
            <w:sz w:val="18"/>
            <w:szCs w:val="18"/>
            <w:u w:val="single"/>
          </w:rPr>
          <w:t xml:space="preserve"> Malaysia: Voices from Indigenous Youth of Peninsula Malaysia (November 2023)</w:t>
        </w:r>
      </w:hyperlink>
    </w:p>
  </w:footnote>
  <w:footnote w:id="21">
    <w:p w14:paraId="0000007F" w14:textId="77777777" w:rsidR="0082397C" w:rsidRDefault="00000000">
      <w:pPr>
        <w:spacing w:line="240" w:lineRule="auto"/>
        <w:rPr>
          <w:sz w:val="20"/>
          <w:szCs w:val="20"/>
        </w:rPr>
      </w:pPr>
      <w:r w:rsidRPr="00EA0100">
        <w:rPr>
          <w:rFonts w:ascii="Times New Roman" w:hAnsi="Times New Roman" w:cs="Times New Roman"/>
          <w:sz w:val="18"/>
          <w:szCs w:val="18"/>
          <w:vertAlign w:val="superscript"/>
        </w:rPr>
        <w:footnoteRef/>
      </w:r>
      <w:r w:rsidRPr="00EA0100">
        <w:rPr>
          <w:rFonts w:ascii="Times New Roman" w:eastAsia="Times New Roman" w:hAnsi="Times New Roman" w:cs="Times New Roman"/>
          <w:sz w:val="18"/>
          <w:szCs w:val="18"/>
        </w:rPr>
        <w:t xml:space="preserve"> </w:t>
      </w:r>
      <w:hyperlink r:id="rId22">
        <w:r w:rsidRPr="00EA0100">
          <w:rPr>
            <w:rFonts w:ascii="Times New Roman" w:eastAsia="Times New Roman" w:hAnsi="Times New Roman" w:cs="Times New Roman"/>
            <w:color w:val="1155CC"/>
            <w:sz w:val="18"/>
            <w:szCs w:val="18"/>
            <w:u w:val="single"/>
          </w:rPr>
          <w:t xml:space="preserve">S. </w:t>
        </w:r>
        <w:proofErr w:type="spellStart"/>
        <w:r w:rsidRPr="00EA0100">
          <w:rPr>
            <w:rFonts w:ascii="Times New Roman" w:eastAsia="Times New Roman" w:hAnsi="Times New Roman" w:cs="Times New Roman"/>
            <w:color w:val="1155CC"/>
            <w:sz w:val="18"/>
            <w:szCs w:val="18"/>
            <w:u w:val="single"/>
          </w:rPr>
          <w:t>Indramalar</w:t>
        </w:r>
        <w:proofErr w:type="spellEnd"/>
        <w:r w:rsidRPr="00EA0100">
          <w:rPr>
            <w:rFonts w:ascii="Times New Roman" w:eastAsia="Times New Roman" w:hAnsi="Times New Roman" w:cs="Times New Roman"/>
            <w:color w:val="1155CC"/>
            <w:sz w:val="18"/>
            <w:szCs w:val="18"/>
            <w:u w:val="single"/>
          </w:rPr>
          <w:t xml:space="preserve">, “Where Are the Women in Malaysia’s </w:t>
        </w:r>
        <w:proofErr w:type="gramStart"/>
        <w:r w:rsidRPr="00EA0100">
          <w:rPr>
            <w:rFonts w:ascii="Times New Roman" w:eastAsia="Times New Roman" w:hAnsi="Times New Roman" w:cs="Times New Roman"/>
            <w:color w:val="1155CC"/>
            <w:sz w:val="18"/>
            <w:szCs w:val="18"/>
            <w:u w:val="single"/>
          </w:rPr>
          <w:t>Cabinet?,</w:t>
        </w:r>
        <w:proofErr w:type="gramEnd"/>
        <w:r w:rsidRPr="00EA0100">
          <w:rPr>
            <w:rFonts w:ascii="Times New Roman" w:eastAsia="Times New Roman" w:hAnsi="Times New Roman" w:cs="Times New Roman"/>
            <w:color w:val="1155CC"/>
            <w:sz w:val="18"/>
            <w:szCs w:val="18"/>
            <w:u w:val="single"/>
          </w:rPr>
          <w:t xml:space="preserve">” The Star, (January 2024) </w:t>
        </w:r>
      </w:hyperlink>
    </w:p>
  </w:footnote>
  <w:footnote w:id="22">
    <w:p w14:paraId="3F7E386E" w14:textId="6C5DC54D" w:rsidR="001E7CCD" w:rsidRPr="001E7CCD" w:rsidRDefault="001E7CCD">
      <w:pPr>
        <w:pStyle w:val="FootnoteText"/>
        <w:rPr>
          <w:rFonts w:ascii="Times New Roman" w:hAnsi="Times New Roman" w:cs="Times New Roman"/>
          <w:sz w:val="18"/>
          <w:szCs w:val="18"/>
          <w:lang w:val="en-MY"/>
        </w:rPr>
      </w:pPr>
      <w:r w:rsidRPr="001E7CCD">
        <w:rPr>
          <w:rStyle w:val="FootnoteReference"/>
          <w:rFonts w:ascii="Times New Roman" w:hAnsi="Times New Roman" w:cs="Times New Roman"/>
          <w:sz w:val="18"/>
          <w:szCs w:val="18"/>
        </w:rPr>
        <w:footnoteRef/>
      </w:r>
      <w:r w:rsidRPr="001E7CCD">
        <w:rPr>
          <w:rFonts w:ascii="Times New Roman" w:hAnsi="Times New Roman" w:cs="Times New Roman"/>
          <w:sz w:val="18"/>
          <w:szCs w:val="18"/>
        </w:rPr>
        <w:t xml:space="preserve"> </w:t>
      </w:r>
      <w:hyperlink r:id="rId23" w:history="1">
        <w:r w:rsidRPr="001E7CCD">
          <w:rPr>
            <w:rStyle w:val="Hyperlink"/>
            <w:rFonts w:ascii="Times New Roman" w:hAnsi="Times New Roman" w:cs="Times New Roman"/>
            <w:color w:val="1155CC"/>
            <w:sz w:val="18"/>
            <w:szCs w:val="18"/>
          </w:rPr>
          <w:t>Heinrich-Böll-Stiftung Southeast Asia. Women's Public Testimonies in Malaysia Reveal Persisting Gaps in Gender Equality (December 2021)</w:t>
        </w:r>
      </w:hyperlink>
    </w:p>
  </w:footnote>
  <w:footnote w:id="23">
    <w:p w14:paraId="584F4971" w14:textId="006743E2" w:rsidR="001E7CCD" w:rsidRPr="001E7CCD" w:rsidRDefault="001E7CCD">
      <w:pPr>
        <w:pStyle w:val="FootnoteText"/>
        <w:rPr>
          <w:lang w:val="en-MY"/>
        </w:rPr>
      </w:pPr>
      <w:r w:rsidRPr="001E7CCD">
        <w:rPr>
          <w:rStyle w:val="FootnoteReference"/>
          <w:rFonts w:ascii="Times New Roman" w:hAnsi="Times New Roman" w:cs="Times New Roman"/>
          <w:sz w:val="18"/>
          <w:szCs w:val="18"/>
        </w:rPr>
        <w:footnoteRef/>
      </w:r>
      <w:r w:rsidRPr="001E7CCD">
        <w:rPr>
          <w:rFonts w:ascii="Times New Roman" w:hAnsi="Times New Roman" w:cs="Times New Roman"/>
          <w:sz w:val="18"/>
          <w:szCs w:val="18"/>
        </w:rPr>
        <w:t xml:space="preserve"> </w:t>
      </w:r>
      <w:hyperlink r:id="rId24" w:history="1">
        <w:proofErr w:type="spellStart"/>
        <w:r w:rsidRPr="001E7CCD">
          <w:rPr>
            <w:rStyle w:val="Hyperlink"/>
            <w:rFonts w:ascii="Times New Roman" w:hAnsi="Times New Roman" w:cs="Times New Roman"/>
            <w:color w:val="1155CC"/>
            <w:sz w:val="18"/>
            <w:szCs w:val="18"/>
          </w:rPr>
          <w:t>Shahrul</w:t>
        </w:r>
        <w:proofErr w:type="spellEnd"/>
        <w:r w:rsidRPr="001E7CCD">
          <w:rPr>
            <w:rStyle w:val="Hyperlink"/>
            <w:rFonts w:ascii="Times New Roman" w:hAnsi="Times New Roman" w:cs="Times New Roman"/>
            <w:color w:val="1155CC"/>
            <w:sz w:val="18"/>
            <w:szCs w:val="18"/>
          </w:rPr>
          <w:t xml:space="preserve"> </w:t>
        </w:r>
        <w:proofErr w:type="spellStart"/>
        <w:r w:rsidRPr="001E7CCD">
          <w:rPr>
            <w:rStyle w:val="Hyperlink"/>
            <w:rFonts w:ascii="Times New Roman" w:hAnsi="Times New Roman" w:cs="Times New Roman"/>
            <w:color w:val="1155CC"/>
            <w:sz w:val="18"/>
            <w:szCs w:val="18"/>
          </w:rPr>
          <w:t>Shahabudin</w:t>
        </w:r>
        <w:proofErr w:type="spellEnd"/>
        <w:r w:rsidRPr="001E7CCD">
          <w:rPr>
            <w:rStyle w:val="Hyperlink"/>
            <w:rFonts w:ascii="Times New Roman" w:hAnsi="Times New Roman" w:cs="Times New Roman"/>
            <w:color w:val="1155CC"/>
            <w:sz w:val="18"/>
            <w:szCs w:val="18"/>
          </w:rPr>
          <w:t xml:space="preserve">. PSM activist hurt after allegedly shoved by lands and mines officer. Free Malaysia Today (October 2024) </w:t>
        </w:r>
      </w:hyperlink>
    </w:p>
  </w:footnote>
  <w:footnote w:id="24">
    <w:p w14:paraId="290E52A9" w14:textId="77777777" w:rsidR="00643517" w:rsidRPr="00EA0100" w:rsidRDefault="00643517" w:rsidP="00643517">
      <w:pPr>
        <w:spacing w:line="240" w:lineRule="auto"/>
        <w:rPr>
          <w:rFonts w:ascii="Times New Roman" w:eastAsia="Times New Roman" w:hAnsi="Times New Roman" w:cs="Times New Roman"/>
          <w:sz w:val="18"/>
          <w:szCs w:val="18"/>
        </w:rPr>
      </w:pPr>
      <w:r w:rsidRPr="00EA0100">
        <w:rPr>
          <w:rFonts w:ascii="Times New Roman" w:hAnsi="Times New Roman" w:cs="Times New Roman"/>
          <w:sz w:val="18"/>
          <w:szCs w:val="18"/>
          <w:vertAlign w:val="superscript"/>
        </w:rPr>
        <w:footnoteRef/>
      </w:r>
      <w:r w:rsidRPr="00EA0100">
        <w:rPr>
          <w:rFonts w:ascii="Times New Roman" w:eastAsia="Times New Roman" w:hAnsi="Times New Roman" w:cs="Times New Roman"/>
          <w:sz w:val="18"/>
          <w:szCs w:val="18"/>
        </w:rPr>
        <w:t xml:space="preserve"> </w:t>
      </w:r>
      <w:hyperlink r:id="rId25" w:anchor=":~:text=Publication%20year%3A%202023&amp;text=The%20paper%20discusses%20the%20ways,%2C%20domestic%2C%20and%20communal%20work.">
        <w:r w:rsidRPr="00EA0100">
          <w:rPr>
            <w:rFonts w:ascii="Times New Roman" w:eastAsia="Times New Roman" w:hAnsi="Times New Roman" w:cs="Times New Roman"/>
            <w:color w:val="1155CC"/>
            <w:sz w:val="18"/>
            <w:szCs w:val="18"/>
            <w:u w:val="single"/>
          </w:rPr>
          <w:t xml:space="preserve">UN Women, The Climate- Care Nexus: Addressing </w:t>
        </w:r>
        <w:proofErr w:type="gramStart"/>
        <w:r w:rsidRPr="00EA0100">
          <w:rPr>
            <w:rFonts w:ascii="Times New Roman" w:eastAsia="Times New Roman" w:hAnsi="Times New Roman" w:cs="Times New Roman"/>
            <w:color w:val="1155CC"/>
            <w:sz w:val="18"/>
            <w:szCs w:val="18"/>
            <w:u w:val="single"/>
          </w:rPr>
          <w:t>The</w:t>
        </w:r>
        <w:proofErr w:type="gramEnd"/>
        <w:r w:rsidRPr="00EA0100">
          <w:rPr>
            <w:rFonts w:ascii="Times New Roman" w:eastAsia="Times New Roman" w:hAnsi="Times New Roman" w:cs="Times New Roman"/>
            <w:color w:val="1155CC"/>
            <w:sz w:val="18"/>
            <w:szCs w:val="18"/>
            <w:u w:val="single"/>
          </w:rPr>
          <w:t xml:space="preserve"> Link Ages Between Climate Change And Women’s And Girls’ Unpaid Care, Domestic And Communal Work (2023)</w:t>
        </w:r>
      </w:hyperlink>
    </w:p>
  </w:footnote>
  <w:footnote w:id="25">
    <w:p w14:paraId="157641A2" w14:textId="77777777" w:rsidR="00643517" w:rsidRPr="00EA0100" w:rsidRDefault="00643517" w:rsidP="00643517">
      <w:pPr>
        <w:spacing w:line="240" w:lineRule="auto"/>
        <w:rPr>
          <w:rFonts w:ascii="Times New Roman" w:eastAsia="Times New Roman" w:hAnsi="Times New Roman" w:cs="Times New Roman"/>
          <w:sz w:val="18"/>
          <w:szCs w:val="18"/>
        </w:rPr>
      </w:pPr>
      <w:r w:rsidRPr="00EA0100">
        <w:rPr>
          <w:rFonts w:ascii="Times New Roman" w:hAnsi="Times New Roman" w:cs="Times New Roman"/>
          <w:sz w:val="18"/>
          <w:szCs w:val="18"/>
          <w:vertAlign w:val="superscript"/>
        </w:rPr>
        <w:footnoteRef/>
      </w:r>
      <w:r w:rsidRPr="00EA0100">
        <w:rPr>
          <w:rFonts w:ascii="Times New Roman" w:hAnsi="Times New Roman" w:cs="Times New Roman"/>
          <w:sz w:val="18"/>
          <w:szCs w:val="18"/>
        </w:rPr>
        <w:t xml:space="preserve"> </w:t>
      </w:r>
      <w:hyperlink r:id="rId26">
        <w:r w:rsidRPr="00EA0100">
          <w:rPr>
            <w:rFonts w:ascii="Times New Roman" w:eastAsia="Times New Roman" w:hAnsi="Times New Roman" w:cs="Times New Roman"/>
            <w:color w:val="1155CC"/>
            <w:sz w:val="18"/>
            <w:szCs w:val="18"/>
            <w:u w:val="single"/>
          </w:rPr>
          <w:t>Khazanah Research Institute, Malaysia’s gender gap in STEM education and employment (March 2023)</w:t>
        </w:r>
      </w:hyperlink>
    </w:p>
  </w:footnote>
  <w:footnote w:id="26">
    <w:p w14:paraId="0000006E" w14:textId="77777777" w:rsidR="0082397C" w:rsidRDefault="00000000">
      <w:pPr>
        <w:spacing w:line="240" w:lineRule="auto"/>
        <w:rPr>
          <w:sz w:val="20"/>
          <w:szCs w:val="20"/>
        </w:rPr>
      </w:pPr>
      <w:r w:rsidRPr="00EA0100">
        <w:rPr>
          <w:rFonts w:ascii="Times New Roman" w:hAnsi="Times New Roman" w:cs="Times New Roman"/>
          <w:sz w:val="18"/>
          <w:szCs w:val="18"/>
          <w:vertAlign w:val="superscript"/>
        </w:rPr>
        <w:footnoteRef/>
      </w:r>
      <w:r w:rsidRPr="00EA0100">
        <w:rPr>
          <w:rFonts w:ascii="Times New Roman" w:hAnsi="Times New Roman" w:cs="Times New Roman"/>
          <w:sz w:val="18"/>
          <w:szCs w:val="18"/>
        </w:rPr>
        <w:t xml:space="preserve"> </w:t>
      </w:r>
      <w:r w:rsidRPr="00EA0100">
        <w:rPr>
          <w:rFonts w:ascii="Times New Roman" w:eastAsia="Times New Roman" w:hAnsi="Times New Roman" w:cs="Times New Roman"/>
          <w:sz w:val="18"/>
          <w:szCs w:val="18"/>
        </w:rPr>
        <w:t xml:space="preserve"> National report submitted pursuant to Human Rights Council resolutions 5/1 and </w:t>
      </w:r>
      <w:proofErr w:type="gramStart"/>
      <w:r w:rsidRPr="00EA0100">
        <w:rPr>
          <w:rFonts w:ascii="Times New Roman" w:eastAsia="Times New Roman" w:hAnsi="Times New Roman" w:cs="Times New Roman"/>
          <w:sz w:val="18"/>
          <w:szCs w:val="18"/>
        </w:rPr>
        <w:t>16/21</w:t>
      </w:r>
      <w:proofErr w:type="gramEnd"/>
    </w:p>
  </w:footnote>
  <w:footnote w:id="27">
    <w:p w14:paraId="0000006F" w14:textId="77777777" w:rsidR="0082397C" w:rsidRPr="00EA0100" w:rsidRDefault="00000000">
      <w:pPr>
        <w:spacing w:line="240" w:lineRule="auto"/>
        <w:rPr>
          <w:rFonts w:ascii="Times New Roman" w:hAnsi="Times New Roman" w:cs="Times New Roman"/>
          <w:sz w:val="18"/>
          <w:szCs w:val="18"/>
        </w:rPr>
      </w:pPr>
      <w:r w:rsidRPr="00EA0100">
        <w:rPr>
          <w:rFonts w:ascii="Times New Roman" w:hAnsi="Times New Roman" w:cs="Times New Roman"/>
          <w:sz w:val="18"/>
          <w:szCs w:val="18"/>
          <w:vertAlign w:val="superscript"/>
        </w:rPr>
        <w:footnoteRef/>
      </w:r>
      <w:r w:rsidRPr="00EA0100">
        <w:rPr>
          <w:rFonts w:ascii="Times New Roman" w:hAnsi="Times New Roman" w:cs="Times New Roman"/>
          <w:sz w:val="18"/>
          <w:szCs w:val="18"/>
        </w:rPr>
        <w:t xml:space="preserve"> </w:t>
      </w:r>
      <w:hyperlink r:id="rId27">
        <w:r w:rsidRPr="00EA0100">
          <w:rPr>
            <w:rFonts w:ascii="Times New Roman" w:eastAsia="Times New Roman" w:hAnsi="Times New Roman" w:cs="Times New Roman"/>
            <w:color w:val="1155CC"/>
            <w:sz w:val="18"/>
            <w:szCs w:val="18"/>
            <w:u w:val="single"/>
          </w:rPr>
          <w:t>International Labour Organization, Guidelines for a just transition towards environmentally sustainable economies and societies for all (2015)</w:t>
        </w:r>
      </w:hyperlink>
    </w:p>
  </w:footnote>
  <w:footnote w:id="28">
    <w:p w14:paraId="0000007B" w14:textId="77777777" w:rsidR="0082397C" w:rsidRPr="00EA0100" w:rsidRDefault="00000000">
      <w:pPr>
        <w:spacing w:line="240" w:lineRule="auto"/>
        <w:rPr>
          <w:rFonts w:ascii="Times New Roman" w:hAnsi="Times New Roman" w:cs="Times New Roman"/>
          <w:sz w:val="18"/>
          <w:szCs w:val="18"/>
        </w:rPr>
      </w:pPr>
      <w:r w:rsidRPr="00EA0100">
        <w:rPr>
          <w:rFonts w:ascii="Times New Roman" w:hAnsi="Times New Roman" w:cs="Times New Roman"/>
          <w:sz w:val="18"/>
          <w:szCs w:val="18"/>
          <w:vertAlign w:val="superscript"/>
        </w:rPr>
        <w:footnoteRef/>
      </w:r>
      <w:r w:rsidRPr="00EA0100">
        <w:rPr>
          <w:rFonts w:ascii="Times New Roman" w:hAnsi="Times New Roman" w:cs="Times New Roman"/>
          <w:sz w:val="18"/>
          <w:szCs w:val="18"/>
        </w:rPr>
        <w:t xml:space="preserve"> </w:t>
      </w:r>
      <w:hyperlink r:id="rId28">
        <w:r w:rsidRPr="00EA0100">
          <w:rPr>
            <w:rFonts w:ascii="Times New Roman" w:eastAsia="Times New Roman" w:hAnsi="Times New Roman" w:cs="Times New Roman"/>
            <w:color w:val="1155CC"/>
            <w:sz w:val="18"/>
            <w:szCs w:val="18"/>
            <w:u w:val="single"/>
          </w:rPr>
          <w:t xml:space="preserve">Klima Action Malaysia, Suara Nadi Belia Orang Asli </w:t>
        </w:r>
        <w:proofErr w:type="spellStart"/>
        <w:r w:rsidRPr="00EA0100">
          <w:rPr>
            <w:rFonts w:ascii="Times New Roman" w:eastAsia="Times New Roman" w:hAnsi="Times New Roman" w:cs="Times New Roman"/>
            <w:color w:val="1155CC"/>
            <w:sz w:val="18"/>
            <w:szCs w:val="18"/>
            <w:u w:val="single"/>
          </w:rPr>
          <w:t>Semenanjung</w:t>
        </w:r>
        <w:proofErr w:type="spellEnd"/>
        <w:r w:rsidRPr="00EA0100">
          <w:rPr>
            <w:rFonts w:ascii="Times New Roman" w:eastAsia="Times New Roman" w:hAnsi="Times New Roman" w:cs="Times New Roman"/>
            <w:color w:val="1155CC"/>
            <w:sz w:val="18"/>
            <w:szCs w:val="18"/>
            <w:u w:val="single"/>
          </w:rPr>
          <w:t xml:space="preserve"> Malaysia: Voices from Indigenous Youth of Peninsula Malaysia (November 2023).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1D3985"/>
    <w:multiLevelType w:val="multilevel"/>
    <w:tmpl w:val="DC9E22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35928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7C"/>
    <w:rsid w:val="00093E5E"/>
    <w:rsid w:val="0010522B"/>
    <w:rsid w:val="001E7CCD"/>
    <w:rsid w:val="002E3462"/>
    <w:rsid w:val="002E5EC3"/>
    <w:rsid w:val="002F4117"/>
    <w:rsid w:val="002F6CDC"/>
    <w:rsid w:val="0034188F"/>
    <w:rsid w:val="00390994"/>
    <w:rsid w:val="00543F2D"/>
    <w:rsid w:val="00643517"/>
    <w:rsid w:val="006634B3"/>
    <w:rsid w:val="0082397C"/>
    <w:rsid w:val="00BC0853"/>
    <w:rsid w:val="00E80C21"/>
    <w:rsid w:val="00EA0100"/>
    <w:rsid w:val="00ED5A5C"/>
    <w:rsid w:val="00F447E5"/>
    <w:rsid w:val="00F52CA5"/>
    <w:rsid w:val="00F91C9D"/>
    <w:rsid w:val="00FA00E7"/>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B6DF3"/>
  <w15:docId w15:val="{AA6BBA99-536A-48BE-9304-C3F82B642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MY"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2E5EC3"/>
    <w:pPr>
      <w:spacing w:before="100" w:beforeAutospacing="1" w:after="100" w:afterAutospacing="1" w:line="240" w:lineRule="auto"/>
    </w:pPr>
    <w:rPr>
      <w:rFonts w:ascii="Times New Roman" w:eastAsia="Times New Roman" w:hAnsi="Times New Roman" w:cs="Times New Roman"/>
      <w:sz w:val="24"/>
      <w:szCs w:val="24"/>
      <w:lang w:val="en-MY"/>
    </w:rPr>
  </w:style>
  <w:style w:type="paragraph" w:styleId="FootnoteText">
    <w:name w:val="footnote text"/>
    <w:basedOn w:val="Normal"/>
    <w:link w:val="FootnoteTextChar"/>
    <w:uiPriority w:val="99"/>
    <w:semiHidden/>
    <w:unhideWhenUsed/>
    <w:rsid w:val="001E7CCD"/>
    <w:pPr>
      <w:spacing w:line="240" w:lineRule="auto"/>
    </w:pPr>
    <w:rPr>
      <w:sz w:val="20"/>
      <w:szCs w:val="20"/>
    </w:rPr>
  </w:style>
  <w:style w:type="character" w:customStyle="1" w:styleId="FootnoteTextChar">
    <w:name w:val="Footnote Text Char"/>
    <w:basedOn w:val="DefaultParagraphFont"/>
    <w:link w:val="FootnoteText"/>
    <w:uiPriority w:val="99"/>
    <w:semiHidden/>
    <w:rsid w:val="001E7CCD"/>
    <w:rPr>
      <w:sz w:val="20"/>
      <w:szCs w:val="20"/>
    </w:rPr>
  </w:style>
  <w:style w:type="character" w:styleId="FootnoteReference">
    <w:name w:val="footnote reference"/>
    <w:basedOn w:val="DefaultParagraphFont"/>
    <w:uiPriority w:val="99"/>
    <w:semiHidden/>
    <w:unhideWhenUsed/>
    <w:rsid w:val="001E7CCD"/>
    <w:rPr>
      <w:vertAlign w:val="superscript"/>
    </w:rPr>
  </w:style>
  <w:style w:type="character" w:styleId="Hyperlink">
    <w:name w:val="Hyperlink"/>
    <w:basedOn w:val="DefaultParagraphFont"/>
    <w:uiPriority w:val="99"/>
    <w:semiHidden/>
    <w:unhideWhenUsed/>
    <w:rsid w:val="001E7CC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02522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malaysiapavilion-cop.com/static/documents/malaysias-participation-in-cop28-report-v18-fa-web.pdf" TargetMode="External"/><Relationship Id="rId13" Type="http://schemas.openxmlformats.org/officeDocument/2006/relationships/hyperlink" Target="https://www.thestar.com.my/news/nation/2024/04/14/45-cases-of-heat-related-illnesses-two-deaths-recorded-to-date" TargetMode="External"/><Relationship Id="rId18" Type="http://schemas.openxmlformats.org/officeDocument/2006/relationships/hyperlink" Target="https://www.krinstitute.org/assets/contentMS/img/template/editor/Publications_Time%20to%20Care_Full%20report.pdf" TargetMode="External"/><Relationship Id="rId26" Type="http://schemas.openxmlformats.org/officeDocument/2006/relationships/hyperlink" Target="https://www.krinstitute.org/assets/contentMS/img/template/editor/2303%20Gender%20Gap%20in%20STEM.pdf" TargetMode="External"/><Relationship Id="rId3" Type="http://schemas.openxmlformats.org/officeDocument/2006/relationships/hyperlink" Target="https://www.jkptg.gov.my/images/pdf/perundangan-tanah/Act_134-Oboriginal_Peoples_Act.p" TargetMode="External"/><Relationship Id="rId21" Type="http://schemas.openxmlformats.org/officeDocument/2006/relationships/hyperlink" Target="https://www.klimaactionmalaysia.org/sekolahiklim" TargetMode="External"/><Relationship Id="rId7" Type="http://schemas.openxmlformats.org/officeDocument/2006/relationships/hyperlink" Target="https://www.ekonomi.gov.my/sites/default/files/2023-09/National%20Energy%20Transition%20Roadmap_0.pdf" TargetMode="External"/><Relationship Id="rId12" Type="http://schemas.openxmlformats.org/officeDocument/2006/relationships/hyperlink" Target="https://www.thestar.com.my/news/nation/2023/06/16/health-ministry-records-39-heat-related-cases" TargetMode="External"/><Relationship Id="rId17" Type="http://schemas.openxmlformats.org/officeDocument/2006/relationships/hyperlink" Target="https://www.krinstitute.org/assets/contentMS/img/template/editor/Publications_Time%20to%20Care_Full%20report.pdf" TargetMode="External"/><Relationship Id="rId25" Type="http://schemas.openxmlformats.org/officeDocument/2006/relationships/hyperlink" Target="https://www.unwomen.org/en/digital-library/publications/2023/11/working-paper-the-climate-care-nexus-addressing-the-linkages-between-climate-change-and-womens-and-girls-unpaid-care-domestic-and-communal-work" TargetMode="External"/><Relationship Id="rId2" Type="http://schemas.openxmlformats.org/officeDocument/2006/relationships/hyperlink" Target="http://mpsegamat.gov.my/sites/default/files/akta09_-_akta_rahsia_rasmi_1972_akta_88_-_bm_bi.pdf" TargetMode="External"/><Relationship Id="rId16" Type="http://schemas.openxmlformats.org/officeDocument/2006/relationships/hyperlink" Target="https://medium.com/klimaaction/voice-visibility-women-climate-crisis-policy-paper-key-findings-7251b865e330" TargetMode="External"/><Relationship Id="rId20" Type="http://schemas.openxmlformats.org/officeDocument/2006/relationships/hyperlink" Target="https://archive.data.gov.my/data/en_US/dataset/maklumat-bantuan-bencana-alam" TargetMode="External"/><Relationship Id="rId1" Type="http://schemas.openxmlformats.org/officeDocument/2006/relationships/hyperlink" Target="mailto:inquiry@klimaactionmalaysia.org" TargetMode="External"/><Relationship Id="rId6" Type="http://schemas.openxmlformats.org/officeDocument/2006/relationships/hyperlink" Target="https://www.ekonomi.gov.my/sites/default/files/2023-09/National%20Energy%20Transition%20Roadmap_0.pdf" TargetMode="External"/><Relationship Id="rId11" Type="http://schemas.openxmlformats.org/officeDocument/2006/relationships/hyperlink" Target="https://www.straitstimes.com/asia/se-asia/malaysia-s-heatwave-expected-to-last-until-june-with-haze-likely-after-that" TargetMode="External"/><Relationship Id="rId24" Type="http://schemas.openxmlformats.org/officeDocument/2006/relationships/hyperlink" Target="https://www.freemalaysiatoday.com/category/nation/2023/10/24/psm-activist-hurt-after-allegedly-shoved-by-lands-and-mines-officer/" TargetMode="External"/><Relationship Id="rId5" Type="http://schemas.openxmlformats.org/officeDocument/2006/relationships/hyperlink" Target="https://www.kpwkm.gov.my/kpwkm/uploads/files/Dokumen/Dasar/DASAR%20WANITA%20NEGARA.pdf" TargetMode="External"/><Relationship Id="rId15" Type="http://schemas.openxmlformats.org/officeDocument/2006/relationships/hyperlink" Target="https://doi.org/10.3390/ijerph20105910" TargetMode="External"/><Relationship Id="rId23" Type="http://schemas.openxmlformats.org/officeDocument/2006/relationships/hyperlink" Target="https://th.boell.org/en/2021/12/15/womens-testimonies-malaysia" TargetMode="External"/><Relationship Id="rId28" Type="http://schemas.openxmlformats.org/officeDocument/2006/relationships/hyperlink" Target="https://www.klimaactionmalaysia.org/sekolahiklim" TargetMode="External"/><Relationship Id="rId10" Type="http://schemas.openxmlformats.org/officeDocument/2006/relationships/hyperlink" Target="https://unfccc.int/topics/gender/resources/list-of-gender-focal-points-under-the-unfccc" TargetMode="External"/><Relationship Id="rId19" Type="http://schemas.openxmlformats.org/officeDocument/2006/relationships/hyperlink" Target="https://doi.org/10.47405/mjssh.v7i7.1641" TargetMode="External"/><Relationship Id="rId4" Type="http://schemas.openxmlformats.org/officeDocument/2006/relationships/hyperlink" Target="http://www.pmo.gov.my/2019/07/national-policy-on-climate-change/" TargetMode="External"/><Relationship Id="rId9" Type="http://schemas.openxmlformats.org/officeDocument/2006/relationships/hyperlink" Target="https://www.malaysiapavilion-cop.com/static/documents/malaysias-participation-in-cop28-report-v18-fa-web.pdf" TargetMode="External"/><Relationship Id="rId14" Type="http://schemas.openxmlformats.org/officeDocument/2006/relationships/hyperlink" Target="https://doi.org/10.3390/ijerph20105910" TargetMode="External"/><Relationship Id="rId22" Type="http://schemas.openxmlformats.org/officeDocument/2006/relationships/hyperlink" Target="https://www.thestar.com.my/lifestyle/family/2024/01/05/where-are-the-women-in-malaysia039s-cabinet." TargetMode="External"/><Relationship Id="rId27" Type="http://schemas.openxmlformats.org/officeDocument/2006/relationships/hyperlink" Target="https://www.ilo.org/wcmsp5/groups/public/---ed_emp/---emp_ent/documents/publication/wcms_43285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5122B2-ED97-4CDD-B744-9259F21555EF}"/>
</file>

<file path=customXml/itemProps2.xml><?xml version="1.0" encoding="utf-8"?>
<ds:datastoreItem xmlns:ds="http://schemas.openxmlformats.org/officeDocument/2006/customXml" ds:itemID="{7A68566A-4312-4A8C-A641-8555630E6652}"/>
</file>

<file path=docProps/app.xml><?xml version="1.0" encoding="utf-8"?>
<Properties xmlns="http://schemas.openxmlformats.org/officeDocument/2006/extended-properties" xmlns:vt="http://schemas.openxmlformats.org/officeDocument/2006/docPropsVTypes">
  <Template>Normal.dotm</Template>
  <TotalTime>131</TotalTime>
  <Pages>8</Pages>
  <Words>3174</Words>
  <Characters>18095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Ili Nadiah</cp:lastModifiedBy>
  <cp:revision>13</cp:revision>
  <dcterms:created xsi:type="dcterms:W3CDTF">2024-04-14T14:12:00Z</dcterms:created>
  <dcterms:modified xsi:type="dcterms:W3CDTF">2024-04-14T16:29:00Z</dcterms:modified>
</cp:coreProperties>
</file>